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9A370" w14:textId="1E5ABB93" w:rsidR="003C2415" w:rsidRPr="00AD13A5" w:rsidRDefault="00495C4F" w:rsidP="00A10C08">
      <w:pPr>
        <w:pStyle w:val="BodyText"/>
        <w:rPr>
          <w:rFonts w:cs="Times New Roman"/>
        </w:rPr>
      </w:pPr>
      <w:bookmarkStart w:id="0" w:name="_GoBack"/>
      <w:bookmarkEnd w:id="0"/>
      <w:r>
        <w:rPr>
          <w:b/>
          <w:color w:val="0000FF"/>
        </w:rPr>
        <w:t>Modèle : Exemple d’un p</w:t>
      </w:r>
      <w:r w:rsidR="003C2415" w:rsidRPr="00A10C08">
        <w:rPr>
          <w:b/>
          <w:color w:val="0000FF"/>
        </w:rPr>
        <w:t xml:space="preserve">rotocole d’entente relatif aux procédures </w:t>
      </w:r>
      <w:r w:rsidR="009D4944" w:rsidRPr="00A10C08">
        <w:rPr>
          <w:b/>
          <w:color w:val="0000FF"/>
        </w:rPr>
        <w:t>déterminées</w:t>
      </w:r>
      <w:r w:rsidR="00032591" w:rsidRPr="00A10C08">
        <w:rPr>
          <w:b/>
          <w:color w:val="0000FF"/>
        </w:rPr>
        <w:t xml:space="preserve"> </w:t>
      </w:r>
      <w:r w:rsidR="003C2415" w:rsidRPr="00A10C08">
        <w:rPr>
          <w:b/>
          <w:color w:val="0000FF"/>
        </w:rPr>
        <w:t xml:space="preserve">pour </w:t>
      </w:r>
      <w:r w:rsidR="00016EA1">
        <w:rPr>
          <w:b/>
          <w:color w:val="0000FF"/>
        </w:rPr>
        <w:t>l’</w:t>
      </w:r>
      <w:r w:rsidR="003C2415" w:rsidRPr="00A10C08">
        <w:rPr>
          <w:b/>
          <w:color w:val="0000FF"/>
        </w:rPr>
        <w:t>audit d</w:t>
      </w:r>
      <w:r w:rsidR="00032591" w:rsidRPr="00A10C08">
        <w:rPr>
          <w:b/>
          <w:color w:val="0000FF"/>
        </w:rPr>
        <w:t>’</w:t>
      </w:r>
      <w:r w:rsidR="003C2415" w:rsidRPr="00A10C08">
        <w:rPr>
          <w:b/>
          <w:color w:val="0000FF"/>
        </w:rPr>
        <w:t>u</w:t>
      </w:r>
      <w:r w:rsidR="00032591" w:rsidRPr="00A10C08">
        <w:rPr>
          <w:b/>
          <w:color w:val="0000FF"/>
        </w:rPr>
        <w:t>n </w:t>
      </w:r>
      <w:r w:rsidR="003C2415" w:rsidRPr="00A10C08">
        <w:rPr>
          <w:b/>
          <w:color w:val="0000FF"/>
        </w:rPr>
        <w:t>centre de</w:t>
      </w:r>
      <w:r w:rsidR="00032591" w:rsidRPr="00A10C08">
        <w:rPr>
          <w:b/>
          <w:color w:val="0000FF"/>
        </w:rPr>
        <w:t> </w:t>
      </w:r>
      <w:r w:rsidR="003C2415" w:rsidRPr="00A10C08">
        <w:rPr>
          <w:b/>
          <w:color w:val="0000FF"/>
        </w:rPr>
        <w:t>services partagés</w:t>
      </w:r>
    </w:p>
    <w:p w14:paraId="5E900DAD" w14:textId="77777777" w:rsidR="003C2415" w:rsidRPr="00AD13A5" w:rsidRDefault="003C2415">
      <w:pPr>
        <w:rPr>
          <w:rFonts w:cs="Times New Roman"/>
          <w:lang w:val="fr-CA"/>
        </w:rPr>
      </w:pPr>
    </w:p>
    <w:p w14:paraId="576987C7" w14:textId="77777777" w:rsidR="003C2415" w:rsidRPr="00AD13A5" w:rsidRDefault="003C2415" w:rsidP="000D4DCF">
      <w:pPr>
        <w:rPr>
          <w:lang w:val="fr-CA"/>
        </w:rPr>
      </w:pPr>
    </w:p>
    <w:p w14:paraId="068AC6A5" w14:textId="7EF47474" w:rsidR="003C2415" w:rsidRPr="003D785F" w:rsidRDefault="00AC2EBA" w:rsidP="003D785F">
      <w:pPr>
        <w:pStyle w:val="Style2"/>
        <w:rPr>
          <w:lang w:val="fr-CA"/>
        </w:rPr>
      </w:pPr>
      <w:bookmarkStart w:id="1" w:name="_Toc9421266"/>
      <w:r>
        <w:rPr>
          <w:lang w:val="fr-CA"/>
        </w:rPr>
        <w:t>Contenu</w:t>
      </w:r>
      <w:bookmarkEnd w:id="1"/>
    </w:p>
    <w:p w14:paraId="14F36A42" w14:textId="77777777" w:rsidR="003C2415" w:rsidRPr="00AD13A5" w:rsidRDefault="003C2415">
      <w:pPr>
        <w:jc w:val="center"/>
        <w:rPr>
          <w:rFonts w:cs="Times New Roman"/>
          <w:b/>
          <w:lang w:val="fr-CA"/>
        </w:rPr>
      </w:pPr>
    </w:p>
    <w:p w14:paraId="64FE3280" w14:textId="77777777" w:rsidR="00085F57" w:rsidRDefault="00085F57">
      <w:pPr>
        <w:pStyle w:val="TOC1"/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val="en-CA" w:eastAsia="en-CA"/>
        </w:rPr>
      </w:pPr>
      <w:r>
        <w:rPr>
          <w:rFonts w:cs="Times New Roman"/>
          <w:b/>
          <w:i w:val="0"/>
        </w:rPr>
        <w:fldChar w:fldCharType="begin"/>
      </w:r>
      <w:r>
        <w:rPr>
          <w:rFonts w:cs="Times New Roman"/>
          <w:b/>
          <w:i w:val="0"/>
        </w:rPr>
        <w:instrText xml:space="preserve"> TOC \h \z \t "Style2,1" </w:instrText>
      </w:r>
      <w:r>
        <w:rPr>
          <w:rFonts w:cs="Times New Roman"/>
          <w:b/>
          <w:i w:val="0"/>
        </w:rPr>
        <w:fldChar w:fldCharType="separate"/>
      </w:r>
      <w:hyperlink w:anchor="_Toc9421266" w:history="1">
        <w:r w:rsidRPr="00F619C9">
          <w:rPr>
            <w:rStyle w:val="Hyperlink"/>
            <w:noProof/>
            <w:lang w:val="fr-CA"/>
          </w:rPr>
          <w:t>Contenu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_Toc9421266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6E437BD" w14:textId="77777777" w:rsidR="00085F57" w:rsidRDefault="00F3582E">
      <w:pPr>
        <w:pStyle w:val="TOC1"/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val="en-CA" w:eastAsia="en-CA"/>
        </w:rPr>
      </w:pPr>
      <w:hyperlink w:anchor="_Toc9421267" w:history="1">
        <w:r w:rsidR="00085F57" w:rsidRPr="00F619C9">
          <w:rPr>
            <w:rStyle w:val="Hyperlink"/>
            <w:noProof/>
            <w:lang w:val="fr-CA"/>
          </w:rPr>
          <w:t>Contexte</w:t>
        </w:r>
        <w:r w:rsidR="00085F57">
          <w:rPr>
            <w:noProof/>
            <w:webHidden/>
          </w:rPr>
          <w:tab/>
        </w:r>
        <w:r w:rsidR="00085F57">
          <w:rPr>
            <w:noProof/>
            <w:webHidden/>
          </w:rPr>
          <w:fldChar w:fldCharType="begin"/>
        </w:r>
        <w:r w:rsidR="00085F57">
          <w:rPr>
            <w:noProof/>
            <w:webHidden/>
          </w:rPr>
          <w:instrText xml:space="preserve"> PAGEREF _Toc9421267 \h </w:instrText>
        </w:r>
        <w:r w:rsidR="00085F57">
          <w:rPr>
            <w:noProof/>
            <w:webHidden/>
          </w:rPr>
        </w:r>
        <w:r w:rsidR="00085F57">
          <w:rPr>
            <w:noProof/>
            <w:webHidden/>
          </w:rPr>
          <w:fldChar w:fldCharType="separate"/>
        </w:r>
        <w:r w:rsidR="00085F57">
          <w:rPr>
            <w:noProof/>
            <w:webHidden/>
          </w:rPr>
          <w:t>2</w:t>
        </w:r>
        <w:r w:rsidR="00085F57">
          <w:rPr>
            <w:noProof/>
            <w:webHidden/>
          </w:rPr>
          <w:fldChar w:fldCharType="end"/>
        </w:r>
      </w:hyperlink>
    </w:p>
    <w:p w14:paraId="7C3AFBF6" w14:textId="77777777" w:rsidR="00085F57" w:rsidRDefault="00F3582E">
      <w:pPr>
        <w:pStyle w:val="TOC1"/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val="en-CA" w:eastAsia="en-CA"/>
        </w:rPr>
      </w:pPr>
      <w:hyperlink w:anchor="_Toc9421268" w:history="1">
        <w:r w:rsidR="00085F57" w:rsidRPr="00F619C9">
          <w:rPr>
            <w:rStyle w:val="Hyperlink"/>
            <w:noProof/>
            <w:lang w:val="fr-CA"/>
          </w:rPr>
          <w:t>Résumé des procédures</w:t>
        </w:r>
        <w:r w:rsidR="00085F57">
          <w:rPr>
            <w:noProof/>
            <w:webHidden/>
          </w:rPr>
          <w:tab/>
        </w:r>
        <w:r w:rsidR="00085F57">
          <w:rPr>
            <w:noProof/>
            <w:webHidden/>
          </w:rPr>
          <w:fldChar w:fldCharType="begin"/>
        </w:r>
        <w:r w:rsidR="00085F57">
          <w:rPr>
            <w:noProof/>
            <w:webHidden/>
          </w:rPr>
          <w:instrText xml:space="preserve"> PAGEREF _Toc9421268 \h </w:instrText>
        </w:r>
        <w:r w:rsidR="00085F57">
          <w:rPr>
            <w:noProof/>
            <w:webHidden/>
          </w:rPr>
        </w:r>
        <w:r w:rsidR="00085F57">
          <w:rPr>
            <w:noProof/>
            <w:webHidden/>
          </w:rPr>
          <w:fldChar w:fldCharType="separate"/>
        </w:r>
        <w:r w:rsidR="00085F57">
          <w:rPr>
            <w:noProof/>
            <w:webHidden/>
          </w:rPr>
          <w:t>2</w:t>
        </w:r>
        <w:r w:rsidR="00085F57">
          <w:rPr>
            <w:noProof/>
            <w:webHidden/>
          </w:rPr>
          <w:fldChar w:fldCharType="end"/>
        </w:r>
      </w:hyperlink>
    </w:p>
    <w:p w14:paraId="7DE1164F" w14:textId="77777777" w:rsidR="00085F57" w:rsidRDefault="00F3582E">
      <w:pPr>
        <w:pStyle w:val="TOC1"/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val="en-CA" w:eastAsia="en-CA"/>
        </w:rPr>
      </w:pPr>
      <w:hyperlink w:anchor="_Toc9421269" w:history="1">
        <w:r w:rsidR="00085F57" w:rsidRPr="00F619C9">
          <w:rPr>
            <w:rStyle w:val="Hyperlink"/>
            <w:noProof/>
            <w:lang w:val="fr-CA"/>
          </w:rPr>
          <w:t>Annexe A – Documentation des processus et systèmes</w:t>
        </w:r>
        <w:r w:rsidR="00085F57">
          <w:rPr>
            <w:noProof/>
            <w:webHidden/>
          </w:rPr>
          <w:tab/>
        </w:r>
        <w:r w:rsidR="00085F57">
          <w:rPr>
            <w:noProof/>
            <w:webHidden/>
          </w:rPr>
          <w:fldChar w:fldCharType="begin"/>
        </w:r>
        <w:r w:rsidR="00085F57">
          <w:rPr>
            <w:noProof/>
            <w:webHidden/>
          </w:rPr>
          <w:instrText xml:space="preserve"> PAGEREF _Toc9421269 \h </w:instrText>
        </w:r>
        <w:r w:rsidR="00085F57">
          <w:rPr>
            <w:noProof/>
            <w:webHidden/>
          </w:rPr>
        </w:r>
        <w:r w:rsidR="00085F57">
          <w:rPr>
            <w:noProof/>
            <w:webHidden/>
          </w:rPr>
          <w:fldChar w:fldCharType="separate"/>
        </w:r>
        <w:r w:rsidR="00085F57">
          <w:rPr>
            <w:noProof/>
            <w:webHidden/>
          </w:rPr>
          <w:t>6</w:t>
        </w:r>
        <w:r w:rsidR="00085F57">
          <w:rPr>
            <w:noProof/>
            <w:webHidden/>
          </w:rPr>
          <w:fldChar w:fldCharType="end"/>
        </w:r>
      </w:hyperlink>
    </w:p>
    <w:p w14:paraId="3F21BDF9" w14:textId="77777777" w:rsidR="00085F57" w:rsidRDefault="00F3582E">
      <w:pPr>
        <w:pStyle w:val="TOC1"/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val="en-CA" w:eastAsia="en-CA"/>
        </w:rPr>
      </w:pPr>
      <w:hyperlink w:anchor="_Toc9421270" w:history="1">
        <w:r w:rsidR="00085F57" w:rsidRPr="00F619C9">
          <w:rPr>
            <w:rStyle w:val="Hyperlink"/>
            <w:noProof/>
            <w:lang w:val="fr-CA"/>
          </w:rPr>
          <w:t>Annexe B – Instructions relatives aux tests des contrôles au niveau du groupe (exemple illustratif)</w:t>
        </w:r>
        <w:r w:rsidR="00085F57">
          <w:rPr>
            <w:noProof/>
            <w:webHidden/>
          </w:rPr>
          <w:tab/>
        </w:r>
        <w:r w:rsidR="00085F57">
          <w:rPr>
            <w:noProof/>
            <w:webHidden/>
          </w:rPr>
          <w:fldChar w:fldCharType="begin"/>
        </w:r>
        <w:r w:rsidR="00085F57">
          <w:rPr>
            <w:noProof/>
            <w:webHidden/>
          </w:rPr>
          <w:instrText xml:space="preserve"> PAGEREF _Toc9421270 \h </w:instrText>
        </w:r>
        <w:r w:rsidR="00085F57">
          <w:rPr>
            <w:noProof/>
            <w:webHidden/>
          </w:rPr>
        </w:r>
        <w:r w:rsidR="00085F57">
          <w:rPr>
            <w:noProof/>
            <w:webHidden/>
          </w:rPr>
          <w:fldChar w:fldCharType="separate"/>
        </w:r>
        <w:r w:rsidR="00085F57">
          <w:rPr>
            <w:noProof/>
            <w:webHidden/>
          </w:rPr>
          <w:t>8</w:t>
        </w:r>
        <w:r w:rsidR="00085F57">
          <w:rPr>
            <w:noProof/>
            <w:webHidden/>
          </w:rPr>
          <w:fldChar w:fldCharType="end"/>
        </w:r>
      </w:hyperlink>
    </w:p>
    <w:p w14:paraId="0C81DB3E" w14:textId="77777777" w:rsidR="00085F57" w:rsidRDefault="00F3582E">
      <w:pPr>
        <w:pStyle w:val="TOC1"/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val="en-CA" w:eastAsia="en-CA"/>
        </w:rPr>
      </w:pPr>
      <w:hyperlink w:anchor="_Toc9421271" w:history="1">
        <w:r w:rsidR="00085F57" w:rsidRPr="00F619C9">
          <w:rPr>
            <w:rStyle w:val="Hyperlink"/>
            <w:noProof/>
            <w:lang w:val="fr-CA"/>
          </w:rPr>
          <w:t>Annexe C – Tests indépendants des contrôles internes de la direction – Groupe</w:t>
        </w:r>
        <w:r w:rsidR="00085F57">
          <w:rPr>
            <w:noProof/>
            <w:webHidden/>
          </w:rPr>
          <w:tab/>
        </w:r>
        <w:r w:rsidR="00085F57">
          <w:rPr>
            <w:noProof/>
            <w:webHidden/>
          </w:rPr>
          <w:fldChar w:fldCharType="begin"/>
        </w:r>
        <w:r w:rsidR="00085F57">
          <w:rPr>
            <w:noProof/>
            <w:webHidden/>
          </w:rPr>
          <w:instrText xml:space="preserve"> PAGEREF _Toc9421271 \h </w:instrText>
        </w:r>
        <w:r w:rsidR="00085F57">
          <w:rPr>
            <w:noProof/>
            <w:webHidden/>
          </w:rPr>
        </w:r>
        <w:r w:rsidR="00085F57">
          <w:rPr>
            <w:noProof/>
            <w:webHidden/>
          </w:rPr>
          <w:fldChar w:fldCharType="separate"/>
        </w:r>
        <w:r w:rsidR="00085F57">
          <w:rPr>
            <w:noProof/>
            <w:webHidden/>
          </w:rPr>
          <w:t>9</w:t>
        </w:r>
        <w:r w:rsidR="00085F57">
          <w:rPr>
            <w:noProof/>
            <w:webHidden/>
          </w:rPr>
          <w:fldChar w:fldCharType="end"/>
        </w:r>
      </w:hyperlink>
    </w:p>
    <w:p w14:paraId="6CC48E92" w14:textId="77777777" w:rsidR="00085F57" w:rsidRDefault="00F3582E">
      <w:pPr>
        <w:pStyle w:val="TOC1"/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val="en-CA" w:eastAsia="en-CA"/>
        </w:rPr>
      </w:pPr>
      <w:hyperlink w:anchor="_Toc9421272" w:history="1">
        <w:r w:rsidR="00085F57" w:rsidRPr="00F619C9">
          <w:rPr>
            <w:rStyle w:val="Hyperlink"/>
            <w:noProof/>
            <w:lang w:val="fr-CA"/>
          </w:rPr>
          <w:t>Annexe D – Procédures analytiques</w:t>
        </w:r>
        <w:r w:rsidR="00085F57">
          <w:rPr>
            <w:noProof/>
            <w:webHidden/>
          </w:rPr>
          <w:tab/>
        </w:r>
        <w:r w:rsidR="00085F57">
          <w:rPr>
            <w:noProof/>
            <w:webHidden/>
          </w:rPr>
          <w:fldChar w:fldCharType="begin"/>
        </w:r>
        <w:r w:rsidR="00085F57">
          <w:rPr>
            <w:noProof/>
            <w:webHidden/>
          </w:rPr>
          <w:instrText xml:space="preserve"> PAGEREF _Toc9421272 \h </w:instrText>
        </w:r>
        <w:r w:rsidR="00085F57">
          <w:rPr>
            <w:noProof/>
            <w:webHidden/>
          </w:rPr>
        </w:r>
        <w:r w:rsidR="00085F57">
          <w:rPr>
            <w:noProof/>
            <w:webHidden/>
          </w:rPr>
          <w:fldChar w:fldCharType="separate"/>
        </w:r>
        <w:r w:rsidR="00085F57">
          <w:rPr>
            <w:noProof/>
            <w:webHidden/>
          </w:rPr>
          <w:t>10</w:t>
        </w:r>
        <w:r w:rsidR="00085F57">
          <w:rPr>
            <w:noProof/>
            <w:webHidden/>
          </w:rPr>
          <w:fldChar w:fldCharType="end"/>
        </w:r>
      </w:hyperlink>
    </w:p>
    <w:p w14:paraId="4B9E67F5" w14:textId="77777777" w:rsidR="00085F57" w:rsidRDefault="00F3582E">
      <w:pPr>
        <w:pStyle w:val="TOC1"/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val="en-CA" w:eastAsia="en-CA"/>
        </w:rPr>
      </w:pPr>
      <w:hyperlink w:anchor="_Toc9421273" w:history="1">
        <w:r w:rsidR="00085F57" w:rsidRPr="00F619C9">
          <w:rPr>
            <w:rStyle w:val="Hyperlink"/>
            <w:noProof/>
            <w:lang w:val="fr-CA"/>
          </w:rPr>
          <w:t>Annexe E – Procédures de corroboration – Groupe</w:t>
        </w:r>
        <w:r w:rsidR="00085F57">
          <w:rPr>
            <w:noProof/>
            <w:webHidden/>
          </w:rPr>
          <w:tab/>
        </w:r>
        <w:r w:rsidR="00085F57">
          <w:rPr>
            <w:noProof/>
            <w:webHidden/>
          </w:rPr>
          <w:fldChar w:fldCharType="begin"/>
        </w:r>
        <w:r w:rsidR="00085F57">
          <w:rPr>
            <w:noProof/>
            <w:webHidden/>
          </w:rPr>
          <w:instrText xml:space="preserve"> PAGEREF _Toc9421273 \h </w:instrText>
        </w:r>
        <w:r w:rsidR="00085F57">
          <w:rPr>
            <w:noProof/>
            <w:webHidden/>
          </w:rPr>
        </w:r>
        <w:r w:rsidR="00085F57">
          <w:rPr>
            <w:noProof/>
            <w:webHidden/>
          </w:rPr>
          <w:fldChar w:fldCharType="separate"/>
        </w:r>
        <w:r w:rsidR="00085F57">
          <w:rPr>
            <w:noProof/>
            <w:webHidden/>
          </w:rPr>
          <w:t>11</w:t>
        </w:r>
        <w:r w:rsidR="00085F57">
          <w:rPr>
            <w:noProof/>
            <w:webHidden/>
          </w:rPr>
          <w:fldChar w:fldCharType="end"/>
        </w:r>
      </w:hyperlink>
    </w:p>
    <w:p w14:paraId="1706F1A8" w14:textId="77777777" w:rsidR="00085F57" w:rsidRDefault="00F3582E">
      <w:pPr>
        <w:pStyle w:val="TOC1"/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val="en-CA" w:eastAsia="en-CA"/>
        </w:rPr>
      </w:pPr>
      <w:hyperlink w:anchor="_Toc9421274" w:history="1">
        <w:r w:rsidR="00085F57" w:rsidRPr="00F619C9">
          <w:rPr>
            <w:rStyle w:val="Hyperlink"/>
            <w:noProof/>
            <w:lang w:val="fr-CA"/>
          </w:rPr>
          <w:t>Annexe F ─ Tests indépendants des contrôles internes de la direction ─ audit légal</w:t>
        </w:r>
        <w:r w:rsidR="00085F57">
          <w:rPr>
            <w:noProof/>
            <w:webHidden/>
          </w:rPr>
          <w:tab/>
        </w:r>
        <w:r w:rsidR="00085F57">
          <w:rPr>
            <w:noProof/>
            <w:webHidden/>
          </w:rPr>
          <w:fldChar w:fldCharType="begin"/>
        </w:r>
        <w:r w:rsidR="00085F57">
          <w:rPr>
            <w:noProof/>
            <w:webHidden/>
          </w:rPr>
          <w:instrText xml:space="preserve"> PAGEREF _Toc9421274 \h </w:instrText>
        </w:r>
        <w:r w:rsidR="00085F57">
          <w:rPr>
            <w:noProof/>
            <w:webHidden/>
          </w:rPr>
        </w:r>
        <w:r w:rsidR="00085F57">
          <w:rPr>
            <w:noProof/>
            <w:webHidden/>
          </w:rPr>
          <w:fldChar w:fldCharType="separate"/>
        </w:r>
        <w:r w:rsidR="00085F57">
          <w:rPr>
            <w:noProof/>
            <w:webHidden/>
          </w:rPr>
          <w:t>13</w:t>
        </w:r>
        <w:r w:rsidR="00085F57">
          <w:rPr>
            <w:noProof/>
            <w:webHidden/>
          </w:rPr>
          <w:fldChar w:fldCharType="end"/>
        </w:r>
      </w:hyperlink>
    </w:p>
    <w:p w14:paraId="007170BC" w14:textId="77777777" w:rsidR="00085F57" w:rsidRDefault="00F3582E">
      <w:pPr>
        <w:pStyle w:val="TOC1"/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val="en-CA" w:eastAsia="en-CA"/>
        </w:rPr>
      </w:pPr>
      <w:hyperlink w:anchor="_Toc9421275" w:history="1">
        <w:r w:rsidR="00085F57" w:rsidRPr="00F619C9">
          <w:rPr>
            <w:rStyle w:val="Hyperlink"/>
            <w:noProof/>
            <w:lang w:val="fr-CA"/>
          </w:rPr>
          <w:t>Annexe G ─ Procédures analytiques ─ audit légal</w:t>
        </w:r>
        <w:r w:rsidR="00085F57">
          <w:rPr>
            <w:noProof/>
            <w:webHidden/>
          </w:rPr>
          <w:tab/>
        </w:r>
        <w:r w:rsidR="00085F57">
          <w:rPr>
            <w:noProof/>
            <w:webHidden/>
          </w:rPr>
          <w:fldChar w:fldCharType="begin"/>
        </w:r>
        <w:r w:rsidR="00085F57">
          <w:rPr>
            <w:noProof/>
            <w:webHidden/>
          </w:rPr>
          <w:instrText xml:space="preserve"> PAGEREF _Toc9421275 \h </w:instrText>
        </w:r>
        <w:r w:rsidR="00085F57">
          <w:rPr>
            <w:noProof/>
            <w:webHidden/>
          </w:rPr>
        </w:r>
        <w:r w:rsidR="00085F57">
          <w:rPr>
            <w:noProof/>
            <w:webHidden/>
          </w:rPr>
          <w:fldChar w:fldCharType="separate"/>
        </w:r>
        <w:r w:rsidR="00085F57">
          <w:rPr>
            <w:noProof/>
            <w:webHidden/>
          </w:rPr>
          <w:t>14</w:t>
        </w:r>
        <w:r w:rsidR="00085F57">
          <w:rPr>
            <w:noProof/>
            <w:webHidden/>
          </w:rPr>
          <w:fldChar w:fldCharType="end"/>
        </w:r>
      </w:hyperlink>
    </w:p>
    <w:p w14:paraId="1AFE8057" w14:textId="77777777" w:rsidR="00085F57" w:rsidRDefault="00F3582E">
      <w:pPr>
        <w:pStyle w:val="TOC1"/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val="en-CA" w:eastAsia="en-CA"/>
        </w:rPr>
      </w:pPr>
      <w:hyperlink w:anchor="_Toc9421276" w:history="1">
        <w:r w:rsidR="00085F57" w:rsidRPr="00F619C9">
          <w:rPr>
            <w:rStyle w:val="Hyperlink"/>
            <w:noProof/>
            <w:lang w:val="fr-CA"/>
          </w:rPr>
          <w:t>Annexe H ─ Procédures de corroboration ─ audit légal</w:t>
        </w:r>
        <w:r w:rsidR="00085F57">
          <w:rPr>
            <w:noProof/>
            <w:webHidden/>
          </w:rPr>
          <w:tab/>
        </w:r>
        <w:r w:rsidR="00085F57">
          <w:rPr>
            <w:noProof/>
            <w:webHidden/>
          </w:rPr>
          <w:fldChar w:fldCharType="begin"/>
        </w:r>
        <w:r w:rsidR="00085F57">
          <w:rPr>
            <w:noProof/>
            <w:webHidden/>
          </w:rPr>
          <w:instrText xml:space="preserve"> PAGEREF _Toc9421276 \h </w:instrText>
        </w:r>
        <w:r w:rsidR="00085F57">
          <w:rPr>
            <w:noProof/>
            <w:webHidden/>
          </w:rPr>
        </w:r>
        <w:r w:rsidR="00085F57">
          <w:rPr>
            <w:noProof/>
            <w:webHidden/>
          </w:rPr>
          <w:fldChar w:fldCharType="separate"/>
        </w:r>
        <w:r w:rsidR="00085F57">
          <w:rPr>
            <w:noProof/>
            <w:webHidden/>
          </w:rPr>
          <w:t>15</w:t>
        </w:r>
        <w:r w:rsidR="00085F57">
          <w:rPr>
            <w:noProof/>
            <w:webHidden/>
          </w:rPr>
          <w:fldChar w:fldCharType="end"/>
        </w:r>
      </w:hyperlink>
    </w:p>
    <w:p w14:paraId="308E4B3F" w14:textId="77777777" w:rsidR="00085F57" w:rsidRDefault="00F3582E">
      <w:pPr>
        <w:pStyle w:val="TOC1"/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val="en-CA" w:eastAsia="en-CA"/>
        </w:rPr>
      </w:pPr>
      <w:hyperlink w:anchor="_Toc9421277" w:history="1">
        <w:r w:rsidR="00085F57" w:rsidRPr="00F619C9">
          <w:rPr>
            <w:rStyle w:val="Hyperlink"/>
            <w:noProof/>
            <w:lang w:val="fr-CA"/>
          </w:rPr>
          <w:t>Annexe I ─ Confirmation du caractère suffisant des procédures</w:t>
        </w:r>
        <w:r w:rsidR="00085F57">
          <w:rPr>
            <w:noProof/>
            <w:webHidden/>
          </w:rPr>
          <w:tab/>
        </w:r>
        <w:r w:rsidR="00085F57">
          <w:rPr>
            <w:noProof/>
            <w:webHidden/>
          </w:rPr>
          <w:fldChar w:fldCharType="begin"/>
        </w:r>
        <w:r w:rsidR="00085F57">
          <w:rPr>
            <w:noProof/>
            <w:webHidden/>
          </w:rPr>
          <w:instrText xml:space="preserve"> PAGEREF _Toc9421277 \h </w:instrText>
        </w:r>
        <w:r w:rsidR="00085F57">
          <w:rPr>
            <w:noProof/>
            <w:webHidden/>
          </w:rPr>
        </w:r>
        <w:r w:rsidR="00085F57">
          <w:rPr>
            <w:noProof/>
            <w:webHidden/>
          </w:rPr>
          <w:fldChar w:fldCharType="separate"/>
        </w:r>
        <w:r w:rsidR="00085F57">
          <w:rPr>
            <w:noProof/>
            <w:webHidden/>
          </w:rPr>
          <w:t>16</w:t>
        </w:r>
        <w:r w:rsidR="00085F57">
          <w:rPr>
            <w:noProof/>
            <w:webHidden/>
          </w:rPr>
          <w:fldChar w:fldCharType="end"/>
        </w:r>
      </w:hyperlink>
    </w:p>
    <w:p w14:paraId="5DE9735C" w14:textId="77777777" w:rsidR="00085F57" w:rsidRDefault="00F3582E">
      <w:pPr>
        <w:pStyle w:val="TOC1"/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val="en-CA" w:eastAsia="en-CA"/>
        </w:rPr>
      </w:pPr>
      <w:hyperlink w:anchor="_Toc9421278" w:history="1">
        <w:r w:rsidR="00085F57" w:rsidRPr="00F619C9">
          <w:rPr>
            <w:rStyle w:val="Hyperlink"/>
            <w:noProof/>
            <w:lang w:val="fr-CA"/>
          </w:rPr>
          <w:t>Annexe J ─ Confirmation de la conformité aux normes de documentation</w:t>
        </w:r>
        <w:r w:rsidR="00085F57">
          <w:rPr>
            <w:noProof/>
            <w:webHidden/>
          </w:rPr>
          <w:tab/>
        </w:r>
        <w:r w:rsidR="00085F57">
          <w:rPr>
            <w:noProof/>
            <w:webHidden/>
          </w:rPr>
          <w:fldChar w:fldCharType="begin"/>
        </w:r>
        <w:r w:rsidR="00085F57">
          <w:rPr>
            <w:noProof/>
            <w:webHidden/>
          </w:rPr>
          <w:instrText xml:space="preserve"> PAGEREF _Toc9421278 \h </w:instrText>
        </w:r>
        <w:r w:rsidR="00085F57">
          <w:rPr>
            <w:noProof/>
            <w:webHidden/>
          </w:rPr>
        </w:r>
        <w:r w:rsidR="00085F57">
          <w:rPr>
            <w:noProof/>
            <w:webHidden/>
          </w:rPr>
          <w:fldChar w:fldCharType="separate"/>
        </w:r>
        <w:r w:rsidR="00085F57">
          <w:rPr>
            <w:noProof/>
            <w:webHidden/>
          </w:rPr>
          <w:t>17</w:t>
        </w:r>
        <w:r w:rsidR="00085F57">
          <w:rPr>
            <w:noProof/>
            <w:webHidden/>
          </w:rPr>
          <w:fldChar w:fldCharType="end"/>
        </w:r>
      </w:hyperlink>
    </w:p>
    <w:p w14:paraId="5FFB6CD8" w14:textId="77777777" w:rsidR="00085F57" w:rsidRDefault="00F3582E">
      <w:pPr>
        <w:pStyle w:val="TOC1"/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val="en-CA" w:eastAsia="en-CA"/>
        </w:rPr>
      </w:pPr>
      <w:hyperlink w:anchor="_Toc9421279" w:history="1">
        <w:r w:rsidR="00085F57" w:rsidRPr="00F619C9">
          <w:rPr>
            <w:rStyle w:val="Hyperlink"/>
            <w:noProof/>
            <w:lang w:val="fr-CA"/>
          </w:rPr>
          <w:t>Annexe K ─ Mémoire sur l'examen</w:t>
        </w:r>
        <w:r w:rsidR="00085F57">
          <w:rPr>
            <w:noProof/>
            <w:webHidden/>
          </w:rPr>
          <w:tab/>
        </w:r>
        <w:r w:rsidR="00085F57">
          <w:rPr>
            <w:noProof/>
            <w:webHidden/>
          </w:rPr>
          <w:fldChar w:fldCharType="begin"/>
        </w:r>
        <w:r w:rsidR="00085F57">
          <w:rPr>
            <w:noProof/>
            <w:webHidden/>
          </w:rPr>
          <w:instrText xml:space="preserve"> PAGEREF _Toc9421279 \h </w:instrText>
        </w:r>
        <w:r w:rsidR="00085F57">
          <w:rPr>
            <w:noProof/>
            <w:webHidden/>
          </w:rPr>
        </w:r>
        <w:r w:rsidR="00085F57">
          <w:rPr>
            <w:noProof/>
            <w:webHidden/>
          </w:rPr>
          <w:fldChar w:fldCharType="separate"/>
        </w:r>
        <w:r w:rsidR="00085F57">
          <w:rPr>
            <w:noProof/>
            <w:webHidden/>
          </w:rPr>
          <w:t>18</w:t>
        </w:r>
        <w:r w:rsidR="00085F57">
          <w:rPr>
            <w:noProof/>
            <w:webHidden/>
          </w:rPr>
          <w:fldChar w:fldCharType="end"/>
        </w:r>
      </w:hyperlink>
    </w:p>
    <w:p w14:paraId="4B8B8983" w14:textId="77777777" w:rsidR="00085F57" w:rsidRDefault="00F3582E">
      <w:pPr>
        <w:pStyle w:val="TOC1"/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val="en-CA" w:eastAsia="en-CA"/>
        </w:rPr>
      </w:pPr>
      <w:hyperlink w:anchor="_Toc9421280" w:history="1">
        <w:r w:rsidR="00085F57" w:rsidRPr="00F619C9">
          <w:rPr>
            <w:rStyle w:val="Hyperlink"/>
            <w:noProof/>
            <w:lang w:val="fr-CA"/>
          </w:rPr>
          <w:t>Annexe L ─ Examen des événements postérieurs à la clôture</w:t>
        </w:r>
        <w:r w:rsidR="00085F57">
          <w:rPr>
            <w:noProof/>
            <w:webHidden/>
          </w:rPr>
          <w:tab/>
        </w:r>
        <w:r w:rsidR="00085F57">
          <w:rPr>
            <w:noProof/>
            <w:webHidden/>
          </w:rPr>
          <w:fldChar w:fldCharType="begin"/>
        </w:r>
        <w:r w:rsidR="00085F57">
          <w:rPr>
            <w:noProof/>
            <w:webHidden/>
          </w:rPr>
          <w:instrText xml:space="preserve"> PAGEREF _Toc9421280 \h </w:instrText>
        </w:r>
        <w:r w:rsidR="00085F57">
          <w:rPr>
            <w:noProof/>
            <w:webHidden/>
          </w:rPr>
        </w:r>
        <w:r w:rsidR="00085F57">
          <w:rPr>
            <w:noProof/>
            <w:webHidden/>
          </w:rPr>
          <w:fldChar w:fldCharType="separate"/>
        </w:r>
        <w:r w:rsidR="00085F57">
          <w:rPr>
            <w:noProof/>
            <w:webHidden/>
          </w:rPr>
          <w:t>20</w:t>
        </w:r>
        <w:r w:rsidR="00085F57">
          <w:rPr>
            <w:noProof/>
            <w:webHidden/>
          </w:rPr>
          <w:fldChar w:fldCharType="end"/>
        </w:r>
      </w:hyperlink>
    </w:p>
    <w:p w14:paraId="432747C6" w14:textId="77777777" w:rsidR="00085F57" w:rsidRDefault="00F3582E">
      <w:pPr>
        <w:pStyle w:val="TOC1"/>
        <w:rPr>
          <w:rFonts w:asciiTheme="minorHAnsi" w:eastAsiaTheme="minorEastAsia" w:hAnsiTheme="minorHAnsi" w:cstheme="minorBidi"/>
          <w:i w:val="0"/>
          <w:noProof/>
          <w:snapToGrid/>
          <w:sz w:val="22"/>
          <w:szCs w:val="22"/>
          <w:lang w:val="en-CA" w:eastAsia="en-CA"/>
        </w:rPr>
      </w:pPr>
      <w:hyperlink w:anchor="_Toc9421281" w:history="1">
        <w:r w:rsidR="00085F57" w:rsidRPr="00F619C9">
          <w:rPr>
            <w:rStyle w:val="Hyperlink"/>
            <w:noProof/>
            <w:lang w:val="fr-CA"/>
          </w:rPr>
          <w:t>Annexe M ─ Confirmation de la conformité aux normes de documentation ─ Achèvement</w:t>
        </w:r>
        <w:r w:rsidR="00085F57">
          <w:rPr>
            <w:noProof/>
            <w:webHidden/>
          </w:rPr>
          <w:tab/>
        </w:r>
        <w:r w:rsidR="00085F57">
          <w:rPr>
            <w:noProof/>
            <w:webHidden/>
          </w:rPr>
          <w:fldChar w:fldCharType="begin"/>
        </w:r>
        <w:r w:rsidR="00085F57">
          <w:rPr>
            <w:noProof/>
            <w:webHidden/>
          </w:rPr>
          <w:instrText xml:space="preserve"> PAGEREF _Toc9421281 \h </w:instrText>
        </w:r>
        <w:r w:rsidR="00085F57">
          <w:rPr>
            <w:noProof/>
            <w:webHidden/>
          </w:rPr>
        </w:r>
        <w:r w:rsidR="00085F57">
          <w:rPr>
            <w:noProof/>
            <w:webHidden/>
          </w:rPr>
          <w:fldChar w:fldCharType="separate"/>
        </w:r>
        <w:r w:rsidR="00085F57">
          <w:rPr>
            <w:noProof/>
            <w:webHidden/>
          </w:rPr>
          <w:t>21</w:t>
        </w:r>
        <w:r w:rsidR="00085F57">
          <w:rPr>
            <w:noProof/>
            <w:webHidden/>
          </w:rPr>
          <w:fldChar w:fldCharType="end"/>
        </w:r>
      </w:hyperlink>
    </w:p>
    <w:p w14:paraId="35C50E83" w14:textId="24ACB00F" w:rsidR="003C2415" w:rsidRDefault="00085F57" w:rsidP="003D785F">
      <w:pPr>
        <w:rPr>
          <w:rFonts w:cs="Times New Roman"/>
          <w:b/>
        </w:rPr>
      </w:pPr>
      <w:r>
        <w:rPr>
          <w:rFonts w:cs="Times New Roman"/>
          <w:b/>
          <w:i/>
        </w:rPr>
        <w:fldChar w:fldCharType="end"/>
      </w:r>
    </w:p>
    <w:p w14:paraId="57465B60" w14:textId="77777777" w:rsidR="00495C4F" w:rsidRDefault="00495C4F">
      <w:pPr>
        <w:rPr>
          <w:rFonts w:cs="Times New Roman"/>
        </w:rPr>
      </w:pPr>
      <w:r>
        <w:rPr>
          <w:rFonts w:cs="Times New Roman"/>
        </w:rPr>
        <w:br w:type="page"/>
      </w:r>
    </w:p>
    <w:p w14:paraId="63CA84C4" w14:textId="5680BB3E" w:rsidR="003C2415" w:rsidRPr="00AD13A5" w:rsidRDefault="003C2415">
      <w:pPr>
        <w:rPr>
          <w:rFonts w:cs="Times New Roman"/>
          <w:b/>
          <w:lang w:val="fr-CA"/>
        </w:rPr>
      </w:pPr>
      <w:r w:rsidRPr="00AD13A5">
        <w:rPr>
          <w:rFonts w:cs="Times New Roman"/>
          <w:b/>
          <w:lang w:val="fr-CA"/>
        </w:rPr>
        <w:lastRenderedPageBreak/>
        <w:t>[</w:t>
      </w:r>
      <w:r w:rsidRPr="00A10C08">
        <w:rPr>
          <w:b/>
          <w:color w:val="0000FF"/>
          <w:lang w:val="fr-CA"/>
        </w:rPr>
        <w:t>Adresser à toutes les équipes</w:t>
      </w:r>
      <w:r w:rsidR="005A3FAB" w:rsidRPr="00A10C08">
        <w:rPr>
          <w:b/>
          <w:color w:val="0000FF"/>
          <w:lang w:val="fr-CA"/>
        </w:rPr>
        <w:t xml:space="preserve"> de mission</w:t>
      </w:r>
      <w:r w:rsidRPr="00A10C08">
        <w:rPr>
          <w:b/>
          <w:color w:val="0000FF"/>
          <w:lang w:val="fr-CA"/>
        </w:rPr>
        <w:t xml:space="preserve"> du BVG qui utiliseront les résultats des travaux d</w:t>
      </w:r>
      <w:r w:rsidR="00032591" w:rsidRPr="00A10C08">
        <w:rPr>
          <w:b/>
          <w:color w:val="0000FF"/>
          <w:lang w:val="fr-CA"/>
        </w:rPr>
        <w:t>’</w:t>
      </w:r>
      <w:r w:rsidRPr="00A10C08">
        <w:rPr>
          <w:b/>
          <w:color w:val="0000FF"/>
          <w:lang w:val="fr-CA"/>
        </w:rPr>
        <w:t>u</w:t>
      </w:r>
      <w:r w:rsidR="00032591" w:rsidRPr="00A10C08">
        <w:rPr>
          <w:b/>
          <w:color w:val="0000FF"/>
          <w:lang w:val="fr-CA"/>
        </w:rPr>
        <w:t>n </w:t>
      </w:r>
      <w:r w:rsidRPr="00A10C08">
        <w:rPr>
          <w:b/>
          <w:color w:val="0000FF"/>
          <w:lang w:val="fr-CA"/>
        </w:rPr>
        <w:t xml:space="preserve">centre de services partagés, en </w:t>
      </w:r>
      <w:r w:rsidR="00032591" w:rsidRPr="00A10C08">
        <w:rPr>
          <w:b/>
          <w:color w:val="0000FF"/>
          <w:lang w:val="fr-CA"/>
        </w:rPr>
        <w:t xml:space="preserve">précisant </w:t>
      </w:r>
      <w:r w:rsidRPr="00A10C08">
        <w:rPr>
          <w:b/>
          <w:color w:val="0000FF"/>
          <w:lang w:val="fr-CA"/>
        </w:rPr>
        <w:t>uniquement les composantes qui sont pertinentes pour chacune des équipes</w:t>
      </w:r>
      <w:r w:rsidR="00BE0FFD" w:rsidRPr="00A10C08">
        <w:rPr>
          <w:b/>
          <w:color w:val="0000FF"/>
          <w:lang w:val="fr-CA"/>
        </w:rPr>
        <w:t xml:space="preserve"> de mission</w:t>
      </w:r>
      <w:r w:rsidRPr="00A10C08">
        <w:rPr>
          <w:b/>
          <w:color w:val="0000FF"/>
          <w:lang w:val="fr-CA"/>
        </w:rPr>
        <w:t>.</w:t>
      </w:r>
      <w:r w:rsidRPr="00AD13A5">
        <w:rPr>
          <w:rFonts w:cs="Times New Roman"/>
          <w:b/>
          <w:lang w:val="fr-CA"/>
        </w:rPr>
        <w:t>]</w:t>
      </w:r>
    </w:p>
    <w:p w14:paraId="6B54307D" w14:textId="77777777" w:rsidR="003C2415" w:rsidRPr="00AD13A5" w:rsidRDefault="003C2415">
      <w:pPr>
        <w:rPr>
          <w:rFonts w:cs="Times New Roman"/>
          <w:b/>
          <w:lang w:val="fr-CA"/>
        </w:rPr>
      </w:pPr>
    </w:p>
    <w:p w14:paraId="17D50AB9" w14:textId="77777777" w:rsidR="003C2415" w:rsidRPr="00AD13A5" w:rsidRDefault="004B4D57">
      <w:pPr>
        <w:rPr>
          <w:rFonts w:cs="Times New Roman"/>
          <w:b/>
          <w:lang w:val="fr-CA"/>
        </w:rPr>
      </w:pPr>
      <w:r w:rsidRPr="00A10C08">
        <w:rPr>
          <w:b/>
          <w:lang w:val="fr-CA"/>
        </w:rPr>
        <w:t>[</w:t>
      </w:r>
      <w:r w:rsidR="003C2415" w:rsidRPr="00A10C08">
        <w:rPr>
          <w:b/>
          <w:color w:val="0000FF"/>
          <w:lang w:val="fr-CA"/>
        </w:rPr>
        <w:t>Date</w:t>
      </w:r>
      <w:r w:rsidRPr="00A10C08">
        <w:rPr>
          <w:b/>
          <w:lang w:val="fr-CA"/>
        </w:rPr>
        <w:t>]</w:t>
      </w:r>
    </w:p>
    <w:p w14:paraId="6309107B" w14:textId="77777777" w:rsidR="003C2415" w:rsidRPr="00AD13A5" w:rsidRDefault="003C2415">
      <w:pPr>
        <w:rPr>
          <w:rFonts w:cs="Times New Roman"/>
          <w:b/>
          <w:lang w:val="fr-CA"/>
        </w:rPr>
      </w:pPr>
    </w:p>
    <w:p w14:paraId="1E812594" w14:textId="77777777" w:rsidR="005A7678" w:rsidRPr="003D785F" w:rsidRDefault="003C2415" w:rsidP="003D785F">
      <w:pPr>
        <w:pStyle w:val="Style2"/>
        <w:rPr>
          <w:lang w:val="fr-CA"/>
        </w:rPr>
      </w:pPr>
      <w:bookmarkStart w:id="2" w:name="_Toc9421267"/>
      <w:r w:rsidRPr="003D785F">
        <w:rPr>
          <w:lang w:val="fr-CA"/>
        </w:rPr>
        <w:t>C</w:t>
      </w:r>
      <w:r w:rsidR="00A25F17" w:rsidRPr="003D785F">
        <w:rPr>
          <w:lang w:val="fr-CA"/>
        </w:rPr>
        <w:t>ontexte</w:t>
      </w:r>
      <w:bookmarkEnd w:id="2"/>
    </w:p>
    <w:p w14:paraId="45C08583" w14:textId="77777777" w:rsidR="005A7678" w:rsidRPr="003D785F" w:rsidRDefault="005A7678">
      <w:pPr>
        <w:rPr>
          <w:lang w:val="fr-CA"/>
        </w:rPr>
      </w:pPr>
    </w:p>
    <w:p w14:paraId="7637C1F5" w14:textId="77777777" w:rsidR="003C2415" w:rsidRPr="00B70088" w:rsidRDefault="003C2415">
      <w:pPr>
        <w:rPr>
          <w:lang w:val="fr-CA"/>
        </w:rPr>
      </w:pPr>
      <w:r w:rsidRPr="00B70088">
        <w:rPr>
          <w:lang w:val="fr-CA"/>
        </w:rPr>
        <w:t xml:space="preserve">Aux fins de l’audit </w:t>
      </w:r>
      <w:r w:rsidRPr="00A10C08">
        <w:rPr>
          <w:lang w:val="fr-CA"/>
        </w:rPr>
        <w:t>[</w:t>
      </w:r>
      <w:r w:rsidRPr="00A10C08">
        <w:rPr>
          <w:color w:val="0000FF"/>
          <w:lang w:val="fr-CA"/>
        </w:rPr>
        <w:t>légal/des états financiers du groupe</w:t>
      </w:r>
      <w:proofErr w:type="gramStart"/>
      <w:r w:rsidRPr="00A10C08">
        <w:rPr>
          <w:lang w:val="fr-CA"/>
        </w:rPr>
        <w:t>]</w:t>
      </w:r>
      <w:proofErr w:type="gramEnd"/>
      <w:r w:rsidRPr="00A10C08">
        <w:rPr>
          <w:rStyle w:val="FootnoteReference"/>
          <w:color w:val="0000FF"/>
        </w:rPr>
        <w:footnoteReference w:id="1"/>
      </w:r>
      <w:r w:rsidRPr="00A10C08">
        <w:rPr>
          <w:rStyle w:val="FootnoteReference"/>
          <w:color w:val="0000FF"/>
          <w:lang w:val="fr-CA"/>
        </w:rPr>
        <w:t xml:space="preserve"> </w:t>
      </w:r>
      <w:r w:rsidRPr="00B70088">
        <w:rPr>
          <w:lang w:val="fr-CA"/>
        </w:rPr>
        <w:t xml:space="preserve">pour l’exercice </w:t>
      </w:r>
      <w:r w:rsidR="00032591" w:rsidRPr="00B70088">
        <w:rPr>
          <w:lang w:val="fr-CA"/>
        </w:rPr>
        <w:t>clo</w:t>
      </w:r>
      <w:r w:rsidRPr="00B70088">
        <w:rPr>
          <w:lang w:val="fr-CA"/>
        </w:rPr>
        <w:t>s</w:t>
      </w:r>
      <w:r w:rsidR="00032591" w:rsidRPr="00B70088">
        <w:rPr>
          <w:lang w:val="fr-CA"/>
        </w:rPr>
        <w:t xml:space="preserve"> le</w:t>
      </w:r>
      <w:r w:rsidRPr="00B70088">
        <w:rPr>
          <w:lang w:val="fr-CA"/>
        </w:rPr>
        <w:t xml:space="preserve"> </w:t>
      </w:r>
      <w:r w:rsidRPr="00A10C08">
        <w:rPr>
          <w:lang w:val="fr-CA"/>
        </w:rPr>
        <w:t>[</w:t>
      </w:r>
      <w:r w:rsidRPr="00A10C08">
        <w:rPr>
          <w:color w:val="0000FF"/>
          <w:lang w:val="fr-CA"/>
        </w:rPr>
        <w:t>date de clôture</w:t>
      </w:r>
      <w:r w:rsidRPr="00A10C08">
        <w:rPr>
          <w:lang w:val="fr-CA"/>
        </w:rPr>
        <w:t>]</w:t>
      </w:r>
      <w:r w:rsidRPr="00B70088">
        <w:rPr>
          <w:lang w:val="fr-CA"/>
        </w:rPr>
        <w:t xml:space="preserve"> de </w:t>
      </w:r>
      <w:r w:rsidRPr="00A10C08">
        <w:rPr>
          <w:lang w:val="fr-CA"/>
        </w:rPr>
        <w:t>[</w:t>
      </w:r>
      <w:r w:rsidRPr="00A10C08">
        <w:rPr>
          <w:color w:val="0000FF"/>
          <w:lang w:val="fr-CA"/>
        </w:rPr>
        <w:t xml:space="preserve">nom de la </w:t>
      </w:r>
      <w:r w:rsidR="00032591" w:rsidRPr="00A10C08">
        <w:rPr>
          <w:color w:val="0000FF"/>
          <w:lang w:val="fr-CA"/>
        </w:rPr>
        <w:t>société</w:t>
      </w:r>
      <w:r w:rsidRPr="00A10C08">
        <w:rPr>
          <w:color w:val="0000FF"/>
          <w:lang w:val="fr-CA"/>
        </w:rPr>
        <w:t>,</w:t>
      </w:r>
      <w:r w:rsidR="00032591" w:rsidRPr="00A10C08">
        <w:rPr>
          <w:color w:val="0000FF"/>
          <w:lang w:val="fr-CA"/>
        </w:rPr>
        <w:t> </w:t>
      </w:r>
      <w:r w:rsidRPr="00A10C08">
        <w:rPr>
          <w:color w:val="0000FF"/>
          <w:lang w:val="fr-CA"/>
        </w:rPr>
        <w:t>du service, de la société d’État</w:t>
      </w:r>
      <w:r w:rsidRPr="00A10C08">
        <w:rPr>
          <w:lang w:val="fr-CA"/>
        </w:rPr>
        <w:t>]</w:t>
      </w:r>
      <w:r w:rsidRPr="00B70088">
        <w:rPr>
          <w:lang w:val="fr-CA"/>
        </w:rPr>
        <w:t xml:space="preserve">, qui a recours au centre de services partagés (CSP) situé à </w:t>
      </w:r>
      <w:r w:rsidRPr="00A10C08">
        <w:rPr>
          <w:lang w:val="fr-CA"/>
        </w:rPr>
        <w:t>[</w:t>
      </w:r>
      <w:r w:rsidRPr="00A10C08">
        <w:rPr>
          <w:color w:val="0000FF"/>
          <w:lang w:val="fr-CA"/>
        </w:rPr>
        <w:t>emplacement</w:t>
      </w:r>
      <w:r w:rsidRPr="00A10C08">
        <w:rPr>
          <w:lang w:val="fr-CA"/>
        </w:rPr>
        <w:t>]</w:t>
      </w:r>
      <w:r w:rsidRPr="00B70088">
        <w:rPr>
          <w:lang w:val="fr-CA"/>
        </w:rPr>
        <w:t>, l’auditeur du CSP</w:t>
      </w:r>
      <w:r w:rsidR="00032591" w:rsidRPr="00B70088">
        <w:rPr>
          <w:lang w:val="fr-CA"/>
        </w:rPr>
        <w:t xml:space="preserve"> mettra en œuvre </w:t>
      </w:r>
      <w:r w:rsidRPr="00B70088">
        <w:rPr>
          <w:lang w:val="fr-CA"/>
        </w:rPr>
        <w:t>certaines procédures</w:t>
      </w:r>
      <w:r w:rsidR="00FC1380" w:rsidRPr="00B70088">
        <w:rPr>
          <w:lang w:val="fr-CA"/>
        </w:rPr>
        <w:t xml:space="preserve"> </w:t>
      </w:r>
      <w:r w:rsidR="0085445B" w:rsidRPr="00B70088">
        <w:rPr>
          <w:lang w:val="fr-CA"/>
        </w:rPr>
        <w:t>déterminées</w:t>
      </w:r>
      <w:r w:rsidR="00032591" w:rsidRPr="00B70088">
        <w:rPr>
          <w:lang w:val="fr-CA"/>
        </w:rPr>
        <w:t>.</w:t>
      </w:r>
      <w:r w:rsidRPr="00B70088">
        <w:rPr>
          <w:lang w:val="fr-CA"/>
        </w:rPr>
        <w:t xml:space="preserve"> </w:t>
      </w:r>
    </w:p>
    <w:p w14:paraId="5418C55F" w14:textId="77777777" w:rsidR="003C2415" w:rsidRPr="00C33862" w:rsidRDefault="003C2415">
      <w:pPr>
        <w:rPr>
          <w:lang w:val="fr-CA"/>
        </w:rPr>
      </w:pPr>
    </w:p>
    <w:p w14:paraId="5558A09B" w14:textId="4AED16DD" w:rsidR="003C2415" w:rsidRPr="007E2992" w:rsidRDefault="00032591">
      <w:pPr>
        <w:rPr>
          <w:lang w:val="fr-CA"/>
        </w:rPr>
      </w:pPr>
      <w:r w:rsidRPr="002E5C0C">
        <w:rPr>
          <w:lang w:val="fr-CA"/>
        </w:rPr>
        <w:t xml:space="preserve">Vous utiliserez les résultats </w:t>
      </w:r>
      <w:r w:rsidR="003C2415" w:rsidRPr="002E5C0C">
        <w:rPr>
          <w:lang w:val="fr-CA"/>
        </w:rPr>
        <w:t xml:space="preserve">des procédures </w:t>
      </w:r>
      <w:r w:rsidRPr="002E5C0C">
        <w:rPr>
          <w:lang w:val="fr-CA"/>
        </w:rPr>
        <w:t xml:space="preserve">mises en œuvre </w:t>
      </w:r>
      <w:r w:rsidR="003C2415" w:rsidRPr="002E5C0C">
        <w:rPr>
          <w:lang w:val="fr-CA"/>
        </w:rPr>
        <w:t>dans le cadre de vos audits.</w:t>
      </w:r>
      <w:r w:rsidRPr="002E5C0C">
        <w:rPr>
          <w:lang w:val="fr-CA"/>
        </w:rPr>
        <w:t> </w:t>
      </w:r>
      <w:r w:rsidR="003C2415" w:rsidRPr="002E5C0C">
        <w:rPr>
          <w:lang w:val="fr-CA"/>
        </w:rPr>
        <w:t xml:space="preserve">Les procédures </w:t>
      </w:r>
      <w:r w:rsidR="009D4944" w:rsidRPr="002E5C0C">
        <w:rPr>
          <w:lang w:val="fr-CA"/>
        </w:rPr>
        <w:t>déterminées</w:t>
      </w:r>
      <w:r w:rsidRPr="002E5C0C">
        <w:rPr>
          <w:lang w:val="fr-CA"/>
        </w:rPr>
        <w:t xml:space="preserve"> seront mises en œuvre </w:t>
      </w:r>
      <w:r w:rsidR="003C2415" w:rsidRPr="00A87A7C">
        <w:rPr>
          <w:lang w:val="fr-CA"/>
        </w:rPr>
        <w:t xml:space="preserve">conformément aux </w:t>
      </w:r>
      <w:r w:rsidR="003C2415" w:rsidRPr="00A10C08">
        <w:rPr>
          <w:lang w:val="fr-CA"/>
        </w:rPr>
        <w:t>Normes canadiennes d’audit</w:t>
      </w:r>
      <w:r w:rsidR="003C2415" w:rsidRPr="002E5C0C">
        <w:rPr>
          <w:lang w:val="fr-CA"/>
        </w:rPr>
        <w:t>. L’</w:t>
      </w:r>
      <w:r w:rsidRPr="002E5C0C">
        <w:rPr>
          <w:lang w:val="fr-CA"/>
        </w:rPr>
        <w:t xml:space="preserve">étendue </w:t>
      </w:r>
      <w:r w:rsidR="003C2415" w:rsidRPr="002E5C0C">
        <w:rPr>
          <w:lang w:val="fr-CA"/>
        </w:rPr>
        <w:t>du travail demandé a été définie grâce aux efforts communs des équipes affectées à l’audit légal,</w:t>
      </w:r>
      <w:r w:rsidRPr="005A7678">
        <w:rPr>
          <w:lang w:val="fr-CA"/>
        </w:rPr>
        <w:t xml:space="preserve"> à l’audit </w:t>
      </w:r>
      <w:r w:rsidR="003C2415" w:rsidRPr="005A7678">
        <w:rPr>
          <w:lang w:val="fr-CA"/>
        </w:rPr>
        <w:t>d'une composante ou du grou</w:t>
      </w:r>
      <w:r w:rsidR="003C2415" w:rsidRPr="007E2992">
        <w:rPr>
          <w:lang w:val="fr-CA"/>
        </w:rPr>
        <w:t>pe et de l’auditeur d</w:t>
      </w:r>
      <w:r w:rsidRPr="007E2992">
        <w:rPr>
          <w:lang w:val="fr-CA"/>
        </w:rPr>
        <w:t>u centre de </w:t>
      </w:r>
      <w:r w:rsidR="003C2415" w:rsidRPr="007E2992">
        <w:rPr>
          <w:lang w:val="fr-CA"/>
        </w:rPr>
        <w:t xml:space="preserve">services partagés conformément </w:t>
      </w:r>
      <w:r w:rsidR="000D4DCF">
        <w:rPr>
          <w:lang w:val="fr-CA"/>
        </w:rPr>
        <w:t>à la section</w:t>
      </w:r>
      <w:r w:rsidRPr="007E2992">
        <w:rPr>
          <w:lang w:val="fr-CA"/>
        </w:rPr>
        <w:t xml:space="preserve"> </w:t>
      </w:r>
      <w:r w:rsidR="003C2415" w:rsidRPr="007E2992">
        <w:rPr>
          <w:lang w:val="fr-CA"/>
        </w:rPr>
        <w:t>BVG</w:t>
      </w:r>
      <w:r w:rsidR="000D4DCF">
        <w:rPr>
          <w:lang w:val="fr-CA"/>
        </w:rPr>
        <w:t> </w:t>
      </w:r>
      <w:r w:rsidR="00BE0FFD" w:rsidRPr="007E2992">
        <w:rPr>
          <w:lang w:val="fr-CA"/>
        </w:rPr>
        <w:t>Audit</w:t>
      </w:r>
      <w:r w:rsidR="000D4DCF">
        <w:rPr>
          <w:lang w:val="fr-CA"/>
        </w:rPr>
        <w:t> </w:t>
      </w:r>
      <w:r w:rsidR="00BE0FFD" w:rsidRPr="007E2992">
        <w:rPr>
          <w:lang w:val="fr-CA"/>
        </w:rPr>
        <w:t>2380</w:t>
      </w:r>
      <w:r w:rsidR="003C2415" w:rsidRPr="007E2992">
        <w:rPr>
          <w:lang w:val="fr-CA"/>
        </w:rPr>
        <w:t xml:space="preserve">. </w:t>
      </w:r>
    </w:p>
    <w:p w14:paraId="44164502" w14:textId="77777777" w:rsidR="003C2415" w:rsidRPr="007E2992" w:rsidRDefault="003C2415">
      <w:pPr>
        <w:rPr>
          <w:lang w:val="fr-CA"/>
        </w:rPr>
      </w:pPr>
    </w:p>
    <w:p w14:paraId="25622A61" w14:textId="77777777" w:rsidR="003C2415" w:rsidRPr="007E2992" w:rsidRDefault="003C2415">
      <w:pPr>
        <w:rPr>
          <w:lang w:val="fr-CA"/>
        </w:rPr>
      </w:pPr>
      <w:r w:rsidRPr="007E2992">
        <w:rPr>
          <w:lang w:val="fr-CA"/>
        </w:rPr>
        <w:t>Nos procédures d’audit consistent essentiellement à</w:t>
      </w:r>
      <w:r w:rsidR="00032591" w:rsidRPr="007E2992">
        <w:rPr>
          <w:lang w:val="fr-CA"/>
        </w:rPr>
        <w:t xml:space="preserve"> identifier et à tester </w:t>
      </w:r>
      <w:r w:rsidRPr="007E2992">
        <w:rPr>
          <w:lang w:val="fr-CA"/>
        </w:rPr>
        <w:t xml:space="preserve">des contrôles clés relativement </w:t>
      </w:r>
      <w:r w:rsidR="00032591" w:rsidRPr="007E2992">
        <w:rPr>
          <w:lang w:val="fr-CA"/>
        </w:rPr>
        <w:t xml:space="preserve">aux </w:t>
      </w:r>
      <w:r w:rsidRPr="007E2992">
        <w:rPr>
          <w:lang w:val="fr-CA"/>
        </w:rPr>
        <w:t>processus</w:t>
      </w:r>
      <w:r w:rsidR="00032591" w:rsidRPr="007E2992">
        <w:rPr>
          <w:lang w:val="fr-CA"/>
        </w:rPr>
        <w:t xml:space="preserve"> faisant partie de l’étendue de l’audit</w:t>
      </w:r>
      <w:r w:rsidRPr="007E2992">
        <w:rPr>
          <w:lang w:val="fr-CA"/>
        </w:rPr>
        <w:t>.</w:t>
      </w:r>
      <w:r w:rsidR="00032591" w:rsidRPr="007E2992">
        <w:rPr>
          <w:lang w:val="fr-CA"/>
        </w:rPr>
        <w:t> </w:t>
      </w:r>
      <w:r w:rsidRPr="007E2992">
        <w:rPr>
          <w:lang w:val="fr-CA"/>
        </w:rPr>
        <w:t>Nos tests port</w:t>
      </w:r>
      <w:r w:rsidR="00525A99" w:rsidRPr="007E2992">
        <w:rPr>
          <w:lang w:val="fr-CA"/>
        </w:rPr>
        <w:t xml:space="preserve">eront sur le fonctionnement </w:t>
      </w:r>
      <w:r w:rsidRPr="007E2992">
        <w:rPr>
          <w:lang w:val="fr-CA"/>
        </w:rPr>
        <w:t>des contrôles dans un certain nombre d’entités; par conséquent, les échantillons sélectionnés peuvent ou non comprendre des opérations se rapportant à une composante particulière.</w:t>
      </w:r>
    </w:p>
    <w:p w14:paraId="42009E1C" w14:textId="77777777" w:rsidR="003C2415" w:rsidRPr="00AD13A5" w:rsidRDefault="003C2415">
      <w:pPr>
        <w:rPr>
          <w:rFonts w:cs="Times New Roman"/>
          <w:lang w:val="fr-CA"/>
        </w:rPr>
      </w:pPr>
    </w:p>
    <w:p w14:paraId="0C6E7439" w14:textId="0492F095" w:rsidR="005A7678" w:rsidRPr="003D785F" w:rsidRDefault="003C2415" w:rsidP="003D785F">
      <w:pPr>
        <w:pStyle w:val="Style2"/>
        <w:rPr>
          <w:lang w:val="fr-CA"/>
        </w:rPr>
      </w:pPr>
      <w:bookmarkStart w:id="3" w:name="_Toc9421268"/>
      <w:r w:rsidRPr="003D785F">
        <w:rPr>
          <w:lang w:val="fr-CA"/>
        </w:rPr>
        <w:t>R</w:t>
      </w:r>
      <w:r w:rsidR="00A25F17" w:rsidRPr="003D785F">
        <w:rPr>
          <w:lang w:val="fr-CA"/>
        </w:rPr>
        <w:t xml:space="preserve">ésumé des </w:t>
      </w:r>
      <w:r w:rsidR="005A7678" w:rsidRPr="003D785F">
        <w:rPr>
          <w:lang w:val="fr-CA"/>
        </w:rPr>
        <w:t>proc</w:t>
      </w:r>
      <w:r w:rsidR="00495C4F" w:rsidRPr="003D785F">
        <w:rPr>
          <w:lang w:val="fr-CA"/>
        </w:rPr>
        <w:t>é</w:t>
      </w:r>
      <w:r w:rsidR="005A7678" w:rsidRPr="003D785F">
        <w:rPr>
          <w:lang w:val="fr-CA"/>
        </w:rPr>
        <w:t>dures</w:t>
      </w:r>
      <w:bookmarkEnd w:id="3"/>
    </w:p>
    <w:p w14:paraId="6166F48C" w14:textId="77777777" w:rsidR="005A7678" w:rsidRPr="003D785F" w:rsidRDefault="005A7678">
      <w:pPr>
        <w:rPr>
          <w:lang w:val="fr-CA"/>
        </w:rPr>
      </w:pPr>
    </w:p>
    <w:p w14:paraId="6DEAF222" w14:textId="6DEBFE4B" w:rsidR="003C2415" w:rsidRPr="00A10C08" w:rsidRDefault="00525A99">
      <w:pPr>
        <w:rPr>
          <w:b/>
          <w:color w:val="1F497D" w:themeColor="text2"/>
          <w:sz w:val="32"/>
          <w:szCs w:val="32"/>
          <w:lang w:val="fr-CA"/>
        </w:rPr>
      </w:pPr>
      <w:r w:rsidRPr="00A10C08">
        <w:rPr>
          <w:b/>
          <w:color w:val="1F497D" w:themeColor="text2"/>
          <w:sz w:val="32"/>
          <w:szCs w:val="32"/>
          <w:lang w:val="fr-CA"/>
        </w:rPr>
        <w:t>Communication de la mise en correspondance avec les </w:t>
      </w:r>
      <w:r w:rsidR="003C2415" w:rsidRPr="00A10C08">
        <w:rPr>
          <w:b/>
          <w:color w:val="1F497D" w:themeColor="text2"/>
          <w:sz w:val="32"/>
          <w:szCs w:val="32"/>
          <w:lang w:val="fr-CA"/>
        </w:rPr>
        <w:t>états financiers</w:t>
      </w:r>
    </w:p>
    <w:p w14:paraId="6957E2B5" w14:textId="77777777" w:rsidR="003C2415" w:rsidRPr="00AD13A5" w:rsidRDefault="003C2415">
      <w:pPr>
        <w:rPr>
          <w:rFonts w:cs="Times New Roman"/>
          <w:b/>
          <w:sz w:val="32"/>
          <w:u w:val="single"/>
          <w:lang w:val="fr-CA"/>
        </w:rPr>
      </w:pPr>
    </w:p>
    <w:p w14:paraId="6BA12A5E" w14:textId="77777777" w:rsidR="003C2415" w:rsidRPr="00AD13A5" w:rsidRDefault="003C2415">
      <w:p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L</w:t>
      </w:r>
      <w:r w:rsidR="00525A99">
        <w:rPr>
          <w:rFonts w:cs="Times New Roman"/>
          <w:lang w:val="fr-CA"/>
        </w:rPr>
        <w:t>a</w:t>
      </w:r>
      <w:r w:rsidRPr="00AD13A5">
        <w:rPr>
          <w:rFonts w:cs="Times New Roman"/>
          <w:lang w:val="fr-CA"/>
        </w:rPr>
        <w:t xml:space="preserve"> </w:t>
      </w:r>
      <w:r w:rsidR="00525A99">
        <w:rPr>
          <w:rFonts w:cs="Times New Roman"/>
          <w:lang w:val="fr-CA"/>
        </w:rPr>
        <w:t xml:space="preserve">mise en correspondance de la </w:t>
      </w:r>
      <w:r w:rsidRPr="00AD13A5">
        <w:rPr>
          <w:rFonts w:cs="Times New Roman"/>
          <w:lang w:val="fr-CA"/>
        </w:rPr>
        <w:t>documentation et des secteurs géographiques</w:t>
      </w:r>
      <w:r w:rsidR="00525A99">
        <w:rPr>
          <w:rFonts w:cs="Times New Roman"/>
          <w:lang w:val="fr-CA"/>
        </w:rPr>
        <w:t xml:space="preserve">/des états </w:t>
      </w:r>
      <w:r w:rsidRPr="00AD13A5">
        <w:rPr>
          <w:rFonts w:cs="Times New Roman"/>
          <w:lang w:val="fr-CA"/>
        </w:rPr>
        <w:t xml:space="preserve">financiers du CSP et des </w:t>
      </w:r>
      <w:r w:rsidR="00525A99">
        <w:rPr>
          <w:rFonts w:cs="Times New Roman"/>
          <w:lang w:val="fr-CA"/>
        </w:rPr>
        <w:t xml:space="preserve">corrélations </w:t>
      </w:r>
      <w:r w:rsidRPr="00AD13A5">
        <w:rPr>
          <w:rFonts w:cs="Times New Roman"/>
          <w:lang w:val="fr-CA"/>
        </w:rPr>
        <w:t>avec les comptes des états financiers (</w:t>
      </w:r>
      <w:r w:rsidR="00525A99">
        <w:rPr>
          <w:rFonts w:cs="Times New Roman"/>
          <w:lang w:val="fr-CA"/>
        </w:rPr>
        <w:t>voir l’annexe </w:t>
      </w:r>
      <w:r w:rsidRPr="00AD13A5">
        <w:rPr>
          <w:rFonts w:cs="Times New Roman"/>
          <w:b/>
          <w:lang w:val="fr-CA"/>
        </w:rPr>
        <w:t>A</w:t>
      </w:r>
      <w:r w:rsidRPr="00AD13A5">
        <w:rPr>
          <w:rFonts w:cs="Times New Roman"/>
          <w:lang w:val="fr-CA"/>
        </w:rPr>
        <w:t xml:space="preserve">), </w:t>
      </w:r>
      <w:r w:rsidR="00525A99">
        <w:rPr>
          <w:rFonts w:cs="Times New Roman"/>
          <w:lang w:val="fr-CA"/>
        </w:rPr>
        <w:t>les assertions et les </w:t>
      </w:r>
      <w:r w:rsidRPr="00AD13A5">
        <w:rPr>
          <w:rFonts w:cs="Times New Roman"/>
          <w:lang w:val="fr-CA"/>
        </w:rPr>
        <w:t>objectifs du traitement des informations a été préparé</w:t>
      </w:r>
      <w:r w:rsidR="00525A99">
        <w:rPr>
          <w:rFonts w:cs="Times New Roman"/>
          <w:lang w:val="fr-CA"/>
        </w:rPr>
        <w:t>e</w:t>
      </w:r>
      <w:r w:rsidRPr="00AD13A5">
        <w:rPr>
          <w:rFonts w:cs="Times New Roman"/>
          <w:lang w:val="fr-CA"/>
        </w:rPr>
        <w:t xml:space="preserve"> par l’équipe du CSP et sera </w:t>
      </w:r>
      <w:r w:rsidR="00525A99">
        <w:rPr>
          <w:rFonts w:cs="Times New Roman"/>
          <w:lang w:val="fr-CA"/>
        </w:rPr>
        <w:t xml:space="preserve">communiquée aux </w:t>
      </w:r>
      <w:r w:rsidRPr="00AD13A5">
        <w:rPr>
          <w:rFonts w:cs="Times New Roman"/>
          <w:lang w:val="fr-CA"/>
        </w:rPr>
        <w:t xml:space="preserve">équipes </w:t>
      </w:r>
      <w:r w:rsidR="00525A99">
        <w:rPr>
          <w:rFonts w:cs="Times New Roman"/>
          <w:lang w:val="fr-CA"/>
        </w:rPr>
        <w:t xml:space="preserve">de mission </w:t>
      </w:r>
      <w:r w:rsidRPr="00AD13A5">
        <w:rPr>
          <w:rFonts w:cs="Times New Roman"/>
          <w:lang w:val="fr-CA"/>
        </w:rPr>
        <w:t>respectives.</w:t>
      </w:r>
    </w:p>
    <w:p w14:paraId="20E35894" w14:textId="77777777" w:rsidR="003C2415" w:rsidRPr="00AD13A5" w:rsidRDefault="003C2415">
      <w:pPr>
        <w:rPr>
          <w:rFonts w:cs="Times New Roman"/>
          <w:lang w:val="fr-CA"/>
        </w:rPr>
      </w:pPr>
    </w:p>
    <w:p w14:paraId="4CC9E621" w14:textId="77777777" w:rsidR="003C2415" w:rsidRPr="00AD13A5" w:rsidRDefault="003C2415">
      <w:pPr>
        <w:rPr>
          <w:rFonts w:cs="Times New Roman"/>
          <w:b/>
          <w:lang w:val="fr-CA"/>
        </w:rPr>
      </w:pPr>
      <w:r w:rsidRPr="00AD13A5">
        <w:rPr>
          <w:rFonts w:cs="Times New Roman"/>
          <w:b/>
          <w:lang w:val="fr-CA"/>
        </w:rPr>
        <w:t>I – Travail à effectuer aux fins de l’audit du groupe</w:t>
      </w:r>
    </w:p>
    <w:p w14:paraId="788E5AF3" w14:textId="77777777" w:rsidR="003C2415" w:rsidRPr="00AD13A5" w:rsidRDefault="003C2415">
      <w:pPr>
        <w:rPr>
          <w:rFonts w:cs="Times New Roman"/>
          <w:lang w:val="fr-CA"/>
        </w:rPr>
      </w:pPr>
    </w:p>
    <w:p w14:paraId="084409C0" w14:textId="77777777" w:rsidR="003C2415" w:rsidRPr="000E37C0" w:rsidRDefault="003C2415">
      <w:pPr>
        <w:rPr>
          <w:lang w:val="fr-CA"/>
        </w:rPr>
      </w:pPr>
      <w:r w:rsidRPr="00A031D4">
        <w:rPr>
          <w:lang w:val="fr-CA"/>
        </w:rPr>
        <w:t xml:space="preserve">En ce qui a trait aux contrôles internes, le travail à effectuer comprend les procédures portant sur : </w:t>
      </w:r>
    </w:p>
    <w:p w14:paraId="3536CCC3" w14:textId="45CED033" w:rsidR="003C2415" w:rsidRPr="002E5C0C" w:rsidRDefault="00C505C3">
      <w:pPr>
        <w:numPr>
          <w:ilvl w:val="0"/>
          <w:numId w:val="7"/>
        </w:numPr>
        <w:rPr>
          <w:lang w:val="fr-CA"/>
        </w:rPr>
      </w:pPr>
      <w:r w:rsidRPr="002E5C0C">
        <w:rPr>
          <w:lang w:val="fr-CA"/>
        </w:rPr>
        <w:t>L</w:t>
      </w:r>
      <w:r>
        <w:rPr>
          <w:lang w:val="fr-CA"/>
        </w:rPr>
        <w:t>es tests de l’efficacité d</w:t>
      </w:r>
      <w:r w:rsidR="000D4DCF">
        <w:rPr>
          <w:lang w:val="fr-CA"/>
        </w:rPr>
        <w:t>u</w:t>
      </w:r>
      <w:r>
        <w:rPr>
          <w:lang w:val="fr-CA"/>
        </w:rPr>
        <w:t xml:space="preserve"> fonctionnement </w:t>
      </w:r>
      <w:r w:rsidR="003C2415" w:rsidRPr="002E5C0C">
        <w:rPr>
          <w:lang w:val="fr-CA"/>
        </w:rPr>
        <w:t>de l’environnement de contrôle, l’évaluation des risques, la surveillance des contrôles</w:t>
      </w:r>
      <w:r w:rsidR="000D4DCF">
        <w:rPr>
          <w:lang w:val="fr-CA"/>
        </w:rPr>
        <w:t>,</w:t>
      </w:r>
      <w:r w:rsidR="003C2415" w:rsidRPr="002E5C0C">
        <w:rPr>
          <w:lang w:val="fr-CA"/>
        </w:rPr>
        <w:t xml:space="preserve"> et</w:t>
      </w:r>
      <w:r w:rsidR="00525A99" w:rsidRPr="005A7678">
        <w:rPr>
          <w:lang w:val="fr-CA"/>
        </w:rPr>
        <w:t xml:space="preserve"> </w:t>
      </w:r>
      <w:r w:rsidR="003C2415" w:rsidRPr="005A7678">
        <w:rPr>
          <w:lang w:val="fr-CA"/>
        </w:rPr>
        <w:t xml:space="preserve">l’information et </w:t>
      </w:r>
      <w:r w:rsidR="003C2415" w:rsidRPr="007E2992">
        <w:rPr>
          <w:lang w:val="fr-CA"/>
        </w:rPr>
        <w:t xml:space="preserve">la </w:t>
      </w:r>
      <w:r w:rsidR="003C2415" w:rsidRPr="007E2992">
        <w:rPr>
          <w:lang w:val="fr-CA"/>
        </w:rPr>
        <w:lastRenderedPageBreak/>
        <w:t>communication</w:t>
      </w:r>
      <w:r w:rsidR="00525A99" w:rsidRPr="007E2992">
        <w:rPr>
          <w:lang w:val="fr-CA"/>
        </w:rPr>
        <w:t> </w:t>
      </w:r>
      <w:r w:rsidR="003C2415" w:rsidRPr="007E2992">
        <w:rPr>
          <w:lang w:val="fr-CA"/>
        </w:rPr>
        <w:t>– Contrôles au niveau d</w:t>
      </w:r>
      <w:r>
        <w:rPr>
          <w:lang w:val="fr-CA"/>
        </w:rPr>
        <w:t>u groupe</w:t>
      </w:r>
      <w:r w:rsidR="003158C5" w:rsidRPr="007E2992">
        <w:rPr>
          <w:lang w:val="fr-CA"/>
        </w:rPr>
        <w:t>, comme l’</w:t>
      </w:r>
      <w:r w:rsidR="003C2415" w:rsidRPr="007E2992">
        <w:rPr>
          <w:lang w:val="fr-CA"/>
        </w:rPr>
        <w:t>indiqu</w:t>
      </w:r>
      <w:r w:rsidR="003158C5" w:rsidRPr="007E2992">
        <w:rPr>
          <w:lang w:val="fr-CA"/>
        </w:rPr>
        <w:t>e</w:t>
      </w:r>
      <w:r w:rsidR="003C2415" w:rsidRPr="007E2992">
        <w:rPr>
          <w:lang w:val="fr-CA"/>
        </w:rPr>
        <w:t xml:space="preserve"> l’annexe</w:t>
      </w:r>
      <w:r w:rsidR="00525A99" w:rsidRPr="007E2992">
        <w:rPr>
          <w:lang w:val="fr-CA"/>
        </w:rPr>
        <w:t> </w:t>
      </w:r>
      <w:r w:rsidR="003C2415" w:rsidRPr="003D785F">
        <w:rPr>
          <w:b/>
          <w:lang w:val="fr-CA"/>
        </w:rPr>
        <w:t>B</w:t>
      </w:r>
      <w:r w:rsidR="003C2415" w:rsidRPr="002E5C0C">
        <w:rPr>
          <w:lang w:val="fr-CA"/>
        </w:rPr>
        <w:t>;</w:t>
      </w:r>
    </w:p>
    <w:p w14:paraId="125A2FA8" w14:textId="172401E5" w:rsidR="003C2415" w:rsidRPr="00A10C08" w:rsidRDefault="003C2415" w:rsidP="00A10C08">
      <w:pPr>
        <w:numPr>
          <w:ilvl w:val="0"/>
          <w:numId w:val="7"/>
        </w:numPr>
        <w:rPr>
          <w:lang w:val="fr-CA"/>
        </w:rPr>
      </w:pPr>
      <w:r w:rsidRPr="002E5C0C">
        <w:rPr>
          <w:lang w:val="fr-CA"/>
        </w:rPr>
        <w:t>les tests indépendants des contrôles internes</w:t>
      </w:r>
      <w:r w:rsidR="00C505C3">
        <w:rPr>
          <w:lang w:val="fr-CA"/>
        </w:rPr>
        <w:t xml:space="preserve"> de la direction</w:t>
      </w:r>
      <w:r w:rsidR="000D4DCF">
        <w:rPr>
          <w:lang w:val="fr-CA"/>
        </w:rPr>
        <w:t xml:space="preserve">, </w:t>
      </w:r>
      <w:r w:rsidR="00EE08F7">
        <w:rPr>
          <w:lang w:val="fr-CA"/>
        </w:rPr>
        <w:t>tel qu’il est indiqué à</w:t>
      </w:r>
      <w:r w:rsidRPr="005A7678">
        <w:rPr>
          <w:lang w:val="fr-CA"/>
        </w:rPr>
        <w:t xml:space="preserve"> l’annexe</w:t>
      </w:r>
      <w:r w:rsidR="00525A99" w:rsidRPr="005A7678">
        <w:rPr>
          <w:lang w:val="fr-CA"/>
        </w:rPr>
        <w:t> </w:t>
      </w:r>
      <w:r w:rsidRPr="003D785F">
        <w:rPr>
          <w:b/>
          <w:lang w:val="fr-CA"/>
        </w:rPr>
        <w:t>C</w:t>
      </w:r>
      <w:r w:rsidR="00C505C3">
        <w:rPr>
          <w:lang w:val="fr-CA"/>
        </w:rPr>
        <w:t>;</w:t>
      </w:r>
    </w:p>
    <w:p w14:paraId="28E2F934" w14:textId="5B696CFB" w:rsidR="003C2415" w:rsidRPr="00A10C08" w:rsidRDefault="003C2415" w:rsidP="00A10C08">
      <w:pPr>
        <w:numPr>
          <w:ilvl w:val="0"/>
          <w:numId w:val="7"/>
        </w:numPr>
        <w:rPr>
          <w:lang w:val="fr-CA"/>
        </w:rPr>
      </w:pPr>
      <w:r w:rsidRPr="00A031D4">
        <w:rPr>
          <w:lang w:val="fr-CA"/>
        </w:rPr>
        <w:t xml:space="preserve">À la </w:t>
      </w:r>
      <w:r w:rsidR="00525A99" w:rsidRPr="00A031D4">
        <w:rPr>
          <w:lang w:val="fr-CA"/>
        </w:rPr>
        <w:t>fin des travaux, </w:t>
      </w:r>
      <w:r w:rsidRPr="00A031D4">
        <w:rPr>
          <w:lang w:val="fr-CA"/>
        </w:rPr>
        <w:t xml:space="preserve">les résultats des tests seront discutés au sein de l’équipe affectée à l’audit du groupe, des équipes affectées </w:t>
      </w:r>
      <w:r w:rsidR="00AC755A" w:rsidRPr="000E37C0">
        <w:rPr>
          <w:lang w:val="fr-CA"/>
        </w:rPr>
        <w:t xml:space="preserve">aux </w:t>
      </w:r>
      <w:r w:rsidR="009B63E4" w:rsidRPr="000E37C0">
        <w:rPr>
          <w:lang w:val="fr-CA"/>
        </w:rPr>
        <w:t xml:space="preserve">composantes et aux </w:t>
      </w:r>
      <w:r w:rsidRPr="000E37C0">
        <w:rPr>
          <w:lang w:val="fr-CA"/>
        </w:rPr>
        <w:t>audit</w:t>
      </w:r>
      <w:r w:rsidR="00AC755A" w:rsidRPr="000E37C0">
        <w:rPr>
          <w:lang w:val="fr-CA"/>
        </w:rPr>
        <w:t>s</w:t>
      </w:r>
      <w:r w:rsidRPr="000E37C0">
        <w:rPr>
          <w:lang w:val="fr-CA"/>
        </w:rPr>
        <w:t xml:space="preserve"> léga</w:t>
      </w:r>
      <w:r w:rsidR="009B63E4" w:rsidRPr="000E37C0">
        <w:rPr>
          <w:lang w:val="fr-CA"/>
        </w:rPr>
        <w:t>ux</w:t>
      </w:r>
      <w:r w:rsidR="00525A99" w:rsidRPr="000E37C0">
        <w:rPr>
          <w:lang w:val="fr-CA"/>
        </w:rPr>
        <w:t xml:space="preserve"> </w:t>
      </w:r>
      <w:r w:rsidRPr="000E37C0">
        <w:rPr>
          <w:lang w:val="fr-CA"/>
        </w:rPr>
        <w:t xml:space="preserve">et de l’équipe du CSP </w:t>
      </w:r>
      <w:r w:rsidRPr="00A10C08">
        <w:rPr>
          <w:lang w:val="fr-CA"/>
        </w:rPr>
        <w:t>[</w:t>
      </w:r>
      <w:r w:rsidRPr="00A10C08">
        <w:rPr>
          <w:color w:val="0000FF"/>
          <w:lang w:val="fr-CA"/>
        </w:rPr>
        <w:t>p. ex. par conférence téléphonique</w:t>
      </w:r>
      <w:r w:rsidRPr="00A10C08">
        <w:rPr>
          <w:lang w:val="fr-CA"/>
        </w:rPr>
        <w:t>]</w:t>
      </w:r>
      <w:r w:rsidRPr="00A031D4">
        <w:rPr>
          <w:lang w:val="fr-CA"/>
        </w:rPr>
        <w:t>.</w:t>
      </w:r>
    </w:p>
    <w:p w14:paraId="267F0A12" w14:textId="77777777" w:rsidR="003C2415" w:rsidRPr="00AD13A5" w:rsidRDefault="003C2415">
      <w:pPr>
        <w:tabs>
          <w:tab w:val="left" w:pos="2640"/>
        </w:tabs>
        <w:rPr>
          <w:rFonts w:cs="Times New Roman"/>
          <w:lang w:val="fr-CA"/>
        </w:rPr>
      </w:pPr>
    </w:p>
    <w:p w14:paraId="37A75C8D" w14:textId="77777777" w:rsidR="003C2415" w:rsidRPr="00AD13A5" w:rsidRDefault="003C2415">
      <w:p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En ce qui a trait aux tests d</w:t>
      </w:r>
      <w:r w:rsidR="00525A99">
        <w:rPr>
          <w:rFonts w:cs="Times New Roman"/>
          <w:lang w:val="fr-CA"/>
        </w:rPr>
        <w:t>e corroboration, </w:t>
      </w:r>
      <w:r w:rsidRPr="00AD13A5">
        <w:rPr>
          <w:rFonts w:cs="Times New Roman"/>
          <w:lang w:val="fr-CA"/>
        </w:rPr>
        <w:t xml:space="preserve">le travail à effectuer comprend les procédures </w:t>
      </w:r>
      <w:r w:rsidR="00525A99">
        <w:rPr>
          <w:rFonts w:cs="Times New Roman"/>
          <w:lang w:val="fr-CA"/>
        </w:rPr>
        <w:t>suivantes :</w:t>
      </w:r>
    </w:p>
    <w:p w14:paraId="2A9659E0" w14:textId="697E0A8E" w:rsidR="003C2415" w:rsidRPr="00AD13A5" w:rsidRDefault="003C2415">
      <w:pPr>
        <w:numPr>
          <w:ilvl w:val="0"/>
          <w:numId w:val="6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les procédures analytiques</w:t>
      </w:r>
      <w:r w:rsidR="00525A99">
        <w:rPr>
          <w:rFonts w:cs="Times New Roman"/>
          <w:lang w:val="fr-CA"/>
        </w:rPr>
        <w:t> </w:t>
      </w:r>
      <w:r w:rsidRPr="00AD13A5">
        <w:rPr>
          <w:rFonts w:cs="Times New Roman"/>
          <w:lang w:val="fr-CA"/>
        </w:rPr>
        <w:t>décrites à l’annexe</w:t>
      </w:r>
      <w:r w:rsidR="00525A99">
        <w:rPr>
          <w:rFonts w:cs="Times New Roman"/>
          <w:lang w:val="fr-CA"/>
        </w:rPr>
        <w:t> </w:t>
      </w:r>
      <w:r w:rsidRPr="00AD13A5">
        <w:rPr>
          <w:rFonts w:cs="Times New Roman"/>
          <w:b/>
          <w:lang w:val="fr-CA"/>
        </w:rPr>
        <w:t>D (</w:t>
      </w:r>
      <w:r w:rsidR="00C505C3">
        <w:rPr>
          <w:rFonts w:cs="Times New Roman"/>
          <w:b/>
          <w:lang w:val="fr-CA"/>
        </w:rPr>
        <w:t>r</w:t>
      </w:r>
      <w:r w:rsidR="00C505C3" w:rsidRPr="00AD13A5">
        <w:rPr>
          <w:rFonts w:cs="Times New Roman"/>
          <w:b/>
          <w:lang w:val="fr-CA"/>
        </w:rPr>
        <w:t>emarque </w:t>
      </w:r>
      <w:r w:rsidRPr="00AD13A5">
        <w:rPr>
          <w:rFonts w:cs="Times New Roman"/>
          <w:b/>
          <w:lang w:val="fr-CA"/>
        </w:rPr>
        <w:t>: pertinent uniquement dans les cas où la direction</w:t>
      </w:r>
      <w:r w:rsidR="0004212C">
        <w:rPr>
          <w:rFonts w:cs="Times New Roman"/>
          <w:b/>
          <w:lang w:val="fr-CA"/>
        </w:rPr>
        <w:t> </w:t>
      </w:r>
      <w:r w:rsidR="00525A99">
        <w:rPr>
          <w:rFonts w:cs="Times New Roman"/>
          <w:b/>
          <w:lang w:val="fr-CA"/>
        </w:rPr>
        <w:t xml:space="preserve">qui assume des responsabilités à l’égard </w:t>
      </w:r>
      <w:r w:rsidRPr="00AD13A5">
        <w:rPr>
          <w:rFonts w:cs="Times New Roman"/>
          <w:b/>
          <w:lang w:val="fr-CA"/>
        </w:rPr>
        <w:t xml:space="preserve">de l’analyse et </w:t>
      </w:r>
      <w:r w:rsidR="00525A99">
        <w:rPr>
          <w:rFonts w:cs="Times New Roman"/>
          <w:b/>
          <w:lang w:val="fr-CA"/>
        </w:rPr>
        <w:t>de </w:t>
      </w:r>
      <w:r w:rsidRPr="00AD13A5">
        <w:rPr>
          <w:rFonts w:cs="Times New Roman"/>
          <w:b/>
          <w:lang w:val="fr-CA"/>
        </w:rPr>
        <w:t>l’établissement de rapports relativement aux résultats fin</w:t>
      </w:r>
      <w:r w:rsidR="00E211BD" w:rsidRPr="00AD13A5">
        <w:rPr>
          <w:rFonts w:cs="Times New Roman"/>
          <w:b/>
          <w:lang w:val="fr-CA"/>
        </w:rPr>
        <w:t xml:space="preserve">anciers se trouve dans le CSP. </w:t>
      </w:r>
      <w:r w:rsidRPr="00AD13A5">
        <w:rPr>
          <w:rFonts w:cs="Times New Roman"/>
          <w:b/>
          <w:lang w:val="fr-CA"/>
        </w:rPr>
        <w:t>Dans le cas contraire, la responsabilité relative à l</w:t>
      </w:r>
      <w:r w:rsidR="00525A99">
        <w:rPr>
          <w:rFonts w:cs="Times New Roman"/>
          <w:b/>
          <w:lang w:val="fr-CA"/>
        </w:rPr>
        <w:t xml:space="preserve">a mise en œuvre </w:t>
      </w:r>
      <w:r w:rsidRPr="00AD13A5">
        <w:rPr>
          <w:rFonts w:cs="Times New Roman"/>
          <w:b/>
          <w:lang w:val="fr-CA"/>
        </w:rPr>
        <w:t>de procédures analytiques incombe aux équipes respectives);</w:t>
      </w:r>
    </w:p>
    <w:p w14:paraId="6502B93E" w14:textId="2367E106" w:rsidR="003C2415" w:rsidRPr="00AD13A5" w:rsidRDefault="003C2415">
      <w:pPr>
        <w:numPr>
          <w:ilvl w:val="0"/>
          <w:numId w:val="6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les procédures de</w:t>
      </w:r>
      <w:r w:rsidR="00525A99">
        <w:rPr>
          <w:rFonts w:cs="Times New Roman"/>
          <w:lang w:val="fr-CA"/>
        </w:rPr>
        <w:t xml:space="preserve"> corroboration </w:t>
      </w:r>
      <w:r w:rsidRPr="00AD13A5">
        <w:rPr>
          <w:rFonts w:cs="Times New Roman"/>
          <w:lang w:val="fr-CA"/>
        </w:rPr>
        <w:t>se rapportant à certains processus</w:t>
      </w:r>
      <w:r w:rsidRPr="00AD13A5">
        <w:rPr>
          <w:rStyle w:val="FootnoteReference"/>
          <w:lang w:val="fr-CA"/>
        </w:rPr>
        <w:footnoteReference w:id="2"/>
      </w:r>
      <w:r w:rsidRPr="00AD13A5">
        <w:rPr>
          <w:rFonts w:cs="Times New Roman"/>
          <w:lang w:val="fr-CA"/>
        </w:rPr>
        <w:t xml:space="preserve"> tel</w:t>
      </w:r>
      <w:r w:rsidR="00525A99">
        <w:rPr>
          <w:rFonts w:cs="Times New Roman"/>
          <w:lang w:val="fr-CA"/>
        </w:rPr>
        <w:t xml:space="preserve"> qu</w:t>
      </w:r>
      <w:r w:rsidR="00EE08F7">
        <w:rPr>
          <w:rFonts w:cs="Times New Roman"/>
          <w:lang w:val="fr-CA"/>
        </w:rPr>
        <w:t>’il est</w:t>
      </w:r>
      <w:r w:rsidR="00525A99">
        <w:rPr>
          <w:rFonts w:cs="Times New Roman"/>
          <w:lang w:val="fr-CA"/>
        </w:rPr>
        <w:t xml:space="preserve"> indiqué </w:t>
      </w:r>
      <w:r w:rsidRPr="00AD13A5">
        <w:rPr>
          <w:rFonts w:cs="Times New Roman"/>
          <w:lang w:val="fr-CA"/>
        </w:rPr>
        <w:t xml:space="preserve">à l’annexe </w:t>
      </w:r>
      <w:r w:rsidRPr="00AD13A5">
        <w:rPr>
          <w:rFonts w:cs="Times New Roman"/>
          <w:b/>
          <w:lang w:val="fr-CA"/>
        </w:rPr>
        <w:t>E.</w:t>
      </w:r>
    </w:p>
    <w:p w14:paraId="34897BAE" w14:textId="1E7F6981" w:rsidR="000E37C0" w:rsidRPr="00A10C08" w:rsidRDefault="00223D67" w:rsidP="000E37C0">
      <w:pPr>
        <w:ind w:left="720"/>
        <w:rPr>
          <w:lang w:val="fr-CA"/>
        </w:rPr>
      </w:pPr>
      <w:r w:rsidRPr="00A10C08">
        <w:rPr>
          <w:lang w:val="fr-CA"/>
        </w:rPr>
        <w:t xml:space="preserve">Les </w:t>
      </w:r>
      <w:r w:rsidRPr="00223D67">
        <w:rPr>
          <w:lang w:val="fr-CA"/>
        </w:rPr>
        <w:t>procédures</w:t>
      </w:r>
      <w:r w:rsidRPr="00A10C08">
        <w:rPr>
          <w:lang w:val="fr-CA"/>
        </w:rPr>
        <w:t xml:space="preserve"> de corroboration qui doivent être mises en </w:t>
      </w:r>
      <w:r w:rsidRPr="00223D67">
        <w:rPr>
          <w:lang w:val="fr-CA"/>
        </w:rPr>
        <w:t>œuvre</w:t>
      </w:r>
      <w:r w:rsidRPr="00A10C08">
        <w:rPr>
          <w:lang w:val="fr-CA"/>
        </w:rPr>
        <w:t xml:space="preserve"> au niveau du centre de services partagés sont déterminées en fonction des éléments suivants</w:t>
      </w:r>
      <w:r w:rsidR="00C505C3">
        <w:rPr>
          <w:lang w:val="fr-CA"/>
        </w:rPr>
        <w:t> </w:t>
      </w:r>
      <w:r w:rsidR="000E37C0" w:rsidRPr="00A10C08">
        <w:rPr>
          <w:lang w:val="fr-CA"/>
        </w:rPr>
        <w:t xml:space="preserve">: </w:t>
      </w:r>
    </w:p>
    <w:p w14:paraId="195A9B3A" w14:textId="7DECA28E" w:rsidR="000E37C0" w:rsidRPr="00A10C08" w:rsidRDefault="00223D67" w:rsidP="000E37C0">
      <w:pPr>
        <w:numPr>
          <w:ilvl w:val="1"/>
          <w:numId w:val="6"/>
        </w:numPr>
        <w:rPr>
          <w:lang w:val="fr-CA"/>
        </w:rPr>
      </w:pPr>
      <w:r>
        <w:rPr>
          <w:lang w:val="fr-CA"/>
        </w:rPr>
        <w:t>les risques particuliers</w:t>
      </w:r>
      <w:r w:rsidR="00C505C3">
        <w:rPr>
          <w:lang w:val="fr-CA"/>
        </w:rPr>
        <w:t xml:space="preserve"> d’anomalies significatives</w:t>
      </w:r>
      <w:r>
        <w:rPr>
          <w:lang w:val="fr-CA"/>
        </w:rPr>
        <w:t xml:space="preserve"> au niveau du groupe, de la composante et</w:t>
      </w:r>
      <w:r w:rsidRPr="00223D67">
        <w:rPr>
          <w:rFonts w:cs="Times New Roman"/>
          <w:lang w:val="fr-CA"/>
        </w:rPr>
        <w:t>/o</w:t>
      </w:r>
      <w:r>
        <w:rPr>
          <w:lang w:val="fr-CA"/>
        </w:rPr>
        <w:t>u de l’emplacement légal;</w:t>
      </w:r>
      <w:r w:rsidR="000E37C0" w:rsidRPr="00A10C08">
        <w:rPr>
          <w:lang w:val="fr-CA"/>
        </w:rPr>
        <w:t xml:space="preserve"> </w:t>
      </w:r>
    </w:p>
    <w:p w14:paraId="4401D1D1" w14:textId="77777777" w:rsidR="00223D67" w:rsidRPr="00223D67" w:rsidRDefault="00223D67" w:rsidP="000E37C0">
      <w:pPr>
        <w:numPr>
          <w:ilvl w:val="1"/>
          <w:numId w:val="6"/>
        </w:numPr>
        <w:rPr>
          <w:lang w:val="fr-CA"/>
        </w:rPr>
      </w:pPr>
      <w:r>
        <w:rPr>
          <w:lang w:val="fr-CA"/>
        </w:rPr>
        <w:t>les soldes de compte importants pour le groupe, la composante et</w:t>
      </w:r>
      <w:r w:rsidRPr="00223D67">
        <w:rPr>
          <w:rFonts w:cs="Times New Roman"/>
          <w:lang w:val="fr-CA"/>
        </w:rPr>
        <w:t>/o</w:t>
      </w:r>
      <w:r>
        <w:rPr>
          <w:rFonts w:cs="Times New Roman"/>
          <w:lang w:val="fr-CA"/>
        </w:rPr>
        <w:t>u les emplacements légaux;</w:t>
      </w:r>
    </w:p>
    <w:p w14:paraId="14DB1F49" w14:textId="63306B2F" w:rsidR="000E37C0" w:rsidRPr="00A10C08" w:rsidRDefault="00223D67" w:rsidP="000E37C0">
      <w:pPr>
        <w:numPr>
          <w:ilvl w:val="1"/>
          <w:numId w:val="6"/>
        </w:numPr>
        <w:rPr>
          <w:lang w:val="fr-CA"/>
        </w:rPr>
      </w:pPr>
      <w:r w:rsidRPr="00A10C08">
        <w:rPr>
          <w:lang w:val="fr-CA"/>
        </w:rPr>
        <w:t xml:space="preserve"> </w:t>
      </w:r>
      <w:r>
        <w:rPr>
          <w:lang w:val="fr-CA"/>
        </w:rPr>
        <w:t xml:space="preserve">les procédures déterminées qui sont exigées par les méthodes du BVG ou </w:t>
      </w:r>
      <w:r w:rsidR="00C505C3">
        <w:rPr>
          <w:lang w:val="fr-CA"/>
        </w:rPr>
        <w:t>l</w:t>
      </w:r>
      <w:r>
        <w:rPr>
          <w:lang w:val="fr-CA"/>
        </w:rPr>
        <w:t>es NAGR.</w:t>
      </w:r>
    </w:p>
    <w:p w14:paraId="465A8F51" w14:textId="77777777" w:rsidR="003C2415" w:rsidRPr="00AD13A5" w:rsidRDefault="003C2415">
      <w:pPr>
        <w:rPr>
          <w:rFonts w:cs="Times New Roman"/>
          <w:lang w:val="fr-CA"/>
        </w:rPr>
      </w:pPr>
    </w:p>
    <w:p w14:paraId="1B3900D4" w14:textId="2A962A23" w:rsidR="003C2415" w:rsidRPr="00AD13A5" w:rsidRDefault="00C505C3">
      <w:pPr>
        <w:rPr>
          <w:rFonts w:cs="Times New Roman"/>
          <w:lang w:val="fr-CA"/>
        </w:rPr>
      </w:pPr>
      <w:r>
        <w:rPr>
          <w:rFonts w:cs="Times New Roman"/>
          <w:lang w:val="fr-CA"/>
        </w:rPr>
        <w:t>L</w:t>
      </w:r>
      <w:r w:rsidR="003C2415" w:rsidRPr="00AD13A5">
        <w:rPr>
          <w:rFonts w:cs="Times New Roman"/>
          <w:lang w:val="fr-CA"/>
        </w:rPr>
        <w:t>e</w:t>
      </w:r>
      <w:r>
        <w:rPr>
          <w:rFonts w:cs="Times New Roman"/>
          <w:lang w:val="fr-CA"/>
        </w:rPr>
        <w:t xml:space="preserve"> présent</w:t>
      </w:r>
      <w:r w:rsidR="003C2415" w:rsidRPr="00AD13A5">
        <w:rPr>
          <w:rFonts w:cs="Times New Roman"/>
          <w:lang w:val="fr-CA"/>
        </w:rPr>
        <w:t xml:space="preserve"> document définit l’</w:t>
      </w:r>
      <w:r w:rsidR="00023FF3">
        <w:rPr>
          <w:rFonts w:cs="Times New Roman"/>
          <w:lang w:val="fr-CA"/>
        </w:rPr>
        <w:t xml:space="preserve">étendue </w:t>
      </w:r>
      <w:r w:rsidR="003C2415" w:rsidRPr="00AD13A5">
        <w:rPr>
          <w:rFonts w:cs="Times New Roman"/>
          <w:lang w:val="fr-CA"/>
        </w:rPr>
        <w:t>de</w:t>
      </w:r>
      <w:r>
        <w:rPr>
          <w:rFonts w:cs="Times New Roman"/>
          <w:lang w:val="fr-CA"/>
        </w:rPr>
        <w:t xml:space="preserve"> l’audit</w:t>
      </w:r>
      <w:r w:rsidR="00023FF3">
        <w:rPr>
          <w:rFonts w:cs="Times New Roman"/>
          <w:lang w:val="fr-CA"/>
        </w:rPr>
        <w:t xml:space="preserve"> </w:t>
      </w:r>
      <w:r w:rsidR="003C2415" w:rsidRPr="00AD13A5">
        <w:rPr>
          <w:rFonts w:cs="Times New Roman"/>
          <w:lang w:val="fr-CA"/>
        </w:rPr>
        <w:t xml:space="preserve">au CSP. Pour des directives supplémentaires pour l’exécution de l’audit, reportez-vous à la section pertinente dans le </w:t>
      </w:r>
      <w:r w:rsidR="00023FF3">
        <w:rPr>
          <w:rFonts w:cs="Times New Roman"/>
          <w:lang w:val="fr-CA"/>
        </w:rPr>
        <w:t>c</w:t>
      </w:r>
      <w:r w:rsidR="003C2415" w:rsidRPr="00AD13A5">
        <w:rPr>
          <w:rFonts w:cs="Times New Roman"/>
          <w:lang w:val="fr-CA"/>
        </w:rPr>
        <w:t xml:space="preserve">hapitre </w:t>
      </w:r>
      <w:r w:rsidR="00A1647F">
        <w:rPr>
          <w:rFonts w:cs="Times New Roman"/>
          <w:lang w:val="fr-CA"/>
        </w:rPr>
        <w:t>2300</w:t>
      </w:r>
      <w:r w:rsidR="00A1647F" w:rsidRPr="00AD13A5">
        <w:rPr>
          <w:rFonts w:cs="Times New Roman"/>
          <w:lang w:val="fr-CA"/>
        </w:rPr>
        <w:t xml:space="preserve"> </w:t>
      </w:r>
      <w:r w:rsidR="00023FF3">
        <w:rPr>
          <w:rFonts w:cs="Times New Roman"/>
          <w:lang w:val="fr-CA"/>
        </w:rPr>
        <w:t>– Audits de groupe</w:t>
      </w:r>
      <w:r>
        <w:rPr>
          <w:rFonts w:cs="Times New Roman"/>
          <w:lang w:val="fr-CA"/>
        </w:rPr>
        <w:t>s</w:t>
      </w:r>
      <w:r w:rsidR="00023FF3">
        <w:rPr>
          <w:rFonts w:cs="Times New Roman"/>
          <w:lang w:val="fr-CA"/>
        </w:rPr>
        <w:t>.</w:t>
      </w:r>
    </w:p>
    <w:p w14:paraId="74E175CB" w14:textId="77777777" w:rsidR="003C2415" w:rsidRPr="00AD13A5" w:rsidRDefault="003C2415">
      <w:pPr>
        <w:rPr>
          <w:rFonts w:cs="Times New Roman"/>
          <w:lang w:val="fr-CA"/>
        </w:rPr>
      </w:pPr>
    </w:p>
    <w:p w14:paraId="0870D01B" w14:textId="77777777" w:rsidR="003C2415" w:rsidRPr="00AD13A5" w:rsidRDefault="003C2415">
      <w:pPr>
        <w:rPr>
          <w:rFonts w:cs="Times New Roman"/>
          <w:lang w:val="fr-CA"/>
        </w:rPr>
      </w:pPr>
      <w:r w:rsidRPr="00AD13A5">
        <w:rPr>
          <w:rFonts w:cs="Times New Roman"/>
          <w:b/>
          <w:lang w:val="fr-CA"/>
        </w:rPr>
        <w:t xml:space="preserve">II – Travail devant être effectué par les auditeurs légaux </w:t>
      </w:r>
    </w:p>
    <w:p w14:paraId="6AEC49E3" w14:textId="77777777" w:rsidR="003C2415" w:rsidRPr="00AD13A5" w:rsidRDefault="003C2415">
      <w:pPr>
        <w:rPr>
          <w:rFonts w:cs="Times New Roman"/>
          <w:lang w:val="fr-CA"/>
        </w:rPr>
      </w:pPr>
    </w:p>
    <w:p w14:paraId="05DB7E82" w14:textId="77777777" w:rsidR="003C2415" w:rsidRPr="00AD13A5" w:rsidRDefault="00CA09CE">
      <w:pPr>
        <w:rPr>
          <w:rFonts w:cs="Times New Roman"/>
          <w:lang w:val="fr-CA"/>
        </w:rPr>
      </w:pPr>
      <w:r>
        <w:rPr>
          <w:rFonts w:cs="Times New Roman"/>
          <w:lang w:val="fr-CA"/>
        </w:rPr>
        <w:t>En plus du</w:t>
      </w:r>
      <w:r w:rsidR="003C2415" w:rsidRPr="00AD13A5">
        <w:rPr>
          <w:rFonts w:cs="Times New Roman"/>
          <w:lang w:val="fr-CA"/>
        </w:rPr>
        <w:t xml:space="preserve"> travail décrit ci-dessus, </w:t>
      </w:r>
      <w:r w:rsidR="00023FF3">
        <w:rPr>
          <w:rFonts w:cs="Times New Roman"/>
          <w:lang w:val="fr-CA"/>
        </w:rPr>
        <w:t>dont </w:t>
      </w:r>
      <w:r w:rsidR="003C2415" w:rsidRPr="00AD13A5">
        <w:rPr>
          <w:rFonts w:cs="Times New Roman"/>
          <w:lang w:val="fr-CA"/>
        </w:rPr>
        <w:t xml:space="preserve">les résultats seront pris en compte aux fins de l’audit légal, l’équipe affectée à l’audit du CSP </w:t>
      </w:r>
      <w:r w:rsidR="00023FF3">
        <w:rPr>
          <w:rFonts w:cs="Times New Roman"/>
          <w:lang w:val="fr-CA"/>
        </w:rPr>
        <w:t xml:space="preserve">mettra en œuvre les </w:t>
      </w:r>
      <w:r w:rsidR="003C2415" w:rsidRPr="00AD13A5">
        <w:rPr>
          <w:rFonts w:cs="Times New Roman"/>
          <w:lang w:val="fr-CA"/>
        </w:rPr>
        <w:t xml:space="preserve">procédures d’audit </w:t>
      </w:r>
      <w:r w:rsidR="00023FF3">
        <w:rPr>
          <w:rFonts w:cs="Times New Roman"/>
          <w:lang w:val="fr-CA"/>
        </w:rPr>
        <w:t>à l’appui des </w:t>
      </w:r>
      <w:r w:rsidR="003C2415" w:rsidRPr="00AD13A5">
        <w:rPr>
          <w:rFonts w:cs="Times New Roman"/>
          <w:lang w:val="fr-CA"/>
        </w:rPr>
        <w:t>audits légaux des entités suivantes :</w:t>
      </w:r>
    </w:p>
    <w:p w14:paraId="5090EA36" w14:textId="77777777" w:rsidR="003C2415" w:rsidRPr="00AD13A5" w:rsidRDefault="003C2415">
      <w:pPr>
        <w:rPr>
          <w:rFonts w:cs="Times New Roman"/>
          <w:lang w:val="fr-CA"/>
        </w:rPr>
      </w:pPr>
    </w:p>
    <w:p w14:paraId="6276012B" w14:textId="77777777" w:rsidR="003C2415" w:rsidRPr="00AD13A5" w:rsidRDefault="003C2415">
      <w:pPr>
        <w:numPr>
          <w:ilvl w:val="0"/>
          <w:numId w:val="6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Société A</w:t>
      </w:r>
    </w:p>
    <w:p w14:paraId="6417A982" w14:textId="77777777" w:rsidR="003C2415" w:rsidRPr="00AD13A5" w:rsidRDefault="003C2415">
      <w:pPr>
        <w:numPr>
          <w:ilvl w:val="0"/>
          <w:numId w:val="6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Société B</w:t>
      </w:r>
    </w:p>
    <w:p w14:paraId="7ACEC6BA" w14:textId="77777777" w:rsidR="003C2415" w:rsidRPr="00AD13A5" w:rsidRDefault="003C2415">
      <w:pPr>
        <w:numPr>
          <w:ilvl w:val="0"/>
          <w:numId w:val="6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Société C</w:t>
      </w:r>
    </w:p>
    <w:p w14:paraId="69AAB9FD" w14:textId="77777777" w:rsidR="003C2415" w:rsidRPr="00AD13A5" w:rsidRDefault="003C2415">
      <w:pPr>
        <w:numPr>
          <w:ilvl w:val="0"/>
          <w:numId w:val="6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etc.</w:t>
      </w:r>
    </w:p>
    <w:p w14:paraId="55AE18D1" w14:textId="77777777" w:rsidR="003C2415" w:rsidRPr="00AD13A5" w:rsidRDefault="003C2415">
      <w:pPr>
        <w:rPr>
          <w:rFonts w:cs="Times New Roman"/>
          <w:lang w:val="fr-CA"/>
        </w:rPr>
      </w:pPr>
    </w:p>
    <w:p w14:paraId="12FAF813" w14:textId="77777777" w:rsidR="003C2415" w:rsidRPr="00AD13A5" w:rsidRDefault="003C2415">
      <w:p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Les procédures</w:t>
      </w:r>
      <w:r w:rsidR="00CA09CE">
        <w:rPr>
          <w:rFonts w:cs="Times New Roman"/>
          <w:lang w:val="fr-CA"/>
        </w:rPr>
        <w:t xml:space="preserve"> additionnelles</w:t>
      </w:r>
      <w:r w:rsidRPr="00AD13A5">
        <w:rPr>
          <w:rFonts w:cs="Times New Roman"/>
          <w:lang w:val="fr-CA"/>
        </w:rPr>
        <w:t xml:space="preserve"> </w:t>
      </w:r>
      <w:r w:rsidR="00023FF3">
        <w:rPr>
          <w:rFonts w:cs="Times New Roman"/>
          <w:lang w:val="fr-CA"/>
        </w:rPr>
        <w:t xml:space="preserve">visant les </w:t>
      </w:r>
      <w:r w:rsidRPr="00AD13A5">
        <w:rPr>
          <w:rFonts w:cs="Times New Roman"/>
          <w:lang w:val="fr-CA"/>
        </w:rPr>
        <w:t>contrôles internes</w:t>
      </w:r>
      <w:r w:rsidR="0004212C">
        <w:rPr>
          <w:rFonts w:cs="Times New Roman"/>
          <w:lang w:val="fr-CA"/>
        </w:rPr>
        <w:t> </w:t>
      </w:r>
      <w:r w:rsidR="00023FF3">
        <w:rPr>
          <w:rFonts w:cs="Times New Roman"/>
          <w:lang w:val="fr-CA"/>
        </w:rPr>
        <w:t>et les procédures de corroboration suivantes, qui ont fait l’objet d’un accord, seront </w:t>
      </w:r>
      <w:r w:rsidRPr="00AD13A5">
        <w:rPr>
          <w:rFonts w:cs="Times New Roman"/>
          <w:lang w:val="fr-CA"/>
        </w:rPr>
        <w:t>alors exécutées (</w:t>
      </w:r>
      <w:r w:rsidR="00DB1383">
        <w:rPr>
          <w:rFonts w:cs="Times New Roman"/>
          <w:lang w:val="fr-CA"/>
        </w:rPr>
        <w:t>reportez-vous</w:t>
      </w:r>
      <w:r w:rsidRPr="00AD13A5">
        <w:rPr>
          <w:rFonts w:cs="Times New Roman"/>
          <w:lang w:val="fr-CA"/>
        </w:rPr>
        <w:t xml:space="preserve"> aux annexes pour </w:t>
      </w:r>
      <w:r w:rsidR="00023FF3">
        <w:rPr>
          <w:rFonts w:cs="Times New Roman"/>
          <w:lang w:val="fr-CA"/>
        </w:rPr>
        <w:t xml:space="preserve">obtenir des précisions visant les </w:t>
      </w:r>
      <w:r w:rsidRPr="00AD13A5">
        <w:rPr>
          <w:rFonts w:cs="Times New Roman"/>
          <w:lang w:val="fr-CA"/>
        </w:rPr>
        <w:t>contrôle</w:t>
      </w:r>
      <w:r w:rsidR="00023FF3">
        <w:rPr>
          <w:rFonts w:cs="Times New Roman"/>
          <w:lang w:val="fr-CA"/>
        </w:rPr>
        <w:t>s</w:t>
      </w:r>
      <w:r w:rsidRPr="00AD13A5">
        <w:rPr>
          <w:rFonts w:cs="Times New Roman"/>
          <w:lang w:val="fr-CA"/>
        </w:rPr>
        <w:t xml:space="preserve">, </w:t>
      </w:r>
      <w:r w:rsidR="00023FF3">
        <w:rPr>
          <w:rFonts w:cs="Times New Roman"/>
          <w:lang w:val="fr-CA"/>
        </w:rPr>
        <w:t xml:space="preserve">les </w:t>
      </w:r>
      <w:r w:rsidRPr="00AD13A5">
        <w:rPr>
          <w:rFonts w:cs="Times New Roman"/>
          <w:lang w:val="fr-CA"/>
        </w:rPr>
        <w:t>test</w:t>
      </w:r>
      <w:r w:rsidR="00023FF3">
        <w:rPr>
          <w:rFonts w:cs="Times New Roman"/>
          <w:lang w:val="fr-CA"/>
        </w:rPr>
        <w:t>s</w:t>
      </w:r>
      <w:r w:rsidRPr="00AD13A5">
        <w:rPr>
          <w:rFonts w:cs="Times New Roman"/>
          <w:lang w:val="fr-CA"/>
        </w:rPr>
        <w:t xml:space="preserve"> et</w:t>
      </w:r>
      <w:r w:rsidR="00023FF3">
        <w:rPr>
          <w:rFonts w:cs="Times New Roman"/>
          <w:lang w:val="fr-CA"/>
        </w:rPr>
        <w:t> les </w:t>
      </w:r>
      <w:r w:rsidRPr="00AD13A5">
        <w:rPr>
          <w:rFonts w:cs="Times New Roman"/>
          <w:lang w:val="fr-CA"/>
        </w:rPr>
        <w:t>entité</w:t>
      </w:r>
      <w:r w:rsidR="00023FF3">
        <w:rPr>
          <w:rFonts w:cs="Times New Roman"/>
          <w:lang w:val="fr-CA"/>
        </w:rPr>
        <w:t>s</w:t>
      </w:r>
      <w:r w:rsidRPr="00AD13A5">
        <w:rPr>
          <w:rFonts w:cs="Times New Roman"/>
          <w:lang w:val="fr-CA"/>
        </w:rPr>
        <w:t>)</w:t>
      </w:r>
      <w:r w:rsidR="00023FF3">
        <w:rPr>
          <w:rFonts w:cs="Times New Roman"/>
          <w:lang w:val="fr-CA"/>
        </w:rPr>
        <w:t> </w:t>
      </w:r>
      <w:r w:rsidRPr="00AD13A5">
        <w:rPr>
          <w:rFonts w:cs="Times New Roman"/>
          <w:lang w:val="fr-CA"/>
        </w:rPr>
        <w:t>:</w:t>
      </w:r>
    </w:p>
    <w:p w14:paraId="410BA4D4" w14:textId="77777777" w:rsidR="003C2415" w:rsidRPr="00AD13A5" w:rsidRDefault="003C2415">
      <w:pPr>
        <w:rPr>
          <w:rFonts w:cs="Times New Roman"/>
          <w:i/>
          <w:lang w:val="fr-CA"/>
        </w:rPr>
      </w:pPr>
      <w:r w:rsidRPr="00AD13A5">
        <w:rPr>
          <w:rFonts w:cs="Times New Roman"/>
          <w:i/>
          <w:lang w:val="fr-CA"/>
        </w:rPr>
        <w:br/>
        <w:t>Procédures se rapportant aux contrôles internes :</w:t>
      </w:r>
    </w:p>
    <w:p w14:paraId="76BF2E22" w14:textId="77777777" w:rsidR="003C2415" w:rsidRPr="00AD13A5" w:rsidRDefault="003C2415">
      <w:pPr>
        <w:numPr>
          <w:ilvl w:val="0"/>
          <w:numId w:val="2"/>
        </w:numPr>
        <w:rPr>
          <w:rFonts w:cs="Times New Roman"/>
          <w:u w:val="single"/>
          <w:lang w:val="fr-CA"/>
        </w:rPr>
      </w:pPr>
      <w:r w:rsidRPr="00AD13A5">
        <w:rPr>
          <w:rFonts w:cs="Times New Roman"/>
          <w:lang w:val="fr-CA"/>
        </w:rPr>
        <w:t xml:space="preserve">Tests indépendants supplémentaires des contrôles internes de la direction </w:t>
      </w:r>
      <w:r w:rsidR="00023FF3">
        <w:rPr>
          <w:rFonts w:cs="Times New Roman"/>
          <w:lang w:val="fr-CA"/>
        </w:rPr>
        <w:t xml:space="preserve">qui sont </w:t>
      </w:r>
      <w:r w:rsidRPr="00AD13A5">
        <w:rPr>
          <w:rFonts w:cs="Times New Roman"/>
          <w:lang w:val="fr-CA"/>
        </w:rPr>
        <w:t xml:space="preserve">présentés à l’annexe </w:t>
      </w:r>
      <w:r w:rsidRPr="00AD13A5">
        <w:rPr>
          <w:rFonts w:cs="Times New Roman"/>
          <w:b/>
          <w:lang w:val="fr-CA"/>
        </w:rPr>
        <w:t>F</w:t>
      </w:r>
      <w:r w:rsidRPr="00AD13A5">
        <w:rPr>
          <w:rFonts w:cs="Times New Roman"/>
          <w:lang w:val="fr-CA"/>
        </w:rPr>
        <w:t>.</w:t>
      </w:r>
    </w:p>
    <w:p w14:paraId="1F59B561" w14:textId="77777777" w:rsidR="003C2415" w:rsidRPr="00AD13A5" w:rsidRDefault="003C2415">
      <w:pPr>
        <w:rPr>
          <w:rFonts w:cs="Times New Roman"/>
          <w:u w:val="single"/>
          <w:lang w:val="fr-CA"/>
        </w:rPr>
      </w:pPr>
      <w:r w:rsidRPr="00AD13A5">
        <w:rPr>
          <w:rFonts w:cs="Times New Roman"/>
          <w:lang w:val="fr-CA"/>
        </w:rPr>
        <w:t xml:space="preserve">À la </w:t>
      </w:r>
      <w:r w:rsidR="00023FF3">
        <w:rPr>
          <w:rFonts w:cs="Times New Roman"/>
          <w:lang w:val="fr-CA"/>
        </w:rPr>
        <w:t>fin de ces travaux, </w:t>
      </w:r>
      <w:r w:rsidRPr="00AD13A5">
        <w:rPr>
          <w:rFonts w:cs="Times New Roman"/>
          <w:lang w:val="fr-CA"/>
        </w:rPr>
        <w:t>les résultats des tests seront discutés entre les équipes affectées à l’audit légal et le centre des services partagés par conférence téléphonique.</w:t>
      </w:r>
    </w:p>
    <w:p w14:paraId="4F901AC9" w14:textId="77777777" w:rsidR="003C2415" w:rsidRPr="00AD13A5" w:rsidRDefault="003C2415">
      <w:pPr>
        <w:rPr>
          <w:rFonts w:cs="Times New Roman"/>
          <w:i/>
          <w:lang w:val="fr-CA"/>
        </w:rPr>
      </w:pPr>
    </w:p>
    <w:p w14:paraId="666074F9" w14:textId="77777777" w:rsidR="003C2415" w:rsidRPr="00AD13A5" w:rsidRDefault="003C2415">
      <w:pPr>
        <w:rPr>
          <w:rFonts w:cs="Times New Roman"/>
          <w:lang w:val="fr-CA"/>
        </w:rPr>
      </w:pPr>
      <w:r w:rsidRPr="00AD13A5">
        <w:rPr>
          <w:rFonts w:cs="Times New Roman"/>
          <w:i/>
          <w:lang w:val="fr-CA"/>
        </w:rPr>
        <w:t>Procédures d</w:t>
      </w:r>
      <w:r w:rsidR="00023FF3">
        <w:rPr>
          <w:rFonts w:cs="Times New Roman"/>
          <w:i/>
          <w:lang w:val="fr-CA"/>
        </w:rPr>
        <w:t>e corroboration </w:t>
      </w:r>
      <w:r w:rsidRPr="00AD13A5">
        <w:rPr>
          <w:rFonts w:cs="Times New Roman"/>
          <w:i/>
          <w:lang w:val="fr-CA"/>
        </w:rPr>
        <w:t>:</w:t>
      </w:r>
    </w:p>
    <w:p w14:paraId="1D745A23" w14:textId="77777777" w:rsidR="003C2415" w:rsidRPr="00AD13A5" w:rsidRDefault="003C2415">
      <w:pPr>
        <w:numPr>
          <w:ilvl w:val="0"/>
          <w:numId w:val="6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 xml:space="preserve">Procédures analytiques supplémentaires pour les entités indiquées à la page 2, </w:t>
      </w:r>
      <w:r w:rsidR="00023FF3">
        <w:rPr>
          <w:rFonts w:cs="Times New Roman"/>
          <w:lang w:val="fr-CA"/>
        </w:rPr>
        <w:t>qui sont </w:t>
      </w:r>
      <w:r w:rsidRPr="00AD13A5">
        <w:rPr>
          <w:rFonts w:cs="Times New Roman"/>
          <w:lang w:val="fr-CA"/>
        </w:rPr>
        <w:t xml:space="preserve">détaillées à l’annexe </w:t>
      </w:r>
      <w:r w:rsidRPr="00AD13A5">
        <w:rPr>
          <w:rFonts w:cs="Times New Roman"/>
          <w:b/>
          <w:lang w:val="fr-CA"/>
        </w:rPr>
        <w:t xml:space="preserve">G (Remarque : ceci est pertinent uniquement dans les cas où la direction </w:t>
      </w:r>
      <w:r w:rsidR="00023FF3">
        <w:rPr>
          <w:rFonts w:cs="Times New Roman"/>
          <w:b/>
          <w:lang w:val="fr-CA"/>
        </w:rPr>
        <w:t xml:space="preserve">qui assume des </w:t>
      </w:r>
      <w:r w:rsidRPr="00AD13A5">
        <w:rPr>
          <w:rFonts w:cs="Times New Roman"/>
          <w:b/>
          <w:lang w:val="fr-CA"/>
        </w:rPr>
        <w:t>responsabilités</w:t>
      </w:r>
      <w:r w:rsidR="00023FF3">
        <w:rPr>
          <w:rFonts w:cs="Times New Roman"/>
          <w:b/>
          <w:lang w:val="fr-CA"/>
        </w:rPr>
        <w:t xml:space="preserve"> à l’égard</w:t>
      </w:r>
      <w:r w:rsidRPr="00AD13A5">
        <w:rPr>
          <w:rFonts w:cs="Times New Roman"/>
          <w:b/>
          <w:lang w:val="fr-CA"/>
        </w:rPr>
        <w:t xml:space="preserve"> de l’analyse et </w:t>
      </w:r>
      <w:r w:rsidR="00023FF3">
        <w:rPr>
          <w:rFonts w:cs="Times New Roman"/>
          <w:b/>
          <w:lang w:val="fr-CA"/>
        </w:rPr>
        <w:t>de </w:t>
      </w:r>
      <w:r w:rsidRPr="00AD13A5">
        <w:rPr>
          <w:rFonts w:cs="Times New Roman"/>
          <w:b/>
          <w:lang w:val="fr-CA"/>
        </w:rPr>
        <w:t>l’établissement de rapports relativement aux résultats financiers se trouve dans le CSP.</w:t>
      </w:r>
      <w:r w:rsidR="00E211BD" w:rsidRPr="00AD13A5">
        <w:rPr>
          <w:rFonts w:cs="Times New Roman"/>
          <w:b/>
          <w:lang w:val="fr-CA"/>
        </w:rPr>
        <w:t xml:space="preserve"> </w:t>
      </w:r>
      <w:r w:rsidRPr="00AD13A5">
        <w:rPr>
          <w:rFonts w:cs="Times New Roman"/>
          <w:b/>
          <w:lang w:val="fr-CA"/>
        </w:rPr>
        <w:t>Dans le cas contraire, la responsabilité relative à l’exécution de procédures analytiques incombe aux équipes respectives)</w:t>
      </w:r>
      <w:r w:rsidRPr="00AD13A5">
        <w:rPr>
          <w:rFonts w:cs="Times New Roman"/>
          <w:lang w:val="fr-CA"/>
        </w:rPr>
        <w:t>.</w:t>
      </w:r>
    </w:p>
    <w:p w14:paraId="13B2B6DA" w14:textId="77777777" w:rsidR="003C2415" w:rsidRPr="00AD13A5" w:rsidRDefault="003C2415">
      <w:pPr>
        <w:numPr>
          <w:ilvl w:val="0"/>
          <w:numId w:val="6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 xml:space="preserve">Les procédures de </w:t>
      </w:r>
      <w:r w:rsidR="00023FF3">
        <w:rPr>
          <w:rFonts w:cs="Times New Roman"/>
          <w:lang w:val="fr-CA"/>
        </w:rPr>
        <w:t>corroboration </w:t>
      </w:r>
      <w:r w:rsidRPr="00AD13A5">
        <w:rPr>
          <w:rFonts w:cs="Times New Roman"/>
          <w:lang w:val="fr-CA"/>
        </w:rPr>
        <w:t xml:space="preserve">progressives particulières pour les entités indiquées à la page </w:t>
      </w:r>
      <w:r w:rsidRPr="00996EC0">
        <w:rPr>
          <w:rFonts w:cs="Times New Roman"/>
          <w:lang w:val="fr-CA"/>
        </w:rPr>
        <w:t>__</w:t>
      </w:r>
      <w:r w:rsidRPr="00AD13A5">
        <w:rPr>
          <w:rFonts w:cs="Times New Roman"/>
          <w:lang w:val="fr-CA"/>
        </w:rPr>
        <w:t xml:space="preserve"> </w:t>
      </w:r>
      <w:r w:rsidR="00023FF3">
        <w:rPr>
          <w:rFonts w:cs="Times New Roman"/>
          <w:lang w:val="fr-CA"/>
        </w:rPr>
        <w:t xml:space="preserve">qui sont </w:t>
      </w:r>
      <w:r w:rsidRPr="00AD13A5">
        <w:rPr>
          <w:rFonts w:cs="Times New Roman"/>
          <w:lang w:val="fr-CA"/>
        </w:rPr>
        <w:t xml:space="preserve">détaillées à l’annexe </w:t>
      </w:r>
      <w:r w:rsidRPr="00AD13A5">
        <w:rPr>
          <w:rFonts w:cs="Times New Roman"/>
          <w:b/>
          <w:lang w:val="fr-CA"/>
        </w:rPr>
        <w:t>H</w:t>
      </w:r>
      <w:r w:rsidRPr="00AD13A5">
        <w:rPr>
          <w:rFonts w:cs="Times New Roman"/>
          <w:lang w:val="fr-CA"/>
        </w:rPr>
        <w:t>.</w:t>
      </w:r>
    </w:p>
    <w:p w14:paraId="4A1D7D45" w14:textId="77777777" w:rsidR="003C2415" w:rsidRPr="00AD13A5" w:rsidRDefault="003C2415">
      <w:pPr>
        <w:rPr>
          <w:rFonts w:cs="Times New Roman"/>
          <w:lang w:val="fr-CA"/>
        </w:rPr>
      </w:pPr>
    </w:p>
    <w:p w14:paraId="685BA31F" w14:textId="77777777" w:rsidR="003C2415" w:rsidRPr="00AD13A5" w:rsidRDefault="003C2415">
      <w:pPr>
        <w:rPr>
          <w:rFonts w:cs="Times New Roman"/>
          <w:b/>
          <w:lang w:val="fr-CA"/>
        </w:rPr>
      </w:pPr>
      <w:r w:rsidRPr="00AD13A5">
        <w:rPr>
          <w:rFonts w:cs="Times New Roman"/>
          <w:b/>
          <w:lang w:val="fr-CA"/>
        </w:rPr>
        <w:t>III – Mesures exigées à la réception d</w:t>
      </w:r>
      <w:r w:rsidR="0004212C">
        <w:rPr>
          <w:rFonts w:cs="Times New Roman"/>
          <w:b/>
          <w:lang w:val="fr-CA"/>
        </w:rPr>
        <w:t xml:space="preserve">u </w:t>
      </w:r>
      <w:r w:rsidR="00023FF3">
        <w:rPr>
          <w:rFonts w:cs="Times New Roman"/>
          <w:b/>
          <w:lang w:val="fr-CA"/>
        </w:rPr>
        <w:t>présent</w:t>
      </w:r>
      <w:r w:rsidR="0004212C">
        <w:rPr>
          <w:rFonts w:cs="Times New Roman"/>
          <w:b/>
          <w:lang w:val="fr-CA"/>
        </w:rPr>
        <w:t xml:space="preserve"> mémoire </w:t>
      </w:r>
    </w:p>
    <w:p w14:paraId="1E8DBB0C" w14:textId="77777777" w:rsidR="003C2415" w:rsidRPr="00AD13A5" w:rsidRDefault="003C2415">
      <w:pPr>
        <w:rPr>
          <w:rFonts w:cs="Times New Roman"/>
          <w:lang w:val="fr-CA"/>
        </w:rPr>
      </w:pPr>
    </w:p>
    <w:p w14:paraId="3E4D8C95" w14:textId="20D05E75" w:rsidR="003C2415" w:rsidRPr="00AD13A5" w:rsidRDefault="003C2415">
      <w:pPr>
        <w:rPr>
          <w:rFonts w:cs="Times New Roman"/>
          <w:b/>
          <w:lang w:val="fr-CA"/>
        </w:rPr>
      </w:pPr>
      <w:r w:rsidRPr="00AD13A5">
        <w:rPr>
          <w:rFonts w:cs="Times New Roman"/>
          <w:lang w:val="fr-CA"/>
        </w:rPr>
        <w:t xml:space="preserve">Toutes les équipes affectées à l’audit recevant une copie de ce protocole d’entente doivent remplir et retourner à l’auditeur du CSP une confirmation </w:t>
      </w:r>
      <w:r w:rsidR="00023FF3">
        <w:rPr>
          <w:rFonts w:cs="Times New Roman"/>
          <w:lang w:val="fr-CA"/>
        </w:rPr>
        <w:t xml:space="preserve">selon laquelle </w:t>
      </w:r>
      <w:r w:rsidRPr="00AD13A5">
        <w:rPr>
          <w:rFonts w:cs="Times New Roman"/>
          <w:lang w:val="fr-CA"/>
        </w:rPr>
        <w:t xml:space="preserve">les procédures sont suffisantes (annexe </w:t>
      </w:r>
      <w:r w:rsidRPr="00AD13A5">
        <w:rPr>
          <w:rFonts w:cs="Times New Roman"/>
          <w:b/>
          <w:lang w:val="fr-CA"/>
        </w:rPr>
        <w:t>I</w:t>
      </w:r>
      <w:r w:rsidRPr="00AD13A5">
        <w:rPr>
          <w:rFonts w:cs="Times New Roman"/>
          <w:lang w:val="fr-CA"/>
        </w:rPr>
        <w:t>).</w:t>
      </w:r>
      <w:r w:rsidR="00E211BD" w:rsidRPr="00AD13A5">
        <w:rPr>
          <w:rFonts w:cs="Times New Roman"/>
          <w:lang w:val="fr-CA"/>
        </w:rPr>
        <w:t xml:space="preserve"> </w:t>
      </w:r>
      <w:r w:rsidRPr="00AD13A5">
        <w:rPr>
          <w:rFonts w:cs="Times New Roman"/>
          <w:lang w:val="fr-CA"/>
        </w:rPr>
        <w:t xml:space="preserve">Des copies dûment remplies de toutes les confirmations seront </w:t>
      </w:r>
      <w:r w:rsidR="00023FF3">
        <w:rPr>
          <w:rFonts w:cs="Times New Roman"/>
          <w:lang w:val="fr-CA"/>
        </w:rPr>
        <w:t xml:space="preserve">transmises </w:t>
      </w:r>
      <w:r w:rsidRPr="00AD13A5">
        <w:rPr>
          <w:rFonts w:cs="Times New Roman"/>
          <w:lang w:val="fr-CA"/>
        </w:rPr>
        <w:t>à l’équipe affectée à l’audit du groupe.</w:t>
      </w:r>
      <w:r w:rsidR="00023FF3">
        <w:rPr>
          <w:rFonts w:cs="Times New Roman"/>
          <w:lang w:val="fr-CA"/>
        </w:rPr>
        <w:t> </w:t>
      </w:r>
      <w:r w:rsidR="00C505C3">
        <w:rPr>
          <w:rFonts w:cs="Times New Roman"/>
          <w:lang w:val="fr-CA"/>
        </w:rPr>
        <w:t>Ainsi s’</w:t>
      </w:r>
      <w:r w:rsidR="00023FF3">
        <w:rPr>
          <w:rFonts w:cs="Times New Roman"/>
          <w:lang w:val="fr-CA"/>
        </w:rPr>
        <w:t>achèvera l’étape</w:t>
      </w:r>
      <w:r w:rsidRPr="00AD13A5">
        <w:rPr>
          <w:rFonts w:cs="Times New Roman"/>
          <w:lang w:val="fr-CA"/>
        </w:rPr>
        <w:t xml:space="preserve"> </w:t>
      </w:r>
      <w:r w:rsidR="00023FF3">
        <w:rPr>
          <w:rFonts w:cs="Times New Roman"/>
          <w:lang w:val="fr-CA"/>
        </w:rPr>
        <w:t>de </w:t>
      </w:r>
      <w:r w:rsidRPr="00AD13A5">
        <w:rPr>
          <w:rFonts w:cs="Times New Roman"/>
          <w:lang w:val="fr-CA"/>
        </w:rPr>
        <w:t>la</w:t>
      </w:r>
      <w:r w:rsidR="00023FF3">
        <w:rPr>
          <w:rFonts w:cs="Times New Roman"/>
          <w:lang w:val="fr-CA"/>
        </w:rPr>
        <w:t> </w:t>
      </w:r>
      <w:r w:rsidRPr="00AD13A5">
        <w:rPr>
          <w:rFonts w:cs="Times New Roman"/>
          <w:lang w:val="fr-CA"/>
        </w:rPr>
        <w:t>planification de l’audit du centre de services partagés.</w:t>
      </w:r>
    </w:p>
    <w:p w14:paraId="40170612" w14:textId="77777777" w:rsidR="003C2415" w:rsidRPr="00AD13A5" w:rsidRDefault="003C2415">
      <w:pPr>
        <w:rPr>
          <w:rFonts w:cs="Times New Roman"/>
          <w:b/>
          <w:lang w:val="fr-CA"/>
        </w:rPr>
      </w:pPr>
    </w:p>
    <w:p w14:paraId="4E50C77D" w14:textId="77777777" w:rsidR="003C2415" w:rsidRPr="00AD13A5" w:rsidRDefault="003C2415">
      <w:p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 xml:space="preserve">En résumé, le </w:t>
      </w:r>
      <w:r w:rsidR="00023FF3">
        <w:rPr>
          <w:rFonts w:cs="Times New Roman"/>
          <w:lang w:val="fr-CA"/>
        </w:rPr>
        <w:t>document </w:t>
      </w:r>
      <w:r w:rsidRPr="00AD13A5">
        <w:rPr>
          <w:rFonts w:cs="Times New Roman"/>
          <w:lang w:val="fr-CA"/>
        </w:rPr>
        <w:t>suivant doit être rempli et retourné au BVG (équipe affectée à l’audit du CSP) :</w:t>
      </w:r>
    </w:p>
    <w:p w14:paraId="0C01F648" w14:textId="77777777" w:rsidR="003C2415" w:rsidRDefault="003C2415">
      <w:pPr>
        <w:rPr>
          <w:rFonts w:cs="Times New Roman"/>
          <w:b/>
          <w:lang w:val="fr-CA"/>
        </w:rPr>
      </w:pP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2815"/>
        <w:gridCol w:w="2816"/>
      </w:tblGrid>
      <w:tr w:rsidR="002C7A69" w:rsidRPr="00C505C3" w14:paraId="73CD796E" w14:textId="77777777" w:rsidTr="00085F57">
        <w:trPr>
          <w:tblHeader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251E2E6" w14:textId="02775ACA" w:rsidR="002C7A69" w:rsidRPr="00C505C3" w:rsidRDefault="002C7A69" w:rsidP="002C7A69">
            <w:pPr>
              <w:rPr>
                <w:rFonts w:cs="Times New Roman"/>
                <w:b/>
                <w:lang w:val="fr-CA"/>
              </w:rPr>
            </w:pPr>
            <w:r w:rsidRPr="003D785F">
              <w:rPr>
                <w:rFonts w:cs="Times New Roman"/>
                <w:b/>
                <w:color w:val="FFFFFF" w:themeColor="background1"/>
                <w:lang w:val="fr-CA"/>
              </w:rPr>
              <w:t>Objet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A7A7AFA" w14:textId="736F2467" w:rsidR="002C7A69" w:rsidRPr="00C505C3" w:rsidRDefault="002C7A69" w:rsidP="002C7A69">
            <w:pPr>
              <w:rPr>
                <w:rFonts w:cs="Times New Roman"/>
                <w:b/>
                <w:lang w:val="fr-CA"/>
              </w:rPr>
            </w:pPr>
            <w:r w:rsidRPr="003D785F">
              <w:rPr>
                <w:rFonts w:cs="Times New Roman"/>
                <w:b/>
                <w:color w:val="FFFFFF" w:themeColor="background1"/>
                <w:lang w:val="fr-CA"/>
              </w:rPr>
              <w:t>Modèle de rapport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7CCB877" w14:textId="13FBEA0E" w:rsidR="002C7A69" w:rsidRPr="00C505C3" w:rsidRDefault="002C7A69" w:rsidP="002C7A69">
            <w:pPr>
              <w:rPr>
                <w:rFonts w:cs="Times New Roman"/>
                <w:b/>
                <w:lang w:val="fr-CA"/>
              </w:rPr>
            </w:pPr>
            <w:r w:rsidRPr="003D785F">
              <w:rPr>
                <w:rFonts w:cs="Times New Roman"/>
                <w:b/>
                <w:color w:val="FFFFFF" w:themeColor="background1"/>
                <w:lang w:val="fr-CA"/>
              </w:rPr>
              <w:t>Date d’échéance</w:t>
            </w:r>
          </w:p>
        </w:tc>
      </w:tr>
      <w:tr w:rsidR="002C7A69" w:rsidRPr="00C505C3" w14:paraId="415EB53C" w14:textId="77777777" w:rsidTr="002C7A6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B866C0" w14:textId="31117C44" w:rsidR="002C7A69" w:rsidRPr="00C505C3" w:rsidRDefault="002C7A69" w:rsidP="00C505C3">
            <w:pPr>
              <w:rPr>
                <w:rFonts w:cs="Times New Roman"/>
                <w:b/>
                <w:lang w:val="fr-CA"/>
              </w:rPr>
            </w:pPr>
            <w:r w:rsidRPr="00C505C3">
              <w:rPr>
                <w:rFonts w:cs="Times New Roman"/>
                <w:lang w:val="fr-CA"/>
              </w:rPr>
              <w:t xml:space="preserve">Confirmation </w:t>
            </w:r>
            <w:r w:rsidR="00C505C3">
              <w:rPr>
                <w:rFonts w:cs="Times New Roman"/>
                <w:lang w:val="fr-CA"/>
              </w:rPr>
              <w:t>de l’accord au sujet du caractère suffisant des</w:t>
            </w:r>
            <w:r w:rsidRPr="00C505C3">
              <w:rPr>
                <w:rFonts w:cs="Times New Roman"/>
                <w:lang w:val="fr-CA"/>
              </w:rPr>
              <w:t> procédures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A9BE8" w14:textId="6D15BEFE" w:rsidR="002C7A69" w:rsidRPr="00C505C3" w:rsidRDefault="002C7A69" w:rsidP="00941FD6">
            <w:pPr>
              <w:pStyle w:val="TableBulletArial"/>
              <w:tabs>
                <w:tab w:val="clear" w:pos="288"/>
              </w:tabs>
              <w:ind w:left="241" w:hanging="241"/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val="fr-CA" w:eastAsia="fr-CA"/>
              </w:rPr>
            </w:pPr>
            <w:r w:rsidRPr="003D785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Annexe </w:t>
            </w:r>
            <w:r w:rsidRPr="003D785F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I</w:t>
            </w:r>
            <w:r w:rsidR="00941FD6" w:rsidRPr="003D785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BEA0B" w14:textId="06D901DE" w:rsidR="002C7A69" w:rsidRPr="00C505C3" w:rsidRDefault="00C505C3" w:rsidP="00C505C3">
            <w:pPr>
              <w:rPr>
                <w:rFonts w:cs="Times New Roman"/>
                <w:b/>
                <w:lang w:val="fr-CA"/>
              </w:rPr>
            </w:pPr>
            <w:r>
              <w:rPr>
                <w:rFonts w:cs="Times New Roman"/>
                <w:lang w:val="fr-CA"/>
              </w:rPr>
              <w:t>15 avril</w:t>
            </w:r>
            <w:r w:rsidR="002C7A69" w:rsidRPr="003D785F">
              <w:rPr>
                <w:rFonts w:cs="Times New Roman"/>
                <w:lang w:val="fr-CA"/>
              </w:rPr>
              <w:t xml:space="preserve"> 201X</w:t>
            </w:r>
            <w:r w:rsidR="00941FD6" w:rsidRPr="003D785F">
              <w:rPr>
                <w:rFonts w:cs="Times New Roman"/>
                <w:lang w:val="fr-CA"/>
              </w:rPr>
              <w:t xml:space="preserve"> </w:t>
            </w:r>
          </w:p>
        </w:tc>
      </w:tr>
    </w:tbl>
    <w:p w14:paraId="30E32A47" w14:textId="77777777" w:rsidR="003C2415" w:rsidRDefault="003C2415">
      <w:pPr>
        <w:rPr>
          <w:rFonts w:cs="Times New Roman"/>
          <w:b/>
          <w:lang w:val="fr-CA"/>
        </w:rPr>
      </w:pPr>
    </w:p>
    <w:p w14:paraId="6517855E" w14:textId="77777777" w:rsidR="005B63BF" w:rsidRDefault="005B63BF" w:rsidP="005B63BF">
      <w:pPr>
        <w:rPr>
          <w:rFonts w:cs="Times New Roman"/>
          <w:b/>
          <w:lang w:val="fr-CA"/>
        </w:rPr>
      </w:pPr>
    </w:p>
    <w:p w14:paraId="23F7662D" w14:textId="77777777" w:rsidR="005B63BF" w:rsidRPr="00AD13A5" w:rsidRDefault="005B63BF" w:rsidP="005B63BF">
      <w:pPr>
        <w:rPr>
          <w:rFonts w:cs="Times New Roman"/>
          <w:b/>
          <w:lang w:val="fr-CA"/>
        </w:rPr>
      </w:pPr>
      <w:r w:rsidRPr="00AD13A5">
        <w:rPr>
          <w:rFonts w:cs="Times New Roman"/>
          <w:b/>
          <w:lang w:val="fr-CA"/>
        </w:rPr>
        <w:t>IV – Établissement de rapports</w:t>
      </w:r>
    </w:p>
    <w:p w14:paraId="0C4DE92F" w14:textId="77777777" w:rsidR="005B63BF" w:rsidRPr="00AD13A5" w:rsidRDefault="005B63BF">
      <w:pPr>
        <w:rPr>
          <w:rFonts w:cs="Times New Roman"/>
          <w:b/>
          <w:lang w:val="fr-CA"/>
        </w:rPr>
      </w:pPr>
    </w:p>
    <w:p w14:paraId="4423A7B2" w14:textId="77777777" w:rsidR="005B63BF" w:rsidRDefault="005B63BF">
      <w:pPr>
        <w:rPr>
          <w:rFonts w:cs="Times New Roman"/>
          <w:lang w:val="fr-CA"/>
        </w:rPr>
      </w:pPr>
      <w:r w:rsidRPr="003D785F">
        <w:rPr>
          <w:rFonts w:cs="Times New Roman"/>
          <w:lang w:val="fr-CA"/>
        </w:rPr>
        <w:t>Nous avons inclus dans le présent protocole d’entente la confirmation suivante :</w:t>
      </w:r>
    </w:p>
    <w:p w14:paraId="112F386B" w14:textId="77777777" w:rsidR="005B63BF" w:rsidRDefault="005B63BF">
      <w:pPr>
        <w:rPr>
          <w:rFonts w:cs="Times New Roman"/>
          <w:lang w:val="fr-CA"/>
        </w:rPr>
      </w:pPr>
    </w:p>
    <w:tbl>
      <w:tblPr>
        <w:tblW w:w="8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2"/>
        <w:gridCol w:w="4072"/>
      </w:tblGrid>
      <w:tr w:rsidR="005B63BF" w:rsidRPr="0056214B" w14:paraId="03A6E07C" w14:textId="77777777" w:rsidTr="00085F57">
        <w:trPr>
          <w:trHeight w:val="316"/>
          <w:tblHeader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939C9D5" w14:textId="77777777" w:rsidR="005B63BF" w:rsidRPr="00C505C3" w:rsidRDefault="005B63BF" w:rsidP="00016EA1">
            <w:pPr>
              <w:rPr>
                <w:rFonts w:cs="Times New Roman"/>
                <w:b/>
                <w:lang w:val="fr-CA"/>
              </w:rPr>
            </w:pPr>
            <w:r w:rsidRPr="0056214B">
              <w:rPr>
                <w:rFonts w:cs="Times New Roman"/>
                <w:b/>
                <w:color w:val="FFFFFF" w:themeColor="background1"/>
                <w:lang w:val="fr-CA"/>
              </w:rPr>
              <w:t>Objet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900A834" w14:textId="3AB89260" w:rsidR="005B63BF" w:rsidRPr="00C505C3" w:rsidRDefault="005B63BF" w:rsidP="00016EA1">
            <w:pPr>
              <w:rPr>
                <w:rFonts w:cs="Times New Roman"/>
                <w:b/>
                <w:lang w:val="fr-CA"/>
              </w:rPr>
            </w:pPr>
            <w:r>
              <w:rPr>
                <w:rFonts w:cs="Times New Roman"/>
                <w:b/>
                <w:color w:val="FFFFFF" w:themeColor="background1"/>
                <w:lang w:val="fr-CA"/>
              </w:rPr>
              <w:t>Référence</w:t>
            </w:r>
          </w:p>
        </w:tc>
      </w:tr>
      <w:tr w:rsidR="005B63BF" w:rsidRPr="0056214B" w14:paraId="397F8197" w14:textId="77777777" w:rsidTr="003D785F">
        <w:trPr>
          <w:trHeight w:val="1598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EB2A4" w14:textId="173D694C" w:rsidR="005B63BF" w:rsidRPr="00C505C3" w:rsidRDefault="005B63BF">
            <w:pPr>
              <w:rPr>
                <w:rFonts w:cs="Times New Roman"/>
                <w:b/>
                <w:lang w:val="fr-CA"/>
              </w:rPr>
            </w:pPr>
            <w:r w:rsidRPr="00C505C3">
              <w:rPr>
                <w:rFonts w:cs="Times New Roman"/>
                <w:lang w:val="fr-CA"/>
              </w:rPr>
              <w:t xml:space="preserve">Confirmation </w:t>
            </w:r>
            <w:r>
              <w:rPr>
                <w:rFonts w:cs="Times New Roman"/>
                <w:lang w:val="fr-CA"/>
              </w:rPr>
              <w:t>de la conformité aux normes portant sur la documentation (selon le cas)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7FCE4" w14:textId="2B689916" w:rsidR="005B63BF" w:rsidRPr="00C505C3" w:rsidRDefault="005B63BF">
            <w:pPr>
              <w:pStyle w:val="TableBulletArial"/>
              <w:tabs>
                <w:tab w:val="clear" w:pos="288"/>
              </w:tabs>
              <w:ind w:left="241" w:hanging="241"/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val="fr-CA" w:eastAsia="fr-CA"/>
              </w:rPr>
            </w:pPr>
            <w:r w:rsidRPr="0056214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Annexe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s</w:t>
            </w:r>
            <w:r w:rsidRPr="0056214B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Pr="003D785F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 xml:space="preserve">J et M </w:t>
            </w:r>
          </w:p>
        </w:tc>
      </w:tr>
    </w:tbl>
    <w:p w14:paraId="5B941851" w14:textId="675550EA" w:rsidR="005B63BF" w:rsidRPr="005B63BF" w:rsidRDefault="005B63BF">
      <w:pPr>
        <w:rPr>
          <w:rFonts w:cs="Times New Roman"/>
          <w:b/>
          <w:lang w:val="fr-CA"/>
        </w:rPr>
      </w:pPr>
    </w:p>
    <w:p w14:paraId="4346E0EA" w14:textId="77777777" w:rsidR="005B63BF" w:rsidRDefault="005B63BF">
      <w:pPr>
        <w:rPr>
          <w:rFonts w:cs="Times New Roman"/>
          <w:b/>
          <w:lang w:val="fr-CA"/>
        </w:rPr>
      </w:pPr>
    </w:p>
    <w:p w14:paraId="5A971E2E" w14:textId="77777777" w:rsidR="003C2415" w:rsidRPr="00AD13A5" w:rsidRDefault="003C2415">
      <w:pPr>
        <w:rPr>
          <w:rFonts w:cs="Times New Roman"/>
          <w:b/>
          <w:lang w:val="fr-CA"/>
        </w:rPr>
      </w:pPr>
    </w:p>
    <w:p w14:paraId="726DC25E" w14:textId="271553E6" w:rsidR="003C2415" w:rsidRPr="00AD13A5" w:rsidRDefault="003C2415">
      <w:p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 xml:space="preserve">Une fois le travail effectué, nous fournirons </w:t>
      </w:r>
      <w:r w:rsidR="008E4DBF">
        <w:rPr>
          <w:rFonts w:cs="Times New Roman"/>
          <w:lang w:val="fr-CA"/>
        </w:rPr>
        <w:t xml:space="preserve">le rapport sur les procédures spécifiées </w:t>
      </w:r>
      <w:r w:rsidR="005A5230">
        <w:rPr>
          <w:rFonts w:cs="Times New Roman"/>
          <w:lang w:val="fr-CA"/>
        </w:rPr>
        <w:t>avec</w:t>
      </w:r>
      <w:r w:rsidR="008E4DBF">
        <w:rPr>
          <w:rFonts w:cs="Times New Roman"/>
          <w:lang w:val="fr-CA"/>
        </w:rPr>
        <w:t xml:space="preserve"> </w:t>
      </w:r>
      <w:r w:rsidRPr="00AD13A5">
        <w:rPr>
          <w:rFonts w:cs="Times New Roman"/>
          <w:lang w:val="fr-CA"/>
        </w:rPr>
        <w:t>la documentation d</w:t>
      </w:r>
      <w:r w:rsidR="00023FF3">
        <w:rPr>
          <w:rFonts w:cs="Times New Roman"/>
          <w:lang w:val="fr-CA"/>
        </w:rPr>
        <w:t>’appui </w:t>
      </w:r>
      <w:r w:rsidRPr="00AD13A5">
        <w:rPr>
          <w:rFonts w:cs="Times New Roman"/>
          <w:lang w:val="fr-CA"/>
        </w:rPr>
        <w:t>suivante.</w:t>
      </w:r>
      <w:r w:rsidR="00023FF3">
        <w:rPr>
          <w:rFonts w:cs="Times New Roman"/>
          <w:lang w:val="fr-CA"/>
        </w:rPr>
        <w:t> </w:t>
      </w:r>
      <w:r w:rsidRPr="00AD13A5">
        <w:rPr>
          <w:rFonts w:cs="Times New Roman"/>
          <w:lang w:val="fr-CA"/>
        </w:rPr>
        <w:t>Cette information doit être intégrée dans vos documents de travail respectifs afin d</w:t>
      </w:r>
      <w:r w:rsidR="00023FF3">
        <w:rPr>
          <w:rFonts w:cs="Times New Roman"/>
          <w:lang w:val="fr-CA"/>
        </w:rPr>
        <w:t xml:space="preserve">e veiller à ce </w:t>
      </w:r>
      <w:r w:rsidRPr="00AD13A5">
        <w:rPr>
          <w:rFonts w:cs="Times New Roman"/>
          <w:lang w:val="fr-CA"/>
        </w:rPr>
        <w:t>que vos audits so</w:t>
      </w:r>
      <w:r w:rsidR="00023FF3">
        <w:rPr>
          <w:rFonts w:cs="Times New Roman"/>
          <w:lang w:val="fr-CA"/>
        </w:rPr>
        <w:t>ie</w:t>
      </w:r>
      <w:r w:rsidRPr="00AD13A5">
        <w:rPr>
          <w:rFonts w:cs="Times New Roman"/>
          <w:lang w:val="fr-CA"/>
        </w:rPr>
        <w:t>nt conformes aux exigences des N</w:t>
      </w:r>
      <w:r w:rsidR="00023FF3">
        <w:rPr>
          <w:rFonts w:cs="Times New Roman"/>
          <w:lang w:val="fr-CA"/>
        </w:rPr>
        <w:t>A</w:t>
      </w:r>
      <w:r w:rsidRPr="00AD13A5">
        <w:rPr>
          <w:rFonts w:cs="Times New Roman"/>
          <w:lang w:val="fr-CA"/>
        </w:rPr>
        <w:t xml:space="preserve">GR eu égard à la documentation étayant </w:t>
      </w:r>
      <w:r w:rsidR="00625C69">
        <w:rPr>
          <w:rFonts w:cs="Times New Roman"/>
          <w:lang w:val="fr-CA"/>
        </w:rPr>
        <w:t xml:space="preserve">une </w:t>
      </w:r>
      <w:r w:rsidRPr="00AD13A5">
        <w:rPr>
          <w:rFonts w:cs="Times New Roman"/>
          <w:lang w:val="fr-CA"/>
        </w:rPr>
        <w:t>compréhension</w:t>
      </w:r>
      <w:r w:rsidR="00625C69">
        <w:rPr>
          <w:rFonts w:cs="Times New Roman"/>
          <w:lang w:val="fr-CA"/>
        </w:rPr>
        <w:t xml:space="preserve"> suffisante </w:t>
      </w:r>
      <w:r w:rsidRPr="00AD13A5">
        <w:rPr>
          <w:rFonts w:cs="Times New Roman"/>
          <w:lang w:val="fr-CA"/>
        </w:rPr>
        <w:t xml:space="preserve">des contrôles internes </w:t>
      </w:r>
      <w:r w:rsidR="00625C69">
        <w:rPr>
          <w:rFonts w:cs="Times New Roman"/>
          <w:lang w:val="fr-CA"/>
        </w:rPr>
        <w:t xml:space="preserve">qui vous permet </w:t>
      </w:r>
      <w:r w:rsidRPr="00AD13A5">
        <w:rPr>
          <w:rFonts w:cs="Times New Roman"/>
          <w:lang w:val="fr-CA"/>
        </w:rPr>
        <w:t>de planifier vos audits.</w:t>
      </w:r>
    </w:p>
    <w:p w14:paraId="77C6936B" w14:textId="77777777" w:rsidR="003C2415" w:rsidRDefault="003C2415">
      <w:pPr>
        <w:rPr>
          <w:rFonts w:cs="Times New Roman"/>
          <w:b/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2806"/>
        <w:gridCol w:w="2675"/>
      </w:tblGrid>
      <w:tr w:rsidR="002542BA" w:rsidRPr="00D56589" w14:paraId="71037D97" w14:textId="77777777" w:rsidTr="00085F57">
        <w:trPr>
          <w:tblHeader/>
        </w:trPr>
        <w:tc>
          <w:tcPr>
            <w:tcW w:w="3359" w:type="dxa"/>
            <w:shd w:val="clear" w:color="auto" w:fill="1F497D" w:themeFill="text2"/>
          </w:tcPr>
          <w:p w14:paraId="16D0D23E" w14:textId="0694F43E" w:rsidR="0054146D" w:rsidRPr="003D785F" w:rsidRDefault="0054146D" w:rsidP="00C270AA">
            <w:pPr>
              <w:pStyle w:val="TableTitleArial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3D785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Objet</w:t>
            </w:r>
          </w:p>
        </w:tc>
        <w:tc>
          <w:tcPr>
            <w:tcW w:w="3359" w:type="dxa"/>
            <w:shd w:val="clear" w:color="auto" w:fill="1F497D" w:themeFill="text2"/>
          </w:tcPr>
          <w:p w14:paraId="641E4A3F" w14:textId="1444C9F5" w:rsidR="0054146D" w:rsidRPr="003D785F" w:rsidRDefault="0054146D" w:rsidP="00C270AA">
            <w:pPr>
              <w:pStyle w:val="TableTitleArial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3D785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Modèle du rapport</w:t>
            </w:r>
          </w:p>
        </w:tc>
        <w:tc>
          <w:tcPr>
            <w:tcW w:w="3360" w:type="dxa"/>
            <w:shd w:val="clear" w:color="auto" w:fill="1F497D" w:themeFill="text2"/>
          </w:tcPr>
          <w:p w14:paraId="791335CA" w14:textId="2FF8E29E" w:rsidR="0054146D" w:rsidRPr="003D785F" w:rsidRDefault="0054146D" w:rsidP="0054146D">
            <w:pPr>
              <w:pStyle w:val="TableTitleArial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3D785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Date d’échéance</w:t>
            </w:r>
          </w:p>
        </w:tc>
      </w:tr>
      <w:tr w:rsidR="0054146D" w:rsidRPr="00D56589" w14:paraId="52E133B6" w14:textId="77777777" w:rsidTr="003D785F">
        <w:tc>
          <w:tcPr>
            <w:tcW w:w="10078" w:type="dxa"/>
            <w:gridSpan w:val="3"/>
            <w:shd w:val="clear" w:color="auto" w:fill="95B3D7" w:themeFill="accent1" w:themeFillTint="99"/>
          </w:tcPr>
          <w:p w14:paraId="2DF609C2" w14:textId="1F2BB9C8" w:rsidR="0054146D" w:rsidRPr="003D785F" w:rsidRDefault="0054146D" w:rsidP="0054146D">
            <w:pPr>
              <w:pStyle w:val="TableSecondLevelArial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3D785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Contrôles internes</w:t>
            </w:r>
          </w:p>
        </w:tc>
      </w:tr>
      <w:tr w:rsidR="002542BA" w:rsidRPr="00D56589" w14:paraId="23C014A3" w14:textId="77777777" w:rsidTr="003D785F">
        <w:tc>
          <w:tcPr>
            <w:tcW w:w="3359" w:type="dxa"/>
            <w:shd w:val="clear" w:color="auto" w:fill="D9D9D9" w:themeFill="background1" w:themeFillShade="D9"/>
          </w:tcPr>
          <w:p w14:paraId="2489BDF6" w14:textId="00AA04B5" w:rsidR="0054146D" w:rsidRPr="00153797" w:rsidRDefault="0054146D" w:rsidP="0054146D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6589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Communication de la mise en correspondance des processus et sous</w:t>
            </w:r>
            <w:r w:rsidRPr="00D56589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noBreakHyphen/>
              <w:t>processus et de la documentation des comptes des états financiers, mise en correspondance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14:paraId="53494EF9" w14:textId="4CBE6452" w:rsidR="0054146D" w:rsidRPr="003D785F" w:rsidRDefault="0054146D" w:rsidP="00C270AA">
            <w:pPr>
              <w:pStyle w:val="TableBulle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3D785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Annexe A – remplie</w:t>
            </w:r>
          </w:p>
        </w:tc>
        <w:tc>
          <w:tcPr>
            <w:tcW w:w="3360" w:type="dxa"/>
            <w:shd w:val="clear" w:color="auto" w:fill="D9D9D9" w:themeFill="background1" w:themeFillShade="D9"/>
          </w:tcPr>
          <w:p w14:paraId="3E6780AC" w14:textId="7840746B" w:rsidR="0054146D" w:rsidRPr="003D785F" w:rsidRDefault="00153797" w:rsidP="00153797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XX janvier</w:t>
            </w:r>
            <w:r w:rsidR="0054146D" w:rsidRPr="003D785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201X</w:t>
            </w:r>
          </w:p>
        </w:tc>
      </w:tr>
      <w:tr w:rsidR="002542BA" w:rsidRPr="00D56589" w14:paraId="0F0CD9E6" w14:textId="77777777" w:rsidTr="003D785F">
        <w:tc>
          <w:tcPr>
            <w:tcW w:w="3359" w:type="dxa"/>
            <w:shd w:val="clear" w:color="auto" w:fill="D9D9D9" w:themeFill="background1" w:themeFillShade="D9"/>
          </w:tcPr>
          <w:p w14:paraId="1AE47600" w14:textId="5BBF3337" w:rsidR="0054146D" w:rsidRPr="00153797" w:rsidRDefault="0054146D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6589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Résultats des procédures rel</w:t>
            </w:r>
            <w:r w:rsidRPr="0015379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atives aux contrôles internes </w:t>
            </w:r>
            <w:r w:rsidR="002542BA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de</w:t>
            </w:r>
            <w:r w:rsidRPr="0015379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l’information financière qui sont décrites dans les annexes A, B, C et G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14:paraId="498FAE19" w14:textId="794D782D" w:rsidR="0054146D" w:rsidRPr="003D785F" w:rsidRDefault="0054146D" w:rsidP="00C270AA">
            <w:pPr>
              <w:pStyle w:val="TableBulle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3D785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Annexes A, B, C, </w:t>
            </w:r>
            <w:r w:rsidRPr="003D785F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G -remplies</w:t>
            </w:r>
          </w:p>
        </w:tc>
        <w:tc>
          <w:tcPr>
            <w:tcW w:w="3360" w:type="dxa"/>
            <w:shd w:val="clear" w:color="auto" w:fill="D9D9D9" w:themeFill="background1" w:themeFillShade="D9"/>
          </w:tcPr>
          <w:p w14:paraId="2816D597" w14:textId="511CB90B" w:rsidR="0054146D" w:rsidRPr="003D785F" w:rsidRDefault="00153797" w:rsidP="00153797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XX janvier</w:t>
            </w:r>
            <w:r w:rsidR="0054146D" w:rsidRPr="003D785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201X</w:t>
            </w:r>
          </w:p>
        </w:tc>
      </w:tr>
      <w:tr w:rsidR="0054146D" w:rsidRPr="00D56589" w14:paraId="32538842" w14:textId="77777777" w:rsidTr="003D785F">
        <w:tc>
          <w:tcPr>
            <w:tcW w:w="10078" w:type="dxa"/>
            <w:gridSpan w:val="3"/>
            <w:shd w:val="clear" w:color="auto" w:fill="95B3D7" w:themeFill="accent1" w:themeFillTint="99"/>
          </w:tcPr>
          <w:p w14:paraId="7B101070" w14:textId="4A5F1335" w:rsidR="0054146D" w:rsidRPr="00D56589" w:rsidRDefault="0054146D" w:rsidP="00C270AA">
            <w:pPr>
              <w:pStyle w:val="TableSecondLevelArial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D5658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Procédures de corroboration</w:t>
            </w:r>
          </w:p>
        </w:tc>
      </w:tr>
      <w:tr w:rsidR="002542BA" w:rsidRPr="00D56589" w14:paraId="0B696934" w14:textId="77777777" w:rsidTr="003D785F">
        <w:tc>
          <w:tcPr>
            <w:tcW w:w="3359" w:type="dxa"/>
            <w:shd w:val="clear" w:color="auto" w:fill="D9D9D9" w:themeFill="background1" w:themeFillShade="D9"/>
          </w:tcPr>
          <w:p w14:paraId="499F1149" w14:textId="6B6DFE8F" w:rsidR="0054146D" w:rsidRPr="00153797" w:rsidRDefault="0054146D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6589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Constatations découlant des procédures de corroboration</w:t>
            </w:r>
            <w:r w:rsidRPr="00153797">
              <w:rPr>
                <w:rFonts w:cs="Times New Roman"/>
                <w:lang w:val="fr-CA"/>
              </w:rPr>
              <w:t xml:space="preserve"> </w:t>
            </w:r>
            <w:r w:rsidRPr="00153797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(signalées à titre exceptionnel)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14:paraId="7666F808" w14:textId="08322CE9" w:rsidR="0054146D" w:rsidRPr="00D56589" w:rsidRDefault="0054146D" w:rsidP="00A10C08">
            <w:pPr>
              <w:pStyle w:val="TableSecondLevelArial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53797">
              <w:rPr>
                <w:rFonts w:ascii="Times New Roman" w:hAnsi="Times New Roman" w:cs="Times New Roman"/>
                <w:color w:val="auto"/>
                <w:sz w:val="24"/>
                <w:szCs w:val="24"/>
                <w:lang w:val="fr-CA"/>
              </w:rPr>
              <w:t xml:space="preserve">Intégré dans le Mémoire sur l’examen (Annexe </w:t>
            </w:r>
            <w:r w:rsidRPr="0015379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CA"/>
              </w:rPr>
              <w:t>K</w:t>
            </w:r>
            <w:r w:rsidRPr="00153797">
              <w:rPr>
                <w:rFonts w:ascii="Times New Roman" w:hAnsi="Times New Roman" w:cs="Times New Roman"/>
                <w:color w:val="auto"/>
                <w:sz w:val="24"/>
                <w:szCs w:val="24"/>
                <w:lang w:val="fr-CA"/>
              </w:rPr>
              <w:t>)</w:t>
            </w:r>
          </w:p>
        </w:tc>
        <w:tc>
          <w:tcPr>
            <w:tcW w:w="3360" w:type="dxa"/>
            <w:shd w:val="clear" w:color="auto" w:fill="D9D9D9" w:themeFill="background1" w:themeFillShade="D9"/>
          </w:tcPr>
          <w:p w14:paraId="674634ED" w14:textId="55F3C2B2" w:rsidR="0054146D" w:rsidRPr="003D785F" w:rsidRDefault="002542B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XX janvier </w:t>
            </w:r>
            <w:r w:rsidR="0054146D" w:rsidRPr="003D785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201X</w:t>
            </w:r>
          </w:p>
        </w:tc>
      </w:tr>
      <w:tr w:rsidR="002542BA" w:rsidRPr="00D56589" w14:paraId="120388FE" w14:textId="77777777" w:rsidTr="003D785F">
        <w:tc>
          <w:tcPr>
            <w:tcW w:w="3359" w:type="dxa"/>
            <w:shd w:val="clear" w:color="auto" w:fill="D9D9D9" w:themeFill="background1" w:themeFillShade="D9"/>
          </w:tcPr>
          <w:p w14:paraId="65F5A217" w14:textId="5D620293" w:rsidR="0054146D" w:rsidRPr="00153797" w:rsidRDefault="000945DE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6589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Procédures d’examen des événements postérieurs à la clôture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14:paraId="1B584105" w14:textId="03810F7E" w:rsidR="0054146D" w:rsidRPr="00153797" w:rsidRDefault="00AD00AC" w:rsidP="00AD00AC">
            <w:pPr>
              <w:pStyle w:val="TableSecondLevelArial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fr-CA"/>
              </w:rPr>
              <w:t>Examen des événements postérieurs à la clôture</w:t>
            </w:r>
            <w:r w:rsidR="000945DE" w:rsidRPr="00153797">
              <w:rPr>
                <w:rFonts w:ascii="Times New Roman" w:hAnsi="Times New Roman" w:cs="Times New Roman"/>
                <w:color w:val="auto"/>
                <w:sz w:val="24"/>
                <w:szCs w:val="24"/>
                <w:lang w:val="fr-CA"/>
              </w:rPr>
              <w:t xml:space="preserve"> (Annexe </w:t>
            </w:r>
            <w:r w:rsidR="000945DE" w:rsidRPr="0015379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CA"/>
              </w:rPr>
              <w:t>L</w:t>
            </w:r>
            <w:r w:rsidR="000945DE" w:rsidRPr="00153797">
              <w:rPr>
                <w:rFonts w:ascii="Times New Roman" w:hAnsi="Times New Roman" w:cs="Times New Roman"/>
                <w:color w:val="auto"/>
                <w:sz w:val="24"/>
                <w:szCs w:val="24"/>
                <w:lang w:val="fr-CA"/>
              </w:rPr>
              <w:t>)</w:t>
            </w:r>
          </w:p>
        </w:tc>
        <w:tc>
          <w:tcPr>
            <w:tcW w:w="3360" w:type="dxa"/>
            <w:shd w:val="clear" w:color="auto" w:fill="D9D9D9" w:themeFill="background1" w:themeFillShade="D9"/>
          </w:tcPr>
          <w:p w14:paraId="23C32F8A" w14:textId="093C0CAC" w:rsidR="0054146D" w:rsidRPr="003D785F" w:rsidRDefault="002542B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XX février </w:t>
            </w:r>
            <w:r w:rsidR="0054146D" w:rsidRPr="003D785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201X</w:t>
            </w:r>
          </w:p>
        </w:tc>
      </w:tr>
      <w:tr w:rsidR="002542BA" w:rsidRPr="00D56589" w14:paraId="45761A6D" w14:textId="77777777" w:rsidTr="003D785F">
        <w:tc>
          <w:tcPr>
            <w:tcW w:w="3359" w:type="dxa"/>
            <w:shd w:val="clear" w:color="auto" w:fill="D9D9D9" w:themeFill="background1" w:themeFillShade="D9"/>
          </w:tcPr>
          <w:p w14:paraId="2CAB332B" w14:textId="7A21E0CF" w:rsidR="0054146D" w:rsidRPr="00153797" w:rsidRDefault="002542B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Confirmation de l’achèvement – Normes relatives à la documentation de l’audit</w:t>
            </w:r>
            <w:r w:rsidRPr="00D56589" w:rsidDel="002542BA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="0054146D" w:rsidRPr="00D56589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br/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14:paraId="3ED6C99E" w14:textId="00BA6DB9" w:rsidR="0054146D" w:rsidRPr="003D785F" w:rsidRDefault="0054146D">
            <w:pPr>
              <w:pStyle w:val="TableBulle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3D785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</w:t>
            </w:r>
            <w:r w:rsidR="002542BA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nnexe</w:t>
            </w:r>
            <w:r w:rsidRPr="003D785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Pr="003D785F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M</w:t>
            </w:r>
          </w:p>
        </w:tc>
        <w:tc>
          <w:tcPr>
            <w:tcW w:w="3360" w:type="dxa"/>
            <w:shd w:val="clear" w:color="auto" w:fill="D9D9D9" w:themeFill="background1" w:themeFillShade="D9"/>
          </w:tcPr>
          <w:p w14:paraId="510199CC" w14:textId="0B1003E3" w:rsidR="0054146D" w:rsidRPr="003D785F" w:rsidRDefault="002542B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X mars</w:t>
            </w:r>
            <w:r w:rsidR="0054146D" w:rsidRPr="003D785F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201X</w:t>
            </w:r>
          </w:p>
        </w:tc>
      </w:tr>
    </w:tbl>
    <w:p w14:paraId="4729E980" w14:textId="77777777" w:rsidR="0054146D" w:rsidRDefault="0054146D">
      <w:pPr>
        <w:rPr>
          <w:rFonts w:cs="Times New Roman"/>
          <w:b/>
          <w:lang w:val="fr-CA"/>
        </w:rPr>
      </w:pPr>
    </w:p>
    <w:p w14:paraId="12185F9E" w14:textId="77777777" w:rsidR="0054146D" w:rsidRPr="00AD13A5" w:rsidRDefault="0054146D">
      <w:pPr>
        <w:rPr>
          <w:rFonts w:cs="Times New Roman"/>
          <w:b/>
          <w:lang w:val="fr-CA"/>
        </w:rPr>
      </w:pPr>
    </w:p>
    <w:p w14:paraId="6FD90D6D" w14:textId="77777777" w:rsidR="003C2415" w:rsidRPr="00AD13A5" w:rsidRDefault="003C2415">
      <w:pPr>
        <w:rPr>
          <w:rFonts w:cs="Times New Roman"/>
          <w:b/>
          <w:lang w:val="fr-CA"/>
        </w:rPr>
      </w:pPr>
    </w:p>
    <w:p w14:paraId="74E4FF5D" w14:textId="77777777" w:rsidR="003C2415" w:rsidRPr="00AD13A5" w:rsidRDefault="003C2415">
      <w:pPr>
        <w:rPr>
          <w:rFonts w:cs="Times New Roman"/>
          <w:b/>
          <w:lang w:val="fr-CA"/>
        </w:rPr>
      </w:pPr>
    </w:p>
    <w:p w14:paraId="10257ADD" w14:textId="56FDD369" w:rsidR="003C2415" w:rsidRPr="00AD13A5" w:rsidRDefault="003C2415" w:rsidP="00A10C08">
      <w:pPr>
        <w:pStyle w:val="Style2"/>
        <w:outlineLvl w:val="0"/>
        <w:rPr>
          <w:lang w:val="fr-CA"/>
        </w:rPr>
      </w:pPr>
      <w:r w:rsidRPr="00AD13A5">
        <w:rPr>
          <w:lang w:val="fr-CA"/>
        </w:rPr>
        <w:br w:type="page"/>
      </w:r>
      <w:bookmarkStart w:id="4" w:name="_Toc9421269"/>
      <w:r w:rsidRPr="00AD13A5">
        <w:rPr>
          <w:lang w:val="fr-CA"/>
        </w:rPr>
        <w:t>Annexe A – Documentation des processus et systèmes</w:t>
      </w:r>
      <w:bookmarkEnd w:id="4"/>
    </w:p>
    <w:p w14:paraId="08E72F4E" w14:textId="77777777" w:rsidR="003C2415" w:rsidRPr="00AD13A5" w:rsidRDefault="003C2415">
      <w:pPr>
        <w:rPr>
          <w:rFonts w:cs="Times New Roman"/>
          <w:b/>
          <w:lang w:val="fr-CA"/>
        </w:rPr>
      </w:pPr>
    </w:p>
    <w:p w14:paraId="280E6D99" w14:textId="2C9CA4DF" w:rsidR="003C2415" w:rsidRDefault="00625C69" w:rsidP="0004212C">
      <w:pPr>
        <w:rPr>
          <w:rFonts w:cs="Times New Roman"/>
          <w:lang w:val="fr-CA"/>
        </w:rPr>
      </w:pPr>
      <w:r>
        <w:rPr>
          <w:rFonts w:cs="Times New Roman"/>
          <w:lang w:val="fr-CA"/>
        </w:rPr>
        <w:t xml:space="preserve">Identifier </w:t>
      </w:r>
      <w:r w:rsidR="003C2415" w:rsidRPr="00AD13A5">
        <w:rPr>
          <w:rFonts w:cs="Times New Roman"/>
          <w:lang w:val="fr-CA"/>
        </w:rPr>
        <w:t>tous les processus et sous-processus à inclure dans l’étendue de l’audit afin de traiter toutes les a</w:t>
      </w:r>
      <w:r>
        <w:rPr>
          <w:rFonts w:cs="Times New Roman"/>
          <w:lang w:val="fr-CA"/>
        </w:rPr>
        <w:t xml:space="preserve">ssertions des </w:t>
      </w:r>
      <w:r w:rsidR="003C2415" w:rsidRPr="00AD13A5">
        <w:rPr>
          <w:rFonts w:cs="Times New Roman"/>
          <w:lang w:val="fr-CA"/>
        </w:rPr>
        <w:t xml:space="preserve">états financiers et </w:t>
      </w:r>
      <w:r>
        <w:rPr>
          <w:rFonts w:cs="Times New Roman"/>
          <w:lang w:val="fr-CA"/>
        </w:rPr>
        <w:t xml:space="preserve">les </w:t>
      </w:r>
      <w:r w:rsidR="003C2415" w:rsidRPr="00AD13A5">
        <w:rPr>
          <w:rFonts w:cs="Times New Roman"/>
          <w:lang w:val="fr-CA"/>
        </w:rPr>
        <w:t xml:space="preserve">objectifs de contrôle au sujet desquels les utilisateurs finaux </w:t>
      </w:r>
      <w:r w:rsidR="00F664FC">
        <w:rPr>
          <w:rFonts w:cs="Times New Roman"/>
          <w:lang w:val="fr-CA"/>
        </w:rPr>
        <w:t xml:space="preserve">demandera </w:t>
      </w:r>
      <w:r w:rsidR="00557291">
        <w:rPr>
          <w:rFonts w:cs="Times New Roman"/>
          <w:lang w:val="fr-CA"/>
        </w:rPr>
        <w:t xml:space="preserve"> des éléments probants</w:t>
      </w:r>
      <w:r w:rsidR="003C2415" w:rsidRPr="00AD13A5">
        <w:rPr>
          <w:rFonts w:cs="Times New Roman"/>
          <w:lang w:val="fr-CA"/>
        </w:rPr>
        <w:t>.</w:t>
      </w:r>
      <w:r w:rsidR="00E211BD" w:rsidRPr="00AD13A5">
        <w:rPr>
          <w:rFonts w:cs="Times New Roman"/>
          <w:lang w:val="fr-CA"/>
        </w:rPr>
        <w:t xml:space="preserve"> </w:t>
      </w:r>
      <w:r w:rsidR="003C2415" w:rsidRPr="00AD13A5">
        <w:rPr>
          <w:rFonts w:cs="Times New Roman"/>
          <w:lang w:val="fr-CA"/>
        </w:rPr>
        <w:t>L</w:t>
      </w:r>
      <w:r>
        <w:rPr>
          <w:rFonts w:cs="Times New Roman"/>
          <w:lang w:val="fr-CA"/>
        </w:rPr>
        <w:t xml:space="preserve">a mise en correspondance </w:t>
      </w:r>
      <w:r w:rsidR="003C2415" w:rsidRPr="00AD13A5">
        <w:rPr>
          <w:rFonts w:cs="Times New Roman"/>
          <w:lang w:val="fr-CA"/>
        </w:rPr>
        <w:t>d</w:t>
      </w:r>
      <w:r w:rsidR="002542BA">
        <w:rPr>
          <w:rFonts w:cs="Times New Roman"/>
          <w:lang w:val="fr-CA"/>
        </w:rPr>
        <w:t>oit</w:t>
      </w:r>
      <w:r w:rsidR="003C2415" w:rsidRPr="00AD13A5">
        <w:rPr>
          <w:rFonts w:cs="Times New Roman"/>
          <w:lang w:val="fr-CA"/>
        </w:rPr>
        <w:t xml:space="preserve"> être inclus</w:t>
      </w:r>
      <w:r>
        <w:rPr>
          <w:rFonts w:cs="Times New Roman"/>
          <w:lang w:val="fr-CA"/>
        </w:rPr>
        <w:t>e</w:t>
      </w:r>
      <w:r w:rsidR="003C2415" w:rsidRPr="00AD13A5">
        <w:rPr>
          <w:rFonts w:cs="Times New Roman"/>
          <w:lang w:val="fr-CA"/>
        </w:rPr>
        <w:t xml:space="preserve"> dans les </w:t>
      </w:r>
      <w:r w:rsidR="002542BA">
        <w:rPr>
          <w:rFonts w:cs="Times New Roman"/>
          <w:lang w:val="fr-CA"/>
        </w:rPr>
        <w:t xml:space="preserve">dossiers d’audit de </w:t>
      </w:r>
      <w:proofErr w:type="spellStart"/>
      <w:r w:rsidR="002542BA">
        <w:rPr>
          <w:rFonts w:cs="Times New Roman"/>
          <w:lang w:val="fr-CA"/>
        </w:rPr>
        <w:t>TeamMate</w:t>
      </w:r>
      <w:proofErr w:type="spellEnd"/>
      <w:r w:rsidR="002542BA">
        <w:rPr>
          <w:rFonts w:cs="Times New Roman"/>
          <w:lang w:val="fr-CA"/>
        </w:rPr>
        <w:t xml:space="preserve">, selon le cas, </w:t>
      </w:r>
      <w:r>
        <w:rPr>
          <w:rFonts w:cs="Times New Roman"/>
          <w:lang w:val="fr-CA"/>
        </w:rPr>
        <w:t xml:space="preserve">des équipes </w:t>
      </w:r>
      <w:r w:rsidR="003C2415" w:rsidRPr="00AD13A5">
        <w:rPr>
          <w:rFonts w:cs="Times New Roman"/>
          <w:lang w:val="fr-CA"/>
        </w:rPr>
        <w:t>affectée</w:t>
      </w:r>
      <w:r>
        <w:rPr>
          <w:rFonts w:cs="Times New Roman"/>
          <w:lang w:val="fr-CA"/>
        </w:rPr>
        <w:t>s</w:t>
      </w:r>
      <w:r w:rsidR="003C2415" w:rsidRPr="00AD13A5">
        <w:rPr>
          <w:rFonts w:cs="Times New Roman"/>
          <w:lang w:val="fr-CA"/>
        </w:rPr>
        <w:t xml:space="preserve"> à l’audit du groupe</w:t>
      </w:r>
      <w:r w:rsidR="0004212C">
        <w:rPr>
          <w:rFonts w:cs="Times New Roman"/>
          <w:lang w:val="fr-CA"/>
        </w:rPr>
        <w:t xml:space="preserve">, </w:t>
      </w:r>
      <w:r>
        <w:rPr>
          <w:rFonts w:cs="Times New Roman"/>
          <w:lang w:val="fr-CA"/>
        </w:rPr>
        <w:t xml:space="preserve">à </w:t>
      </w:r>
      <w:r w:rsidR="003C2415" w:rsidRPr="00AD13A5">
        <w:rPr>
          <w:rFonts w:cs="Times New Roman"/>
          <w:lang w:val="fr-CA"/>
        </w:rPr>
        <w:t xml:space="preserve">l’audit légal et </w:t>
      </w:r>
      <w:r>
        <w:rPr>
          <w:rFonts w:cs="Times New Roman"/>
          <w:lang w:val="fr-CA"/>
        </w:rPr>
        <w:t xml:space="preserve">à l’audit </w:t>
      </w:r>
      <w:r w:rsidR="003C2415" w:rsidRPr="00AD13A5">
        <w:rPr>
          <w:rFonts w:cs="Times New Roman"/>
          <w:lang w:val="fr-CA"/>
        </w:rPr>
        <w:t>de composante afin d</w:t>
      </w:r>
      <w:r>
        <w:rPr>
          <w:rFonts w:cs="Times New Roman"/>
          <w:lang w:val="fr-CA"/>
        </w:rPr>
        <w:t xml:space="preserve">e garantir </w:t>
      </w:r>
      <w:r w:rsidR="003C2415" w:rsidRPr="00AD13A5">
        <w:rPr>
          <w:rFonts w:cs="Times New Roman"/>
          <w:lang w:val="fr-CA"/>
        </w:rPr>
        <w:t>que toutes les a</w:t>
      </w:r>
      <w:r>
        <w:rPr>
          <w:rFonts w:cs="Times New Roman"/>
          <w:lang w:val="fr-CA"/>
        </w:rPr>
        <w:t xml:space="preserve">ssertions </w:t>
      </w:r>
      <w:r w:rsidR="003C2415" w:rsidRPr="00AD13A5">
        <w:rPr>
          <w:rFonts w:cs="Times New Roman"/>
          <w:lang w:val="fr-CA"/>
        </w:rPr>
        <w:t xml:space="preserve">et tous les objectifs de contrôle sont traités – reportez-vous au modèle ci-dessous : </w:t>
      </w:r>
    </w:p>
    <w:p w14:paraId="4ED90B25" w14:textId="77777777" w:rsidR="000A3A12" w:rsidRDefault="000A3A12" w:rsidP="0004212C">
      <w:pPr>
        <w:rPr>
          <w:rFonts w:cs="Times New Roman"/>
          <w:lang w:val="fr-CA"/>
        </w:rPr>
      </w:pPr>
    </w:p>
    <w:tbl>
      <w:tblPr>
        <w:tblW w:w="93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260"/>
        <w:gridCol w:w="1080"/>
        <w:gridCol w:w="1260"/>
        <w:gridCol w:w="1080"/>
        <w:gridCol w:w="545"/>
        <w:gridCol w:w="851"/>
      </w:tblGrid>
      <w:tr w:rsidR="000A3A12" w:rsidRPr="000A3A12" w14:paraId="6DE3C6AB" w14:textId="77777777" w:rsidTr="00085F57">
        <w:trPr>
          <w:trHeight w:val="925"/>
          <w:tblHeader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2258AFAF" w14:textId="39A3F18D" w:rsidR="000A3A12" w:rsidRPr="007867A6" w:rsidRDefault="00C270AA" w:rsidP="00C270AA">
            <w:pPr>
              <w:pStyle w:val="TableTitleArial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7867A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Entrées et sorties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447C9EA2" w14:textId="514992F6" w:rsidR="000A3A12" w:rsidRPr="00C270AA" w:rsidRDefault="000A3A12" w:rsidP="00C270AA">
            <w:pPr>
              <w:pStyle w:val="TableTitleArial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C270A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</w:t>
            </w:r>
            <w:r w:rsidR="00C270A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ous-</w:t>
            </w:r>
            <w:proofErr w:type="spellStart"/>
            <w:r w:rsidR="00C270A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processus</w:t>
            </w:r>
            <w:proofErr w:type="spellEnd"/>
            <w:r w:rsidRPr="00C270A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/</w:t>
            </w:r>
            <w:proofErr w:type="spellStart"/>
            <w:r w:rsidR="00C270A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opération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7BDE7827" w14:textId="49399BC4" w:rsidR="000A3A12" w:rsidRPr="00C270AA" w:rsidRDefault="000A3A12" w:rsidP="00C270AA">
            <w:pPr>
              <w:pStyle w:val="TableTitleArial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270A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Objecti</w:t>
            </w:r>
            <w:r w:rsidR="00C270A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</w:t>
            </w:r>
            <w:proofErr w:type="spellEnd"/>
            <w:r w:rsidR="00C270A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de </w:t>
            </w:r>
            <w:proofErr w:type="spellStart"/>
            <w:r w:rsidR="00C270A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contrôle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20B45F10" w14:textId="2062EAA2" w:rsidR="000A3A12" w:rsidRPr="00A10C08" w:rsidRDefault="000A3A12" w:rsidP="00C270AA">
            <w:pPr>
              <w:pStyle w:val="TableTitleArial"/>
              <w:rPr>
                <w:rFonts w:cs="Times New Roman"/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A10C0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 xml:space="preserve">Description </w:t>
            </w:r>
            <w:r w:rsidR="00C270AA" w:rsidRPr="00A10C0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des activités de contrôle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6ACE5DB8" w14:textId="1022AB63" w:rsidR="000A3A12" w:rsidRPr="00C270AA" w:rsidRDefault="00C270AA" w:rsidP="00C270AA">
            <w:pPr>
              <w:pStyle w:val="TableTitleArial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Comptes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importants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523C4170" w14:textId="43F65DB3" w:rsidR="000A3A12" w:rsidRPr="00A10C08" w:rsidRDefault="00C270AA" w:rsidP="00996EC0">
            <w:pPr>
              <w:pStyle w:val="TableTitleArial"/>
              <w:rPr>
                <w:rFonts w:cs="Times New Roman"/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A10C0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 xml:space="preserve">Objectifs </w:t>
            </w:r>
            <w:r w:rsidR="00DA23C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en matière de</w:t>
            </w:r>
            <w:r w:rsidRPr="00A10C0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 xml:space="preserve"> traitement d</w:t>
            </w:r>
            <w:r w:rsidR="00DA23C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e l</w:t>
            </w:r>
            <w:r w:rsidRPr="00A10C0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’information</w:t>
            </w:r>
            <w:r w:rsidR="000A3A12" w:rsidRPr="00A10C0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 xml:space="preserve"> (</w:t>
            </w:r>
            <w:proofErr w:type="spellStart"/>
            <w:r w:rsidR="0031276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Exh</w:t>
            </w:r>
            <w:proofErr w:type="gramStart"/>
            <w:r w:rsidR="000A3A12" w:rsidRPr="000335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,</w:t>
            </w:r>
            <w:r w:rsidR="0031276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Exa</w:t>
            </w:r>
            <w:r w:rsidR="000A3A12" w:rsidRPr="000335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,V,R</w:t>
            </w:r>
            <w:proofErr w:type="spellEnd"/>
            <w:proofErr w:type="gramEnd"/>
            <w:r w:rsidR="000A3A12" w:rsidRPr="00A10C0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6CA737BB" w14:textId="77777777" w:rsidR="000A3A12" w:rsidRPr="00C270AA" w:rsidRDefault="000A3A12" w:rsidP="00C270AA">
            <w:pPr>
              <w:pStyle w:val="TableTitleArial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C270A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Assertion</w:t>
            </w:r>
          </w:p>
          <w:p w14:paraId="6611FD2A" w14:textId="5D758813" w:rsidR="000A3A12" w:rsidRPr="003D785F" w:rsidRDefault="000A3A12" w:rsidP="000A55E4">
            <w:pPr>
              <w:pStyle w:val="TableTitleArial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3D785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(</w:t>
            </w:r>
            <w:r w:rsidR="000A55E4" w:rsidRPr="003D785F">
              <w:rPr>
                <w:b/>
                <w:color w:val="FFFFFF" w:themeColor="background1"/>
              </w:rPr>
              <w:t xml:space="preserve">SP, E/R, </w:t>
            </w:r>
            <w:proofErr w:type="spellStart"/>
            <w:r w:rsidR="000A55E4" w:rsidRPr="003D785F">
              <w:rPr>
                <w:b/>
                <w:color w:val="FFFFFF" w:themeColor="background1"/>
              </w:rPr>
              <w:t>D&amp;O</w:t>
            </w:r>
            <w:proofErr w:type="spellEnd"/>
            <w:r w:rsidR="000A55E4" w:rsidRPr="003D785F">
              <w:rPr>
                <w:b/>
                <w:color w:val="FFFFFF" w:themeColor="background1"/>
              </w:rPr>
              <w:t xml:space="preserve">, </w:t>
            </w:r>
            <w:proofErr w:type="spellStart"/>
            <w:r w:rsidR="000A55E4" w:rsidRPr="003D785F">
              <w:rPr>
                <w:b/>
                <w:color w:val="FFFFFF" w:themeColor="background1"/>
              </w:rPr>
              <w:t>Év</w:t>
            </w:r>
            <w:proofErr w:type="spellEnd"/>
            <w:r w:rsidR="000A55E4" w:rsidRPr="003D785F">
              <w:rPr>
                <w:b/>
                <w:color w:val="FFFFFF" w:themeColor="background1"/>
              </w:rPr>
              <w:t xml:space="preserve">, </w:t>
            </w:r>
            <w:proofErr w:type="spellStart"/>
            <w:r w:rsidR="000A55E4" w:rsidRPr="003D785F">
              <w:rPr>
                <w:b/>
                <w:color w:val="FFFFFF" w:themeColor="background1"/>
              </w:rPr>
              <w:t>P&amp;I</w:t>
            </w:r>
            <w:proofErr w:type="spellEnd"/>
            <w:r w:rsidR="000A55E4" w:rsidRPr="003D785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3D785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5B2A1464" w14:textId="00F217E6" w:rsidR="000A3A12" w:rsidRPr="00C270AA" w:rsidRDefault="000A3A12" w:rsidP="00C270AA">
            <w:pPr>
              <w:pStyle w:val="TableTitleArial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C270A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 </w:t>
            </w:r>
            <w:proofErr w:type="spellStart"/>
            <w:r w:rsidRPr="00C270A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</w:t>
            </w:r>
            <w:r w:rsidR="002542B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u</w:t>
            </w:r>
            <w:proofErr w:type="spellEnd"/>
            <w:r w:rsidRPr="00C270A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D</w:t>
            </w:r>
          </w:p>
          <w:p w14:paraId="785D1BE3" w14:textId="77777777" w:rsidR="000A3A12" w:rsidRPr="00C270AA" w:rsidRDefault="000A3A12" w:rsidP="00C270AA">
            <w:pPr>
              <w:pStyle w:val="TableTitleArial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C270A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4E3AC419" w14:textId="628B819C" w:rsidR="00027362" w:rsidRDefault="007867A6" w:rsidP="00C270AA">
            <w:pPr>
              <w:pStyle w:val="TableTitleArial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</w:t>
            </w:r>
            <w:r w:rsidR="002542B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A3A12" w:rsidRPr="00C270A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</w:t>
            </w:r>
            <w:r w:rsidR="002542B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2542B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ou</w:t>
            </w:r>
            <w:proofErr w:type="spellEnd"/>
          </w:p>
          <w:p w14:paraId="3E5A204D" w14:textId="30646961" w:rsidR="00557291" w:rsidRDefault="00557291" w:rsidP="00C270AA">
            <w:pPr>
              <w:pStyle w:val="TableTitleArial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MDTI</w:t>
            </w:r>
          </w:p>
          <w:p w14:paraId="0D8D2B23" w14:textId="77777777" w:rsidR="00557291" w:rsidRDefault="00557291" w:rsidP="00C270AA">
            <w:pPr>
              <w:pStyle w:val="TableTitleArial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4DBF6AF9" w14:textId="77777777" w:rsidR="000A3A12" w:rsidRPr="00C270AA" w:rsidRDefault="000A3A12" w:rsidP="00C270AA">
            <w:pPr>
              <w:pStyle w:val="TableTitleArial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C270A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(2)</w:t>
            </w:r>
          </w:p>
        </w:tc>
      </w:tr>
      <w:tr w:rsidR="000A3A12" w:rsidRPr="000A3A12" w14:paraId="56497FF0" w14:textId="77777777" w:rsidTr="003D785F">
        <w:trPr>
          <w:trHeight w:val="254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14ECBB" w14:textId="77777777" w:rsidR="007867A6" w:rsidRPr="00A10C08" w:rsidRDefault="007867A6" w:rsidP="007867A6">
            <w:pPr>
              <w:keepNext/>
              <w:keepLines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</w:tabs>
              <w:autoSpaceDE w:val="0"/>
              <w:autoSpaceDN w:val="0"/>
              <w:adjustRightInd w:val="0"/>
              <w:spacing w:line="240" w:lineRule="atLeast"/>
              <w:ind w:left="15" w:right="180"/>
              <w:jc w:val="center"/>
              <w:rPr>
                <w:rFonts w:cs="Times New Roman"/>
                <w:color w:val="000000"/>
                <w:lang w:val="fr-CA"/>
              </w:rPr>
            </w:pPr>
            <w:r w:rsidRPr="00A10C08">
              <w:rPr>
                <w:rFonts w:cs="Times New Roman"/>
                <w:color w:val="000000"/>
                <w:lang w:val="fr-CA"/>
              </w:rPr>
              <w:t xml:space="preserve">Formulaires de modification de </w:t>
            </w:r>
            <w:proofErr w:type="spellStart"/>
            <w:r w:rsidRPr="00A10C08">
              <w:rPr>
                <w:rFonts w:cs="Times New Roman"/>
                <w:color w:val="000000"/>
                <w:lang w:val="fr-CA"/>
              </w:rPr>
              <w:t>TeamStore</w:t>
            </w:r>
            <w:proofErr w:type="spellEnd"/>
          </w:p>
          <w:p w14:paraId="4FCA8E0F" w14:textId="77777777" w:rsidR="007867A6" w:rsidRPr="00A10C08" w:rsidRDefault="007867A6" w:rsidP="007867A6">
            <w:pPr>
              <w:keepNext/>
              <w:keepLines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</w:tabs>
              <w:autoSpaceDE w:val="0"/>
              <w:autoSpaceDN w:val="0"/>
              <w:adjustRightInd w:val="0"/>
              <w:spacing w:line="240" w:lineRule="atLeast"/>
              <w:ind w:left="15" w:right="180"/>
              <w:jc w:val="center"/>
              <w:rPr>
                <w:rFonts w:cs="Times New Roman"/>
                <w:color w:val="000000"/>
                <w:lang w:val="fr-CA"/>
              </w:rPr>
            </w:pPr>
          </w:p>
          <w:p w14:paraId="28B8C445" w14:textId="77777777" w:rsidR="007867A6" w:rsidRPr="00A10C08" w:rsidRDefault="007867A6" w:rsidP="007867A6">
            <w:pPr>
              <w:keepNext/>
              <w:keepLines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</w:tabs>
              <w:autoSpaceDE w:val="0"/>
              <w:autoSpaceDN w:val="0"/>
              <w:adjustRightInd w:val="0"/>
              <w:spacing w:line="240" w:lineRule="atLeast"/>
              <w:ind w:left="15" w:right="180"/>
              <w:jc w:val="center"/>
              <w:rPr>
                <w:rFonts w:cs="Times New Roman"/>
                <w:color w:val="000000"/>
                <w:lang w:val="fr-CA"/>
              </w:rPr>
            </w:pPr>
          </w:p>
          <w:p w14:paraId="534E5758" w14:textId="77777777" w:rsidR="007867A6" w:rsidRPr="00A10C08" w:rsidRDefault="007867A6" w:rsidP="007867A6">
            <w:pPr>
              <w:keepNext/>
              <w:keepLines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</w:tabs>
              <w:autoSpaceDE w:val="0"/>
              <w:autoSpaceDN w:val="0"/>
              <w:adjustRightInd w:val="0"/>
              <w:spacing w:line="240" w:lineRule="atLeast"/>
              <w:ind w:left="15" w:right="180"/>
              <w:jc w:val="center"/>
              <w:rPr>
                <w:rFonts w:cs="Times New Roman"/>
                <w:color w:val="000000"/>
                <w:lang w:val="fr-CA"/>
              </w:rPr>
            </w:pPr>
          </w:p>
          <w:p w14:paraId="1205AF9C" w14:textId="75125511" w:rsidR="000A3A12" w:rsidRPr="00A10C08" w:rsidRDefault="007867A6">
            <w:pPr>
              <w:keepNext/>
              <w:keepLines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</w:tabs>
              <w:autoSpaceDE w:val="0"/>
              <w:autoSpaceDN w:val="0"/>
              <w:adjustRightInd w:val="0"/>
              <w:spacing w:line="240" w:lineRule="atLeast"/>
              <w:ind w:left="15" w:right="180"/>
              <w:jc w:val="center"/>
              <w:rPr>
                <w:rFonts w:cs="Times New Roman"/>
                <w:color w:val="000000"/>
                <w:lang w:val="fr-CA"/>
              </w:rPr>
            </w:pPr>
            <w:proofErr w:type="spellStart"/>
            <w:r w:rsidRPr="00A10C08">
              <w:rPr>
                <w:rFonts w:cs="Times New Roman"/>
                <w:color w:val="000000"/>
                <w:lang w:val="fr-CA"/>
              </w:rPr>
              <w:t>TeamStore</w:t>
            </w:r>
            <w:proofErr w:type="spellEnd"/>
            <w:r w:rsidRPr="00A10C08">
              <w:rPr>
                <w:rFonts w:cs="Times New Roman"/>
                <w:color w:val="000000"/>
                <w:lang w:val="fr-CA"/>
              </w:rPr>
              <w:t xml:space="preserve"> approuvé dans le </w:t>
            </w:r>
            <w:r w:rsidR="002542BA">
              <w:rPr>
                <w:rFonts w:cs="Times New Roman"/>
                <w:color w:val="000000"/>
                <w:lang w:val="fr-CA"/>
              </w:rPr>
              <w:t xml:space="preserve">dossier </w:t>
            </w:r>
            <w:proofErr w:type="spellStart"/>
            <w:r w:rsidRPr="00A10C08">
              <w:rPr>
                <w:rFonts w:cs="Times New Roman"/>
                <w:color w:val="000000"/>
                <w:lang w:val="fr-CA"/>
              </w:rPr>
              <w:t>TeamStore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2E9C48" w14:textId="77777777" w:rsidR="000A3A12" w:rsidRPr="007867A6" w:rsidRDefault="000A3A12" w:rsidP="00C270AA">
            <w:pPr>
              <w:keepNext/>
              <w:keepLines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</w:tabs>
              <w:autoSpaceDE w:val="0"/>
              <w:autoSpaceDN w:val="0"/>
              <w:adjustRightInd w:val="0"/>
              <w:spacing w:line="240" w:lineRule="atLeast"/>
              <w:ind w:left="15" w:right="180"/>
              <w:rPr>
                <w:rFonts w:cs="Times New Roman"/>
                <w:color w:val="000000"/>
              </w:rPr>
            </w:pPr>
            <w:proofErr w:type="spellStart"/>
            <w:r w:rsidRPr="007867A6">
              <w:rPr>
                <w:rFonts w:cs="Times New Roman"/>
                <w:color w:val="000000"/>
              </w:rPr>
              <w:t>TeamStore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2E613B" w14:textId="79E1015D" w:rsidR="000A3A12" w:rsidRPr="00A10C08" w:rsidRDefault="007867A6" w:rsidP="00C270AA">
            <w:pPr>
              <w:keepNext/>
              <w:keepLines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</w:tabs>
              <w:autoSpaceDE w:val="0"/>
              <w:autoSpaceDN w:val="0"/>
              <w:adjustRightInd w:val="0"/>
              <w:spacing w:line="240" w:lineRule="atLeast"/>
              <w:ind w:left="15" w:right="140"/>
              <w:rPr>
                <w:rFonts w:cs="Times New Roman"/>
                <w:color w:val="000000"/>
                <w:highlight w:val="yellow"/>
                <w:lang w:val="fr-CA"/>
              </w:rPr>
            </w:pPr>
            <w:r w:rsidRPr="00A10C08">
              <w:rPr>
                <w:rFonts w:cs="Times New Roman"/>
                <w:color w:val="000000"/>
                <w:lang w:val="fr-CA"/>
              </w:rPr>
              <w:t xml:space="preserve">Client </w:t>
            </w:r>
            <w:proofErr w:type="spellStart"/>
            <w:r w:rsidRPr="00A10C08">
              <w:rPr>
                <w:rFonts w:cs="Times New Roman"/>
                <w:color w:val="000000"/>
                <w:lang w:val="fr-CA"/>
              </w:rPr>
              <w:t>TeamStore</w:t>
            </w:r>
            <w:proofErr w:type="spellEnd"/>
            <w:r w:rsidRPr="00A10C08">
              <w:rPr>
                <w:rFonts w:cs="Times New Roman"/>
                <w:color w:val="000000"/>
                <w:lang w:val="fr-CA"/>
              </w:rPr>
              <w:t xml:space="preserve"> incluant les changements entrés et traités de manière complète, avec précision et assortis d’une autorisation adéquate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54DDA4" w14:textId="0D2D17FD" w:rsidR="000A3A12" w:rsidRPr="00A10C08" w:rsidRDefault="007867A6" w:rsidP="007867A6">
            <w:pPr>
              <w:keepNext/>
              <w:keepLines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</w:tabs>
              <w:autoSpaceDE w:val="0"/>
              <w:autoSpaceDN w:val="0"/>
              <w:adjustRightInd w:val="0"/>
              <w:spacing w:line="240" w:lineRule="atLeast"/>
              <w:ind w:left="15"/>
              <w:rPr>
                <w:rFonts w:cs="Times New Roman"/>
                <w:color w:val="000000"/>
                <w:highlight w:val="yellow"/>
                <w:lang w:val="fr-CA"/>
              </w:rPr>
            </w:pPr>
            <w:r w:rsidRPr="00A10C08">
              <w:rPr>
                <w:rFonts w:cs="Times New Roman"/>
                <w:color w:val="000000"/>
                <w:lang w:val="fr-CA"/>
              </w:rPr>
              <w:t xml:space="preserve">Les changements </w:t>
            </w:r>
            <w:proofErr w:type="spellStart"/>
            <w:r w:rsidRPr="00A10C08">
              <w:rPr>
                <w:rFonts w:cs="Times New Roman"/>
                <w:color w:val="000000"/>
                <w:lang w:val="fr-CA"/>
              </w:rPr>
              <w:t>TeamStore</w:t>
            </w:r>
            <w:proofErr w:type="spellEnd"/>
            <w:r w:rsidRPr="00A10C08">
              <w:rPr>
                <w:rFonts w:cs="Times New Roman"/>
                <w:color w:val="000000"/>
                <w:lang w:val="fr-CA"/>
              </w:rPr>
              <w:t xml:space="preserve"> doivent être revus et approuvés par des personnes dûment autorisées avant d’être traités</w:t>
            </w:r>
            <w:proofErr w:type="gramStart"/>
            <w:r w:rsidRPr="00A10C08">
              <w:rPr>
                <w:rFonts w:cs="Times New Roman"/>
                <w:color w:val="000000"/>
                <w:lang w:val="fr-CA"/>
              </w:rPr>
              <w:t>.</w:t>
            </w:r>
            <w:r w:rsidR="000A3A12" w:rsidRPr="00A10C08">
              <w:rPr>
                <w:rFonts w:cs="Times New Roman"/>
                <w:color w:val="000000"/>
                <w:lang w:val="fr-CA"/>
              </w:rPr>
              <w:t>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363C12" w14:textId="743DA277" w:rsidR="009532DF" w:rsidRPr="00A10C08" w:rsidRDefault="009532DF" w:rsidP="009532DF">
            <w:pPr>
              <w:keepNext/>
              <w:keepLines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</w:tabs>
              <w:autoSpaceDE w:val="0"/>
              <w:autoSpaceDN w:val="0"/>
              <w:adjustRightInd w:val="0"/>
              <w:spacing w:line="240" w:lineRule="atLeast"/>
              <w:ind w:left="15" w:right="172"/>
              <w:rPr>
                <w:rFonts w:cs="Times New Roman"/>
                <w:color w:val="000000"/>
                <w:lang w:val="fr-CA"/>
              </w:rPr>
            </w:pPr>
            <w:r w:rsidRPr="00A10C08">
              <w:rPr>
                <w:rFonts w:cs="Times New Roman"/>
                <w:color w:val="000000"/>
                <w:lang w:val="fr-CA"/>
              </w:rPr>
              <w:t>- Comptes clients,</w:t>
            </w:r>
          </w:p>
          <w:p w14:paraId="41AB5502" w14:textId="77777777" w:rsidR="009532DF" w:rsidRPr="00A10C08" w:rsidRDefault="009532DF" w:rsidP="009532DF">
            <w:pPr>
              <w:keepNext/>
              <w:keepLines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</w:tabs>
              <w:autoSpaceDE w:val="0"/>
              <w:autoSpaceDN w:val="0"/>
              <w:adjustRightInd w:val="0"/>
              <w:spacing w:line="240" w:lineRule="atLeast"/>
              <w:ind w:left="15" w:right="172"/>
              <w:rPr>
                <w:rFonts w:cs="Times New Roman"/>
                <w:color w:val="000000"/>
                <w:lang w:val="fr-CA"/>
              </w:rPr>
            </w:pPr>
            <w:r w:rsidRPr="00A10C08">
              <w:rPr>
                <w:rFonts w:cs="Times New Roman"/>
                <w:color w:val="000000"/>
                <w:lang w:val="fr-CA"/>
              </w:rPr>
              <w:t xml:space="preserve">- Ventes nettes, </w:t>
            </w:r>
          </w:p>
          <w:p w14:paraId="21810608" w14:textId="64E8F8BA" w:rsidR="000A3A12" w:rsidRPr="00A10C08" w:rsidRDefault="009532DF" w:rsidP="009532DF">
            <w:pPr>
              <w:keepNext/>
              <w:keepLines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</w:tabs>
              <w:autoSpaceDE w:val="0"/>
              <w:autoSpaceDN w:val="0"/>
              <w:adjustRightInd w:val="0"/>
              <w:spacing w:line="240" w:lineRule="atLeast"/>
              <w:ind w:left="15" w:right="172"/>
              <w:rPr>
                <w:rFonts w:cs="Times New Roman"/>
                <w:color w:val="000000"/>
                <w:highlight w:val="yellow"/>
                <w:lang w:val="fr-CA"/>
              </w:rPr>
            </w:pPr>
            <w:r w:rsidRPr="00A10C08">
              <w:rPr>
                <w:rFonts w:cs="Times New Roman"/>
                <w:color w:val="000000"/>
                <w:lang w:val="fr-CA"/>
              </w:rPr>
              <w:t>- Note 5 Créances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D11BDF" w14:textId="1D2D99E2" w:rsidR="000A3A12" w:rsidRPr="003D785F" w:rsidRDefault="000A3A12" w:rsidP="00996EC0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cs="Times New Roman"/>
                <w:color w:val="000000"/>
                <w:lang w:val="en-CA"/>
              </w:rPr>
            </w:pPr>
            <w:r w:rsidRPr="007867A6">
              <w:rPr>
                <w:rFonts w:cs="Times New Roman"/>
                <w:color w:val="000000"/>
              </w:rPr>
              <w:t xml:space="preserve">V, </w:t>
            </w:r>
            <w:proofErr w:type="spellStart"/>
            <w:r w:rsidR="00312761">
              <w:rPr>
                <w:rFonts w:cs="Times New Roman"/>
                <w:color w:val="000000"/>
              </w:rPr>
              <w:t>Exa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273858" w14:textId="48D866C4" w:rsidR="000A3A12" w:rsidRPr="007867A6" w:rsidRDefault="000A3A12" w:rsidP="000A55E4">
            <w:pPr>
              <w:autoSpaceDE w:val="0"/>
              <w:autoSpaceDN w:val="0"/>
              <w:adjustRightInd w:val="0"/>
              <w:spacing w:line="240" w:lineRule="atLeast"/>
              <w:ind w:left="15"/>
              <w:jc w:val="center"/>
              <w:rPr>
                <w:rFonts w:cs="Times New Roman"/>
                <w:color w:val="000000"/>
              </w:rPr>
            </w:pPr>
            <w:r w:rsidRPr="007867A6">
              <w:rPr>
                <w:rFonts w:cs="Times New Roman"/>
                <w:color w:val="000000"/>
              </w:rPr>
              <w:t>E</w:t>
            </w:r>
            <w:r w:rsidR="000A55E4">
              <w:rPr>
                <w:rFonts w:cs="Times New Roman"/>
                <w:color w:val="000000"/>
              </w:rPr>
              <w:t>/R</w:t>
            </w:r>
            <w:r w:rsidRPr="007867A6">
              <w:rPr>
                <w:rFonts w:cs="Times New Roman"/>
                <w:color w:val="000000"/>
              </w:rPr>
              <w:t xml:space="preserve">, </w:t>
            </w:r>
            <w:proofErr w:type="spellStart"/>
            <w:r w:rsidR="000A55E4">
              <w:rPr>
                <w:rFonts w:cs="Times New Roman"/>
                <w:color w:val="000000"/>
              </w:rPr>
              <w:t>D&amp;</w:t>
            </w:r>
            <w:r w:rsidRPr="007867A6">
              <w:rPr>
                <w:rFonts w:cs="Times New Roman"/>
                <w:color w:val="000000"/>
              </w:rPr>
              <w:t>O</w:t>
            </w:r>
            <w:proofErr w:type="spellEnd"/>
            <w:r w:rsidRPr="007867A6">
              <w:rPr>
                <w:rFonts w:cs="Times New Roman"/>
                <w:color w:val="000000"/>
              </w:rPr>
              <w:t xml:space="preserve">, </w:t>
            </w:r>
            <w:proofErr w:type="spellStart"/>
            <w:r w:rsidR="000A55E4">
              <w:rPr>
                <w:rFonts w:cs="Times New Roman"/>
                <w:color w:val="000000"/>
              </w:rPr>
              <w:t>Év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A9450A" w14:textId="77777777" w:rsidR="000A3A12" w:rsidRPr="007867A6" w:rsidRDefault="000A3A12" w:rsidP="00C270AA">
            <w:pPr>
              <w:autoSpaceDE w:val="0"/>
              <w:autoSpaceDN w:val="0"/>
              <w:adjustRightInd w:val="0"/>
              <w:spacing w:line="240" w:lineRule="atLeast"/>
              <w:ind w:left="15" w:right="22"/>
              <w:jc w:val="center"/>
              <w:rPr>
                <w:rFonts w:cs="Times New Roman"/>
                <w:color w:val="000000"/>
              </w:rPr>
            </w:pPr>
            <w:r w:rsidRPr="007867A6">
              <w:rPr>
                <w:rFonts w:cs="Times New Roman"/>
                <w:color w:val="000000"/>
              </w:rPr>
              <w:t>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CA4589" w14:textId="77777777" w:rsidR="000A3A12" w:rsidRPr="007867A6" w:rsidRDefault="000A3A12" w:rsidP="00C270AA">
            <w:pPr>
              <w:autoSpaceDE w:val="0"/>
              <w:autoSpaceDN w:val="0"/>
              <w:adjustRightInd w:val="0"/>
              <w:ind w:right="140"/>
              <w:jc w:val="center"/>
              <w:rPr>
                <w:rFonts w:cs="Times New Roman"/>
                <w:color w:val="000000"/>
              </w:rPr>
            </w:pPr>
            <w:r w:rsidRPr="007867A6">
              <w:rPr>
                <w:rFonts w:cs="Times New Roman"/>
                <w:color w:val="000000"/>
              </w:rPr>
              <w:t>A,M</w:t>
            </w:r>
          </w:p>
        </w:tc>
      </w:tr>
    </w:tbl>
    <w:p w14:paraId="20D695A3" w14:textId="77777777" w:rsidR="004C55B0" w:rsidRPr="00AD13A5" w:rsidRDefault="004C55B0" w:rsidP="004C55B0">
      <w:pPr>
        <w:autoSpaceDE w:val="0"/>
        <w:autoSpaceDN w:val="0"/>
        <w:adjustRightInd w:val="0"/>
        <w:ind w:right="1008"/>
        <w:rPr>
          <w:rFonts w:cs="Times New Roman"/>
          <w:color w:val="000000"/>
          <w:lang w:val="fr-CA"/>
        </w:rPr>
      </w:pPr>
    </w:p>
    <w:p w14:paraId="633740A4" w14:textId="77777777" w:rsidR="004C55B0" w:rsidRPr="00AD13A5" w:rsidRDefault="004C55B0" w:rsidP="004C55B0">
      <w:pPr>
        <w:autoSpaceDE w:val="0"/>
        <w:autoSpaceDN w:val="0"/>
        <w:adjustRightInd w:val="0"/>
        <w:spacing w:line="240" w:lineRule="atLeast"/>
        <w:rPr>
          <w:rFonts w:cs="Times New Roman"/>
          <w:color w:val="000080"/>
          <w:sz w:val="20"/>
          <w:lang w:val="fr-CA"/>
        </w:rPr>
      </w:pPr>
      <w:r w:rsidRPr="00AD13A5">
        <w:rPr>
          <w:rFonts w:cs="Times New Roman"/>
          <w:color w:val="000080"/>
          <w:lang w:val="fr-CA"/>
        </w:rPr>
        <w:tab/>
      </w:r>
      <w:r w:rsidRPr="00AD13A5">
        <w:rPr>
          <w:rFonts w:cs="Times New Roman"/>
          <w:color w:val="000080"/>
          <w:sz w:val="20"/>
          <w:lang w:val="fr-CA"/>
        </w:rPr>
        <w:t>(1)</w:t>
      </w:r>
      <w:r w:rsidRPr="00AD13A5">
        <w:rPr>
          <w:rFonts w:cs="Times New Roman"/>
          <w:color w:val="000080"/>
          <w:sz w:val="20"/>
          <w:lang w:val="fr-CA"/>
        </w:rPr>
        <w:tab/>
        <w:t>Contrôle préventif (P) ou de détection (D)</w:t>
      </w:r>
    </w:p>
    <w:p w14:paraId="59B7B6C8" w14:textId="30EB3FA0" w:rsidR="004C55B0" w:rsidRPr="00AD13A5" w:rsidRDefault="004C55B0" w:rsidP="004C55B0">
      <w:pPr>
        <w:autoSpaceDE w:val="0"/>
        <w:autoSpaceDN w:val="0"/>
        <w:adjustRightInd w:val="0"/>
        <w:spacing w:line="240" w:lineRule="atLeast"/>
        <w:rPr>
          <w:rFonts w:cs="Times New Roman"/>
          <w:color w:val="000080"/>
          <w:sz w:val="20"/>
          <w:lang w:val="fr-CA"/>
        </w:rPr>
      </w:pPr>
      <w:r w:rsidRPr="00AD13A5">
        <w:rPr>
          <w:rFonts w:cs="Times New Roman"/>
          <w:color w:val="000080"/>
          <w:sz w:val="20"/>
          <w:lang w:val="fr-CA"/>
        </w:rPr>
        <w:tab/>
        <w:t>(2)</w:t>
      </w:r>
      <w:r w:rsidRPr="00AD13A5">
        <w:rPr>
          <w:rFonts w:cs="Times New Roman"/>
          <w:color w:val="000080"/>
          <w:sz w:val="20"/>
          <w:lang w:val="fr-CA"/>
        </w:rPr>
        <w:tab/>
        <w:t xml:space="preserve">Contrôle </w:t>
      </w:r>
      <w:r>
        <w:rPr>
          <w:rFonts w:cs="Times New Roman"/>
          <w:color w:val="000080"/>
          <w:sz w:val="20"/>
          <w:lang w:val="fr-CA"/>
        </w:rPr>
        <w:t>automatisé </w:t>
      </w:r>
      <w:r w:rsidRPr="00AD13A5">
        <w:rPr>
          <w:rFonts w:cs="Times New Roman"/>
          <w:color w:val="000080"/>
          <w:sz w:val="20"/>
          <w:lang w:val="fr-CA"/>
        </w:rPr>
        <w:t>(A)</w:t>
      </w:r>
      <w:r w:rsidR="002542BA">
        <w:rPr>
          <w:rFonts w:cs="Times New Roman"/>
          <w:color w:val="000080"/>
          <w:sz w:val="20"/>
          <w:lang w:val="fr-CA"/>
        </w:rPr>
        <w:t>,</w:t>
      </w:r>
      <w:r w:rsidRPr="00AD13A5">
        <w:rPr>
          <w:rFonts w:cs="Times New Roman"/>
          <w:color w:val="000080"/>
          <w:sz w:val="20"/>
          <w:lang w:val="fr-CA"/>
        </w:rPr>
        <w:t xml:space="preserve"> manuel (M)</w:t>
      </w:r>
      <w:r w:rsidR="002542BA">
        <w:rPr>
          <w:rFonts w:cs="Times New Roman"/>
          <w:color w:val="000080"/>
          <w:sz w:val="20"/>
          <w:lang w:val="fr-CA"/>
        </w:rPr>
        <w:t xml:space="preserve"> ou contrôle manuel dépendant des TI (MDTI)</w:t>
      </w:r>
    </w:p>
    <w:p w14:paraId="03C4A600" w14:textId="77777777" w:rsidR="000A3A12" w:rsidRPr="004C55B0" w:rsidRDefault="000A3A12" w:rsidP="0004212C">
      <w:pPr>
        <w:rPr>
          <w:rFonts w:cs="Times New Roman"/>
          <w:b/>
          <w:color w:val="000000"/>
          <w:lang w:val="fr-CA"/>
        </w:rPr>
      </w:pPr>
    </w:p>
    <w:p w14:paraId="4C8F4B24" w14:textId="77777777" w:rsidR="003C2415" w:rsidRPr="004C55B0" w:rsidRDefault="003C2415">
      <w:pPr>
        <w:autoSpaceDE w:val="0"/>
        <w:autoSpaceDN w:val="0"/>
        <w:adjustRightInd w:val="0"/>
        <w:spacing w:line="240" w:lineRule="atLeast"/>
        <w:ind w:left="288"/>
        <w:rPr>
          <w:rFonts w:cs="Times New Roman"/>
          <w:b/>
          <w:color w:val="000000"/>
          <w:lang w:val="fr-CA"/>
        </w:rPr>
      </w:pPr>
    </w:p>
    <w:p w14:paraId="33E9BAC9" w14:textId="77777777" w:rsidR="003C2415" w:rsidRPr="00AD13A5" w:rsidRDefault="003C2415">
      <w:pPr>
        <w:rPr>
          <w:rFonts w:cs="Times New Roman"/>
          <w:b/>
          <w:lang w:val="fr-CA"/>
        </w:rPr>
      </w:pPr>
    </w:p>
    <w:p w14:paraId="28AF7A00" w14:textId="30369908" w:rsidR="003C2415" w:rsidRPr="00A10C08" w:rsidRDefault="003C2415">
      <w:pPr>
        <w:rPr>
          <w:b/>
          <w:color w:val="1F497D" w:themeColor="text2"/>
          <w:sz w:val="32"/>
          <w:szCs w:val="32"/>
          <w:lang w:val="fr-CA"/>
        </w:rPr>
      </w:pPr>
      <w:r w:rsidRPr="00A10C08">
        <w:rPr>
          <w:b/>
          <w:color w:val="1F497D" w:themeColor="text2"/>
          <w:sz w:val="32"/>
          <w:szCs w:val="32"/>
          <w:lang w:val="fr-CA"/>
        </w:rPr>
        <w:t>Documentation du flux de</w:t>
      </w:r>
      <w:r w:rsidR="00C96AAD" w:rsidRPr="00A10C08">
        <w:rPr>
          <w:b/>
          <w:color w:val="1F497D" w:themeColor="text2"/>
          <w:sz w:val="32"/>
          <w:szCs w:val="32"/>
          <w:lang w:val="fr-CA"/>
        </w:rPr>
        <w:t>s</w:t>
      </w:r>
      <w:r w:rsidRPr="00A10C08">
        <w:rPr>
          <w:b/>
          <w:color w:val="1F497D" w:themeColor="text2"/>
          <w:sz w:val="32"/>
          <w:szCs w:val="32"/>
          <w:lang w:val="fr-CA"/>
        </w:rPr>
        <w:t xml:space="preserve"> </w:t>
      </w:r>
      <w:r w:rsidR="00B97205" w:rsidRPr="00A10C08">
        <w:rPr>
          <w:b/>
          <w:color w:val="1F497D" w:themeColor="text2"/>
          <w:sz w:val="32"/>
          <w:szCs w:val="32"/>
          <w:lang w:val="fr-CA"/>
        </w:rPr>
        <w:t>proc</w:t>
      </w:r>
      <w:r w:rsidR="00027362">
        <w:rPr>
          <w:b/>
          <w:color w:val="1F497D" w:themeColor="text2"/>
          <w:sz w:val="32"/>
          <w:szCs w:val="32"/>
          <w:lang w:val="fr-CA"/>
        </w:rPr>
        <w:t>essus</w:t>
      </w:r>
      <w:r w:rsidR="00B97205" w:rsidRPr="00A10C08">
        <w:rPr>
          <w:b/>
          <w:color w:val="1F497D" w:themeColor="text2"/>
          <w:sz w:val="32"/>
          <w:szCs w:val="32"/>
          <w:lang w:val="fr-CA"/>
        </w:rPr>
        <w:t xml:space="preserve"> </w:t>
      </w:r>
    </w:p>
    <w:p w14:paraId="6EE828B1" w14:textId="31480688" w:rsidR="003C2415" w:rsidRPr="00AD13A5" w:rsidRDefault="003C2415">
      <w:pPr>
        <w:rPr>
          <w:rFonts w:cs="Times New Roman"/>
          <w:b/>
          <w:lang w:val="fr-CA"/>
        </w:rPr>
      </w:pPr>
      <w:r w:rsidRPr="00AD13A5">
        <w:rPr>
          <w:rFonts w:cs="Times New Roman"/>
          <w:lang w:val="fr-CA"/>
        </w:rPr>
        <w:t xml:space="preserve">Outre la </w:t>
      </w:r>
      <w:r w:rsidR="00A81065">
        <w:rPr>
          <w:rFonts w:cs="Times New Roman"/>
          <w:lang w:val="fr-CA"/>
        </w:rPr>
        <w:t xml:space="preserve">grille logique </w:t>
      </w:r>
      <w:r w:rsidRPr="00AD13A5">
        <w:rPr>
          <w:rFonts w:cs="Times New Roman"/>
          <w:lang w:val="fr-CA"/>
        </w:rPr>
        <w:t xml:space="preserve">ci-dessus, assurez-vous que les équipes </w:t>
      </w:r>
      <w:r w:rsidR="00A81065">
        <w:rPr>
          <w:rFonts w:cs="Times New Roman"/>
          <w:lang w:val="fr-CA"/>
        </w:rPr>
        <w:t xml:space="preserve">de mission </w:t>
      </w:r>
      <w:r w:rsidRPr="00AD13A5">
        <w:rPr>
          <w:rFonts w:cs="Times New Roman"/>
          <w:lang w:val="fr-CA"/>
        </w:rPr>
        <w:t>utilisant le</w:t>
      </w:r>
      <w:r w:rsidR="00A81065">
        <w:rPr>
          <w:rFonts w:cs="Times New Roman"/>
          <w:lang w:val="fr-CA"/>
        </w:rPr>
        <w:t xml:space="preserve">s travaux </w:t>
      </w:r>
      <w:r w:rsidRPr="00AD13A5">
        <w:rPr>
          <w:rFonts w:cs="Times New Roman"/>
          <w:lang w:val="fr-CA"/>
        </w:rPr>
        <w:t>de</w:t>
      </w:r>
      <w:r w:rsidR="00A81065">
        <w:rPr>
          <w:rFonts w:cs="Times New Roman"/>
          <w:lang w:val="fr-CA"/>
        </w:rPr>
        <w:t> </w:t>
      </w:r>
      <w:r w:rsidRPr="00AD13A5">
        <w:rPr>
          <w:rFonts w:cs="Times New Roman"/>
          <w:lang w:val="fr-CA"/>
        </w:rPr>
        <w:t>l’équipe affectée à l’audit du CSP obtiennent une copie de la documentation du flux de</w:t>
      </w:r>
      <w:r w:rsidR="00C96AAD">
        <w:rPr>
          <w:rFonts w:cs="Times New Roman"/>
          <w:lang w:val="fr-CA"/>
        </w:rPr>
        <w:t>s</w:t>
      </w:r>
      <w:r w:rsidR="00027362">
        <w:rPr>
          <w:rFonts w:cs="Times New Roman"/>
          <w:lang w:val="fr-CA"/>
        </w:rPr>
        <w:t xml:space="preserve"> processus</w:t>
      </w:r>
      <w:r w:rsidRPr="00AD13A5">
        <w:rPr>
          <w:rFonts w:cs="Times New Roman"/>
          <w:lang w:val="fr-CA"/>
        </w:rPr>
        <w:t xml:space="preserve"> (p. ex.</w:t>
      </w:r>
      <w:r w:rsidR="00033514">
        <w:rPr>
          <w:rFonts w:cs="Times New Roman"/>
          <w:lang w:val="fr-CA"/>
        </w:rPr>
        <w:t xml:space="preserve"> </w:t>
      </w:r>
      <w:r w:rsidRPr="00AD13A5">
        <w:rPr>
          <w:rFonts w:cs="Times New Roman"/>
          <w:lang w:val="fr-CA"/>
        </w:rPr>
        <w:t xml:space="preserve">organigrammes et/ou </w:t>
      </w:r>
      <w:r w:rsidR="00CD7E04">
        <w:rPr>
          <w:rFonts w:cs="Times New Roman"/>
          <w:lang w:val="fr-CA"/>
        </w:rPr>
        <w:t>textes descriptifs</w:t>
      </w:r>
      <w:r w:rsidRPr="00AD13A5">
        <w:rPr>
          <w:rFonts w:cs="Times New Roman"/>
          <w:lang w:val="fr-CA"/>
        </w:rPr>
        <w:t>) d’une des manières suivantes (</w:t>
      </w:r>
      <w:r w:rsidR="00027362">
        <w:rPr>
          <w:rFonts w:cs="Times New Roman"/>
          <w:lang w:val="fr-CA"/>
        </w:rPr>
        <w:t xml:space="preserve">avec </w:t>
      </w:r>
      <w:r w:rsidRPr="00AD13A5">
        <w:rPr>
          <w:rFonts w:cs="Times New Roman"/>
          <w:lang w:val="fr-CA"/>
        </w:rPr>
        <w:t>le consentement d</w:t>
      </w:r>
      <w:r w:rsidR="007D269A">
        <w:rPr>
          <w:rFonts w:cs="Times New Roman"/>
          <w:lang w:val="fr-CA"/>
        </w:rPr>
        <w:t>e l’entité</w:t>
      </w:r>
      <w:r w:rsidRPr="00AD13A5">
        <w:rPr>
          <w:rFonts w:cs="Times New Roman"/>
          <w:lang w:val="fr-CA"/>
        </w:rPr>
        <w:t>) :</w:t>
      </w:r>
    </w:p>
    <w:p w14:paraId="5B6DEE35" w14:textId="7B089099" w:rsidR="003C2415" w:rsidRPr="00AD13A5" w:rsidRDefault="00027362">
      <w:pPr>
        <w:numPr>
          <w:ilvl w:val="0"/>
          <w:numId w:val="8"/>
        </w:numPr>
        <w:rPr>
          <w:rFonts w:cs="Times New Roman"/>
          <w:lang w:val="fr-CA"/>
        </w:rPr>
      </w:pPr>
      <w:r>
        <w:rPr>
          <w:rFonts w:cs="Times New Roman"/>
          <w:lang w:val="fr-CA"/>
        </w:rPr>
        <w:t>Transmission directe</w:t>
      </w:r>
      <w:r w:rsidR="003C2415" w:rsidRPr="00AD13A5">
        <w:rPr>
          <w:rFonts w:cs="Times New Roman"/>
          <w:lang w:val="fr-CA"/>
        </w:rPr>
        <w:t xml:space="preserve"> de la documentation </w:t>
      </w:r>
      <w:r>
        <w:rPr>
          <w:rFonts w:cs="Times New Roman"/>
          <w:lang w:val="fr-CA"/>
        </w:rPr>
        <w:t xml:space="preserve">aux </w:t>
      </w:r>
      <w:r w:rsidR="003C2415" w:rsidRPr="00AD13A5">
        <w:rPr>
          <w:rFonts w:cs="Times New Roman"/>
          <w:lang w:val="fr-CA"/>
        </w:rPr>
        <w:t>équipes appropriées par courriel.</w:t>
      </w:r>
    </w:p>
    <w:p w14:paraId="23585447" w14:textId="2A40C4D1" w:rsidR="003C2415" w:rsidRPr="00AD13A5" w:rsidRDefault="00027362">
      <w:pPr>
        <w:numPr>
          <w:ilvl w:val="0"/>
          <w:numId w:val="8"/>
        </w:numPr>
        <w:rPr>
          <w:rFonts w:cs="Times New Roman"/>
          <w:b/>
          <w:lang w:val="fr-CA"/>
        </w:rPr>
      </w:pPr>
      <w:r>
        <w:rPr>
          <w:rFonts w:cs="Times New Roman"/>
          <w:lang w:val="fr-CA"/>
        </w:rPr>
        <w:t xml:space="preserve">Transmission </w:t>
      </w:r>
      <w:r w:rsidR="003C2415" w:rsidRPr="00AD13A5">
        <w:rPr>
          <w:rFonts w:cs="Times New Roman"/>
          <w:lang w:val="fr-CA"/>
        </w:rPr>
        <w:t>direct</w:t>
      </w:r>
      <w:r>
        <w:rPr>
          <w:rFonts w:cs="Times New Roman"/>
          <w:lang w:val="fr-CA"/>
        </w:rPr>
        <w:t>e</w:t>
      </w:r>
      <w:r w:rsidR="003C2415" w:rsidRPr="00AD13A5">
        <w:rPr>
          <w:rFonts w:cs="Times New Roman"/>
          <w:lang w:val="fr-CA"/>
        </w:rPr>
        <w:t xml:space="preserve"> de la documentation </w:t>
      </w:r>
      <w:r>
        <w:rPr>
          <w:rFonts w:cs="Times New Roman"/>
          <w:lang w:val="fr-CA"/>
        </w:rPr>
        <w:t xml:space="preserve">aux </w:t>
      </w:r>
      <w:r w:rsidR="003C2415" w:rsidRPr="00AD13A5">
        <w:rPr>
          <w:rFonts w:cs="Times New Roman"/>
          <w:lang w:val="fr-CA"/>
        </w:rPr>
        <w:t xml:space="preserve">équipes appropriées par l’intermédiaire d’un fichier de transfert </w:t>
      </w:r>
      <w:proofErr w:type="spellStart"/>
      <w:r w:rsidR="003C2415" w:rsidRPr="00AD13A5">
        <w:rPr>
          <w:rFonts w:cs="Times New Roman"/>
          <w:lang w:val="fr-CA"/>
        </w:rPr>
        <w:t>TeamMate</w:t>
      </w:r>
      <w:proofErr w:type="spellEnd"/>
      <w:r w:rsidR="003C2415" w:rsidRPr="00AD13A5">
        <w:rPr>
          <w:rFonts w:cs="Times New Roman"/>
          <w:lang w:val="fr-CA"/>
        </w:rPr>
        <w:t>.</w:t>
      </w:r>
    </w:p>
    <w:p w14:paraId="0EA5E649" w14:textId="11CB56DA" w:rsidR="003C2415" w:rsidRPr="00AD13A5" w:rsidRDefault="00CE44D0">
      <w:pPr>
        <w:numPr>
          <w:ilvl w:val="0"/>
          <w:numId w:val="8"/>
        </w:numPr>
        <w:rPr>
          <w:rFonts w:cs="Times New Roman"/>
          <w:lang w:val="fr-CA"/>
        </w:rPr>
      </w:pPr>
      <w:r>
        <w:rPr>
          <w:rFonts w:cs="Times New Roman"/>
          <w:lang w:val="fr-CA"/>
        </w:rPr>
        <w:t>Transmission de</w:t>
      </w:r>
      <w:r w:rsidR="003C2415" w:rsidRPr="00AD13A5">
        <w:rPr>
          <w:rFonts w:cs="Times New Roman"/>
          <w:lang w:val="fr-CA"/>
        </w:rPr>
        <w:t xml:space="preserve"> la documentation en l’intégrant dans l</w:t>
      </w:r>
      <w:r w:rsidR="0004212C">
        <w:rPr>
          <w:rFonts w:cs="Times New Roman"/>
          <w:lang w:val="fr-CA"/>
        </w:rPr>
        <w:t xml:space="preserve">e Mémoire </w:t>
      </w:r>
      <w:r w:rsidR="003C2415" w:rsidRPr="00AD13A5">
        <w:rPr>
          <w:rFonts w:cs="Times New Roman"/>
          <w:lang w:val="fr-CA"/>
        </w:rPr>
        <w:t>sur l’examen (Annexe</w:t>
      </w:r>
      <w:r w:rsidR="0004212C">
        <w:rPr>
          <w:rFonts w:cs="Times New Roman"/>
          <w:lang w:val="fr-CA"/>
        </w:rPr>
        <w:t> </w:t>
      </w:r>
      <w:r w:rsidR="00473F7E" w:rsidRPr="00473F7E">
        <w:rPr>
          <w:rFonts w:cs="Times New Roman"/>
          <w:b/>
          <w:lang w:val="fr-CA"/>
        </w:rPr>
        <w:t>K</w:t>
      </w:r>
      <w:r w:rsidR="003C2415" w:rsidRPr="00AD13A5">
        <w:rPr>
          <w:rFonts w:cs="Times New Roman"/>
          <w:lang w:val="fr-CA"/>
        </w:rPr>
        <w:t>).</w:t>
      </w:r>
    </w:p>
    <w:p w14:paraId="0D8044BB" w14:textId="77777777" w:rsidR="003C2415" w:rsidRPr="00AD13A5" w:rsidRDefault="003C2415">
      <w:pPr>
        <w:rPr>
          <w:rFonts w:cs="Times New Roman"/>
          <w:b/>
          <w:lang w:val="fr-CA"/>
        </w:rPr>
      </w:pPr>
    </w:p>
    <w:p w14:paraId="0CD974FB" w14:textId="77777777" w:rsidR="003C2415" w:rsidRPr="00A10C08" w:rsidRDefault="003C2415">
      <w:pPr>
        <w:rPr>
          <w:b/>
          <w:color w:val="1F497D" w:themeColor="text2"/>
          <w:sz w:val="32"/>
          <w:szCs w:val="32"/>
          <w:lang w:val="fr-CA"/>
        </w:rPr>
      </w:pPr>
      <w:r w:rsidRPr="00A10C08">
        <w:rPr>
          <w:b/>
          <w:color w:val="1F497D" w:themeColor="text2"/>
          <w:sz w:val="32"/>
          <w:szCs w:val="32"/>
          <w:lang w:val="fr-CA"/>
        </w:rPr>
        <w:t xml:space="preserve">Documentation du système </w:t>
      </w:r>
      <w:r w:rsidR="00A81065" w:rsidRPr="00A10C08">
        <w:rPr>
          <w:b/>
          <w:color w:val="1F497D" w:themeColor="text2"/>
          <w:sz w:val="32"/>
          <w:szCs w:val="32"/>
          <w:lang w:val="fr-CA"/>
        </w:rPr>
        <w:t>de </w:t>
      </w:r>
      <w:r w:rsidRPr="00A10C08">
        <w:rPr>
          <w:b/>
          <w:color w:val="1F497D" w:themeColor="text2"/>
          <w:sz w:val="32"/>
          <w:szCs w:val="32"/>
          <w:lang w:val="fr-CA"/>
        </w:rPr>
        <w:t>TI</w:t>
      </w:r>
    </w:p>
    <w:p w14:paraId="0D6979C2" w14:textId="40CFA344" w:rsidR="003C2415" w:rsidRPr="00AD13A5" w:rsidRDefault="003C2415">
      <w:p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 xml:space="preserve">Assurez-vous de </w:t>
      </w:r>
      <w:r w:rsidR="00A81065">
        <w:rPr>
          <w:rFonts w:cs="Times New Roman"/>
          <w:lang w:val="fr-CA"/>
        </w:rPr>
        <w:t>communiquer </w:t>
      </w:r>
      <w:r w:rsidRPr="00AD13A5">
        <w:rPr>
          <w:rFonts w:cs="Times New Roman"/>
          <w:lang w:val="fr-CA"/>
        </w:rPr>
        <w:t xml:space="preserve">l’inventaire complet des systèmes TI et des </w:t>
      </w:r>
      <w:r w:rsidR="00A81065">
        <w:rPr>
          <w:rFonts w:cs="Times New Roman"/>
          <w:lang w:val="fr-CA"/>
        </w:rPr>
        <w:t xml:space="preserve">cas </w:t>
      </w:r>
      <w:r w:rsidRPr="00AD13A5">
        <w:rPr>
          <w:rFonts w:cs="Times New Roman"/>
          <w:lang w:val="fr-CA"/>
        </w:rPr>
        <w:t xml:space="preserve">qui sont pertinents </w:t>
      </w:r>
      <w:r w:rsidR="00CE44D0">
        <w:rPr>
          <w:rFonts w:cs="Times New Roman"/>
          <w:lang w:val="fr-CA"/>
        </w:rPr>
        <w:t>pour les</w:t>
      </w:r>
      <w:r w:rsidR="00CE44D0" w:rsidRPr="00AD13A5">
        <w:rPr>
          <w:rFonts w:cs="Times New Roman"/>
          <w:lang w:val="fr-CA"/>
        </w:rPr>
        <w:t xml:space="preserve"> </w:t>
      </w:r>
      <w:r w:rsidRPr="00AD13A5">
        <w:rPr>
          <w:rFonts w:cs="Times New Roman"/>
          <w:lang w:val="fr-CA"/>
        </w:rPr>
        <w:t>processus ci-dessus.</w:t>
      </w:r>
      <w:r w:rsidRPr="00AD13A5">
        <w:rPr>
          <w:rFonts w:cs="Times New Roman"/>
          <w:b/>
          <w:lang w:val="fr-CA"/>
        </w:rPr>
        <w:t xml:space="preserve"> </w:t>
      </w:r>
    </w:p>
    <w:p w14:paraId="2270C046" w14:textId="77777777" w:rsidR="003C2415" w:rsidRPr="00AD13A5" w:rsidRDefault="003C2415">
      <w:pPr>
        <w:rPr>
          <w:rFonts w:cs="Times New Roman"/>
          <w:b/>
          <w:lang w:val="fr-CA"/>
        </w:rPr>
      </w:pPr>
    </w:p>
    <w:p w14:paraId="5A8D0B21" w14:textId="2809F24D" w:rsidR="003C2415" w:rsidRPr="00A10C08" w:rsidRDefault="003C2415">
      <w:pPr>
        <w:rPr>
          <w:b/>
          <w:color w:val="1F497D" w:themeColor="text2"/>
          <w:sz w:val="32"/>
          <w:szCs w:val="32"/>
          <w:lang w:val="fr-CA"/>
        </w:rPr>
      </w:pPr>
      <w:r w:rsidRPr="00A10C08">
        <w:rPr>
          <w:b/>
          <w:color w:val="1F497D" w:themeColor="text2"/>
          <w:sz w:val="32"/>
          <w:szCs w:val="32"/>
          <w:lang w:val="fr-CA"/>
        </w:rPr>
        <w:t>Reconnaissance d</w:t>
      </w:r>
      <w:r w:rsidR="00A81065" w:rsidRPr="00A10C08">
        <w:rPr>
          <w:b/>
          <w:color w:val="1F497D" w:themeColor="text2"/>
          <w:sz w:val="32"/>
          <w:szCs w:val="32"/>
          <w:lang w:val="fr-CA"/>
        </w:rPr>
        <w:t>es </w:t>
      </w:r>
      <w:r w:rsidRPr="00A10C08">
        <w:rPr>
          <w:b/>
          <w:color w:val="1F497D" w:themeColor="text2"/>
          <w:sz w:val="32"/>
          <w:szCs w:val="32"/>
          <w:lang w:val="fr-CA"/>
        </w:rPr>
        <w:t>contrôles</w:t>
      </w:r>
      <w:r w:rsidR="00CE44D0">
        <w:rPr>
          <w:b/>
          <w:color w:val="1F497D" w:themeColor="text2"/>
          <w:sz w:val="32"/>
          <w:szCs w:val="32"/>
          <w:lang w:val="fr-CA"/>
        </w:rPr>
        <w:t xml:space="preserve"> jugés</w:t>
      </w:r>
      <w:r w:rsidRPr="00A10C08">
        <w:rPr>
          <w:b/>
          <w:color w:val="1F497D" w:themeColor="text2"/>
          <w:sz w:val="32"/>
          <w:szCs w:val="32"/>
          <w:lang w:val="fr-CA"/>
        </w:rPr>
        <w:t xml:space="preserve"> </w:t>
      </w:r>
      <w:r w:rsidR="00CE44D0">
        <w:rPr>
          <w:b/>
          <w:color w:val="1F497D" w:themeColor="text2"/>
          <w:sz w:val="32"/>
          <w:szCs w:val="32"/>
          <w:lang w:val="fr-CA"/>
        </w:rPr>
        <w:t xml:space="preserve">pertinents sélectionnés </w:t>
      </w:r>
      <w:r w:rsidR="00A81065" w:rsidRPr="00A10C08">
        <w:rPr>
          <w:b/>
          <w:color w:val="1F497D" w:themeColor="text2"/>
          <w:sz w:val="32"/>
          <w:szCs w:val="32"/>
          <w:lang w:val="fr-CA"/>
        </w:rPr>
        <w:t xml:space="preserve">dans l’étendue pour les procédures convenues visant les </w:t>
      </w:r>
      <w:r w:rsidRPr="00A10C08">
        <w:rPr>
          <w:b/>
          <w:color w:val="1F497D" w:themeColor="text2"/>
          <w:sz w:val="32"/>
          <w:szCs w:val="32"/>
          <w:lang w:val="fr-CA"/>
        </w:rPr>
        <w:t>contrôle</w:t>
      </w:r>
      <w:r w:rsidR="00A81065" w:rsidRPr="00A10C08">
        <w:rPr>
          <w:b/>
          <w:color w:val="1F497D" w:themeColor="text2"/>
          <w:sz w:val="32"/>
          <w:szCs w:val="32"/>
          <w:lang w:val="fr-CA"/>
        </w:rPr>
        <w:t>s</w:t>
      </w:r>
      <w:r w:rsidRPr="00A10C08">
        <w:rPr>
          <w:b/>
          <w:color w:val="1F497D" w:themeColor="text2"/>
          <w:sz w:val="32"/>
          <w:szCs w:val="32"/>
          <w:lang w:val="fr-CA"/>
        </w:rPr>
        <w:t xml:space="preserve"> interne</w:t>
      </w:r>
      <w:r w:rsidR="00A81065" w:rsidRPr="00A10C08">
        <w:rPr>
          <w:b/>
          <w:color w:val="1F497D" w:themeColor="text2"/>
          <w:sz w:val="32"/>
          <w:szCs w:val="32"/>
          <w:lang w:val="fr-CA"/>
        </w:rPr>
        <w:t>s</w:t>
      </w:r>
      <w:r w:rsidRPr="00A10C08">
        <w:rPr>
          <w:b/>
          <w:color w:val="1F497D" w:themeColor="text2"/>
          <w:sz w:val="32"/>
          <w:szCs w:val="32"/>
          <w:lang w:val="fr-CA"/>
        </w:rPr>
        <w:t xml:space="preserve"> </w:t>
      </w:r>
    </w:p>
    <w:p w14:paraId="2EEDBC40" w14:textId="64A95376" w:rsidR="001B529B" w:rsidRDefault="003C2415" w:rsidP="001B529B">
      <w:p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 xml:space="preserve">Par </w:t>
      </w:r>
      <w:r w:rsidR="00CE44D0">
        <w:rPr>
          <w:rFonts w:cs="Times New Roman"/>
          <w:lang w:val="fr-CA"/>
        </w:rPr>
        <w:t xml:space="preserve">des </w:t>
      </w:r>
      <w:r w:rsidRPr="00AD13A5">
        <w:rPr>
          <w:rFonts w:cs="Times New Roman"/>
          <w:lang w:val="fr-CA"/>
        </w:rPr>
        <w:t>identificateurs uniques, les contrôles</w:t>
      </w:r>
      <w:r w:rsidR="00CE44D0">
        <w:rPr>
          <w:rFonts w:cs="Times New Roman"/>
          <w:lang w:val="fr-CA"/>
        </w:rPr>
        <w:t xml:space="preserve"> pertinents sélectionnés</w:t>
      </w:r>
      <w:r w:rsidR="00D64278">
        <w:rPr>
          <w:rFonts w:cs="Times New Roman"/>
          <w:lang w:val="fr-CA"/>
        </w:rPr>
        <w:t>,</w:t>
      </w:r>
      <w:r w:rsidRPr="00AD13A5">
        <w:rPr>
          <w:rFonts w:cs="Times New Roman"/>
          <w:lang w:val="fr-CA"/>
        </w:rPr>
        <w:t xml:space="preserve"> qui font l’objet de tests effectués par le CSP pour chacune des équipes d’audit constituantes, doivent être clairement définis dans la documentation ci-dessus. </w:t>
      </w:r>
      <w:r w:rsidRPr="00AD13A5">
        <w:rPr>
          <w:rFonts w:cs="Times New Roman"/>
          <w:lang w:val="fr-CA"/>
        </w:rPr>
        <w:br w:type="page"/>
      </w:r>
    </w:p>
    <w:p w14:paraId="6FF0D8B0" w14:textId="09681DB5" w:rsidR="003C2415" w:rsidRDefault="003C2415" w:rsidP="003D785F">
      <w:pPr>
        <w:pStyle w:val="Style2"/>
        <w:rPr>
          <w:lang w:val="fr-CA"/>
        </w:rPr>
      </w:pPr>
      <w:bookmarkStart w:id="5" w:name="_Toc9421270"/>
      <w:r w:rsidRPr="00BA3CC2">
        <w:rPr>
          <w:lang w:val="fr-CA"/>
        </w:rPr>
        <w:t>Annexe B – Instructions relatives aux tests</w:t>
      </w:r>
      <w:r w:rsidR="00A81065" w:rsidRPr="00A10C08">
        <w:rPr>
          <w:lang w:val="fr-CA"/>
        </w:rPr>
        <w:t> </w:t>
      </w:r>
      <w:r w:rsidRPr="00A10C08">
        <w:rPr>
          <w:lang w:val="fr-CA"/>
        </w:rPr>
        <w:t xml:space="preserve">des contrôles au niveau </w:t>
      </w:r>
      <w:r w:rsidR="00CE44D0" w:rsidRPr="00A10C08">
        <w:rPr>
          <w:lang w:val="fr-CA"/>
        </w:rPr>
        <w:t>d</w:t>
      </w:r>
      <w:r w:rsidR="00CE44D0">
        <w:rPr>
          <w:lang w:val="fr-CA"/>
        </w:rPr>
        <w:t>u groupe</w:t>
      </w:r>
      <w:r w:rsidR="008E4DBF" w:rsidRPr="00A10C08">
        <w:rPr>
          <w:lang w:val="fr-CA"/>
        </w:rPr>
        <w:t xml:space="preserve"> </w:t>
      </w:r>
      <w:r w:rsidRPr="00A10C08">
        <w:rPr>
          <w:lang w:val="fr-CA"/>
        </w:rPr>
        <w:t>(exemple illustratif)</w:t>
      </w:r>
      <w:bookmarkEnd w:id="5"/>
    </w:p>
    <w:p w14:paraId="7A485748" w14:textId="77777777" w:rsidR="00085F57" w:rsidRDefault="00085F57" w:rsidP="003D785F">
      <w:pPr>
        <w:rPr>
          <w:rFonts w:cs="Times New Roman"/>
          <w:lang w:val="fr-CA"/>
        </w:rPr>
      </w:pPr>
    </w:p>
    <w:p w14:paraId="1A47C710" w14:textId="2AF4FA7D" w:rsidR="00CE44D0" w:rsidRPr="003D785F" w:rsidRDefault="00CE44D0" w:rsidP="003D785F">
      <w:pPr>
        <w:rPr>
          <w:rFonts w:cs="Times New Roman"/>
          <w:lang w:val="fr-CA"/>
        </w:rPr>
      </w:pPr>
      <w:r w:rsidRPr="003D785F">
        <w:rPr>
          <w:rFonts w:cs="Times New Roman"/>
          <w:lang w:val="fr-CA"/>
        </w:rPr>
        <w:t>Tenez compte des activités de contrôle pertinentes exécutées au niveau des processus opérationnels (</w:t>
      </w:r>
      <w:r w:rsidR="00312761" w:rsidRPr="003D785F">
        <w:rPr>
          <w:rFonts w:cs="Times New Roman"/>
          <w:lang w:val="fr-CA"/>
        </w:rPr>
        <w:t>contrôles relatifs à l’ensemble du processus</w:t>
      </w:r>
      <w:r w:rsidRPr="003D785F">
        <w:rPr>
          <w:rFonts w:cs="Times New Roman"/>
          <w:lang w:val="fr-CA"/>
        </w:rPr>
        <w:t xml:space="preserve">) au moment d’évaluer les contrôles d’un processus au niveau des opérations et </w:t>
      </w:r>
      <w:r w:rsidR="00D64278" w:rsidRPr="003D785F">
        <w:rPr>
          <w:rFonts w:cs="Times New Roman"/>
          <w:lang w:val="fr-CA"/>
        </w:rPr>
        <w:t xml:space="preserve">contrôles directs </w:t>
      </w:r>
      <w:r w:rsidRPr="003D785F">
        <w:rPr>
          <w:rFonts w:cs="Times New Roman"/>
          <w:lang w:val="fr-CA"/>
        </w:rPr>
        <w:t>au niveau</w:t>
      </w:r>
      <w:r w:rsidR="00D64278" w:rsidRPr="003D785F">
        <w:rPr>
          <w:rFonts w:cs="Times New Roman"/>
          <w:lang w:val="fr-CA"/>
        </w:rPr>
        <w:t xml:space="preserve"> </w:t>
      </w:r>
      <w:r w:rsidRPr="003D785F">
        <w:rPr>
          <w:rFonts w:cs="Times New Roman"/>
          <w:lang w:val="fr-CA"/>
        </w:rPr>
        <w:t xml:space="preserve">du groupe. </w:t>
      </w:r>
      <w:r w:rsidR="00312761" w:rsidRPr="003D785F">
        <w:rPr>
          <w:rFonts w:cs="Times New Roman"/>
          <w:lang w:val="fr-CA"/>
        </w:rPr>
        <w:t>Les contrôles relatifs à l’ensemble du processus</w:t>
      </w:r>
      <w:r w:rsidRPr="003D785F">
        <w:rPr>
          <w:rFonts w:cs="Times New Roman"/>
          <w:lang w:val="fr-CA"/>
        </w:rPr>
        <w:t xml:space="preserve"> ont trait aux sujets suivants :</w:t>
      </w:r>
    </w:p>
    <w:p w14:paraId="48258A52" w14:textId="77777777" w:rsidR="00CE44D0" w:rsidRDefault="00CE44D0" w:rsidP="003D785F">
      <w:pPr>
        <w:pStyle w:val="Style2"/>
        <w:rPr>
          <w:rFonts w:ascii="Times New Roman" w:hAnsi="Times New Roman" w:cs="Times New Roman"/>
          <w:b w:val="0"/>
          <w:i w:val="0"/>
          <w:sz w:val="24"/>
          <w:szCs w:val="24"/>
          <w:lang w:val="fr-CA"/>
        </w:rPr>
      </w:pPr>
    </w:p>
    <w:p w14:paraId="7FC255CD" w14:textId="37E12C0C" w:rsidR="00CE44D0" w:rsidRPr="003D785F" w:rsidRDefault="00CE44D0" w:rsidP="003D785F">
      <w:pPr>
        <w:pStyle w:val="ListParagraph"/>
        <w:numPr>
          <w:ilvl w:val="0"/>
          <w:numId w:val="55"/>
        </w:numPr>
        <w:rPr>
          <w:rFonts w:cs="Times New Roman"/>
          <w:lang w:val="fr-CA"/>
        </w:rPr>
      </w:pPr>
      <w:r w:rsidRPr="003D785F">
        <w:rPr>
          <w:rFonts w:cs="Times New Roman"/>
          <w:lang w:val="fr-CA"/>
        </w:rPr>
        <w:t>Contrôles des données permanentes</w:t>
      </w:r>
    </w:p>
    <w:p w14:paraId="0A3F425A" w14:textId="7B3D4386" w:rsidR="00CE44D0" w:rsidRPr="003D785F" w:rsidRDefault="00CE44D0" w:rsidP="003D785F">
      <w:pPr>
        <w:pStyle w:val="ListParagraph"/>
        <w:numPr>
          <w:ilvl w:val="0"/>
          <w:numId w:val="55"/>
        </w:numPr>
        <w:rPr>
          <w:rFonts w:cs="Times New Roman"/>
          <w:lang w:val="fr-CA"/>
        </w:rPr>
      </w:pPr>
      <w:r w:rsidRPr="003D785F">
        <w:rPr>
          <w:rFonts w:cs="Times New Roman"/>
          <w:lang w:val="fr-CA"/>
        </w:rPr>
        <w:t>Contrôles des outils informatiques des utilisateurs finaux, tels que les tableurs</w:t>
      </w:r>
    </w:p>
    <w:p w14:paraId="09757CB1" w14:textId="43C14D38" w:rsidR="00CE44D0" w:rsidRPr="003D785F" w:rsidRDefault="00CE44D0" w:rsidP="003D785F">
      <w:pPr>
        <w:pStyle w:val="ListParagraph"/>
        <w:numPr>
          <w:ilvl w:val="0"/>
          <w:numId w:val="55"/>
        </w:numPr>
        <w:rPr>
          <w:rFonts w:cs="Times New Roman"/>
          <w:lang w:val="fr-CA"/>
        </w:rPr>
      </w:pPr>
      <w:r w:rsidRPr="003D785F">
        <w:rPr>
          <w:rFonts w:cs="Times New Roman"/>
          <w:lang w:val="fr-CA"/>
        </w:rPr>
        <w:t>Examen par la direction de</w:t>
      </w:r>
      <w:r w:rsidR="00D64278" w:rsidRPr="003D785F">
        <w:rPr>
          <w:rFonts w:cs="Times New Roman"/>
          <w:lang w:val="fr-CA"/>
        </w:rPr>
        <w:t>s</w:t>
      </w:r>
      <w:r w:rsidRPr="003D785F">
        <w:rPr>
          <w:rFonts w:cs="Times New Roman"/>
          <w:lang w:val="fr-CA"/>
        </w:rPr>
        <w:t xml:space="preserve"> droits d’accès</w:t>
      </w:r>
    </w:p>
    <w:p w14:paraId="5AE044EE" w14:textId="279758BD" w:rsidR="00CE44D0" w:rsidRPr="003D785F" w:rsidRDefault="00CE44D0" w:rsidP="003D785F">
      <w:pPr>
        <w:pStyle w:val="ListParagraph"/>
        <w:numPr>
          <w:ilvl w:val="0"/>
          <w:numId w:val="55"/>
        </w:numPr>
        <w:rPr>
          <w:rFonts w:cs="Times New Roman"/>
          <w:lang w:val="fr-CA"/>
        </w:rPr>
      </w:pPr>
      <w:r w:rsidRPr="003D785F">
        <w:rPr>
          <w:rFonts w:cs="Times New Roman"/>
          <w:lang w:val="fr-CA"/>
        </w:rPr>
        <w:t>Séparation des tâches</w:t>
      </w:r>
    </w:p>
    <w:p w14:paraId="6B25E38C" w14:textId="4DF4C8BC" w:rsidR="00CE44D0" w:rsidRPr="003D785F" w:rsidRDefault="00CE44D0" w:rsidP="003D785F">
      <w:pPr>
        <w:pStyle w:val="ListParagraph"/>
        <w:numPr>
          <w:ilvl w:val="0"/>
          <w:numId w:val="55"/>
        </w:numPr>
        <w:rPr>
          <w:rFonts w:cs="Times New Roman"/>
          <w:lang w:val="fr-CA"/>
        </w:rPr>
      </w:pPr>
      <w:r w:rsidRPr="003D785F">
        <w:rPr>
          <w:rFonts w:cs="Times New Roman"/>
          <w:lang w:val="fr-CA"/>
        </w:rPr>
        <w:t>Reports automatiques (selon la mise en correspondance des comptes déterminée)</w:t>
      </w:r>
    </w:p>
    <w:p w14:paraId="7A9D9FBA" w14:textId="71DD976E" w:rsidR="006D3DF0" w:rsidRPr="003D785F" w:rsidRDefault="00CE44D0" w:rsidP="003D785F">
      <w:pPr>
        <w:pStyle w:val="ListParagraph"/>
        <w:numPr>
          <w:ilvl w:val="0"/>
          <w:numId w:val="55"/>
        </w:numPr>
        <w:rPr>
          <w:rFonts w:cs="Times New Roman"/>
          <w:lang w:val="fr-CA"/>
        </w:rPr>
      </w:pPr>
      <w:r w:rsidRPr="003D785F">
        <w:rPr>
          <w:rFonts w:cs="Times New Roman"/>
          <w:lang w:val="fr-CA"/>
        </w:rPr>
        <w:t>Utilisation de sociétés de services</w:t>
      </w:r>
      <w:r w:rsidR="006D3DF0" w:rsidRPr="003D785F">
        <w:rPr>
          <w:rFonts w:cs="Times New Roman"/>
          <w:lang w:val="fr-CA"/>
        </w:rPr>
        <w:t>, y compris les contrôles sur les intrants et les extrants</w:t>
      </w:r>
    </w:p>
    <w:p w14:paraId="4EDADC55" w14:textId="77777777" w:rsidR="006D3DF0" w:rsidRDefault="006D3DF0" w:rsidP="003D785F">
      <w:pPr>
        <w:pStyle w:val="Style2"/>
        <w:rPr>
          <w:rFonts w:ascii="Times New Roman" w:hAnsi="Times New Roman" w:cs="Times New Roman"/>
          <w:b w:val="0"/>
          <w:i w:val="0"/>
          <w:sz w:val="24"/>
          <w:szCs w:val="24"/>
          <w:lang w:val="fr-CA"/>
        </w:rPr>
      </w:pPr>
    </w:p>
    <w:p w14:paraId="3D438424" w14:textId="40366F57" w:rsidR="006D3DF0" w:rsidRPr="003D785F" w:rsidRDefault="006D3DF0" w:rsidP="003D785F">
      <w:pPr>
        <w:rPr>
          <w:rFonts w:cs="Times New Roman"/>
          <w:lang w:val="fr-CA"/>
        </w:rPr>
      </w:pPr>
      <w:r w:rsidRPr="003D785F">
        <w:rPr>
          <w:rFonts w:cs="Times New Roman"/>
          <w:lang w:val="fr-CA"/>
        </w:rPr>
        <w:t xml:space="preserve">Rappelez-vous que les </w:t>
      </w:r>
      <w:r w:rsidR="00312761" w:rsidRPr="003D785F">
        <w:rPr>
          <w:rFonts w:cs="Times New Roman"/>
          <w:lang w:val="fr-CA"/>
        </w:rPr>
        <w:t xml:space="preserve">contrôles relatifs à l’ensemble du processus </w:t>
      </w:r>
      <w:r w:rsidRPr="003D785F">
        <w:rPr>
          <w:rFonts w:cs="Times New Roman"/>
          <w:lang w:val="fr-CA"/>
        </w:rPr>
        <w:t xml:space="preserve">s’appliquent généralement </w:t>
      </w:r>
      <w:r w:rsidR="00D64278" w:rsidRPr="003D785F">
        <w:rPr>
          <w:rFonts w:cs="Times New Roman"/>
          <w:lang w:val="fr-CA"/>
        </w:rPr>
        <w:t>à plusieurs</w:t>
      </w:r>
      <w:r w:rsidRPr="003D785F">
        <w:rPr>
          <w:rFonts w:cs="Times New Roman"/>
          <w:lang w:val="fr-CA"/>
        </w:rPr>
        <w:t xml:space="preserve"> sous-processus d’un processus</w:t>
      </w:r>
    </w:p>
    <w:p w14:paraId="74340D45" w14:textId="0C05A014" w:rsidR="00CE44D0" w:rsidRDefault="00CE44D0">
      <w:pPr>
        <w:pStyle w:val="Style2"/>
        <w:rPr>
          <w:rFonts w:ascii="Times New Roman" w:hAnsi="Times New Roman" w:cs="Times New Roman"/>
          <w:b w:val="0"/>
          <w:i w:val="0"/>
          <w:sz w:val="24"/>
          <w:szCs w:val="24"/>
          <w:lang w:val="fr-CA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  <w:lang w:val="fr-CA"/>
        </w:rPr>
        <w:t xml:space="preserve"> </w:t>
      </w:r>
    </w:p>
    <w:p w14:paraId="05B5C0C4" w14:textId="07112318" w:rsidR="003C2415" w:rsidRPr="00A10C08" w:rsidRDefault="003C2415">
      <w:pPr>
        <w:rPr>
          <w:b/>
          <w:color w:val="1F497D" w:themeColor="text2"/>
          <w:sz w:val="32"/>
          <w:szCs w:val="32"/>
          <w:lang w:val="fr-CA"/>
        </w:rPr>
      </w:pPr>
      <w:r w:rsidRPr="00A10C08">
        <w:rPr>
          <w:b/>
          <w:color w:val="1F497D" w:themeColor="text2"/>
          <w:sz w:val="32"/>
          <w:szCs w:val="32"/>
          <w:lang w:val="fr-CA"/>
        </w:rPr>
        <w:t xml:space="preserve">Tests </w:t>
      </w:r>
      <w:r w:rsidR="00CE44D0">
        <w:rPr>
          <w:b/>
          <w:color w:val="1F497D" w:themeColor="text2"/>
          <w:sz w:val="32"/>
          <w:szCs w:val="32"/>
          <w:lang w:val="fr-CA"/>
        </w:rPr>
        <w:t>déterminés</w:t>
      </w:r>
      <w:r w:rsidR="00CE44D0" w:rsidRPr="00A10C08">
        <w:rPr>
          <w:b/>
          <w:color w:val="1F497D" w:themeColor="text2"/>
          <w:sz w:val="32"/>
          <w:szCs w:val="32"/>
          <w:lang w:val="fr-CA"/>
        </w:rPr>
        <w:t xml:space="preserve"> </w:t>
      </w:r>
      <w:r w:rsidRPr="00A10C08">
        <w:rPr>
          <w:b/>
          <w:color w:val="1F497D" w:themeColor="text2"/>
          <w:sz w:val="32"/>
          <w:szCs w:val="32"/>
          <w:lang w:val="fr-CA"/>
        </w:rPr>
        <w:t>des contrôles au niveau d</w:t>
      </w:r>
      <w:r w:rsidR="00CE44D0">
        <w:rPr>
          <w:b/>
          <w:color w:val="1F497D" w:themeColor="text2"/>
          <w:sz w:val="32"/>
          <w:szCs w:val="32"/>
          <w:lang w:val="fr-CA"/>
        </w:rPr>
        <w:t>u groupe</w:t>
      </w:r>
    </w:p>
    <w:p w14:paraId="5D07BFB5" w14:textId="0FD4C720" w:rsidR="002D74C8" w:rsidRDefault="003C2415">
      <w:p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 xml:space="preserve">Notez que les </w:t>
      </w:r>
      <w:r w:rsidR="00A81065">
        <w:rPr>
          <w:rFonts w:cs="Times New Roman"/>
          <w:lang w:val="fr-CA"/>
        </w:rPr>
        <w:t>tests des </w:t>
      </w:r>
      <w:r w:rsidRPr="00AD13A5">
        <w:rPr>
          <w:rFonts w:cs="Times New Roman"/>
          <w:lang w:val="fr-CA"/>
        </w:rPr>
        <w:t xml:space="preserve">contrôles </w:t>
      </w:r>
      <w:r w:rsidR="00312761">
        <w:rPr>
          <w:rFonts w:cs="Times New Roman"/>
          <w:lang w:val="fr-CA"/>
        </w:rPr>
        <w:t xml:space="preserve">effectués </w:t>
      </w:r>
      <w:r w:rsidRPr="00AD13A5">
        <w:rPr>
          <w:rFonts w:cs="Times New Roman"/>
          <w:lang w:val="fr-CA"/>
        </w:rPr>
        <w:t xml:space="preserve">au niveau </w:t>
      </w:r>
      <w:r w:rsidR="00312761">
        <w:rPr>
          <w:rFonts w:cs="Times New Roman"/>
          <w:lang w:val="fr-CA"/>
        </w:rPr>
        <w:t>du groupe</w:t>
      </w:r>
      <w:r w:rsidRPr="00AD13A5">
        <w:rPr>
          <w:rFonts w:cs="Times New Roman"/>
          <w:lang w:val="fr-CA"/>
        </w:rPr>
        <w:t xml:space="preserve"> seront applicables et pertinents pour toutes les équipes d’audit légal d</w:t>
      </w:r>
      <w:r w:rsidR="00A81065">
        <w:rPr>
          <w:rFonts w:cs="Times New Roman"/>
          <w:lang w:val="fr-CA"/>
        </w:rPr>
        <w:t xml:space="preserve">’un </w:t>
      </w:r>
      <w:r w:rsidRPr="00AD13A5">
        <w:rPr>
          <w:rFonts w:cs="Times New Roman"/>
          <w:lang w:val="fr-CA"/>
        </w:rPr>
        <w:t>groupe et de</w:t>
      </w:r>
      <w:r w:rsidR="00C57062">
        <w:rPr>
          <w:rFonts w:cs="Times New Roman"/>
          <w:lang w:val="fr-CA"/>
        </w:rPr>
        <w:t xml:space="preserve">s </w:t>
      </w:r>
      <w:r w:rsidRPr="00AD13A5">
        <w:rPr>
          <w:rFonts w:cs="Times New Roman"/>
          <w:lang w:val="fr-CA"/>
        </w:rPr>
        <w:t>composante</w:t>
      </w:r>
      <w:r w:rsidR="00C57062">
        <w:rPr>
          <w:rFonts w:cs="Times New Roman"/>
          <w:lang w:val="fr-CA"/>
        </w:rPr>
        <w:t>s</w:t>
      </w:r>
      <w:r w:rsidRPr="00AD13A5">
        <w:rPr>
          <w:rFonts w:cs="Times New Roman"/>
          <w:lang w:val="fr-CA"/>
        </w:rPr>
        <w:t>.</w:t>
      </w:r>
      <w:r w:rsidR="00C57062">
        <w:rPr>
          <w:rFonts w:cs="Times New Roman"/>
          <w:lang w:val="fr-CA"/>
        </w:rPr>
        <w:t> </w:t>
      </w:r>
      <w:r w:rsidRPr="00AD13A5">
        <w:rPr>
          <w:rFonts w:cs="Times New Roman"/>
          <w:lang w:val="fr-CA"/>
        </w:rPr>
        <w:t xml:space="preserve">Nous effectuerons les tests des contrôles au niveau </w:t>
      </w:r>
      <w:r w:rsidR="00CD7E04">
        <w:rPr>
          <w:rFonts w:cs="Times New Roman"/>
          <w:lang w:val="fr-CA"/>
        </w:rPr>
        <w:t>du groupe</w:t>
      </w:r>
      <w:r w:rsidR="008E4DBF" w:rsidRPr="00AD13A5">
        <w:rPr>
          <w:rFonts w:cs="Times New Roman"/>
          <w:lang w:val="fr-CA"/>
        </w:rPr>
        <w:t xml:space="preserve"> </w:t>
      </w:r>
      <w:r w:rsidRPr="00AD13A5">
        <w:rPr>
          <w:rFonts w:cs="Times New Roman"/>
          <w:lang w:val="fr-CA"/>
        </w:rPr>
        <w:t>de la manière suivante</w:t>
      </w:r>
      <w:r w:rsidR="00C57062">
        <w:rPr>
          <w:rFonts w:cs="Times New Roman"/>
          <w:lang w:val="fr-CA"/>
        </w:rPr>
        <w:t> </w:t>
      </w:r>
      <w:r w:rsidRPr="00AD13A5">
        <w:rPr>
          <w:rFonts w:cs="Times New Roman"/>
          <w:lang w:val="fr-CA"/>
        </w:rPr>
        <w:t>:</w:t>
      </w:r>
    </w:p>
    <w:p w14:paraId="3A4A1AF5" w14:textId="77777777" w:rsidR="002D74C8" w:rsidRDefault="002D74C8">
      <w:pPr>
        <w:rPr>
          <w:rFonts w:cs="Times New Roman"/>
          <w:lang w:val="fr-CA"/>
        </w:rPr>
      </w:pPr>
    </w:p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5605"/>
        <w:gridCol w:w="2701"/>
      </w:tblGrid>
      <w:tr w:rsidR="002D74C8" w:rsidRPr="006D3DF0" w14:paraId="329C1E8D" w14:textId="77777777" w:rsidTr="00085F57">
        <w:trPr>
          <w:tblHeader/>
        </w:trPr>
        <w:tc>
          <w:tcPr>
            <w:tcW w:w="5508" w:type="dxa"/>
            <w:shd w:val="clear" w:color="auto" w:fill="1F497D" w:themeFill="text2"/>
          </w:tcPr>
          <w:p w14:paraId="7223C3D7" w14:textId="7981DB00" w:rsidR="002D74C8" w:rsidRPr="003D785F" w:rsidRDefault="002D74C8" w:rsidP="00C270AA">
            <w:pPr>
              <w:pStyle w:val="TableTitleArial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3D785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Procédure</w:t>
            </w:r>
          </w:p>
        </w:tc>
        <w:tc>
          <w:tcPr>
            <w:tcW w:w="2654" w:type="dxa"/>
            <w:shd w:val="clear" w:color="auto" w:fill="1F497D" w:themeFill="text2"/>
          </w:tcPr>
          <w:p w14:paraId="611D0D82" w14:textId="05449EB5" w:rsidR="002D74C8" w:rsidRPr="003D785F" w:rsidRDefault="002D74C8" w:rsidP="00C270AA">
            <w:pPr>
              <w:pStyle w:val="TableTitleArial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3D785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Résultats des tests</w:t>
            </w:r>
          </w:p>
        </w:tc>
      </w:tr>
      <w:tr w:rsidR="002D74C8" w:rsidRPr="006D3DF0" w14:paraId="77CEB68A" w14:textId="77777777" w:rsidTr="00C270AA">
        <w:tc>
          <w:tcPr>
            <w:tcW w:w="5508" w:type="dxa"/>
            <w:tcBorders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2A4CD766" w14:textId="77777777" w:rsidR="002D74C8" w:rsidRPr="003D785F" w:rsidRDefault="002D74C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654" w:type="dxa"/>
            <w:tcBorders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60F0252A" w14:textId="77777777" w:rsidR="002D74C8" w:rsidRPr="003D785F" w:rsidRDefault="002D74C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2D74C8" w:rsidRPr="006D3DF0" w14:paraId="092B39C3" w14:textId="77777777" w:rsidTr="00C270AA">
        <w:tc>
          <w:tcPr>
            <w:tcW w:w="5508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503DB6C1" w14:textId="77777777" w:rsidR="002D74C8" w:rsidRPr="003D785F" w:rsidDel="008E51B9" w:rsidRDefault="002D74C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654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6A98F63C" w14:textId="77777777" w:rsidR="002D74C8" w:rsidRPr="003D785F" w:rsidRDefault="002D74C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2D74C8" w:rsidRPr="006D3DF0" w14:paraId="54AADAEF" w14:textId="77777777" w:rsidTr="00C270AA">
        <w:tc>
          <w:tcPr>
            <w:tcW w:w="5508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5A5398C6" w14:textId="77777777" w:rsidR="002D74C8" w:rsidRPr="003D785F" w:rsidDel="008E51B9" w:rsidRDefault="002D74C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654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5418C0D7" w14:textId="77777777" w:rsidR="002D74C8" w:rsidRPr="003D785F" w:rsidRDefault="002D74C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2D74C8" w:rsidRPr="006D3DF0" w14:paraId="5FC3FDA8" w14:textId="77777777" w:rsidTr="00C270AA">
        <w:tc>
          <w:tcPr>
            <w:tcW w:w="5508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399DF311" w14:textId="77777777" w:rsidR="002D74C8" w:rsidRPr="003D785F" w:rsidDel="008E51B9" w:rsidRDefault="002D74C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2654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7B82B0C2" w14:textId="77777777" w:rsidR="002D74C8" w:rsidRPr="003D785F" w:rsidRDefault="002D74C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14:paraId="2F5CC8E2" w14:textId="4D9A396A" w:rsidR="003C2415" w:rsidRPr="00AD13A5" w:rsidRDefault="003C2415">
      <w:pPr>
        <w:rPr>
          <w:rFonts w:cs="Times New Roman"/>
          <w:lang w:val="fr-CA"/>
        </w:rPr>
      </w:pPr>
      <w:r w:rsidRPr="00A10C08">
        <w:rPr>
          <w:rFonts w:cs="Times New Roman"/>
          <w:lang w:val="en-CA"/>
        </w:rPr>
        <w:br/>
      </w:r>
    </w:p>
    <w:p w14:paraId="15935BD3" w14:textId="70E7C441" w:rsidR="003C2415" w:rsidRDefault="003C2415" w:rsidP="00A10C08">
      <w:pPr>
        <w:pStyle w:val="Style2"/>
        <w:outlineLvl w:val="0"/>
        <w:rPr>
          <w:lang w:val="fr-CA"/>
        </w:rPr>
      </w:pPr>
      <w:r w:rsidRPr="00AD13A5">
        <w:rPr>
          <w:lang w:val="fr-CA"/>
        </w:rPr>
        <w:br w:type="page"/>
      </w:r>
      <w:bookmarkStart w:id="6" w:name="_Toc9421271"/>
      <w:r w:rsidRPr="00AD13A5">
        <w:rPr>
          <w:lang w:val="fr-CA"/>
        </w:rPr>
        <w:t>Annexe C</w:t>
      </w:r>
      <w:r w:rsidR="0004212C">
        <w:rPr>
          <w:lang w:val="fr-CA"/>
        </w:rPr>
        <w:t> </w:t>
      </w:r>
      <w:r w:rsidR="0004212C" w:rsidRPr="00AD13A5">
        <w:rPr>
          <w:lang w:val="fr-CA"/>
        </w:rPr>
        <w:t>–</w:t>
      </w:r>
      <w:r w:rsidR="0004212C">
        <w:rPr>
          <w:lang w:val="fr-CA"/>
        </w:rPr>
        <w:t> </w:t>
      </w:r>
      <w:r w:rsidRPr="00AD13A5">
        <w:rPr>
          <w:lang w:val="fr-CA"/>
        </w:rPr>
        <w:t xml:space="preserve">Tests indépendants des contrôles internes de la direction </w:t>
      </w:r>
      <w:r w:rsidR="006D3DF0">
        <w:rPr>
          <w:lang w:val="fr-CA"/>
        </w:rPr>
        <w:t>–</w:t>
      </w:r>
      <w:r w:rsidRPr="00AD13A5">
        <w:rPr>
          <w:lang w:val="fr-CA"/>
        </w:rPr>
        <w:t xml:space="preserve"> Groupe</w:t>
      </w:r>
      <w:bookmarkEnd w:id="6"/>
    </w:p>
    <w:p w14:paraId="44B72FDF" w14:textId="77777777" w:rsidR="006D3DF0" w:rsidRPr="0059609C" w:rsidRDefault="006D3DF0" w:rsidP="00085F57">
      <w:pPr>
        <w:rPr>
          <w:lang w:val="fr-CA"/>
        </w:rPr>
      </w:pPr>
    </w:p>
    <w:p w14:paraId="43E6321C" w14:textId="4765F532" w:rsidR="006D3DF0" w:rsidRPr="000D4DCF" w:rsidRDefault="006D3DF0" w:rsidP="00016EA1">
      <w:pPr>
        <w:rPr>
          <w:u w:val="single"/>
          <w:lang w:val="fr-CA"/>
        </w:rPr>
      </w:pPr>
      <w:r w:rsidRPr="0056214B">
        <w:rPr>
          <w:lang w:val="fr-CA"/>
        </w:rPr>
        <w:t>Tenez compte des activités de contrôle pertinentes exécuté</w:t>
      </w:r>
      <w:r>
        <w:rPr>
          <w:lang w:val="fr-CA"/>
        </w:rPr>
        <w:t>e</w:t>
      </w:r>
      <w:r w:rsidRPr="0056214B">
        <w:rPr>
          <w:lang w:val="fr-CA"/>
        </w:rPr>
        <w:t>s au niveau des processus opérationnels (</w:t>
      </w:r>
      <w:r w:rsidR="00312761" w:rsidRPr="003D785F">
        <w:rPr>
          <w:rFonts w:cs="Times New Roman"/>
          <w:lang w:val="fr-CA"/>
        </w:rPr>
        <w:t>contrôles relatifs à l’ensemble du processus</w:t>
      </w:r>
      <w:r w:rsidRPr="0056214B">
        <w:rPr>
          <w:lang w:val="fr-CA"/>
        </w:rPr>
        <w:t>) au moment d’évaluer</w:t>
      </w:r>
      <w:r>
        <w:rPr>
          <w:lang w:val="fr-CA"/>
        </w:rPr>
        <w:t xml:space="preserve"> les contrôles d’un processus</w:t>
      </w:r>
      <w:r w:rsidRPr="00243A6A">
        <w:rPr>
          <w:lang w:val="fr-CA"/>
        </w:rPr>
        <w:t xml:space="preserve"> </w:t>
      </w:r>
      <w:r>
        <w:rPr>
          <w:lang w:val="fr-CA"/>
        </w:rPr>
        <w:t xml:space="preserve">au niveau des opérations et </w:t>
      </w:r>
      <w:r w:rsidR="00D64278">
        <w:rPr>
          <w:lang w:val="fr-CA"/>
        </w:rPr>
        <w:t xml:space="preserve">des contrôles directs </w:t>
      </w:r>
      <w:r>
        <w:rPr>
          <w:lang w:val="fr-CA"/>
        </w:rPr>
        <w:t>au niveau</w:t>
      </w:r>
      <w:r w:rsidR="00D64278">
        <w:rPr>
          <w:lang w:val="fr-CA"/>
        </w:rPr>
        <w:t xml:space="preserve"> </w:t>
      </w:r>
      <w:r>
        <w:rPr>
          <w:lang w:val="fr-CA"/>
        </w:rPr>
        <w:t>du groupe (voir ci-dessus).</w:t>
      </w:r>
    </w:p>
    <w:p w14:paraId="51365956" w14:textId="77777777" w:rsidR="003C2415" w:rsidRPr="00AD13A5" w:rsidRDefault="003C2415">
      <w:pPr>
        <w:rPr>
          <w:rFonts w:cs="Times New Roman"/>
          <w:lang w:val="fr-CA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76"/>
        <w:gridCol w:w="2077"/>
        <w:gridCol w:w="2076"/>
        <w:gridCol w:w="2077"/>
      </w:tblGrid>
      <w:tr w:rsidR="00B20828" w:rsidRPr="00033514" w14:paraId="6DFFD4F9" w14:textId="77777777" w:rsidTr="00C270AA">
        <w:trPr>
          <w:tblHeader/>
        </w:trPr>
        <w:tc>
          <w:tcPr>
            <w:tcW w:w="2076" w:type="dxa"/>
            <w:shd w:val="clear" w:color="auto" w:fill="1F497D" w:themeFill="text2"/>
          </w:tcPr>
          <w:p w14:paraId="76E0E017" w14:textId="3D2BB8EA" w:rsidR="00B20828" w:rsidRPr="003D785F" w:rsidRDefault="00B20828" w:rsidP="00C270AA">
            <w:pPr>
              <w:pStyle w:val="TableTitleArial"/>
              <w:rPr>
                <w:rFonts w:ascii="Times New Roman" w:hAnsi="Times New Roman" w:cs="Times New Roman"/>
                <w:b/>
                <w:color w:val="EEECE1" w:themeColor="background2"/>
                <w:sz w:val="24"/>
                <w:szCs w:val="24"/>
                <w:lang w:val="fr-CA"/>
              </w:rPr>
            </w:pPr>
            <w:r w:rsidRPr="003D785F">
              <w:rPr>
                <w:rFonts w:ascii="Times New Roman" w:hAnsi="Times New Roman" w:cs="Times New Roman"/>
                <w:b/>
                <w:color w:val="EEECE1" w:themeColor="background2"/>
                <w:sz w:val="24"/>
                <w:szCs w:val="24"/>
                <w:lang w:val="fr-CA"/>
              </w:rPr>
              <w:t>Emplacement</w:t>
            </w:r>
          </w:p>
        </w:tc>
        <w:tc>
          <w:tcPr>
            <w:tcW w:w="2077" w:type="dxa"/>
            <w:shd w:val="clear" w:color="auto" w:fill="1F497D" w:themeFill="text2"/>
          </w:tcPr>
          <w:p w14:paraId="2C01C4C6" w14:textId="05BA8196" w:rsidR="00B20828" w:rsidRPr="003D785F" w:rsidRDefault="00C432E0" w:rsidP="00A10C08">
            <w:pPr>
              <w:jc w:val="center"/>
              <w:rPr>
                <w:rFonts w:cs="Times New Roman"/>
                <w:b/>
                <w:color w:val="EEECE1" w:themeColor="background2"/>
                <w:highlight w:val="yellow"/>
                <w:lang w:val="fr-CA"/>
              </w:rPr>
            </w:pPr>
            <w:r w:rsidRPr="003D785F">
              <w:rPr>
                <w:rFonts w:cs="Times New Roman"/>
                <w:b/>
                <w:color w:val="EEECE1" w:themeColor="background2"/>
                <w:lang w:val="fr-CA"/>
              </w:rPr>
              <w:t>Processus/ Contrôle</w:t>
            </w:r>
          </w:p>
        </w:tc>
        <w:tc>
          <w:tcPr>
            <w:tcW w:w="2076" w:type="dxa"/>
            <w:shd w:val="clear" w:color="auto" w:fill="1F497D" w:themeFill="text2"/>
          </w:tcPr>
          <w:p w14:paraId="5AE6A17E" w14:textId="0EBA3483" w:rsidR="00B20828" w:rsidRPr="00033514" w:rsidRDefault="00C432E0" w:rsidP="00C432E0">
            <w:pPr>
              <w:pStyle w:val="TableTitleArial"/>
              <w:rPr>
                <w:rFonts w:ascii="Times New Roman" w:hAnsi="Times New Roman" w:cs="Times New Roman"/>
                <w:b/>
                <w:color w:val="EEECE1" w:themeColor="background2"/>
                <w:sz w:val="24"/>
                <w:szCs w:val="24"/>
                <w:highlight w:val="yellow"/>
                <w:lang w:val="fr-CA"/>
              </w:rPr>
            </w:pPr>
            <w:r w:rsidRPr="00033514">
              <w:rPr>
                <w:rFonts w:ascii="Times New Roman" w:hAnsi="Times New Roman" w:cs="Times New Roman"/>
                <w:b/>
                <w:color w:val="EEECE1" w:themeColor="background2"/>
                <w:sz w:val="24"/>
                <w:szCs w:val="24"/>
                <w:lang w:val="fr-CA"/>
              </w:rPr>
              <w:t>Procédures sur l’efficacité opérationnelle exécut</w:t>
            </w:r>
            <w:r w:rsidR="00312761">
              <w:rPr>
                <w:rFonts w:ascii="Times New Roman" w:hAnsi="Times New Roman" w:cs="Times New Roman"/>
                <w:b/>
                <w:color w:val="EEECE1" w:themeColor="background2"/>
                <w:sz w:val="24"/>
                <w:szCs w:val="24"/>
                <w:lang w:val="fr-CA"/>
              </w:rPr>
              <w:t>ées</w:t>
            </w:r>
          </w:p>
        </w:tc>
        <w:tc>
          <w:tcPr>
            <w:tcW w:w="2077" w:type="dxa"/>
            <w:shd w:val="clear" w:color="auto" w:fill="1F497D" w:themeFill="text2"/>
          </w:tcPr>
          <w:p w14:paraId="5CCE3623" w14:textId="053DBC22" w:rsidR="00B20828" w:rsidRPr="003D785F" w:rsidRDefault="00C432E0" w:rsidP="00C432E0">
            <w:pPr>
              <w:pStyle w:val="TableTitleArial"/>
              <w:rPr>
                <w:rFonts w:ascii="Times New Roman" w:hAnsi="Times New Roman" w:cs="Times New Roman"/>
                <w:b/>
                <w:color w:val="EEECE1" w:themeColor="background2"/>
                <w:sz w:val="24"/>
                <w:szCs w:val="24"/>
                <w:highlight w:val="yellow"/>
                <w:lang w:val="fr-CA"/>
              </w:rPr>
            </w:pPr>
            <w:r w:rsidRPr="003D785F">
              <w:rPr>
                <w:rFonts w:ascii="Times New Roman" w:hAnsi="Times New Roman" w:cs="Times New Roman"/>
                <w:b/>
                <w:color w:val="EEECE1" w:themeColor="background2"/>
                <w:sz w:val="24"/>
                <w:szCs w:val="24"/>
                <w:lang w:val="fr-CA"/>
              </w:rPr>
              <w:t>Résultats des tests</w:t>
            </w:r>
          </w:p>
        </w:tc>
      </w:tr>
      <w:tr w:rsidR="00B20828" w:rsidRPr="00022AEA" w14:paraId="71DA5A7A" w14:textId="77777777" w:rsidTr="00C270AA">
        <w:tc>
          <w:tcPr>
            <w:tcW w:w="2076" w:type="dxa"/>
            <w:tcBorders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0A9A42C1" w14:textId="77777777" w:rsidR="00B20828" w:rsidRPr="00022AEA" w:rsidRDefault="00B2082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5AFFA7F9" w14:textId="77777777" w:rsidR="00B20828" w:rsidRPr="00022AEA" w:rsidRDefault="00B2082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1CDBEEB3" w14:textId="77777777" w:rsidR="00B20828" w:rsidRPr="00022AEA" w:rsidRDefault="00B2082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3C610A71" w14:textId="77777777" w:rsidR="00B20828" w:rsidRPr="00022AEA" w:rsidRDefault="00B2082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28" w:rsidRPr="00022AEA" w14:paraId="49D96DC6" w14:textId="77777777" w:rsidTr="00C270AA">
        <w:tc>
          <w:tcPr>
            <w:tcW w:w="207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60CDFAD2" w14:textId="77777777" w:rsidR="00B20828" w:rsidRPr="00022AEA" w:rsidRDefault="00B2082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591C37E8" w14:textId="77777777" w:rsidR="00B20828" w:rsidRPr="00022AEA" w:rsidRDefault="00B2082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2A99B585" w14:textId="77777777" w:rsidR="00B20828" w:rsidRPr="00022AEA" w:rsidRDefault="00B2082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65D57AEB" w14:textId="77777777" w:rsidR="00B20828" w:rsidRPr="00022AEA" w:rsidRDefault="00B20828" w:rsidP="00C270AA">
            <w:pPr>
              <w:pStyle w:val="TableTextAri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828" w:rsidRPr="00022AEA" w14:paraId="657F4FCE" w14:textId="77777777" w:rsidTr="00C270AA">
        <w:tc>
          <w:tcPr>
            <w:tcW w:w="207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35552E0E" w14:textId="77777777" w:rsidR="00B20828" w:rsidRPr="00022AEA" w:rsidRDefault="00B2082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1FD4A2DC" w14:textId="77777777" w:rsidR="00B20828" w:rsidRPr="00022AEA" w:rsidRDefault="00B2082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3B78883F" w14:textId="77777777" w:rsidR="00B20828" w:rsidRPr="00022AEA" w:rsidRDefault="00B2082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1A0FA6D1" w14:textId="77777777" w:rsidR="00B20828" w:rsidRPr="00022AEA" w:rsidRDefault="00B2082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28" w:rsidRPr="00022AEA" w14:paraId="195143DB" w14:textId="77777777" w:rsidTr="00C270AA">
        <w:tc>
          <w:tcPr>
            <w:tcW w:w="207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60256E4C" w14:textId="77777777" w:rsidR="00B20828" w:rsidRPr="00022AEA" w:rsidRDefault="00B2082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170538FF" w14:textId="77777777" w:rsidR="00B20828" w:rsidRPr="00022AEA" w:rsidRDefault="00B2082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3E684AE1" w14:textId="77777777" w:rsidR="00B20828" w:rsidRPr="00022AEA" w:rsidRDefault="00B2082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420D7513" w14:textId="77777777" w:rsidR="00B20828" w:rsidRPr="00022AEA" w:rsidRDefault="00B20828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48EDCA" w14:textId="77777777" w:rsidR="00B20828" w:rsidRDefault="00B20828">
      <w:pPr>
        <w:rPr>
          <w:rFonts w:cs="Times New Roman"/>
          <w:i/>
          <w:lang w:val="fr-CA"/>
        </w:rPr>
      </w:pPr>
    </w:p>
    <w:p w14:paraId="2D0E0E1D" w14:textId="03F158E2" w:rsidR="003C2415" w:rsidRPr="00AD13A5" w:rsidRDefault="003C2415">
      <w:pPr>
        <w:rPr>
          <w:rFonts w:cs="Times New Roman"/>
          <w:lang w:val="fr-CA"/>
        </w:rPr>
      </w:pPr>
      <w:r w:rsidRPr="00AD13A5">
        <w:rPr>
          <w:rFonts w:cs="Times New Roman"/>
          <w:i/>
          <w:lang w:val="fr-CA"/>
        </w:rPr>
        <w:t xml:space="preserve">Inclure ici </w:t>
      </w:r>
      <w:r w:rsidR="00C57062">
        <w:rPr>
          <w:rFonts w:cs="Times New Roman"/>
          <w:i/>
          <w:lang w:val="fr-CA"/>
        </w:rPr>
        <w:t>d</w:t>
      </w:r>
      <w:r w:rsidRPr="00AD13A5">
        <w:rPr>
          <w:rFonts w:cs="Times New Roman"/>
          <w:i/>
          <w:lang w:val="fr-CA"/>
        </w:rPr>
        <w:t>es</w:t>
      </w:r>
      <w:r w:rsidR="00C57062">
        <w:rPr>
          <w:rFonts w:cs="Times New Roman"/>
          <w:i/>
          <w:lang w:val="fr-CA"/>
        </w:rPr>
        <w:t xml:space="preserve"> précisions sur </w:t>
      </w:r>
      <w:r w:rsidRPr="00AD13A5">
        <w:rPr>
          <w:rFonts w:cs="Times New Roman"/>
          <w:i/>
          <w:lang w:val="fr-CA"/>
        </w:rPr>
        <w:t>tous les contrôles à</w:t>
      </w:r>
      <w:r w:rsidR="00C57062">
        <w:rPr>
          <w:rFonts w:cs="Times New Roman"/>
          <w:i/>
          <w:lang w:val="fr-CA"/>
        </w:rPr>
        <w:t> tester, </w:t>
      </w:r>
      <w:r w:rsidRPr="00AD13A5">
        <w:rPr>
          <w:rFonts w:cs="Times New Roman"/>
          <w:i/>
          <w:lang w:val="fr-CA"/>
        </w:rPr>
        <w:t>en intégrant les détails</w:t>
      </w:r>
      <w:r w:rsidR="006D3DF0">
        <w:rPr>
          <w:rFonts w:cs="Times New Roman"/>
          <w:i/>
          <w:lang w:val="fr-CA"/>
        </w:rPr>
        <w:t>.</w:t>
      </w:r>
    </w:p>
    <w:p w14:paraId="02CE6D50" w14:textId="77777777" w:rsidR="003C2415" w:rsidRPr="00AD13A5" w:rsidRDefault="003C2415">
      <w:pPr>
        <w:rPr>
          <w:rFonts w:cs="Times New Roman"/>
          <w:i/>
          <w:lang w:val="fr-CA"/>
        </w:rPr>
      </w:pPr>
    </w:p>
    <w:p w14:paraId="44443AC7" w14:textId="77777777" w:rsidR="003C2415" w:rsidRPr="00AD13A5" w:rsidRDefault="003C2415">
      <w:pPr>
        <w:rPr>
          <w:rFonts w:cs="Times New Roman"/>
          <w:i/>
          <w:lang w:val="fr-CA"/>
        </w:rPr>
      </w:pPr>
    </w:p>
    <w:p w14:paraId="088FBE4A" w14:textId="444B7E23" w:rsidR="003C2415" w:rsidRPr="00AD13A5" w:rsidRDefault="003C2415" w:rsidP="00A10C08">
      <w:pPr>
        <w:pStyle w:val="Style2"/>
        <w:outlineLvl w:val="0"/>
        <w:rPr>
          <w:lang w:val="fr-CA"/>
        </w:rPr>
      </w:pPr>
      <w:r w:rsidRPr="00AD13A5">
        <w:rPr>
          <w:lang w:val="fr-CA"/>
        </w:rPr>
        <w:br w:type="page"/>
      </w:r>
      <w:bookmarkStart w:id="7" w:name="_Toc9421272"/>
      <w:r w:rsidRPr="00AD13A5">
        <w:rPr>
          <w:lang w:val="fr-CA"/>
        </w:rPr>
        <w:t>Annexe D – Procédures analytiques</w:t>
      </w:r>
      <w:bookmarkEnd w:id="7"/>
    </w:p>
    <w:p w14:paraId="0D83C6C5" w14:textId="77777777" w:rsidR="003C2415" w:rsidRPr="00AD13A5" w:rsidRDefault="003C2415">
      <w:pPr>
        <w:rPr>
          <w:rFonts w:cs="Times New Roman"/>
          <w:lang w:val="fr-CA"/>
        </w:rPr>
      </w:pPr>
    </w:p>
    <w:p w14:paraId="60961F1A" w14:textId="37384956" w:rsidR="003C2415" w:rsidRPr="00AD13A5" w:rsidRDefault="003C2415" w:rsidP="003D785F">
      <w:pPr>
        <w:textAlignment w:val="top"/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 xml:space="preserve">Aux fins de l’audit du groupe, nous </w:t>
      </w:r>
      <w:r w:rsidR="00C57062">
        <w:rPr>
          <w:rFonts w:cs="Times New Roman"/>
          <w:lang w:val="fr-CA"/>
        </w:rPr>
        <w:t>mettrons en œuvre des </w:t>
      </w:r>
      <w:r w:rsidRPr="00AD13A5">
        <w:rPr>
          <w:rFonts w:cs="Times New Roman"/>
          <w:lang w:val="fr-CA"/>
        </w:rPr>
        <w:t xml:space="preserve">procédures </w:t>
      </w:r>
      <w:r w:rsidR="00DC2D9E" w:rsidRPr="00DC2D9E">
        <w:rPr>
          <w:rFonts w:cs="Times New Roman"/>
          <w:lang w:val="fr-CA"/>
        </w:rPr>
        <w:t>désagrégées</w:t>
      </w:r>
      <w:r w:rsidR="00DC2D9E">
        <w:rPr>
          <w:rFonts w:cs="Times New Roman"/>
          <w:lang w:val="fr-CA"/>
        </w:rPr>
        <w:t xml:space="preserve"> </w:t>
      </w:r>
      <w:r w:rsidRPr="00AD13A5">
        <w:rPr>
          <w:rFonts w:cs="Times New Roman"/>
          <w:lang w:val="fr-CA"/>
        </w:rPr>
        <w:t>analytiques (sous réserve des seuils de signification _______)</w:t>
      </w:r>
      <w:r w:rsidR="00DC2D9E">
        <w:rPr>
          <w:rFonts w:cs="Times New Roman"/>
          <w:lang w:val="fr-CA"/>
        </w:rPr>
        <w:t xml:space="preserve">, </w:t>
      </w:r>
      <w:r w:rsidR="00473F7E" w:rsidRPr="00473F7E">
        <w:rPr>
          <w:rFonts w:cs="Times New Roman"/>
          <w:snapToGrid/>
          <w:color w:val="333333"/>
          <w:lang w:val="fr-FR" w:eastAsia="en-CA"/>
        </w:rPr>
        <w:t>conformément</w:t>
      </w:r>
      <w:r w:rsidR="00AC2EBA">
        <w:rPr>
          <w:rFonts w:cs="Times New Roman"/>
          <w:lang w:val="fr-CA"/>
        </w:rPr>
        <w:t xml:space="preserve"> </w:t>
      </w:r>
      <w:r w:rsidR="006D3DF0">
        <w:rPr>
          <w:rFonts w:cs="Times New Roman"/>
          <w:lang w:val="fr-CA"/>
        </w:rPr>
        <w:t>à la section</w:t>
      </w:r>
      <w:r w:rsidR="00DC2D9E">
        <w:rPr>
          <w:rFonts w:cs="Times New Roman"/>
          <w:lang w:val="fr-CA"/>
        </w:rPr>
        <w:t xml:space="preserve"> BVG</w:t>
      </w:r>
      <w:r w:rsidR="00BE0FFD">
        <w:rPr>
          <w:rFonts w:cs="Times New Roman"/>
          <w:lang w:val="fr-CA"/>
        </w:rPr>
        <w:t xml:space="preserve"> Audit 7033.1</w:t>
      </w:r>
      <w:r w:rsidR="00DC2D9E">
        <w:rPr>
          <w:rFonts w:cs="Times New Roman"/>
          <w:lang w:val="fr-CA"/>
        </w:rPr>
        <w:t xml:space="preserve">, </w:t>
      </w:r>
      <w:r w:rsidRPr="00AD13A5">
        <w:rPr>
          <w:rFonts w:cs="Times New Roman"/>
          <w:lang w:val="fr-CA"/>
        </w:rPr>
        <w:t>sur les comptes suivants :</w:t>
      </w:r>
    </w:p>
    <w:p w14:paraId="7A341371" w14:textId="77777777" w:rsidR="003C2415" w:rsidRPr="00AD13A5" w:rsidRDefault="003C2415">
      <w:pPr>
        <w:rPr>
          <w:rFonts w:cs="Times New Roman"/>
          <w:lang w:val="fr-CA"/>
        </w:rPr>
      </w:pPr>
    </w:p>
    <w:p w14:paraId="3ADABE94" w14:textId="77777777" w:rsidR="003C2415" w:rsidRPr="00AD13A5" w:rsidRDefault="003C2415">
      <w:pPr>
        <w:numPr>
          <w:ilvl w:val="0"/>
          <w:numId w:val="3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 xml:space="preserve">Liste de tous les comptes </w:t>
      </w:r>
      <w:r w:rsidR="00C57062">
        <w:rPr>
          <w:rFonts w:cs="Times New Roman"/>
          <w:lang w:val="fr-CA"/>
        </w:rPr>
        <w:t xml:space="preserve">visés </w:t>
      </w:r>
    </w:p>
    <w:p w14:paraId="74CDF639" w14:textId="77777777" w:rsidR="003C2415" w:rsidRPr="00AD13A5" w:rsidRDefault="003C2415">
      <w:pPr>
        <w:rPr>
          <w:rFonts w:cs="Times New Roman"/>
          <w:lang w:val="fr-CA"/>
        </w:rPr>
      </w:pPr>
    </w:p>
    <w:p w14:paraId="1C6BED55" w14:textId="77777777" w:rsidR="003C2415" w:rsidRPr="00AD13A5" w:rsidRDefault="00C57062">
      <w:pPr>
        <w:numPr>
          <w:ilvl w:val="0"/>
          <w:numId w:val="6"/>
        </w:numPr>
        <w:rPr>
          <w:rFonts w:cs="Times New Roman"/>
          <w:lang w:val="fr-CA"/>
        </w:rPr>
      </w:pPr>
      <w:r>
        <w:rPr>
          <w:rFonts w:cs="Times New Roman"/>
          <w:b/>
          <w:lang w:val="fr-CA"/>
        </w:rPr>
        <w:t>Remarque </w:t>
      </w:r>
      <w:r w:rsidR="003C2415" w:rsidRPr="00AD13A5">
        <w:rPr>
          <w:rFonts w:cs="Times New Roman"/>
          <w:b/>
          <w:lang w:val="fr-CA"/>
        </w:rPr>
        <w:t>:</w:t>
      </w:r>
      <w:r>
        <w:rPr>
          <w:rFonts w:cs="Times New Roman"/>
          <w:b/>
          <w:lang w:val="fr-CA"/>
        </w:rPr>
        <w:t> </w:t>
      </w:r>
      <w:r w:rsidR="003C2415" w:rsidRPr="00AD13A5">
        <w:rPr>
          <w:rFonts w:cs="Times New Roman"/>
          <w:b/>
          <w:lang w:val="fr-CA"/>
        </w:rPr>
        <w:t xml:space="preserve">ceci est pertinent uniquement dans les cas où la direction </w:t>
      </w:r>
      <w:r>
        <w:rPr>
          <w:rFonts w:cs="Times New Roman"/>
          <w:b/>
          <w:lang w:val="fr-CA"/>
        </w:rPr>
        <w:t xml:space="preserve">qui assume des </w:t>
      </w:r>
      <w:r w:rsidR="003C2415" w:rsidRPr="00AD13A5">
        <w:rPr>
          <w:rFonts w:cs="Times New Roman"/>
          <w:b/>
          <w:lang w:val="fr-CA"/>
        </w:rPr>
        <w:t>responsabilités</w:t>
      </w:r>
      <w:r>
        <w:rPr>
          <w:rFonts w:cs="Times New Roman"/>
          <w:b/>
          <w:lang w:val="fr-CA"/>
        </w:rPr>
        <w:t xml:space="preserve"> à l’égard </w:t>
      </w:r>
      <w:r w:rsidR="003C2415" w:rsidRPr="00AD13A5">
        <w:rPr>
          <w:rFonts w:cs="Times New Roman"/>
          <w:b/>
          <w:lang w:val="fr-CA"/>
        </w:rPr>
        <w:t xml:space="preserve">de l’analyse et </w:t>
      </w:r>
      <w:r>
        <w:rPr>
          <w:rFonts w:cs="Times New Roman"/>
          <w:b/>
          <w:lang w:val="fr-CA"/>
        </w:rPr>
        <w:t>de </w:t>
      </w:r>
      <w:r w:rsidR="003C2415" w:rsidRPr="00AD13A5">
        <w:rPr>
          <w:rFonts w:cs="Times New Roman"/>
          <w:b/>
          <w:lang w:val="fr-CA"/>
        </w:rPr>
        <w:t>l’établissement de rapports relativement aux résultats financiers se trouve dans le CSP.</w:t>
      </w:r>
      <w:r w:rsidR="00E211BD" w:rsidRPr="00AD13A5">
        <w:rPr>
          <w:rFonts w:cs="Times New Roman"/>
          <w:b/>
          <w:lang w:val="fr-CA"/>
        </w:rPr>
        <w:t xml:space="preserve"> </w:t>
      </w:r>
      <w:r w:rsidR="003C2415" w:rsidRPr="00AD13A5">
        <w:rPr>
          <w:rFonts w:cs="Times New Roman"/>
          <w:b/>
          <w:lang w:val="fr-CA"/>
        </w:rPr>
        <w:t>Dans le cas contraire, la responsabilité relative à l’exécution de procédures analytiques incombe aux équipes respectives.</w:t>
      </w:r>
    </w:p>
    <w:p w14:paraId="737C9CD5" w14:textId="2619626C" w:rsidR="003C2415" w:rsidRPr="00AD13A5" w:rsidRDefault="003C2415" w:rsidP="00A10C08">
      <w:pPr>
        <w:pStyle w:val="Style2"/>
        <w:outlineLvl w:val="0"/>
        <w:rPr>
          <w:lang w:val="fr-CA"/>
        </w:rPr>
      </w:pPr>
      <w:r w:rsidRPr="00AD13A5">
        <w:rPr>
          <w:lang w:val="fr-CA"/>
        </w:rPr>
        <w:br w:type="page"/>
      </w:r>
      <w:bookmarkStart w:id="8" w:name="_Toc9421273"/>
      <w:r w:rsidRPr="00AD13A5">
        <w:rPr>
          <w:lang w:val="fr-CA"/>
        </w:rPr>
        <w:t>Annexe E – Procédures de</w:t>
      </w:r>
      <w:r w:rsidR="00C57062">
        <w:rPr>
          <w:lang w:val="fr-CA"/>
        </w:rPr>
        <w:t xml:space="preserve"> corroboration – Groupe</w:t>
      </w:r>
      <w:bookmarkEnd w:id="8"/>
      <w:r w:rsidR="00C57062">
        <w:rPr>
          <w:lang w:val="fr-CA"/>
        </w:rPr>
        <w:t xml:space="preserve"> </w:t>
      </w:r>
    </w:p>
    <w:p w14:paraId="0E99981C" w14:textId="77777777" w:rsidR="003C2415" w:rsidRPr="00AD13A5" w:rsidRDefault="003C2415">
      <w:pPr>
        <w:rPr>
          <w:rFonts w:cs="Times New Roman"/>
          <w:lang w:val="fr-CA"/>
        </w:rPr>
      </w:pPr>
    </w:p>
    <w:p w14:paraId="356D200C" w14:textId="77777777" w:rsidR="003C2415" w:rsidRPr="00AD13A5" w:rsidRDefault="003C2415">
      <w:pPr>
        <w:rPr>
          <w:rFonts w:cs="Times New Roman"/>
          <w:lang w:val="fr-CA"/>
        </w:rPr>
      </w:pPr>
    </w:p>
    <w:p w14:paraId="367336D7" w14:textId="77777777" w:rsidR="003C2415" w:rsidRPr="00AD13A5" w:rsidRDefault="003C2415">
      <w:p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Les procédures d</w:t>
      </w:r>
      <w:r w:rsidR="00C57062">
        <w:rPr>
          <w:rFonts w:cs="Times New Roman"/>
          <w:lang w:val="fr-CA"/>
        </w:rPr>
        <w:t xml:space="preserve">e corroboration </w:t>
      </w:r>
      <w:r w:rsidRPr="00AD13A5">
        <w:rPr>
          <w:rFonts w:cs="Times New Roman"/>
          <w:lang w:val="fr-CA"/>
        </w:rPr>
        <w:t xml:space="preserve">convenues seront </w:t>
      </w:r>
      <w:r w:rsidR="00C57062">
        <w:rPr>
          <w:rFonts w:cs="Times New Roman"/>
          <w:lang w:val="fr-CA"/>
        </w:rPr>
        <w:t>mises en œuvre. </w:t>
      </w:r>
      <w:r w:rsidRPr="00AD13A5">
        <w:rPr>
          <w:rFonts w:cs="Times New Roman"/>
          <w:lang w:val="fr-CA"/>
        </w:rPr>
        <w:t xml:space="preserve">Les questions soulevées </w:t>
      </w:r>
      <w:r w:rsidR="00C57062">
        <w:rPr>
          <w:rFonts w:cs="Times New Roman"/>
          <w:lang w:val="fr-CA"/>
        </w:rPr>
        <w:t xml:space="preserve">à la </w:t>
      </w:r>
      <w:r w:rsidRPr="00AD13A5">
        <w:rPr>
          <w:rFonts w:cs="Times New Roman"/>
          <w:lang w:val="fr-CA"/>
        </w:rPr>
        <w:t xml:space="preserve">suite </w:t>
      </w:r>
      <w:r w:rsidR="00C57062">
        <w:rPr>
          <w:rFonts w:cs="Times New Roman"/>
          <w:lang w:val="fr-CA"/>
        </w:rPr>
        <w:t xml:space="preserve">des </w:t>
      </w:r>
      <w:r w:rsidRPr="00AD13A5">
        <w:rPr>
          <w:rFonts w:cs="Times New Roman"/>
          <w:lang w:val="fr-CA"/>
        </w:rPr>
        <w:t>tests seront communiquées</w:t>
      </w:r>
      <w:r w:rsidR="00C57062">
        <w:rPr>
          <w:rFonts w:cs="Times New Roman"/>
          <w:lang w:val="fr-CA"/>
        </w:rPr>
        <w:t xml:space="preserve">, à titre de divergence, dans </w:t>
      </w:r>
      <w:r w:rsidRPr="00AD13A5">
        <w:rPr>
          <w:rFonts w:cs="Times New Roman"/>
          <w:lang w:val="fr-CA"/>
        </w:rPr>
        <w:t xml:space="preserve">notre </w:t>
      </w:r>
      <w:r w:rsidR="00F35251">
        <w:rPr>
          <w:rFonts w:cs="Times New Roman"/>
          <w:lang w:val="fr-CA"/>
        </w:rPr>
        <w:t xml:space="preserve">Mémoire </w:t>
      </w:r>
      <w:r w:rsidRPr="00AD13A5">
        <w:rPr>
          <w:rFonts w:cs="Times New Roman"/>
          <w:lang w:val="fr-CA"/>
        </w:rPr>
        <w:t>sur</w:t>
      </w:r>
      <w:r w:rsidR="00F35251">
        <w:rPr>
          <w:rFonts w:cs="Times New Roman"/>
          <w:lang w:val="fr-CA"/>
        </w:rPr>
        <w:t> </w:t>
      </w:r>
      <w:r w:rsidRPr="00AD13A5">
        <w:rPr>
          <w:rFonts w:cs="Times New Roman"/>
          <w:lang w:val="fr-CA"/>
        </w:rPr>
        <w:t xml:space="preserve">l'examen (Annexe </w:t>
      </w:r>
      <w:r w:rsidRPr="00AD13A5">
        <w:rPr>
          <w:rFonts w:cs="Times New Roman"/>
          <w:b/>
          <w:lang w:val="fr-CA"/>
        </w:rPr>
        <w:t>K</w:t>
      </w:r>
      <w:r w:rsidRPr="00AD13A5">
        <w:rPr>
          <w:rFonts w:cs="Times New Roman"/>
          <w:lang w:val="fr-CA"/>
        </w:rPr>
        <w:t>).</w:t>
      </w:r>
    </w:p>
    <w:p w14:paraId="7D0B9EB5" w14:textId="77777777" w:rsidR="003C2415" w:rsidRPr="00AD13A5" w:rsidRDefault="003C2415">
      <w:pPr>
        <w:rPr>
          <w:rFonts w:cs="Times New Roman"/>
          <w:lang w:val="fr-CA"/>
        </w:rPr>
      </w:pPr>
    </w:p>
    <w:p w14:paraId="41D48655" w14:textId="1EC4A3A3" w:rsidR="003C2415" w:rsidRPr="00AD13A5" w:rsidRDefault="003C2415">
      <w:pPr>
        <w:rPr>
          <w:rFonts w:cs="Times New Roman"/>
          <w:b/>
          <w:i/>
          <w:lang w:val="fr-CA"/>
        </w:rPr>
      </w:pPr>
      <w:r w:rsidRPr="00AD13A5">
        <w:rPr>
          <w:rFonts w:cs="Times New Roman"/>
          <w:b/>
          <w:i/>
          <w:lang w:val="fr-CA"/>
        </w:rPr>
        <w:t>Exemples</w:t>
      </w:r>
      <w:r w:rsidR="00C57062">
        <w:rPr>
          <w:rFonts w:cs="Times New Roman"/>
          <w:b/>
          <w:i/>
          <w:lang w:val="fr-CA"/>
        </w:rPr>
        <w:t> </w:t>
      </w:r>
      <w:r w:rsidRPr="00AD13A5">
        <w:rPr>
          <w:rFonts w:cs="Times New Roman"/>
          <w:b/>
          <w:i/>
          <w:lang w:val="fr-CA"/>
        </w:rPr>
        <w:t>de procédures</w:t>
      </w:r>
      <w:r w:rsidR="00C57062">
        <w:rPr>
          <w:rFonts w:cs="Times New Roman"/>
          <w:b/>
          <w:i/>
          <w:lang w:val="fr-CA"/>
        </w:rPr>
        <w:t xml:space="preserve"> de corroboration </w:t>
      </w:r>
      <w:r w:rsidRPr="00AD13A5">
        <w:rPr>
          <w:rFonts w:cs="Times New Roman"/>
          <w:b/>
          <w:i/>
          <w:lang w:val="fr-CA"/>
        </w:rPr>
        <w:t>–</w:t>
      </w:r>
      <w:r w:rsidR="00C57062">
        <w:rPr>
          <w:rFonts w:cs="Times New Roman"/>
          <w:b/>
          <w:i/>
          <w:lang w:val="fr-CA"/>
        </w:rPr>
        <w:t xml:space="preserve"> à adapter </w:t>
      </w:r>
      <w:r w:rsidRPr="00AD13A5">
        <w:rPr>
          <w:rFonts w:cs="Times New Roman"/>
          <w:b/>
          <w:i/>
          <w:lang w:val="fr-CA"/>
        </w:rPr>
        <w:t xml:space="preserve">au besoin </w:t>
      </w:r>
    </w:p>
    <w:p w14:paraId="11323908" w14:textId="77777777" w:rsidR="003C2415" w:rsidRPr="00AD13A5" w:rsidRDefault="003C2415">
      <w:pPr>
        <w:rPr>
          <w:rFonts w:cs="Times New Roman"/>
          <w:lang w:val="fr-CA"/>
        </w:rPr>
      </w:pPr>
    </w:p>
    <w:p w14:paraId="4EC2ACB1" w14:textId="77777777" w:rsidR="003C2415" w:rsidRPr="00A10C08" w:rsidRDefault="003C2415">
      <w:pPr>
        <w:rPr>
          <w:b/>
          <w:color w:val="1F497D" w:themeColor="text2"/>
          <w:sz w:val="32"/>
          <w:szCs w:val="32"/>
          <w:lang w:val="fr-CA"/>
        </w:rPr>
      </w:pPr>
      <w:r w:rsidRPr="00A10C08">
        <w:rPr>
          <w:b/>
          <w:color w:val="1F497D" w:themeColor="text2"/>
          <w:sz w:val="32"/>
          <w:szCs w:val="32"/>
          <w:lang w:val="fr-CA"/>
        </w:rPr>
        <w:t>C</w:t>
      </w:r>
      <w:r w:rsidR="00C57062" w:rsidRPr="00A10C08">
        <w:rPr>
          <w:b/>
          <w:color w:val="1F497D" w:themeColor="text2"/>
          <w:sz w:val="32"/>
          <w:szCs w:val="32"/>
          <w:lang w:val="fr-CA"/>
        </w:rPr>
        <w:t xml:space="preserve">réances </w:t>
      </w:r>
    </w:p>
    <w:p w14:paraId="1D67D267" w14:textId="77777777" w:rsidR="003C2415" w:rsidRPr="00AD13A5" w:rsidRDefault="003C2415">
      <w:pPr>
        <w:rPr>
          <w:rFonts w:cs="Times New Roman"/>
          <w:b/>
          <w:lang w:val="fr-CA"/>
        </w:rPr>
      </w:pPr>
    </w:p>
    <w:p w14:paraId="32FF7390" w14:textId="77777777" w:rsidR="003C2415" w:rsidRPr="00AD13A5" w:rsidRDefault="003C2415">
      <w:pPr>
        <w:numPr>
          <w:ilvl w:val="0"/>
          <w:numId w:val="9"/>
        </w:numPr>
        <w:rPr>
          <w:rFonts w:cs="Times New Roman"/>
          <w:b/>
          <w:lang w:val="fr-CA"/>
        </w:rPr>
      </w:pPr>
      <w:r w:rsidRPr="00AD13A5">
        <w:rPr>
          <w:rFonts w:cs="Times New Roman"/>
          <w:lang w:val="fr-CA"/>
        </w:rPr>
        <w:t>Audit du rapprochement du grand livre auxiliaire au grand livre et résolution des éléments de rapprochement au-dessus de ______.</w:t>
      </w:r>
    </w:p>
    <w:p w14:paraId="0D01335B" w14:textId="77777777" w:rsidR="003C2415" w:rsidRPr="00AD13A5" w:rsidRDefault="003C2415">
      <w:pPr>
        <w:numPr>
          <w:ilvl w:val="0"/>
          <w:numId w:val="9"/>
        </w:numPr>
        <w:rPr>
          <w:rFonts w:cs="Times New Roman"/>
          <w:b/>
          <w:lang w:val="fr-CA"/>
        </w:rPr>
      </w:pPr>
      <w:r w:rsidRPr="00AD13A5">
        <w:rPr>
          <w:rFonts w:cs="Times New Roman"/>
          <w:lang w:val="fr-CA"/>
        </w:rPr>
        <w:t>Examen sommaire des analyses du grand livre auxiliaire des c</w:t>
      </w:r>
      <w:r w:rsidR="00C57062">
        <w:rPr>
          <w:rFonts w:cs="Times New Roman"/>
          <w:lang w:val="fr-CA"/>
        </w:rPr>
        <w:t xml:space="preserve">réances </w:t>
      </w:r>
      <w:r w:rsidRPr="00AD13A5">
        <w:rPr>
          <w:rFonts w:cs="Times New Roman"/>
          <w:lang w:val="fr-CA"/>
        </w:rPr>
        <w:t>pour déterminer :</w:t>
      </w:r>
    </w:p>
    <w:p w14:paraId="021BEDF3" w14:textId="78C65404" w:rsidR="003C2415" w:rsidRPr="00AD13A5" w:rsidRDefault="003C2415">
      <w:pPr>
        <w:numPr>
          <w:ilvl w:val="1"/>
          <w:numId w:val="9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les éléments anormalement considérables (soit des éléments distincts de ____ millions</w:t>
      </w:r>
      <w:r w:rsidR="00CD7E04">
        <w:rPr>
          <w:rFonts w:cs="Times New Roman"/>
          <w:lang w:val="fr-CA"/>
        </w:rPr>
        <w:t xml:space="preserve"> </w:t>
      </w:r>
      <w:r w:rsidR="00B531E9">
        <w:rPr>
          <w:rFonts w:cs="Times New Roman"/>
          <w:lang w:val="fr-CA"/>
        </w:rPr>
        <w:t>ou</w:t>
      </w:r>
      <w:r w:rsidR="00CD7E04">
        <w:rPr>
          <w:rFonts w:cs="Times New Roman"/>
          <w:lang w:val="fr-CA"/>
        </w:rPr>
        <w:t xml:space="preserve"> plus</w:t>
      </w:r>
      <w:r w:rsidRPr="00AD13A5">
        <w:rPr>
          <w:rFonts w:cs="Times New Roman"/>
          <w:lang w:val="fr-CA"/>
        </w:rPr>
        <w:t>);</w:t>
      </w:r>
    </w:p>
    <w:p w14:paraId="0484261F" w14:textId="77777777" w:rsidR="003C2415" w:rsidRPr="00AD13A5" w:rsidRDefault="003C2415">
      <w:pPr>
        <w:numPr>
          <w:ilvl w:val="1"/>
          <w:numId w:val="9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les soldes créditeurs.</w:t>
      </w:r>
    </w:p>
    <w:p w14:paraId="5CB7387F" w14:textId="77777777" w:rsidR="003C2415" w:rsidRPr="00AD13A5" w:rsidRDefault="003C2415">
      <w:pPr>
        <w:numPr>
          <w:ilvl w:val="0"/>
          <w:numId w:val="9"/>
        </w:numPr>
        <w:rPr>
          <w:rFonts w:cs="Times New Roman"/>
          <w:b/>
          <w:lang w:val="fr-CA"/>
        </w:rPr>
      </w:pPr>
      <w:r w:rsidRPr="00AD13A5">
        <w:rPr>
          <w:rFonts w:cs="Times New Roman"/>
          <w:lang w:val="fr-CA"/>
        </w:rPr>
        <w:t>Procédures d</w:t>
      </w:r>
      <w:r w:rsidR="00C57062">
        <w:rPr>
          <w:rFonts w:cs="Times New Roman"/>
          <w:lang w:val="fr-CA"/>
        </w:rPr>
        <w:t xml:space="preserve">e corroboration </w:t>
      </w:r>
      <w:r w:rsidRPr="00AD13A5">
        <w:rPr>
          <w:rFonts w:cs="Times New Roman"/>
          <w:lang w:val="fr-CA"/>
        </w:rPr>
        <w:t>conçues pour confirmer</w:t>
      </w:r>
      <w:r w:rsidR="00C57062">
        <w:rPr>
          <w:rFonts w:cs="Times New Roman"/>
          <w:lang w:val="fr-CA"/>
        </w:rPr>
        <w:t xml:space="preserve"> les assertions relatives à</w:t>
      </w:r>
      <w:r w:rsidRPr="00AD13A5">
        <w:rPr>
          <w:rFonts w:cs="Times New Roman"/>
          <w:lang w:val="fr-CA"/>
        </w:rPr>
        <w:t xml:space="preserve"> l’existence, </w:t>
      </w:r>
      <w:r w:rsidR="00C57062">
        <w:rPr>
          <w:rFonts w:cs="Times New Roman"/>
          <w:lang w:val="fr-CA"/>
        </w:rPr>
        <w:t>à la réalité et à la valeur :</w:t>
      </w:r>
    </w:p>
    <w:p w14:paraId="7BFF4AAC" w14:textId="77777777" w:rsidR="003C2415" w:rsidRPr="00AD13A5" w:rsidRDefault="003C2415">
      <w:pPr>
        <w:numPr>
          <w:ilvl w:val="1"/>
          <w:numId w:val="9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Confirmation des c</w:t>
      </w:r>
      <w:r w:rsidR="00C57062">
        <w:rPr>
          <w:rFonts w:cs="Times New Roman"/>
          <w:lang w:val="fr-CA"/>
        </w:rPr>
        <w:t xml:space="preserve">réances </w:t>
      </w:r>
      <w:r w:rsidRPr="00AD13A5">
        <w:rPr>
          <w:rFonts w:cs="Times New Roman"/>
          <w:lang w:val="fr-CA"/>
        </w:rPr>
        <w:t>quant au solde au 31</w:t>
      </w:r>
      <w:r w:rsidR="00C57062">
        <w:rPr>
          <w:rFonts w:cs="Times New Roman"/>
          <w:lang w:val="fr-CA"/>
        </w:rPr>
        <w:t> </w:t>
      </w:r>
      <w:r w:rsidRPr="00AD13A5">
        <w:rPr>
          <w:rFonts w:cs="Times New Roman"/>
          <w:lang w:val="fr-CA"/>
        </w:rPr>
        <w:t xml:space="preserve">décembre. </w:t>
      </w:r>
    </w:p>
    <w:p w14:paraId="0BE0A4A5" w14:textId="77777777" w:rsidR="003C2415" w:rsidRPr="003D785F" w:rsidRDefault="003C2415">
      <w:pPr>
        <w:numPr>
          <w:ilvl w:val="1"/>
          <w:numId w:val="9"/>
        </w:numPr>
        <w:rPr>
          <w:rFonts w:cs="Times New Roman"/>
          <w:lang w:val="fr-CA"/>
        </w:rPr>
      </w:pPr>
      <w:r w:rsidRPr="00312761">
        <w:rPr>
          <w:rFonts w:cs="Times New Roman"/>
          <w:lang w:val="fr-CA"/>
        </w:rPr>
        <w:t>Suivi de la remise en argent subséquente pour les soldes sélectionnés, mais non confirmés par un tiers.</w:t>
      </w:r>
    </w:p>
    <w:p w14:paraId="441900AB" w14:textId="77777777" w:rsidR="003C2415" w:rsidRPr="00AD13A5" w:rsidRDefault="003C2415">
      <w:pPr>
        <w:numPr>
          <w:ilvl w:val="1"/>
          <w:numId w:val="9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Examen des documents d’expédition et des copies des factures de vente et autre correspondance étayant la portion payée et non payée des soldes de compte.</w:t>
      </w:r>
    </w:p>
    <w:p w14:paraId="0E3B78D7" w14:textId="77777777" w:rsidR="003C2415" w:rsidRPr="00AD13A5" w:rsidRDefault="003C2415">
      <w:pPr>
        <w:numPr>
          <w:ilvl w:val="1"/>
          <w:numId w:val="9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Détermination de la nécessité d'auditer davantage l’existence du client.</w:t>
      </w:r>
    </w:p>
    <w:p w14:paraId="1A9785FB" w14:textId="77777777" w:rsidR="003C2415" w:rsidRPr="00AD13A5" w:rsidRDefault="003C2415">
      <w:pPr>
        <w:rPr>
          <w:rFonts w:cs="Times New Roman"/>
          <w:b/>
          <w:lang w:val="fr-CA"/>
        </w:rPr>
      </w:pPr>
    </w:p>
    <w:p w14:paraId="41FBB8AA" w14:textId="77777777" w:rsidR="003C2415" w:rsidRPr="00A10C08" w:rsidRDefault="003C2415">
      <w:pPr>
        <w:rPr>
          <w:b/>
          <w:color w:val="1F497D" w:themeColor="text2"/>
          <w:sz w:val="32"/>
          <w:szCs w:val="32"/>
          <w:lang w:val="fr-CA"/>
        </w:rPr>
      </w:pPr>
      <w:r w:rsidRPr="00A10C08">
        <w:rPr>
          <w:b/>
          <w:color w:val="1F497D" w:themeColor="text2"/>
          <w:sz w:val="32"/>
          <w:szCs w:val="32"/>
          <w:lang w:val="fr-CA"/>
        </w:rPr>
        <w:t>E</w:t>
      </w:r>
      <w:r w:rsidR="00C57062" w:rsidRPr="00A10C08">
        <w:rPr>
          <w:b/>
          <w:color w:val="1F497D" w:themeColor="text2"/>
          <w:sz w:val="32"/>
          <w:szCs w:val="32"/>
          <w:lang w:val="fr-CA"/>
        </w:rPr>
        <w:t xml:space="preserve">ncaisse </w:t>
      </w:r>
      <w:r w:rsidRPr="00A10C08">
        <w:rPr>
          <w:b/>
          <w:color w:val="1F497D" w:themeColor="text2"/>
          <w:sz w:val="32"/>
          <w:szCs w:val="32"/>
          <w:lang w:val="fr-CA"/>
        </w:rPr>
        <w:t>et banque</w:t>
      </w:r>
    </w:p>
    <w:p w14:paraId="70E81A5C" w14:textId="77777777" w:rsidR="003C2415" w:rsidRPr="00AD13A5" w:rsidRDefault="003C2415">
      <w:p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 </w:t>
      </w:r>
    </w:p>
    <w:p w14:paraId="13483C00" w14:textId="77777777" w:rsidR="003C2415" w:rsidRPr="00AD13A5" w:rsidRDefault="003C2415">
      <w:pPr>
        <w:numPr>
          <w:ilvl w:val="0"/>
          <w:numId w:val="25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Dans la mesure où il n</w:t>
      </w:r>
      <w:r w:rsidR="00C57062">
        <w:rPr>
          <w:rFonts w:cs="Times New Roman"/>
          <w:lang w:val="fr-CA"/>
        </w:rPr>
        <w:t>e fait pas partie </w:t>
      </w:r>
      <w:r w:rsidRPr="00AD13A5">
        <w:rPr>
          <w:rFonts w:cs="Times New Roman"/>
          <w:lang w:val="fr-CA"/>
        </w:rPr>
        <w:t>de votre échantillon de tests des contrôles, le rapprochement de l’audit du grand livre aux relevés bancaires d’un tiers au 31 décembre XX.</w:t>
      </w:r>
    </w:p>
    <w:p w14:paraId="55329A26" w14:textId="77777777" w:rsidR="003C2415" w:rsidRPr="00AD13A5" w:rsidRDefault="003C2415">
      <w:pPr>
        <w:rPr>
          <w:rFonts w:cs="Times New Roman"/>
          <w:lang w:val="fr-CA"/>
        </w:rPr>
      </w:pPr>
    </w:p>
    <w:p w14:paraId="11508EF5" w14:textId="5EE1CF47" w:rsidR="003C2415" w:rsidRPr="00A10C08" w:rsidRDefault="00B531E9">
      <w:pPr>
        <w:rPr>
          <w:b/>
          <w:color w:val="1F497D" w:themeColor="text2"/>
          <w:sz w:val="32"/>
          <w:szCs w:val="32"/>
          <w:lang w:val="fr-CA"/>
        </w:rPr>
      </w:pPr>
      <w:r>
        <w:rPr>
          <w:b/>
          <w:color w:val="1F497D" w:themeColor="text2"/>
          <w:sz w:val="32"/>
          <w:szCs w:val="32"/>
          <w:lang w:val="fr-CA"/>
        </w:rPr>
        <w:t>De l’a</w:t>
      </w:r>
      <w:r w:rsidR="00FB42B0" w:rsidRPr="00A10C08">
        <w:rPr>
          <w:b/>
          <w:color w:val="1F497D" w:themeColor="text2"/>
          <w:sz w:val="32"/>
          <w:szCs w:val="32"/>
          <w:lang w:val="fr-CA"/>
        </w:rPr>
        <w:t>pprovisionnement</w:t>
      </w:r>
      <w:r w:rsidR="00AE0274" w:rsidRPr="00A10C08">
        <w:rPr>
          <w:b/>
          <w:color w:val="1F497D" w:themeColor="text2"/>
          <w:sz w:val="32"/>
          <w:szCs w:val="32"/>
          <w:lang w:val="fr-CA"/>
        </w:rPr>
        <w:t xml:space="preserve"> </w:t>
      </w:r>
      <w:r>
        <w:rPr>
          <w:b/>
          <w:color w:val="1F497D" w:themeColor="text2"/>
          <w:sz w:val="32"/>
          <w:szCs w:val="32"/>
          <w:lang w:val="fr-CA"/>
        </w:rPr>
        <w:t>aux</w:t>
      </w:r>
      <w:r w:rsidR="00AE0274" w:rsidRPr="00A10C08">
        <w:rPr>
          <w:b/>
          <w:color w:val="1F497D" w:themeColor="text2"/>
          <w:sz w:val="32"/>
          <w:szCs w:val="32"/>
          <w:lang w:val="fr-CA"/>
        </w:rPr>
        <w:t xml:space="preserve"> </w:t>
      </w:r>
      <w:r w:rsidR="003C2415" w:rsidRPr="00A10C08">
        <w:rPr>
          <w:b/>
          <w:color w:val="1F497D" w:themeColor="text2"/>
          <w:sz w:val="32"/>
          <w:szCs w:val="32"/>
          <w:lang w:val="fr-CA"/>
        </w:rPr>
        <w:t>comptes créditeurs</w:t>
      </w:r>
    </w:p>
    <w:p w14:paraId="5A88F6BD" w14:textId="77777777" w:rsidR="003C2415" w:rsidRPr="00AD13A5" w:rsidRDefault="003C2415">
      <w:pPr>
        <w:rPr>
          <w:rFonts w:cs="Times New Roman"/>
          <w:lang w:val="fr-CA"/>
        </w:rPr>
      </w:pPr>
    </w:p>
    <w:p w14:paraId="536E912B" w14:textId="77777777" w:rsidR="003C2415" w:rsidRPr="00AD13A5" w:rsidRDefault="003C2415">
      <w:pPr>
        <w:numPr>
          <w:ilvl w:val="0"/>
          <w:numId w:val="27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 xml:space="preserve">Effectuer une recherche sur le passif non enregistré. </w:t>
      </w:r>
    </w:p>
    <w:p w14:paraId="53C3F6A9" w14:textId="77777777" w:rsidR="003C2415" w:rsidRPr="00AD13A5" w:rsidRDefault="003C2415">
      <w:pPr>
        <w:numPr>
          <w:ilvl w:val="0"/>
          <w:numId w:val="27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Dans la mesure où il n</w:t>
      </w:r>
      <w:r w:rsidR="00C57062">
        <w:rPr>
          <w:rFonts w:cs="Times New Roman"/>
          <w:lang w:val="fr-CA"/>
        </w:rPr>
        <w:t xml:space="preserve">e fait pas partie de </w:t>
      </w:r>
      <w:r w:rsidRPr="00AD13A5">
        <w:rPr>
          <w:rFonts w:cs="Times New Roman"/>
          <w:lang w:val="fr-CA"/>
        </w:rPr>
        <w:t>votre échantillon de tests des contrôles, le rapprochement de l’audit du grand livre au grand livre auxiliaire au 31</w:t>
      </w:r>
      <w:r w:rsidR="00C57062">
        <w:rPr>
          <w:rFonts w:cs="Times New Roman"/>
          <w:lang w:val="fr-CA"/>
        </w:rPr>
        <w:t> </w:t>
      </w:r>
      <w:r w:rsidRPr="00AD13A5">
        <w:rPr>
          <w:rFonts w:cs="Times New Roman"/>
          <w:lang w:val="fr-CA"/>
        </w:rPr>
        <w:t>décembre XX.</w:t>
      </w:r>
    </w:p>
    <w:p w14:paraId="1FDA9BA5" w14:textId="77777777" w:rsidR="003C2415" w:rsidRPr="00AD13A5" w:rsidRDefault="003C2415">
      <w:pPr>
        <w:rPr>
          <w:rFonts w:cs="Times New Roman"/>
          <w:sz w:val="20"/>
          <w:lang w:val="fr-CA"/>
        </w:rPr>
      </w:pPr>
    </w:p>
    <w:p w14:paraId="2091D226" w14:textId="77777777" w:rsidR="003C2415" w:rsidRPr="00AD13A5" w:rsidRDefault="00C57062">
      <w:pPr>
        <w:rPr>
          <w:rFonts w:cs="Times New Roman"/>
          <w:b/>
          <w:lang w:val="fr-CA"/>
        </w:rPr>
      </w:pPr>
      <w:r>
        <w:rPr>
          <w:rFonts w:cs="Times New Roman"/>
          <w:b/>
          <w:lang w:val="fr-CA"/>
        </w:rPr>
        <w:t>Remarque </w:t>
      </w:r>
      <w:r w:rsidR="003C2415" w:rsidRPr="00AD13A5">
        <w:rPr>
          <w:rFonts w:cs="Times New Roman"/>
          <w:b/>
          <w:lang w:val="fr-CA"/>
        </w:rPr>
        <w:t>:</w:t>
      </w:r>
    </w:p>
    <w:p w14:paraId="1537C10B" w14:textId="7741A2DA" w:rsidR="003C2415" w:rsidRPr="00AD13A5" w:rsidRDefault="003C2415">
      <w:pPr>
        <w:numPr>
          <w:ilvl w:val="0"/>
          <w:numId w:val="26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La communication des résultats des tests d</w:t>
      </w:r>
      <w:r w:rsidR="00C57062">
        <w:rPr>
          <w:rFonts w:cs="Times New Roman"/>
          <w:lang w:val="fr-CA"/>
        </w:rPr>
        <w:t>e corroboration ci-</w:t>
      </w:r>
      <w:r w:rsidRPr="00AD13A5">
        <w:rPr>
          <w:rFonts w:cs="Times New Roman"/>
          <w:lang w:val="fr-CA"/>
        </w:rPr>
        <w:t>dessus se</w:t>
      </w:r>
      <w:r w:rsidR="00C57062">
        <w:rPr>
          <w:rFonts w:cs="Times New Roman"/>
          <w:lang w:val="fr-CA"/>
        </w:rPr>
        <w:t xml:space="preserve"> fe</w:t>
      </w:r>
      <w:r w:rsidRPr="00AD13A5">
        <w:rPr>
          <w:rFonts w:cs="Times New Roman"/>
          <w:lang w:val="fr-CA"/>
        </w:rPr>
        <w:t xml:space="preserve">ra </w:t>
      </w:r>
      <w:r w:rsidR="00C57062">
        <w:rPr>
          <w:rFonts w:cs="Times New Roman"/>
          <w:lang w:val="fr-CA"/>
        </w:rPr>
        <w:t>uniquement</w:t>
      </w:r>
      <w:r w:rsidR="00C71611">
        <w:rPr>
          <w:rFonts w:cs="Times New Roman"/>
          <w:lang w:val="fr-CA"/>
        </w:rPr>
        <w:t xml:space="preserve"> en cas de divergences observées</w:t>
      </w:r>
      <w:r w:rsidR="00C57062">
        <w:rPr>
          <w:rFonts w:cs="Times New Roman"/>
          <w:lang w:val="fr-CA"/>
        </w:rPr>
        <w:t>. </w:t>
      </w:r>
      <w:r w:rsidRPr="00AD13A5">
        <w:rPr>
          <w:rFonts w:cs="Times New Roman"/>
          <w:lang w:val="fr-CA"/>
        </w:rPr>
        <w:t>Tous les autres documents associés aux tests</w:t>
      </w:r>
      <w:r w:rsidR="00C57062">
        <w:rPr>
          <w:rFonts w:cs="Times New Roman"/>
          <w:lang w:val="fr-CA"/>
        </w:rPr>
        <w:t xml:space="preserve"> de corroboration </w:t>
      </w:r>
      <w:r w:rsidRPr="00AD13A5">
        <w:rPr>
          <w:rFonts w:cs="Times New Roman"/>
          <w:lang w:val="fr-CA"/>
        </w:rPr>
        <w:t>ci-dessus d</w:t>
      </w:r>
      <w:r w:rsidR="003C41A6">
        <w:rPr>
          <w:rFonts w:cs="Times New Roman"/>
          <w:lang w:val="fr-CA"/>
        </w:rPr>
        <w:t>oiv</w:t>
      </w:r>
      <w:r w:rsidRPr="00AD13A5">
        <w:rPr>
          <w:rFonts w:cs="Times New Roman"/>
          <w:lang w:val="fr-CA"/>
        </w:rPr>
        <w:t xml:space="preserve">ent </w:t>
      </w:r>
      <w:r w:rsidR="00B531E9">
        <w:rPr>
          <w:rFonts w:cs="Times New Roman"/>
          <w:lang w:val="fr-CA"/>
        </w:rPr>
        <w:t xml:space="preserve">être </w:t>
      </w:r>
      <w:r w:rsidR="00312761">
        <w:rPr>
          <w:rFonts w:cs="Times New Roman"/>
          <w:lang w:val="fr-CA"/>
        </w:rPr>
        <w:t>inclus</w:t>
      </w:r>
      <w:r w:rsidRPr="00AD13A5">
        <w:rPr>
          <w:rFonts w:cs="Times New Roman"/>
          <w:lang w:val="fr-CA"/>
        </w:rPr>
        <w:t xml:space="preserve"> dans l</w:t>
      </w:r>
      <w:r w:rsidR="003C41A6">
        <w:rPr>
          <w:rFonts w:cs="Times New Roman"/>
          <w:lang w:val="fr-CA"/>
        </w:rPr>
        <w:t xml:space="preserve">e dossier d’audit de </w:t>
      </w:r>
      <w:proofErr w:type="spellStart"/>
      <w:r w:rsidRPr="00AD13A5">
        <w:rPr>
          <w:rFonts w:cs="Times New Roman"/>
          <w:lang w:val="fr-CA"/>
        </w:rPr>
        <w:t>TeamMate</w:t>
      </w:r>
      <w:proofErr w:type="spellEnd"/>
      <w:r w:rsidRPr="00AD13A5">
        <w:rPr>
          <w:rFonts w:cs="Times New Roman"/>
          <w:lang w:val="fr-CA"/>
        </w:rPr>
        <w:t xml:space="preserve"> de votre équipe. Les procédures détaillées ci-dessus d</w:t>
      </w:r>
      <w:r w:rsidR="00C57062">
        <w:rPr>
          <w:rFonts w:cs="Times New Roman"/>
          <w:lang w:val="fr-CA"/>
        </w:rPr>
        <w:t xml:space="preserve">oivent </w:t>
      </w:r>
      <w:r w:rsidRPr="00AD13A5">
        <w:rPr>
          <w:rFonts w:cs="Times New Roman"/>
          <w:lang w:val="fr-CA"/>
        </w:rPr>
        <w:t xml:space="preserve">être </w:t>
      </w:r>
      <w:r w:rsidR="00C57062">
        <w:rPr>
          <w:rFonts w:cs="Times New Roman"/>
          <w:lang w:val="fr-CA"/>
        </w:rPr>
        <w:t xml:space="preserve">mises en œuvre </w:t>
      </w:r>
      <w:r w:rsidRPr="00AD13A5">
        <w:rPr>
          <w:rFonts w:cs="Times New Roman"/>
          <w:lang w:val="fr-CA"/>
        </w:rPr>
        <w:t>conformément aux méthodes d’audit annuel du BVG.</w:t>
      </w:r>
    </w:p>
    <w:p w14:paraId="16F5702E" w14:textId="66FDA2F6" w:rsidR="003C2415" w:rsidRPr="00AD13A5" w:rsidRDefault="003C2415">
      <w:pPr>
        <w:numPr>
          <w:ilvl w:val="0"/>
          <w:numId w:val="26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 xml:space="preserve">Le seuil de signification </w:t>
      </w:r>
      <w:r w:rsidR="008B6D54">
        <w:rPr>
          <w:rFonts w:cs="Times New Roman"/>
          <w:lang w:val="fr-CA"/>
        </w:rPr>
        <w:t>pour </w:t>
      </w:r>
      <w:r w:rsidRPr="00AD13A5">
        <w:rPr>
          <w:rFonts w:cs="Times New Roman"/>
          <w:lang w:val="fr-CA"/>
        </w:rPr>
        <w:t>l’</w:t>
      </w:r>
      <w:r w:rsidR="008B6D54" w:rsidRPr="00AD13A5">
        <w:rPr>
          <w:rFonts w:cs="Times New Roman"/>
          <w:lang w:val="fr-CA"/>
        </w:rPr>
        <w:t>échantillon</w:t>
      </w:r>
      <w:r w:rsidR="008B6D54">
        <w:rPr>
          <w:rFonts w:cs="Times New Roman"/>
          <w:lang w:val="fr-CA"/>
        </w:rPr>
        <w:t>nage</w:t>
      </w:r>
      <w:r w:rsidRPr="00AD13A5">
        <w:rPr>
          <w:rFonts w:cs="Times New Roman"/>
          <w:lang w:val="fr-CA"/>
        </w:rPr>
        <w:t>,</w:t>
      </w:r>
      <w:r w:rsidR="007A6A5B">
        <w:rPr>
          <w:rFonts w:cs="Times New Roman"/>
          <w:lang w:val="fr-CA"/>
        </w:rPr>
        <w:t> </w:t>
      </w:r>
      <w:r w:rsidRPr="00AD13A5">
        <w:rPr>
          <w:rFonts w:cs="Times New Roman"/>
          <w:lang w:val="fr-CA"/>
        </w:rPr>
        <w:t xml:space="preserve">les analyses </w:t>
      </w:r>
      <w:r w:rsidR="00DC2D9E">
        <w:rPr>
          <w:rFonts w:cs="Times New Roman"/>
          <w:lang w:val="fr-CA"/>
        </w:rPr>
        <w:t>de fluctuations</w:t>
      </w:r>
      <w:r w:rsidRPr="00AD13A5">
        <w:rPr>
          <w:rFonts w:cs="Times New Roman"/>
          <w:lang w:val="fr-CA"/>
        </w:rPr>
        <w:t xml:space="preserve"> et les objectifs de communication</w:t>
      </w:r>
      <w:r w:rsidR="007A6A5B">
        <w:rPr>
          <w:rFonts w:cs="Times New Roman"/>
          <w:lang w:val="fr-CA"/>
        </w:rPr>
        <w:t xml:space="preserve"> de l’information financière </w:t>
      </w:r>
      <w:r w:rsidRPr="00AD13A5">
        <w:rPr>
          <w:rFonts w:cs="Times New Roman"/>
          <w:lang w:val="fr-CA"/>
        </w:rPr>
        <w:t xml:space="preserve">du groupe </w:t>
      </w:r>
      <w:r w:rsidR="003C41A6">
        <w:rPr>
          <w:rFonts w:cs="Times New Roman"/>
          <w:lang w:val="fr-CA"/>
        </w:rPr>
        <w:t>seront</w:t>
      </w:r>
      <w:r w:rsidRPr="00AD13A5">
        <w:rPr>
          <w:rFonts w:cs="Times New Roman"/>
          <w:lang w:val="fr-CA"/>
        </w:rPr>
        <w:t xml:space="preserve"> fondés sur la communication des ajustements du bilan de _______ou plus et les ajustements de </w:t>
      </w:r>
      <w:r w:rsidR="003C41A6">
        <w:rPr>
          <w:rFonts w:cs="Times New Roman"/>
          <w:lang w:val="fr-CA"/>
        </w:rPr>
        <w:t>l’</w:t>
      </w:r>
      <w:r w:rsidRPr="00AD13A5">
        <w:rPr>
          <w:rFonts w:cs="Times New Roman"/>
          <w:lang w:val="fr-CA"/>
        </w:rPr>
        <w:t xml:space="preserve">état des résultats de ________ ou plus, à moins que d’autres seuils de signification ne soient spécifiquement indiqués dans les tests </w:t>
      </w:r>
      <w:r w:rsidR="00BE0FFD" w:rsidRPr="00AD13A5">
        <w:rPr>
          <w:rFonts w:cs="Times New Roman"/>
          <w:lang w:val="fr-CA"/>
        </w:rPr>
        <w:t>ci</w:t>
      </w:r>
      <w:r w:rsidR="00BE0FFD">
        <w:rPr>
          <w:rFonts w:cs="Times New Roman"/>
          <w:lang w:val="fr-CA"/>
        </w:rPr>
        <w:t>-dessus</w:t>
      </w:r>
      <w:r w:rsidRPr="00AD13A5">
        <w:rPr>
          <w:rFonts w:cs="Times New Roman"/>
          <w:lang w:val="fr-CA"/>
        </w:rPr>
        <w:t>.</w:t>
      </w:r>
      <w:r w:rsidRPr="00AD13A5">
        <w:rPr>
          <w:rFonts w:cs="Times New Roman"/>
          <w:highlight w:val="red"/>
          <w:lang w:val="fr-CA"/>
        </w:rPr>
        <w:t xml:space="preserve"> </w:t>
      </w:r>
    </w:p>
    <w:p w14:paraId="60DD5C7E" w14:textId="111676E5" w:rsidR="003C2415" w:rsidRPr="00AD13A5" w:rsidRDefault="003C2415" w:rsidP="00A10C08">
      <w:pPr>
        <w:pStyle w:val="Style2"/>
        <w:outlineLvl w:val="0"/>
        <w:rPr>
          <w:lang w:val="fr-CA"/>
        </w:rPr>
      </w:pPr>
      <w:r w:rsidRPr="00AD13A5">
        <w:rPr>
          <w:lang w:val="fr-CA"/>
        </w:rPr>
        <w:br w:type="page"/>
      </w:r>
      <w:bookmarkStart w:id="9" w:name="_Toc9421274"/>
      <w:r w:rsidRPr="00AD13A5">
        <w:rPr>
          <w:lang w:val="fr-CA"/>
        </w:rPr>
        <w:t>Annexe F</w:t>
      </w:r>
      <w:r w:rsidR="00F35251">
        <w:rPr>
          <w:lang w:val="fr-CA"/>
        </w:rPr>
        <w:t> </w:t>
      </w:r>
      <w:r w:rsidR="00085F57">
        <w:rPr>
          <w:lang w:val="fr-CA"/>
        </w:rPr>
        <w:t>─</w:t>
      </w:r>
      <w:r w:rsidR="00F35251">
        <w:rPr>
          <w:lang w:val="fr-CA"/>
        </w:rPr>
        <w:t> </w:t>
      </w:r>
      <w:r w:rsidRPr="00AD13A5">
        <w:rPr>
          <w:lang w:val="fr-CA"/>
        </w:rPr>
        <w:t xml:space="preserve">Tests indépendants des contrôles internes de la direction </w:t>
      </w:r>
      <w:r w:rsidR="00085F57">
        <w:rPr>
          <w:lang w:val="fr-CA"/>
        </w:rPr>
        <w:t>─</w:t>
      </w:r>
      <w:r w:rsidR="007A6A5B">
        <w:rPr>
          <w:lang w:val="fr-CA"/>
        </w:rPr>
        <w:t xml:space="preserve"> audit </w:t>
      </w:r>
      <w:r w:rsidRPr="00AD13A5">
        <w:rPr>
          <w:lang w:val="fr-CA"/>
        </w:rPr>
        <w:t>légal</w:t>
      </w:r>
      <w:bookmarkEnd w:id="9"/>
      <w:r w:rsidRPr="00AD13A5">
        <w:rPr>
          <w:lang w:val="fr-CA"/>
        </w:rPr>
        <w:t xml:space="preserve"> </w:t>
      </w:r>
    </w:p>
    <w:p w14:paraId="27322810" w14:textId="77777777" w:rsidR="003C2415" w:rsidRPr="00AD13A5" w:rsidRDefault="003C2415">
      <w:pPr>
        <w:rPr>
          <w:rFonts w:cs="Times New Roman"/>
          <w:lang w:val="fr-CA"/>
        </w:rPr>
      </w:pPr>
    </w:p>
    <w:p w14:paraId="4A37C2EE" w14:textId="2B61927B" w:rsidR="003C2415" w:rsidRPr="00AD13A5" w:rsidRDefault="003C2415">
      <w:pPr>
        <w:rPr>
          <w:rFonts w:cs="Times New Roman"/>
          <w:i/>
          <w:lang w:val="fr-CA"/>
        </w:rPr>
      </w:pPr>
      <w:r w:rsidRPr="00AD13A5">
        <w:rPr>
          <w:rFonts w:cs="Times New Roman"/>
          <w:i/>
          <w:lang w:val="fr-CA"/>
        </w:rPr>
        <w:t>L’équipe du CSP in</w:t>
      </w:r>
      <w:r w:rsidR="007A6A5B">
        <w:rPr>
          <w:rFonts w:cs="Times New Roman"/>
          <w:i/>
          <w:lang w:val="fr-CA"/>
        </w:rPr>
        <w:t xml:space="preserve">scrira </w:t>
      </w:r>
      <w:r w:rsidRPr="00AD13A5">
        <w:rPr>
          <w:rFonts w:cs="Times New Roman"/>
          <w:i/>
          <w:lang w:val="fr-CA"/>
        </w:rPr>
        <w:t>ici les procédures relatives aux tests de</w:t>
      </w:r>
      <w:r w:rsidR="007A6A5B">
        <w:rPr>
          <w:rFonts w:cs="Times New Roman"/>
          <w:i/>
          <w:lang w:val="fr-CA"/>
        </w:rPr>
        <w:t>s </w:t>
      </w:r>
      <w:r w:rsidRPr="00AD13A5">
        <w:rPr>
          <w:rFonts w:cs="Times New Roman"/>
          <w:i/>
          <w:lang w:val="fr-CA"/>
        </w:rPr>
        <w:t>contrôle</w:t>
      </w:r>
      <w:r w:rsidR="007A6A5B">
        <w:rPr>
          <w:rFonts w:cs="Times New Roman"/>
          <w:i/>
          <w:lang w:val="fr-CA"/>
        </w:rPr>
        <w:t>s </w:t>
      </w:r>
      <w:r w:rsidRPr="00AD13A5">
        <w:rPr>
          <w:rFonts w:cs="Times New Roman"/>
          <w:i/>
          <w:lang w:val="fr-CA"/>
        </w:rPr>
        <w:t xml:space="preserve">internes </w:t>
      </w:r>
      <w:r w:rsidR="006D3DF0">
        <w:rPr>
          <w:rFonts w:cs="Times New Roman"/>
          <w:i/>
          <w:lang w:val="fr-CA"/>
        </w:rPr>
        <w:t>additionnelles</w:t>
      </w:r>
      <w:r w:rsidR="006D3DF0" w:rsidRPr="00AD13A5">
        <w:rPr>
          <w:rFonts w:cs="Times New Roman"/>
          <w:i/>
          <w:lang w:val="fr-CA"/>
        </w:rPr>
        <w:t xml:space="preserve"> </w:t>
      </w:r>
      <w:r w:rsidRPr="00AD13A5">
        <w:rPr>
          <w:rFonts w:cs="Times New Roman"/>
          <w:i/>
          <w:lang w:val="fr-CA"/>
        </w:rPr>
        <w:t xml:space="preserve">demandées par les équipes </w:t>
      </w:r>
      <w:r w:rsidR="007A6A5B">
        <w:rPr>
          <w:rFonts w:cs="Times New Roman"/>
          <w:i/>
          <w:lang w:val="fr-CA"/>
        </w:rPr>
        <w:t>affectées à un audit légal, </w:t>
      </w:r>
      <w:r w:rsidRPr="00AD13A5">
        <w:rPr>
          <w:rFonts w:cs="Times New Roman"/>
          <w:i/>
          <w:lang w:val="fr-CA"/>
        </w:rPr>
        <w:t>et ce, selon un</w:t>
      </w:r>
      <w:r w:rsidR="007A6A5B">
        <w:rPr>
          <w:rFonts w:cs="Times New Roman"/>
          <w:i/>
          <w:lang w:val="fr-CA"/>
        </w:rPr>
        <w:t xml:space="preserve"> format </w:t>
      </w:r>
      <w:r w:rsidRPr="00AD13A5">
        <w:rPr>
          <w:rFonts w:cs="Times New Roman"/>
          <w:i/>
          <w:lang w:val="fr-CA"/>
        </w:rPr>
        <w:t>conforme à l’annexe C.</w:t>
      </w:r>
    </w:p>
    <w:p w14:paraId="583E0B7C" w14:textId="614E2990" w:rsidR="003C2415" w:rsidRPr="00AD13A5" w:rsidRDefault="003C2415" w:rsidP="00A10C08">
      <w:pPr>
        <w:pStyle w:val="Style2"/>
        <w:outlineLvl w:val="0"/>
        <w:rPr>
          <w:lang w:val="fr-CA"/>
        </w:rPr>
      </w:pPr>
      <w:r w:rsidRPr="00AD13A5">
        <w:rPr>
          <w:lang w:val="fr-CA"/>
        </w:rPr>
        <w:br w:type="page"/>
      </w:r>
      <w:bookmarkStart w:id="10" w:name="_Toc9421275"/>
      <w:r w:rsidRPr="00AD13A5">
        <w:rPr>
          <w:lang w:val="fr-CA"/>
        </w:rPr>
        <w:t>Ann</w:t>
      </w:r>
      <w:r w:rsidR="00085F57">
        <w:rPr>
          <w:lang w:val="fr-CA"/>
        </w:rPr>
        <w:t>exe G ─ Procédures analytiques ─</w:t>
      </w:r>
      <w:r w:rsidRPr="00AD13A5">
        <w:rPr>
          <w:lang w:val="fr-CA"/>
        </w:rPr>
        <w:t xml:space="preserve"> </w:t>
      </w:r>
      <w:r w:rsidR="007A6A5B">
        <w:rPr>
          <w:lang w:val="fr-CA"/>
        </w:rPr>
        <w:t xml:space="preserve">audit </w:t>
      </w:r>
      <w:r w:rsidRPr="00AD13A5">
        <w:rPr>
          <w:lang w:val="fr-CA"/>
        </w:rPr>
        <w:t>légal</w:t>
      </w:r>
      <w:bookmarkEnd w:id="10"/>
    </w:p>
    <w:p w14:paraId="5F4B8AE2" w14:textId="77777777" w:rsidR="003C2415" w:rsidRPr="00AD13A5" w:rsidRDefault="003C2415">
      <w:pPr>
        <w:rPr>
          <w:rFonts w:cs="Times New Roman"/>
          <w:b/>
          <w:lang w:val="fr-CA"/>
        </w:rPr>
      </w:pPr>
    </w:p>
    <w:p w14:paraId="701BDD16" w14:textId="593D4DBA" w:rsidR="003C2415" w:rsidRPr="00AD13A5" w:rsidRDefault="003C2415">
      <w:p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 xml:space="preserve">Aux fins des audits légaux des entités figurant sur la page ___ du présent protocole, nous </w:t>
      </w:r>
      <w:r w:rsidR="007A6A5B">
        <w:rPr>
          <w:rFonts w:cs="Times New Roman"/>
          <w:lang w:val="fr-CA"/>
        </w:rPr>
        <w:t xml:space="preserve">mettrons en œuvre </w:t>
      </w:r>
      <w:r w:rsidRPr="00AD13A5">
        <w:rPr>
          <w:rFonts w:cs="Times New Roman"/>
          <w:lang w:val="fr-CA"/>
        </w:rPr>
        <w:t xml:space="preserve">des procédures </w:t>
      </w:r>
      <w:r w:rsidR="00DC2D9E">
        <w:rPr>
          <w:rFonts w:cs="Times New Roman"/>
          <w:lang w:val="fr-CA"/>
        </w:rPr>
        <w:t xml:space="preserve">désagrégées </w:t>
      </w:r>
      <w:r w:rsidRPr="00AD13A5">
        <w:rPr>
          <w:rFonts w:cs="Times New Roman"/>
          <w:lang w:val="fr-CA"/>
        </w:rPr>
        <w:t>analytiques (sous réserve des seuils de signification de_________)</w:t>
      </w:r>
      <w:r w:rsidR="00DC2D9E">
        <w:rPr>
          <w:rFonts w:cs="Times New Roman"/>
          <w:lang w:val="fr-CA"/>
        </w:rPr>
        <w:t xml:space="preserve">, conformément </w:t>
      </w:r>
      <w:r w:rsidR="00607B04">
        <w:rPr>
          <w:rFonts w:cs="Times New Roman"/>
          <w:lang w:val="fr-CA"/>
        </w:rPr>
        <w:t>à la section</w:t>
      </w:r>
      <w:r w:rsidR="00DC2D9E">
        <w:rPr>
          <w:rFonts w:cs="Times New Roman"/>
          <w:lang w:val="fr-CA"/>
        </w:rPr>
        <w:t xml:space="preserve">  BVG</w:t>
      </w:r>
      <w:r w:rsidR="00BE0FFD">
        <w:rPr>
          <w:rFonts w:cs="Times New Roman"/>
          <w:lang w:val="fr-CA"/>
        </w:rPr>
        <w:t xml:space="preserve"> Audit 7033.1</w:t>
      </w:r>
      <w:r w:rsidR="00DC2D9E">
        <w:rPr>
          <w:rFonts w:cs="Times New Roman"/>
          <w:lang w:val="fr-CA"/>
        </w:rPr>
        <w:t>,</w:t>
      </w:r>
      <w:r w:rsidRPr="00AD13A5">
        <w:rPr>
          <w:rFonts w:cs="Times New Roman"/>
          <w:lang w:val="fr-CA"/>
        </w:rPr>
        <w:t xml:space="preserve"> sur les comptes suivants :</w:t>
      </w:r>
    </w:p>
    <w:p w14:paraId="77FD7ECA" w14:textId="77777777" w:rsidR="003C2415" w:rsidRPr="00AD13A5" w:rsidRDefault="003C2415">
      <w:pPr>
        <w:rPr>
          <w:rFonts w:cs="Times New Roman"/>
          <w:lang w:val="fr-CA"/>
        </w:rPr>
      </w:pPr>
    </w:p>
    <w:p w14:paraId="52F5F781" w14:textId="77777777" w:rsidR="003C2415" w:rsidRPr="00AD13A5" w:rsidRDefault="003C2415">
      <w:pPr>
        <w:numPr>
          <w:ilvl w:val="0"/>
          <w:numId w:val="3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 xml:space="preserve">Liste de tous les comptes </w:t>
      </w:r>
      <w:r w:rsidR="007A6A5B">
        <w:rPr>
          <w:rFonts w:cs="Times New Roman"/>
          <w:lang w:val="fr-CA"/>
        </w:rPr>
        <w:t>visés</w:t>
      </w:r>
      <w:r w:rsidRPr="00AD13A5">
        <w:rPr>
          <w:rFonts w:cs="Times New Roman"/>
          <w:lang w:val="fr-CA"/>
        </w:rPr>
        <w:t>, par entité.</w:t>
      </w:r>
    </w:p>
    <w:p w14:paraId="4124EDE6" w14:textId="77777777" w:rsidR="003C2415" w:rsidRPr="00AD13A5" w:rsidRDefault="003C2415">
      <w:pPr>
        <w:rPr>
          <w:rFonts w:cs="Times New Roman"/>
          <w:lang w:val="fr-CA"/>
        </w:rPr>
      </w:pPr>
    </w:p>
    <w:p w14:paraId="40C768D2" w14:textId="1FDBB8A1" w:rsidR="003C2415" w:rsidRPr="00AD13A5" w:rsidRDefault="007A6A5B">
      <w:pPr>
        <w:numPr>
          <w:ilvl w:val="0"/>
          <w:numId w:val="6"/>
        </w:numPr>
        <w:rPr>
          <w:rFonts w:cs="Times New Roman"/>
          <w:lang w:val="fr-CA"/>
        </w:rPr>
      </w:pPr>
      <w:r>
        <w:rPr>
          <w:rFonts w:cs="Times New Roman"/>
          <w:b/>
          <w:lang w:val="fr-CA"/>
        </w:rPr>
        <w:t>Remarque </w:t>
      </w:r>
      <w:r w:rsidR="003C2415" w:rsidRPr="00AD13A5">
        <w:rPr>
          <w:rFonts w:cs="Times New Roman"/>
          <w:b/>
          <w:lang w:val="fr-CA"/>
        </w:rPr>
        <w:t>:</w:t>
      </w:r>
      <w:proofErr w:type="gramStart"/>
      <w:r>
        <w:rPr>
          <w:rFonts w:cs="Times New Roman"/>
          <w:b/>
          <w:lang w:val="fr-CA"/>
        </w:rPr>
        <w:t> </w:t>
      </w:r>
      <w:r w:rsidR="003C2415" w:rsidRPr="00AD13A5">
        <w:rPr>
          <w:rFonts w:cs="Times New Roman"/>
          <w:b/>
          <w:lang w:val="fr-CA"/>
        </w:rPr>
        <w:t xml:space="preserve"> pertinent</w:t>
      </w:r>
      <w:proofErr w:type="gramEnd"/>
      <w:r w:rsidR="003C2415" w:rsidRPr="00AD13A5">
        <w:rPr>
          <w:rFonts w:cs="Times New Roman"/>
          <w:b/>
          <w:lang w:val="fr-CA"/>
        </w:rPr>
        <w:t xml:space="preserve"> uniquement dans les cas où la direction </w:t>
      </w:r>
      <w:r>
        <w:rPr>
          <w:rFonts w:cs="Times New Roman"/>
          <w:b/>
          <w:lang w:val="fr-CA"/>
        </w:rPr>
        <w:t>qui </w:t>
      </w:r>
      <w:r w:rsidR="003C2415" w:rsidRPr="00AD13A5">
        <w:rPr>
          <w:rFonts w:cs="Times New Roman"/>
          <w:b/>
          <w:lang w:val="fr-CA"/>
        </w:rPr>
        <w:t>assum</w:t>
      </w:r>
      <w:r>
        <w:rPr>
          <w:rFonts w:cs="Times New Roman"/>
          <w:b/>
          <w:lang w:val="fr-CA"/>
        </w:rPr>
        <w:t xml:space="preserve">e des </w:t>
      </w:r>
      <w:r w:rsidR="003C2415" w:rsidRPr="00AD13A5">
        <w:rPr>
          <w:rFonts w:cs="Times New Roman"/>
          <w:b/>
          <w:lang w:val="fr-CA"/>
        </w:rPr>
        <w:t>responsabilités</w:t>
      </w:r>
      <w:r>
        <w:rPr>
          <w:rFonts w:cs="Times New Roman"/>
          <w:b/>
          <w:lang w:val="fr-CA"/>
        </w:rPr>
        <w:t xml:space="preserve"> à l’égard </w:t>
      </w:r>
      <w:r w:rsidR="003C2415" w:rsidRPr="00AD13A5">
        <w:rPr>
          <w:rFonts w:cs="Times New Roman"/>
          <w:b/>
          <w:lang w:val="fr-CA"/>
        </w:rPr>
        <w:t xml:space="preserve">de l’analyse et </w:t>
      </w:r>
      <w:r>
        <w:rPr>
          <w:rFonts w:cs="Times New Roman"/>
          <w:b/>
          <w:lang w:val="fr-CA"/>
        </w:rPr>
        <w:t>de </w:t>
      </w:r>
      <w:r w:rsidR="003C2415" w:rsidRPr="00AD13A5">
        <w:rPr>
          <w:rFonts w:cs="Times New Roman"/>
          <w:b/>
          <w:lang w:val="fr-CA"/>
        </w:rPr>
        <w:t>l’établissement de rapports relativement aux résultats financiers se trouve dans le CSP.</w:t>
      </w:r>
      <w:r w:rsidR="00E211BD" w:rsidRPr="00AD13A5">
        <w:rPr>
          <w:rFonts w:cs="Times New Roman"/>
          <w:b/>
          <w:lang w:val="fr-CA"/>
        </w:rPr>
        <w:t xml:space="preserve"> </w:t>
      </w:r>
      <w:r w:rsidR="003C2415" w:rsidRPr="00AD13A5">
        <w:rPr>
          <w:rFonts w:cs="Times New Roman"/>
          <w:b/>
          <w:lang w:val="fr-CA"/>
        </w:rPr>
        <w:t>Dans le cas contraire, la responsabilité relative à l’exécution de procédures analytiques incombe aux équipes respectives.</w:t>
      </w:r>
    </w:p>
    <w:p w14:paraId="3D0D1914" w14:textId="01F1C537" w:rsidR="003C2415" w:rsidRPr="00AD13A5" w:rsidRDefault="003C2415" w:rsidP="00A10C08">
      <w:pPr>
        <w:pStyle w:val="Style2"/>
        <w:outlineLvl w:val="0"/>
        <w:rPr>
          <w:lang w:val="fr-CA"/>
        </w:rPr>
      </w:pPr>
      <w:r w:rsidRPr="00AD13A5">
        <w:rPr>
          <w:lang w:val="fr-CA"/>
        </w:rPr>
        <w:br w:type="page"/>
      </w:r>
      <w:bookmarkStart w:id="11" w:name="_Toc9421276"/>
      <w:r w:rsidR="00085F57">
        <w:rPr>
          <w:lang w:val="fr-CA"/>
        </w:rPr>
        <w:t>Annexe H ─</w:t>
      </w:r>
      <w:r w:rsidRPr="00AD13A5">
        <w:rPr>
          <w:lang w:val="fr-CA"/>
        </w:rPr>
        <w:t xml:space="preserve"> Procédures de</w:t>
      </w:r>
      <w:r w:rsidR="007A6A5B">
        <w:rPr>
          <w:lang w:val="fr-CA"/>
        </w:rPr>
        <w:t xml:space="preserve"> corroboration </w:t>
      </w:r>
      <w:r w:rsidR="00085F57">
        <w:rPr>
          <w:lang w:val="fr-CA"/>
        </w:rPr>
        <w:t>─</w:t>
      </w:r>
      <w:r w:rsidR="007A6A5B">
        <w:rPr>
          <w:lang w:val="fr-CA"/>
        </w:rPr>
        <w:t xml:space="preserve"> audit </w:t>
      </w:r>
      <w:r w:rsidRPr="00AD13A5">
        <w:rPr>
          <w:lang w:val="fr-CA"/>
        </w:rPr>
        <w:t>légal</w:t>
      </w:r>
      <w:bookmarkEnd w:id="11"/>
      <w:r w:rsidRPr="00AD13A5">
        <w:rPr>
          <w:lang w:val="fr-CA"/>
        </w:rPr>
        <w:t xml:space="preserve"> </w:t>
      </w:r>
    </w:p>
    <w:p w14:paraId="3A87F779" w14:textId="77777777" w:rsidR="003C2415" w:rsidRPr="00AD13A5" w:rsidRDefault="003C2415">
      <w:pPr>
        <w:rPr>
          <w:rFonts w:cs="Times New Roman"/>
          <w:b/>
          <w:lang w:val="fr-CA"/>
        </w:rPr>
      </w:pPr>
    </w:p>
    <w:p w14:paraId="0D2DA351" w14:textId="77777777" w:rsidR="003C2415" w:rsidRPr="00AD13A5" w:rsidRDefault="003C2415">
      <w:pPr>
        <w:rPr>
          <w:rFonts w:cs="Times New Roman"/>
          <w:i/>
          <w:lang w:val="fr-CA"/>
        </w:rPr>
      </w:pPr>
      <w:r w:rsidRPr="00AD13A5">
        <w:rPr>
          <w:rFonts w:cs="Times New Roman"/>
          <w:i/>
          <w:lang w:val="fr-CA"/>
        </w:rPr>
        <w:t xml:space="preserve">L’équipe du CSP </w:t>
      </w:r>
      <w:r w:rsidR="007A6A5B">
        <w:rPr>
          <w:rFonts w:cs="Times New Roman"/>
          <w:i/>
          <w:lang w:val="fr-CA"/>
        </w:rPr>
        <w:t>inscrira</w:t>
      </w:r>
      <w:r w:rsidR="00F35251">
        <w:rPr>
          <w:rFonts w:cs="Times New Roman"/>
          <w:i/>
          <w:lang w:val="fr-CA"/>
        </w:rPr>
        <w:t>, </w:t>
      </w:r>
      <w:r w:rsidR="007A6A5B">
        <w:rPr>
          <w:rFonts w:cs="Times New Roman"/>
          <w:i/>
          <w:lang w:val="fr-CA"/>
        </w:rPr>
        <w:t xml:space="preserve">ici, les </w:t>
      </w:r>
      <w:r w:rsidRPr="00AD13A5">
        <w:rPr>
          <w:rFonts w:cs="Times New Roman"/>
          <w:i/>
          <w:lang w:val="fr-CA"/>
        </w:rPr>
        <w:t>propre</w:t>
      </w:r>
      <w:r w:rsidR="007A6A5B">
        <w:rPr>
          <w:rFonts w:cs="Times New Roman"/>
          <w:i/>
          <w:lang w:val="fr-CA"/>
        </w:rPr>
        <w:t>s</w:t>
      </w:r>
      <w:r w:rsidRPr="00AD13A5">
        <w:rPr>
          <w:rFonts w:cs="Times New Roman"/>
          <w:i/>
          <w:lang w:val="fr-CA"/>
        </w:rPr>
        <w:t xml:space="preserve"> test</w:t>
      </w:r>
      <w:r w:rsidR="007A6A5B">
        <w:rPr>
          <w:rFonts w:cs="Times New Roman"/>
          <w:i/>
          <w:lang w:val="fr-CA"/>
        </w:rPr>
        <w:t>s </w:t>
      </w:r>
      <w:r w:rsidRPr="00AD13A5">
        <w:rPr>
          <w:rFonts w:cs="Times New Roman"/>
          <w:i/>
          <w:lang w:val="fr-CA"/>
        </w:rPr>
        <w:t>d</w:t>
      </w:r>
      <w:r w:rsidR="007A6A5B">
        <w:rPr>
          <w:rFonts w:cs="Times New Roman"/>
          <w:i/>
          <w:lang w:val="fr-CA"/>
        </w:rPr>
        <w:t>e corroboration</w:t>
      </w:r>
      <w:r w:rsidR="00AE6B00">
        <w:rPr>
          <w:rFonts w:cs="Times New Roman"/>
          <w:i/>
          <w:lang w:val="fr-CA"/>
        </w:rPr>
        <w:t xml:space="preserve"> additionnels </w:t>
      </w:r>
      <w:r w:rsidRPr="00AD13A5">
        <w:rPr>
          <w:rFonts w:cs="Times New Roman"/>
          <w:i/>
          <w:lang w:val="fr-CA"/>
        </w:rPr>
        <w:t>demandé</w:t>
      </w:r>
      <w:r w:rsidR="007A6A5B">
        <w:rPr>
          <w:rFonts w:cs="Times New Roman"/>
          <w:i/>
          <w:lang w:val="fr-CA"/>
        </w:rPr>
        <w:t>s</w:t>
      </w:r>
      <w:r w:rsidRPr="00AD13A5">
        <w:rPr>
          <w:rFonts w:cs="Times New Roman"/>
          <w:i/>
          <w:lang w:val="fr-CA"/>
        </w:rPr>
        <w:t xml:space="preserve"> par les équipes</w:t>
      </w:r>
      <w:r w:rsidR="007A6A5B">
        <w:rPr>
          <w:rFonts w:cs="Times New Roman"/>
          <w:i/>
          <w:lang w:val="fr-CA"/>
        </w:rPr>
        <w:t xml:space="preserve"> affectées à un audit légal, </w:t>
      </w:r>
      <w:r w:rsidRPr="00AD13A5">
        <w:rPr>
          <w:rFonts w:cs="Times New Roman"/>
          <w:i/>
          <w:lang w:val="fr-CA"/>
        </w:rPr>
        <w:t>et ce, dans un format conforme à l’annexe</w:t>
      </w:r>
      <w:r w:rsidR="007A6A5B">
        <w:rPr>
          <w:rFonts w:cs="Times New Roman"/>
          <w:i/>
          <w:lang w:val="fr-CA"/>
        </w:rPr>
        <w:t> </w:t>
      </w:r>
      <w:r w:rsidRPr="00AD13A5">
        <w:rPr>
          <w:rFonts w:cs="Times New Roman"/>
          <w:i/>
          <w:lang w:val="fr-CA"/>
        </w:rPr>
        <w:t>E.</w:t>
      </w:r>
    </w:p>
    <w:p w14:paraId="2ADF2368" w14:textId="77777777" w:rsidR="003C2415" w:rsidRPr="00AD13A5" w:rsidRDefault="003C2415">
      <w:pPr>
        <w:rPr>
          <w:rFonts w:cs="Times New Roman"/>
          <w:lang w:val="fr-CA"/>
        </w:rPr>
      </w:pPr>
    </w:p>
    <w:p w14:paraId="4D5E2379" w14:textId="77777777" w:rsidR="003C2415" w:rsidRPr="00AD13A5" w:rsidRDefault="003C2415">
      <w:pPr>
        <w:pStyle w:val="BodyText"/>
        <w:rPr>
          <w:rFonts w:cs="Times New Roman"/>
          <w:highlight w:val="yellow"/>
        </w:rPr>
      </w:pPr>
    </w:p>
    <w:p w14:paraId="2F83B8DE" w14:textId="4FE5B7FD" w:rsidR="003C2415" w:rsidRPr="00A10C08" w:rsidRDefault="003C2415" w:rsidP="00A10C08">
      <w:pPr>
        <w:pStyle w:val="Style2"/>
        <w:outlineLvl w:val="0"/>
        <w:rPr>
          <w:highlight w:val="yellow"/>
          <w:lang w:val="fr-CA"/>
        </w:rPr>
      </w:pPr>
      <w:r w:rsidRPr="00A10C08">
        <w:rPr>
          <w:highlight w:val="yellow"/>
          <w:lang w:val="fr-CA"/>
        </w:rPr>
        <w:br w:type="page"/>
      </w:r>
      <w:bookmarkStart w:id="12" w:name="_Toc9421277"/>
      <w:r w:rsidR="00085F57">
        <w:rPr>
          <w:lang w:val="fr-CA"/>
        </w:rPr>
        <w:t>Annexe I ─</w:t>
      </w:r>
      <w:r w:rsidRPr="00A10C08">
        <w:rPr>
          <w:lang w:val="fr-CA"/>
        </w:rPr>
        <w:t xml:space="preserve"> Confirmation du caractère suffisant des procédures</w:t>
      </w:r>
      <w:bookmarkEnd w:id="12"/>
    </w:p>
    <w:p w14:paraId="6B57E34E" w14:textId="77777777" w:rsidR="003C2415" w:rsidRPr="00AD13A5" w:rsidRDefault="003C2415">
      <w:pPr>
        <w:rPr>
          <w:rFonts w:cs="Times New Roman"/>
          <w:lang w:val="fr-CA"/>
        </w:rPr>
      </w:pPr>
    </w:p>
    <w:p w14:paraId="25B80C31" w14:textId="77777777" w:rsidR="003C2415" w:rsidRDefault="003C2415">
      <w:pPr>
        <w:widowControl w:val="0"/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À l’attention du Bureau du vérificateur général – équipe du CSP</w:t>
      </w:r>
    </w:p>
    <w:p w14:paraId="19A6F88F" w14:textId="77777777" w:rsidR="00E76563" w:rsidRDefault="00E76563">
      <w:pPr>
        <w:widowControl w:val="0"/>
        <w:rPr>
          <w:rFonts w:cs="Times New Roman"/>
          <w:lang w:val="fr-CA"/>
        </w:rPr>
      </w:pPr>
    </w:p>
    <w:p w14:paraId="60333FE0" w14:textId="77406199" w:rsidR="003C2415" w:rsidRPr="00A10C08" w:rsidRDefault="003C2415" w:rsidP="00A10C08">
      <w:pPr>
        <w:rPr>
          <w:b/>
          <w:lang w:val="fr-CA"/>
        </w:rPr>
      </w:pPr>
      <w:r w:rsidRPr="00A10C08">
        <w:rPr>
          <w:b/>
          <w:lang w:val="fr-CA"/>
        </w:rPr>
        <w:t>A</w:t>
      </w:r>
      <w:r w:rsidR="00E76563" w:rsidRPr="00A10C08">
        <w:rPr>
          <w:b/>
          <w:lang w:val="fr-CA"/>
        </w:rPr>
        <w:t xml:space="preserve">ccusé </w:t>
      </w:r>
      <w:r w:rsidR="00E76563" w:rsidRPr="00D4585A">
        <w:rPr>
          <w:b/>
          <w:lang w:val="fr-CA"/>
        </w:rPr>
        <w:t xml:space="preserve">de </w:t>
      </w:r>
      <w:r w:rsidR="00607B04">
        <w:rPr>
          <w:b/>
          <w:lang w:val="fr-CA"/>
        </w:rPr>
        <w:t>r</w:t>
      </w:r>
      <w:r w:rsidR="00E76563" w:rsidRPr="00D4585A">
        <w:rPr>
          <w:b/>
          <w:lang w:val="fr-CA"/>
        </w:rPr>
        <w:t xml:space="preserve">éception du Protocole et </w:t>
      </w:r>
      <w:r w:rsidR="00607B04">
        <w:rPr>
          <w:b/>
          <w:lang w:val="fr-CA"/>
        </w:rPr>
        <w:t>c</w:t>
      </w:r>
      <w:r w:rsidR="00E76563" w:rsidRPr="00D4585A">
        <w:rPr>
          <w:b/>
          <w:lang w:val="fr-CA"/>
        </w:rPr>
        <w:t xml:space="preserve">onfirmation du caractère </w:t>
      </w:r>
      <w:r w:rsidR="00607B04">
        <w:rPr>
          <w:b/>
          <w:lang w:val="fr-CA"/>
        </w:rPr>
        <w:t>s</w:t>
      </w:r>
      <w:r w:rsidR="00E76563" w:rsidRPr="00D4585A">
        <w:rPr>
          <w:b/>
          <w:lang w:val="fr-CA"/>
        </w:rPr>
        <w:t xml:space="preserve">uffisant des </w:t>
      </w:r>
      <w:r w:rsidR="00607B04">
        <w:rPr>
          <w:b/>
          <w:lang w:val="fr-CA"/>
        </w:rPr>
        <w:t>p</w:t>
      </w:r>
      <w:r w:rsidR="00E76563" w:rsidRPr="00D4585A">
        <w:rPr>
          <w:b/>
          <w:lang w:val="fr-CA"/>
        </w:rPr>
        <w:t>rocédures</w:t>
      </w:r>
    </w:p>
    <w:p w14:paraId="3D1AAB16" w14:textId="77777777" w:rsidR="003C2415" w:rsidRPr="00AD13A5" w:rsidRDefault="003C2415">
      <w:pPr>
        <w:rPr>
          <w:rFonts w:cs="Times New Roman"/>
          <w:lang w:val="fr-CA"/>
        </w:rPr>
      </w:pPr>
    </w:p>
    <w:p w14:paraId="432231A6" w14:textId="7BED12BB" w:rsidR="003C2415" w:rsidRPr="00AD13A5" w:rsidRDefault="003C2415">
      <w:p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 xml:space="preserve">Nous accusons réception de votre protocole d’entente </w:t>
      </w:r>
      <w:proofErr w:type="gramStart"/>
      <w:r w:rsidRPr="00AD13A5">
        <w:rPr>
          <w:rFonts w:cs="Times New Roman"/>
          <w:lang w:val="fr-CA"/>
        </w:rPr>
        <w:t>du</w:t>
      </w:r>
      <w:proofErr w:type="gramEnd"/>
      <w:r w:rsidRPr="00AD13A5">
        <w:rPr>
          <w:rFonts w:cs="Times New Roman"/>
          <w:lang w:val="fr-CA"/>
        </w:rPr>
        <w:t xml:space="preserve"> [</w:t>
      </w:r>
      <w:r w:rsidR="00473F7E" w:rsidRPr="00A10C08">
        <w:rPr>
          <w:color w:val="0000FF"/>
          <w:lang w:val="fr-CA"/>
        </w:rPr>
        <w:t>date</w:t>
      </w:r>
      <w:r w:rsidRPr="00AD13A5">
        <w:rPr>
          <w:rFonts w:cs="Times New Roman"/>
          <w:lang w:val="fr-CA"/>
        </w:rPr>
        <w:t>].</w:t>
      </w:r>
      <w:r w:rsidR="00E211BD" w:rsidRPr="00AD13A5">
        <w:rPr>
          <w:rFonts w:cs="Times New Roman"/>
          <w:lang w:val="fr-CA"/>
        </w:rPr>
        <w:t xml:space="preserve"> </w:t>
      </w:r>
      <w:r w:rsidRPr="00AD13A5">
        <w:rPr>
          <w:rFonts w:cs="Times New Roman"/>
          <w:lang w:val="fr-CA"/>
        </w:rPr>
        <w:t xml:space="preserve">Nous ne prévoyons aucun problème relatif à l’étendue du travail que vous avez </w:t>
      </w:r>
      <w:r w:rsidR="007A6A5B">
        <w:rPr>
          <w:rFonts w:cs="Times New Roman"/>
          <w:lang w:val="fr-CA"/>
        </w:rPr>
        <w:t xml:space="preserve">décrit </w:t>
      </w:r>
      <w:r w:rsidR="00607B04">
        <w:rPr>
          <w:rFonts w:cs="Times New Roman"/>
          <w:lang w:val="fr-CA"/>
        </w:rPr>
        <w:t>plus haut</w:t>
      </w:r>
      <w:r w:rsidR="007A6A5B">
        <w:rPr>
          <w:rFonts w:cs="Times New Roman"/>
          <w:lang w:val="fr-CA"/>
        </w:rPr>
        <w:t xml:space="preserve">, ni </w:t>
      </w:r>
      <w:r w:rsidRPr="00AD13A5">
        <w:rPr>
          <w:rFonts w:cs="Times New Roman"/>
          <w:lang w:val="fr-CA"/>
        </w:rPr>
        <w:t>au temps prévu pour l</w:t>
      </w:r>
      <w:r w:rsidR="007A6A5B">
        <w:rPr>
          <w:rFonts w:cs="Times New Roman"/>
          <w:lang w:val="fr-CA"/>
        </w:rPr>
        <w:t>’établissement </w:t>
      </w:r>
      <w:r w:rsidRPr="00AD13A5">
        <w:rPr>
          <w:rFonts w:cs="Times New Roman"/>
          <w:lang w:val="fr-CA"/>
        </w:rPr>
        <w:t>de votre rapport.</w:t>
      </w:r>
    </w:p>
    <w:p w14:paraId="11D79229" w14:textId="77777777" w:rsidR="003C2415" w:rsidRPr="00085F57" w:rsidRDefault="003C2415">
      <w:pPr>
        <w:rPr>
          <w:rFonts w:cs="Times New Roman"/>
          <w:b/>
          <w:lang w:val="fr-CA"/>
        </w:rPr>
      </w:pPr>
    </w:p>
    <w:p w14:paraId="56DDC7DA" w14:textId="77777777" w:rsidR="003C2415" w:rsidRDefault="003C2415">
      <w:pPr>
        <w:rPr>
          <w:rFonts w:cs="Times New Roman"/>
          <w:b/>
          <w:lang w:val="fr-CA"/>
        </w:rPr>
      </w:pPr>
      <w:r w:rsidRPr="00AD13A5">
        <w:rPr>
          <w:rFonts w:cs="Times New Roman"/>
          <w:b/>
          <w:lang w:val="fr-CA"/>
        </w:rPr>
        <w:t>[Nous vous demandons d</w:t>
      </w:r>
      <w:r w:rsidR="007A6A5B">
        <w:rPr>
          <w:rFonts w:cs="Times New Roman"/>
          <w:b/>
          <w:lang w:val="fr-CA"/>
        </w:rPr>
        <w:t xml:space="preserve">e mettre en œuvre </w:t>
      </w:r>
      <w:r w:rsidRPr="00AD13A5">
        <w:rPr>
          <w:rFonts w:cs="Times New Roman"/>
          <w:b/>
          <w:lang w:val="fr-CA"/>
        </w:rPr>
        <w:t xml:space="preserve">les procédures supplémentaires suivantes à l'appui de notre audit légal. Veuillez nous communiquer le nombre d’heures prévues pour la </w:t>
      </w:r>
      <w:r w:rsidR="007A6A5B">
        <w:rPr>
          <w:rFonts w:cs="Times New Roman"/>
          <w:b/>
          <w:lang w:val="fr-CA"/>
        </w:rPr>
        <w:t xml:space="preserve">mise en œuvre </w:t>
      </w:r>
      <w:r w:rsidRPr="00AD13A5">
        <w:rPr>
          <w:rFonts w:cs="Times New Roman"/>
          <w:b/>
          <w:lang w:val="fr-CA"/>
        </w:rPr>
        <w:t>des procédures en question.]</w:t>
      </w:r>
    </w:p>
    <w:p w14:paraId="791338B9" w14:textId="77777777" w:rsidR="00E76563" w:rsidRDefault="00E76563">
      <w:pPr>
        <w:rPr>
          <w:rFonts w:cs="Times New Roman"/>
          <w:b/>
          <w:lang w:val="fr-CA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769"/>
        <w:gridCol w:w="2768"/>
        <w:gridCol w:w="2769"/>
      </w:tblGrid>
      <w:tr w:rsidR="00E76563" w:rsidRPr="00607B04" w14:paraId="67B01535" w14:textId="77777777" w:rsidTr="00085F57">
        <w:trPr>
          <w:tblHeader/>
        </w:trPr>
        <w:tc>
          <w:tcPr>
            <w:tcW w:w="3359" w:type="dxa"/>
            <w:shd w:val="clear" w:color="auto" w:fill="1F497D" w:themeFill="text2"/>
          </w:tcPr>
          <w:p w14:paraId="1328C291" w14:textId="50F47C5B" w:rsidR="00E76563" w:rsidRPr="003D785F" w:rsidRDefault="00E76563">
            <w:pPr>
              <w:pStyle w:val="TableTitleArial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3D785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Procédure</w:t>
            </w:r>
          </w:p>
        </w:tc>
        <w:tc>
          <w:tcPr>
            <w:tcW w:w="3359" w:type="dxa"/>
            <w:shd w:val="clear" w:color="auto" w:fill="1F497D" w:themeFill="text2"/>
          </w:tcPr>
          <w:p w14:paraId="1DBCE0D0" w14:textId="4E53829A" w:rsidR="00E76563" w:rsidRPr="003D785F" w:rsidRDefault="00E76563">
            <w:pPr>
              <w:pStyle w:val="TableTitleArial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3D785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Taille de l’</w:t>
            </w:r>
            <w:r w:rsidR="00607B0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é</w:t>
            </w:r>
            <w:r w:rsidRPr="003D785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chantillon</w:t>
            </w:r>
          </w:p>
        </w:tc>
        <w:tc>
          <w:tcPr>
            <w:tcW w:w="3360" w:type="dxa"/>
            <w:shd w:val="clear" w:color="auto" w:fill="1F497D" w:themeFill="text2"/>
          </w:tcPr>
          <w:p w14:paraId="72093E83" w14:textId="307DF62A" w:rsidR="00E76563" w:rsidRPr="003D785F" w:rsidRDefault="00E76563" w:rsidP="00C270AA">
            <w:pPr>
              <w:pStyle w:val="TableTitleArial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3D785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fr-CA"/>
              </w:rPr>
              <w:t>Commentaires</w:t>
            </w:r>
          </w:p>
        </w:tc>
      </w:tr>
      <w:tr w:rsidR="00E76563" w:rsidRPr="00607B04" w14:paraId="2583251F" w14:textId="77777777" w:rsidTr="00C270AA">
        <w:tc>
          <w:tcPr>
            <w:tcW w:w="3359" w:type="dxa"/>
            <w:tcBorders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692A8890" w14:textId="77777777" w:rsidR="00E76563" w:rsidRPr="003D785F" w:rsidRDefault="00E76563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3359" w:type="dxa"/>
            <w:tcBorders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1FC5F540" w14:textId="77777777" w:rsidR="00E76563" w:rsidRPr="003D785F" w:rsidRDefault="00E76563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3360" w:type="dxa"/>
            <w:tcBorders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085E522C" w14:textId="77777777" w:rsidR="00E76563" w:rsidRPr="003D785F" w:rsidRDefault="00E76563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E76563" w:rsidRPr="00607B04" w14:paraId="610B2227" w14:textId="77777777" w:rsidTr="00C270AA">
        <w:tc>
          <w:tcPr>
            <w:tcW w:w="3359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3333E683" w14:textId="77777777" w:rsidR="00E76563" w:rsidRPr="003D785F" w:rsidRDefault="00E76563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3359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691EF7AB" w14:textId="77777777" w:rsidR="00E76563" w:rsidRPr="003D785F" w:rsidRDefault="00E76563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336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64105148" w14:textId="77777777" w:rsidR="00E76563" w:rsidRPr="003D785F" w:rsidRDefault="00E76563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E76563" w:rsidRPr="00607B04" w14:paraId="43748661" w14:textId="77777777" w:rsidTr="00C270AA">
        <w:tc>
          <w:tcPr>
            <w:tcW w:w="3359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032A1AB2" w14:textId="77777777" w:rsidR="00E76563" w:rsidRPr="003D785F" w:rsidRDefault="00E76563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3359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014EE10E" w14:textId="77777777" w:rsidR="00E76563" w:rsidRPr="003D785F" w:rsidRDefault="00E76563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336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4A1C8704" w14:textId="77777777" w:rsidR="00E76563" w:rsidRPr="003D785F" w:rsidRDefault="00E76563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E76563" w:rsidRPr="00607B04" w14:paraId="72562755" w14:textId="77777777" w:rsidTr="00C270AA">
        <w:tc>
          <w:tcPr>
            <w:tcW w:w="3359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68540D7B" w14:textId="77777777" w:rsidR="00E76563" w:rsidRPr="003D785F" w:rsidRDefault="00E76563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3359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7B960424" w14:textId="77777777" w:rsidR="00E76563" w:rsidRPr="003D785F" w:rsidRDefault="00E76563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336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9D9D9" w:themeFill="background1" w:themeFillShade="D9"/>
          </w:tcPr>
          <w:p w14:paraId="4529DED3" w14:textId="77777777" w:rsidR="00E76563" w:rsidRPr="003D785F" w:rsidRDefault="00E76563" w:rsidP="00C270AA">
            <w:pPr>
              <w:pStyle w:val="TableTextArial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14:paraId="26253226" w14:textId="77777777" w:rsidR="003C2415" w:rsidRPr="00AD13A5" w:rsidRDefault="003C2415">
      <w:pPr>
        <w:rPr>
          <w:rFonts w:cs="Times New Roman"/>
          <w:lang w:val="fr-CA"/>
        </w:rPr>
      </w:pPr>
    </w:p>
    <w:p w14:paraId="496E80C5" w14:textId="77777777" w:rsidR="003C2415" w:rsidRPr="00AD13A5" w:rsidRDefault="003C2415">
      <w:pPr>
        <w:pStyle w:val="BodyText"/>
        <w:rPr>
          <w:rFonts w:cs="Times New Roman"/>
        </w:rPr>
      </w:pPr>
    </w:p>
    <w:p w14:paraId="29A249FA" w14:textId="77777777" w:rsidR="00607B04" w:rsidRPr="00085F57" w:rsidRDefault="003C2415" w:rsidP="00085F57">
      <w:r w:rsidRPr="00AD13A5">
        <w:rPr>
          <w:lang w:val="fr-CA"/>
        </w:rPr>
        <w:br w:type="page"/>
      </w:r>
    </w:p>
    <w:p w14:paraId="66EEDBFE" w14:textId="370CE6A1" w:rsidR="00607B04" w:rsidRPr="003D785F" w:rsidRDefault="00607B04" w:rsidP="003D785F">
      <w:pPr>
        <w:pStyle w:val="Style2"/>
        <w:rPr>
          <w:lang w:val="fr-CA"/>
        </w:rPr>
      </w:pPr>
      <w:bookmarkStart w:id="13" w:name="_Toc9421278"/>
      <w:r w:rsidRPr="00033514">
        <w:rPr>
          <w:lang w:val="fr-CA"/>
        </w:rPr>
        <w:t>Annexe</w:t>
      </w:r>
      <w:r w:rsidR="00085F57">
        <w:rPr>
          <w:lang w:val="fr-CA"/>
        </w:rPr>
        <w:t xml:space="preserve"> J ─</w:t>
      </w:r>
      <w:r w:rsidRPr="003D785F">
        <w:rPr>
          <w:lang w:val="fr-CA"/>
        </w:rPr>
        <w:t xml:space="preserve"> Confirmation de la conformité aux normes de documentation</w:t>
      </w:r>
      <w:bookmarkEnd w:id="13"/>
    </w:p>
    <w:p w14:paraId="1E05CB5A" w14:textId="77777777" w:rsidR="00607B04" w:rsidRPr="00085F57" w:rsidRDefault="00607B04" w:rsidP="00085F57">
      <w:pPr>
        <w:rPr>
          <w:lang w:val="fr-CA"/>
        </w:rPr>
      </w:pPr>
    </w:p>
    <w:p w14:paraId="47EF1CBF" w14:textId="2D3887F2" w:rsidR="00607B04" w:rsidRPr="00016EA1" w:rsidRDefault="00607B04" w:rsidP="00016EA1">
      <w:pPr>
        <w:rPr>
          <w:b/>
          <w:lang w:val="fr-CA"/>
        </w:rPr>
      </w:pPr>
      <w:r w:rsidRPr="003D785F">
        <w:rPr>
          <w:b/>
          <w:lang w:val="fr-CA"/>
        </w:rPr>
        <w:t>(Remarque : L’équipe du CSP adaptera et signera la confirmation avant de diffuser le document.)</w:t>
      </w:r>
    </w:p>
    <w:p w14:paraId="725F071E" w14:textId="77777777" w:rsidR="00607B04" w:rsidRDefault="00607B04" w:rsidP="00016EA1">
      <w:pPr>
        <w:rPr>
          <w:lang w:val="fr-CA"/>
        </w:rPr>
      </w:pPr>
    </w:p>
    <w:p w14:paraId="42A10E86" w14:textId="6FBE0421" w:rsidR="00607B04" w:rsidRDefault="00607B04" w:rsidP="00016EA1">
      <w:pPr>
        <w:rPr>
          <w:lang w:val="fr-CA"/>
        </w:rPr>
      </w:pPr>
      <w:r>
        <w:rPr>
          <w:lang w:val="fr-CA"/>
        </w:rPr>
        <w:t xml:space="preserve">En lien avec notre audit de </w:t>
      </w:r>
      <w:r w:rsidR="003D785F" w:rsidRPr="003D785F">
        <w:rPr>
          <w:lang w:val="fr-CA"/>
        </w:rPr>
        <w:t>[</w:t>
      </w:r>
      <w:r w:rsidRPr="003D785F">
        <w:rPr>
          <w:color w:val="0000FF"/>
          <w:lang w:val="fr-CA"/>
        </w:rPr>
        <w:t>décrire les travaux à exécuter</w:t>
      </w:r>
      <w:r w:rsidR="003D785F">
        <w:rPr>
          <w:lang w:val="fr-CA"/>
        </w:rPr>
        <w:t>]</w:t>
      </w:r>
      <w:r>
        <w:rPr>
          <w:lang w:val="fr-CA"/>
        </w:rPr>
        <w:t xml:space="preserve"> de </w:t>
      </w:r>
      <w:r w:rsidR="003D785F">
        <w:rPr>
          <w:lang w:val="fr-CA"/>
        </w:rPr>
        <w:t>[</w:t>
      </w:r>
      <w:r w:rsidRPr="003D785F">
        <w:rPr>
          <w:color w:val="0000FF"/>
          <w:lang w:val="fr-CA"/>
        </w:rPr>
        <w:t>nom de la composante</w:t>
      </w:r>
      <w:r w:rsidR="003D785F">
        <w:rPr>
          <w:lang w:val="fr-CA"/>
        </w:rPr>
        <w:t>]</w:t>
      </w:r>
      <w:r>
        <w:rPr>
          <w:lang w:val="fr-CA"/>
        </w:rPr>
        <w:t xml:space="preserve"> en date du </w:t>
      </w:r>
      <w:r w:rsidR="003D785F">
        <w:rPr>
          <w:lang w:val="fr-CA"/>
        </w:rPr>
        <w:t>[</w:t>
      </w:r>
      <w:r w:rsidRPr="003D785F">
        <w:rPr>
          <w:color w:val="0000FF"/>
          <w:lang w:val="fr-CA"/>
        </w:rPr>
        <w:t>date</w:t>
      </w:r>
      <w:r w:rsidR="003D785F">
        <w:rPr>
          <w:lang w:val="fr-CA"/>
        </w:rPr>
        <w:t>]</w:t>
      </w:r>
      <w:r>
        <w:rPr>
          <w:lang w:val="fr-CA"/>
        </w:rPr>
        <w:t xml:space="preserve"> et pour l</w:t>
      </w:r>
      <w:r w:rsidR="003C41A6">
        <w:rPr>
          <w:lang w:val="fr-CA"/>
        </w:rPr>
        <w:t>a période du</w:t>
      </w:r>
      <w:r>
        <w:rPr>
          <w:lang w:val="fr-CA"/>
        </w:rPr>
        <w:t xml:space="preserve"> </w:t>
      </w:r>
      <w:r w:rsidR="003D785F">
        <w:rPr>
          <w:lang w:val="fr-CA"/>
        </w:rPr>
        <w:t>[</w:t>
      </w:r>
      <w:r w:rsidRPr="003D785F">
        <w:rPr>
          <w:color w:val="0000FF"/>
          <w:lang w:val="fr-CA"/>
        </w:rPr>
        <w:t>période d’audit</w:t>
      </w:r>
      <w:r w:rsidR="003D785F">
        <w:rPr>
          <w:lang w:val="fr-CA"/>
        </w:rPr>
        <w:t>]</w:t>
      </w:r>
      <w:r>
        <w:rPr>
          <w:lang w:val="fr-CA"/>
        </w:rPr>
        <w:t> :</w:t>
      </w:r>
    </w:p>
    <w:p w14:paraId="4DD338C2" w14:textId="77777777" w:rsidR="00607B04" w:rsidRDefault="00607B04" w:rsidP="00016EA1">
      <w:pPr>
        <w:rPr>
          <w:lang w:val="fr-CA"/>
        </w:rPr>
      </w:pPr>
    </w:p>
    <w:p w14:paraId="3E7A4F83" w14:textId="2FAA3D96" w:rsidR="00D35488" w:rsidRPr="006375B0" w:rsidRDefault="00607B04" w:rsidP="003D785F">
      <w:pPr>
        <w:pStyle w:val="ListParagraph"/>
        <w:numPr>
          <w:ilvl w:val="0"/>
          <w:numId w:val="53"/>
        </w:numPr>
        <w:rPr>
          <w:lang w:val="fr-CA"/>
        </w:rPr>
      </w:pPr>
      <w:r w:rsidRPr="000A55E4">
        <w:rPr>
          <w:lang w:val="fr-CA"/>
        </w:rPr>
        <w:t xml:space="preserve">Nous comprenons les exigences des Normes canadiennes d’audit (NCA) et de la Norme canadienne de </w:t>
      </w:r>
      <w:r w:rsidR="006271D9">
        <w:rPr>
          <w:lang w:val="fr-CA"/>
        </w:rPr>
        <w:t>gestion de la</w:t>
      </w:r>
      <w:r w:rsidRPr="000A55E4">
        <w:rPr>
          <w:lang w:val="fr-CA"/>
        </w:rPr>
        <w:t xml:space="preserve"> qualité </w:t>
      </w:r>
      <w:proofErr w:type="spellStart"/>
      <w:r w:rsidR="00D35488" w:rsidRPr="000A55E4">
        <w:rPr>
          <w:lang w:val="fr-CA"/>
        </w:rPr>
        <w:t>NC</w:t>
      </w:r>
      <w:r w:rsidR="006271D9">
        <w:rPr>
          <w:lang w:val="fr-CA"/>
        </w:rPr>
        <w:t>G</w:t>
      </w:r>
      <w:r w:rsidR="00D35488" w:rsidRPr="000A55E4">
        <w:rPr>
          <w:lang w:val="fr-CA"/>
        </w:rPr>
        <w:t>Q</w:t>
      </w:r>
      <w:proofErr w:type="spellEnd"/>
      <w:r w:rsidR="00D35488" w:rsidRPr="000A55E4">
        <w:rPr>
          <w:lang w:val="fr-CA"/>
        </w:rPr>
        <w:t> </w:t>
      </w:r>
      <w:r w:rsidR="003C41A6" w:rsidRPr="000A55E4">
        <w:rPr>
          <w:lang w:val="fr-CA"/>
        </w:rPr>
        <w:t xml:space="preserve">1 </w:t>
      </w:r>
      <w:r w:rsidR="00D35488" w:rsidRPr="000A55E4">
        <w:rPr>
          <w:lang w:val="fr-CA"/>
        </w:rPr>
        <w:t xml:space="preserve">(les « normes ») </w:t>
      </w:r>
      <w:r w:rsidRPr="00033514">
        <w:rPr>
          <w:lang w:val="fr-CA"/>
        </w:rPr>
        <w:t xml:space="preserve">en matière de </w:t>
      </w:r>
      <w:r w:rsidRPr="006375B0">
        <w:rPr>
          <w:lang w:val="fr-CA"/>
        </w:rPr>
        <w:t>formation et de supervision</w:t>
      </w:r>
      <w:r w:rsidR="00D35488" w:rsidRPr="006375B0">
        <w:rPr>
          <w:lang w:val="fr-CA"/>
        </w:rPr>
        <w:t>. Je confirme par la présente que l’équipe de la mission possède collectivement la compétence requise pour effectuer les travaux demandés dans le respect des normes.</w:t>
      </w:r>
    </w:p>
    <w:p w14:paraId="11BB1854" w14:textId="77777777" w:rsidR="00D35488" w:rsidRDefault="00D35488" w:rsidP="003D785F">
      <w:pPr>
        <w:rPr>
          <w:lang w:val="fr-CA"/>
        </w:rPr>
      </w:pPr>
    </w:p>
    <w:p w14:paraId="29DEB30D" w14:textId="3109795C" w:rsidR="00D35488" w:rsidRPr="000A55E4" w:rsidRDefault="00D35488" w:rsidP="003D785F">
      <w:pPr>
        <w:pStyle w:val="ListParagraph"/>
        <w:numPr>
          <w:ilvl w:val="0"/>
          <w:numId w:val="53"/>
        </w:numPr>
        <w:rPr>
          <w:lang w:val="fr-CA"/>
        </w:rPr>
      </w:pPr>
      <w:r w:rsidRPr="000A55E4">
        <w:rPr>
          <w:lang w:val="fr-CA"/>
        </w:rPr>
        <w:t xml:space="preserve">En ce qui a trait </w:t>
      </w:r>
      <w:r w:rsidR="00CD4669">
        <w:rPr>
          <w:lang w:val="fr-CA"/>
        </w:rPr>
        <w:t xml:space="preserve">à </w:t>
      </w:r>
      <w:r w:rsidRPr="000A55E4">
        <w:rPr>
          <w:lang w:val="fr-CA"/>
        </w:rPr>
        <w:t>NCA 230 et</w:t>
      </w:r>
      <w:r w:rsidR="003C41A6" w:rsidRPr="000A55E4">
        <w:rPr>
          <w:lang w:val="fr-CA"/>
        </w:rPr>
        <w:t xml:space="preserve"> à</w:t>
      </w:r>
      <w:r w:rsidR="00CD4669">
        <w:rPr>
          <w:lang w:val="fr-CA"/>
        </w:rPr>
        <w:t xml:space="preserve"> </w:t>
      </w:r>
      <w:proofErr w:type="spellStart"/>
      <w:r w:rsidRPr="000A55E4">
        <w:rPr>
          <w:lang w:val="fr-CA"/>
        </w:rPr>
        <w:t>NC</w:t>
      </w:r>
      <w:r w:rsidR="00951DD2">
        <w:rPr>
          <w:lang w:val="fr-CA"/>
        </w:rPr>
        <w:t>G</w:t>
      </w:r>
      <w:r w:rsidRPr="000A55E4">
        <w:rPr>
          <w:lang w:val="fr-CA"/>
        </w:rPr>
        <w:t>Q</w:t>
      </w:r>
      <w:proofErr w:type="spellEnd"/>
      <w:r w:rsidRPr="000A55E4">
        <w:rPr>
          <w:lang w:val="fr-CA"/>
        </w:rPr>
        <w:t xml:space="preserve"> 1, </w:t>
      </w:r>
    </w:p>
    <w:p w14:paraId="3B355493" w14:textId="7C075FF3" w:rsidR="00607B04" w:rsidRPr="000A55E4" w:rsidRDefault="00D35488" w:rsidP="003D785F">
      <w:pPr>
        <w:pStyle w:val="ListParagraph"/>
        <w:numPr>
          <w:ilvl w:val="0"/>
          <w:numId w:val="54"/>
        </w:numPr>
        <w:rPr>
          <w:lang w:val="fr-CA"/>
        </w:rPr>
      </w:pPr>
      <w:r w:rsidRPr="000A55E4">
        <w:rPr>
          <w:lang w:val="fr-CA"/>
        </w:rPr>
        <w:t xml:space="preserve">nous connaissons les normes et </w:t>
      </w:r>
      <w:r w:rsidR="003C41A6">
        <w:rPr>
          <w:lang w:val="fr-CA"/>
        </w:rPr>
        <w:t xml:space="preserve">nous </w:t>
      </w:r>
      <w:r w:rsidRPr="000A55E4">
        <w:rPr>
          <w:lang w:val="fr-CA"/>
        </w:rPr>
        <w:t xml:space="preserve">nous y conformerons, et les membres clés de notre équipe de mission, dont moi-même, les gestionnaires de l’équipe, </w:t>
      </w:r>
      <w:r w:rsidR="003C41A6">
        <w:rPr>
          <w:lang w:val="fr-CA"/>
        </w:rPr>
        <w:t xml:space="preserve">et ses membres, ainsi que </w:t>
      </w:r>
      <w:r w:rsidRPr="000A55E4">
        <w:rPr>
          <w:lang w:val="fr-CA"/>
        </w:rPr>
        <w:t>les spécialistes et les experts internes ont suivi une formation;</w:t>
      </w:r>
    </w:p>
    <w:p w14:paraId="222453EF" w14:textId="4AD4D3E2" w:rsidR="00D35488" w:rsidRPr="000A55E4" w:rsidRDefault="00D35488" w:rsidP="003D785F">
      <w:pPr>
        <w:pStyle w:val="ListParagraph"/>
        <w:numPr>
          <w:ilvl w:val="0"/>
          <w:numId w:val="54"/>
        </w:numPr>
        <w:rPr>
          <w:lang w:val="fr-CA"/>
        </w:rPr>
      </w:pPr>
      <w:r w:rsidRPr="000A55E4">
        <w:rPr>
          <w:lang w:val="fr-CA"/>
        </w:rPr>
        <w:t>nous préparerons à la date du rapport la documentation d</w:t>
      </w:r>
      <w:r w:rsidRPr="00033514">
        <w:rPr>
          <w:lang w:val="fr-CA"/>
        </w:rPr>
        <w:t xml:space="preserve">’audit suffisante </w:t>
      </w:r>
      <w:r w:rsidR="003C41A6">
        <w:rPr>
          <w:lang w:val="fr-CA"/>
        </w:rPr>
        <w:t>pour nous conformer aux</w:t>
      </w:r>
      <w:r w:rsidRPr="000A55E4">
        <w:rPr>
          <w:lang w:val="fr-CA"/>
        </w:rPr>
        <w:t xml:space="preserve"> </w:t>
      </w:r>
      <w:r w:rsidR="003C41A6">
        <w:rPr>
          <w:lang w:val="fr-CA"/>
        </w:rPr>
        <w:t xml:space="preserve">exigences des </w:t>
      </w:r>
      <w:r w:rsidRPr="000A55E4">
        <w:rPr>
          <w:lang w:val="fr-CA"/>
        </w:rPr>
        <w:t>normes;</w:t>
      </w:r>
    </w:p>
    <w:p w14:paraId="39B63EDA" w14:textId="799352A7" w:rsidR="00D35488" w:rsidRPr="006375B0" w:rsidRDefault="00D35488" w:rsidP="003D785F">
      <w:pPr>
        <w:pStyle w:val="ListParagraph"/>
        <w:numPr>
          <w:ilvl w:val="0"/>
          <w:numId w:val="54"/>
        </w:numPr>
        <w:rPr>
          <w:lang w:val="fr-CA"/>
        </w:rPr>
      </w:pPr>
      <w:r w:rsidRPr="000A55E4">
        <w:rPr>
          <w:lang w:val="fr-CA"/>
        </w:rPr>
        <w:t xml:space="preserve">nous rassemblerons un ensemble complet et définitif de documents d’audit dans les soixante jours suivant la date du rapport de l’auditeur consolidé (du </w:t>
      </w:r>
      <w:r w:rsidRPr="006375B0">
        <w:rPr>
          <w:lang w:val="fr-CA"/>
        </w:rPr>
        <w:t xml:space="preserve">groupe) et les conserverons pendant une période de sept ans </w:t>
      </w:r>
      <w:r w:rsidR="00434374" w:rsidRPr="006375B0">
        <w:rPr>
          <w:lang w:val="fr-CA"/>
        </w:rPr>
        <w:t>à compter de</w:t>
      </w:r>
      <w:r w:rsidRPr="006375B0">
        <w:rPr>
          <w:lang w:val="fr-CA"/>
        </w:rPr>
        <w:t xml:space="preserve"> la date du rapport;</w:t>
      </w:r>
    </w:p>
    <w:p w14:paraId="7D1C119A" w14:textId="0117EDB0" w:rsidR="00D35488" w:rsidRPr="000A55E4" w:rsidRDefault="00C71611" w:rsidP="003D785F">
      <w:pPr>
        <w:pStyle w:val="ListParagraph"/>
        <w:numPr>
          <w:ilvl w:val="0"/>
          <w:numId w:val="54"/>
        </w:numPr>
        <w:rPr>
          <w:lang w:val="fr-CA"/>
        </w:rPr>
      </w:pPr>
      <w:r w:rsidRPr="006375B0">
        <w:rPr>
          <w:lang w:val="fr-CA"/>
        </w:rPr>
        <w:t>n</w:t>
      </w:r>
      <w:r w:rsidR="00D35488" w:rsidRPr="006375B0">
        <w:rPr>
          <w:lang w:val="fr-CA"/>
        </w:rPr>
        <w:t xml:space="preserve">ous apporterons tout changement </w:t>
      </w:r>
      <w:r>
        <w:rPr>
          <w:lang w:val="fr-CA"/>
        </w:rPr>
        <w:t xml:space="preserve">nécessaire </w:t>
      </w:r>
      <w:r w:rsidR="00D35488" w:rsidRPr="000A55E4">
        <w:rPr>
          <w:lang w:val="fr-CA"/>
        </w:rPr>
        <w:t>à nos documents d’audit après la date du rapport</w:t>
      </w:r>
      <w:r w:rsidR="00F91095" w:rsidRPr="000A55E4">
        <w:rPr>
          <w:lang w:val="fr-CA"/>
        </w:rPr>
        <w:t xml:space="preserve"> et</w:t>
      </w:r>
      <w:r w:rsidR="00D35488" w:rsidRPr="000A55E4">
        <w:rPr>
          <w:lang w:val="fr-CA"/>
        </w:rPr>
        <w:t xml:space="preserve"> la date d’achèvement de la documentation tel que l’exigent les normes.</w:t>
      </w:r>
    </w:p>
    <w:p w14:paraId="76A1EA9E" w14:textId="77777777" w:rsidR="00D35488" w:rsidRDefault="00D35488" w:rsidP="00016EA1">
      <w:pPr>
        <w:rPr>
          <w:b/>
          <w:i/>
          <w:lang w:val="fr-CA"/>
        </w:rPr>
      </w:pPr>
    </w:p>
    <w:p w14:paraId="3CB2A93B" w14:textId="77777777" w:rsidR="00D35488" w:rsidRDefault="00D35488" w:rsidP="00016EA1">
      <w:pPr>
        <w:rPr>
          <w:b/>
          <w:i/>
          <w:lang w:val="fr-CA"/>
        </w:rPr>
      </w:pPr>
    </w:p>
    <w:p w14:paraId="66D36C7D" w14:textId="57F5E135" w:rsidR="00A96249" w:rsidRDefault="00A96249" w:rsidP="00016EA1">
      <w:pPr>
        <w:rPr>
          <w:b/>
          <w:i/>
          <w:lang w:val="fr-CA"/>
        </w:rPr>
      </w:pPr>
      <w:r>
        <w:rPr>
          <w:lang w:val="fr-CA"/>
        </w:rPr>
        <w:t>____________________________________________</w:t>
      </w:r>
    </w:p>
    <w:p w14:paraId="64370072" w14:textId="475D521F" w:rsidR="00D35488" w:rsidRDefault="00D35488" w:rsidP="00016EA1">
      <w:pPr>
        <w:rPr>
          <w:b/>
          <w:i/>
          <w:lang w:val="fr-CA"/>
        </w:rPr>
      </w:pPr>
      <w:r>
        <w:rPr>
          <w:lang w:val="fr-CA"/>
        </w:rPr>
        <w:t xml:space="preserve">Nom de l’équipe d’audit de </w:t>
      </w:r>
      <w:r w:rsidR="003D785F">
        <w:rPr>
          <w:lang w:val="fr-CA"/>
        </w:rPr>
        <w:t xml:space="preserve">la </w:t>
      </w:r>
      <w:r>
        <w:rPr>
          <w:lang w:val="fr-CA"/>
        </w:rPr>
        <w:t xml:space="preserve">composante </w:t>
      </w:r>
    </w:p>
    <w:p w14:paraId="0ECD9A61" w14:textId="77777777" w:rsidR="00A96249" w:rsidRDefault="00A96249" w:rsidP="00016EA1">
      <w:pPr>
        <w:rPr>
          <w:b/>
          <w:i/>
          <w:lang w:val="fr-CA"/>
        </w:rPr>
      </w:pPr>
    </w:p>
    <w:p w14:paraId="00A832D7" w14:textId="77777777" w:rsidR="00A96249" w:rsidRDefault="00A96249" w:rsidP="00016EA1">
      <w:pPr>
        <w:rPr>
          <w:b/>
          <w:i/>
          <w:lang w:val="fr-CA"/>
        </w:rPr>
      </w:pPr>
    </w:p>
    <w:p w14:paraId="4FB30D0A" w14:textId="082F63CB" w:rsidR="00A96249" w:rsidRDefault="00A96249" w:rsidP="00016EA1">
      <w:pPr>
        <w:rPr>
          <w:b/>
          <w:i/>
          <w:lang w:val="fr-CA"/>
        </w:rPr>
      </w:pPr>
      <w:r>
        <w:rPr>
          <w:lang w:val="fr-CA"/>
        </w:rPr>
        <w:t>_____________________________________________</w:t>
      </w:r>
    </w:p>
    <w:p w14:paraId="2308158C" w14:textId="65587FA2" w:rsidR="00A96249" w:rsidRDefault="00A96249" w:rsidP="00016EA1">
      <w:pPr>
        <w:rPr>
          <w:b/>
          <w:i/>
          <w:lang w:val="fr-CA"/>
        </w:rPr>
      </w:pPr>
      <w:r>
        <w:rPr>
          <w:lang w:val="fr-CA"/>
        </w:rPr>
        <w:t>Responsable de mission</w:t>
      </w:r>
    </w:p>
    <w:p w14:paraId="0F2559A6" w14:textId="77777777" w:rsidR="00A96249" w:rsidRDefault="00A96249" w:rsidP="00016EA1">
      <w:pPr>
        <w:rPr>
          <w:b/>
          <w:i/>
          <w:lang w:val="fr-CA"/>
        </w:rPr>
      </w:pPr>
    </w:p>
    <w:p w14:paraId="26ECE915" w14:textId="77777777" w:rsidR="00A96249" w:rsidRDefault="00A96249" w:rsidP="00016EA1">
      <w:pPr>
        <w:rPr>
          <w:b/>
          <w:i/>
          <w:lang w:val="fr-CA"/>
        </w:rPr>
      </w:pPr>
    </w:p>
    <w:p w14:paraId="69B691CF" w14:textId="78B34850" w:rsidR="00A96249" w:rsidRDefault="00A96249" w:rsidP="00016EA1">
      <w:pPr>
        <w:rPr>
          <w:b/>
          <w:i/>
          <w:lang w:val="fr-CA"/>
        </w:rPr>
      </w:pPr>
      <w:r>
        <w:rPr>
          <w:lang w:val="fr-CA"/>
        </w:rPr>
        <w:t>_______________________________</w:t>
      </w:r>
    </w:p>
    <w:p w14:paraId="1C04A178" w14:textId="32562444" w:rsidR="00A96249" w:rsidRPr="000D4DCF" w:rsidRDefault="00A96249" w:rsidP="00016EA1">
      <w:pPr>
        <w:rPr>
          <w:lang w:val="fr-CA"/>
        </w:rPr>
      </w:pPr>
      <w:r>
        <w:rPr>
          <w:lang w:val="fr-CA"/>
        </w:rPr>
        <w:t>Date</w:t>
      </w:r>
    </w:p>
    <w:p w14:paraId="6CC41C9D" w14:textId="77777777" w:rsidR="00607B04" w:rsidRDefault="00607B04" w:rsidP="00016EA1">
      <w:pPr>
        <w:rPr>
          <w:lang w:val="fr-CA"/>
        </w:rPr>
      </w:pPr>
    </w:p>
    <w:p w14:paraId="2F4ECEB3" w14:textId="0B99DAD3" w:rsidR="003C2415" w:rsidRPr="003D785F" w:rsidRDefault="003C2415" w:rsidP="003D785F">
      <w:pPr>
        <w:pStyle w:val="Style2"/>
        <w:rPr>
          <w:lang w:val="fr-CA"/>
        </w:rPr>
      </w:pPr>
      <w:bookmarkStart w:id="14" w:name="_Toc9421279"/>
      <w:r w:rsidRPr="003D785F">
        <w:rPr>
          <w:lang w:val="fr-CA"/>
        </w:rPr>
        <w:t xml:space="preserve">Annexe </w:t>
      </w:r>
      <w:r w:rsidR="00607B04" w:rsidRPr="003D785F">
        <w:rPr>
          <w:lang w:val="fr-CA"/>
        </w:rPr>
        <w:t xml:space="preserve">K </w:t>
      </w:r>
      <w:r w:rsidR="00085F57">
        <w:rPr>
          <w:lang w:val="fr-CA"/>
        </w:rPr>
        <w:t>─</w:t>
      </w:r>
      <w:r w:rsidRPr="003D785F">
        <w:rPr>
          <w:lang w:val="fr-CA"/>
        </w:rPr>
        <w:t xml:space="preserve"> Mémo</w:t>
      </w:r>
      <w:r w:rsidR="007A6A5B" w:rsidRPr="003D785F">
        <w:rPr>
          <w:lang w:val="fr-CA"/>
        </w:rPr>
        <w:t xml:space="preserve">ire </w:t>
      </w:r>
      <w:r w:rsidRPr="003D785F">
        <w:rPr>
          <w:lang w:val="fr-CA"/>
        </w:rPr>
        <w:t>sur l'examen</w:t>
      </w:r>
      <w:bookmarkEnd w:id="14"/>
    </w:p>
    <w:p w14:paraId="7D5C674A" w14:textId="77777777" w:rsidR="003C2415" w:rsidRPr="00AD13A5" w:rsidRDefault="003C2415">
      <w:pPr>
        <w:rPr>
          <w:rFonts w:cs="Times New Roman"/>
          <w:b/>
          <w:lang w:val="fr-CA"/>
        </w:rPr>
      </w:pPr>
    </w:p>
    <w:p w14:paraId="5CF37FE9" w14:textId="77777777" w:rsidR="003C2415" w:rsidRPr="00AD13A5" w:rsidRDefault="003C2415">
      <w:p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 xml:space="preserve">Une fois le travail effectué, nous vous fournirons une copie de notre </w:t>
      </w:r>
      <w:r w:rsidR="007A6A5B">
        <w:rPr>
          <w:rFonts w:cs="Times New Roman"/>
          <w:lang w:val="fr-CA"/>
        </w:rPr>
        <w:t xml:space="preserve">mémoire </w:t>
      </w:r>
      <w:r w:rsidRPr="00AD13A5">
        <w:rPr>
          <w:rFonts w:cs="Times New Roman"/>
          <w:lang w:val="fr-CA"/>
        </w:rPr>
        <w:t>sur l’examen contenant l'information suivante :</w:t>
      </w:r>
    </w:p>
    <w:p w14:paraId="047EFB91" w14:textId="77777777" w:rsidR="003C2415" w:rsidRPr="00AD13A5" w:rsidRDefault="003C2415">
      <w:pPr>
        <w:rPr>
          <w:rFonts w:cs="Times New Roman"/>
          <w:lang w:val="fr-CA"/>
        </w:rPr>
      </w:pPr>
    </w:p>
    <w:p w14:paraId="1685AF10" w14:textId="77777777" w:rsidR="003C2415" w:rsidRPr="00AD13A5" w:rsidRDefault="007A6A5B">
      <w:pPr>
        <w:tabs>
          <w:tab w:val="left" w:pos="0"/>
        </w:tabs>
        <w:autoSpaceDE w:val="0"/>
        <w:autoSpaceDN w:val="0"/>
        <w:adjustRightInd w:val="0"/>
        <w:spacing w:line="240" w:lineRule="atLeast"/>
        <w:rPr>
          <w:rFonts w:cs="Times New Roman"/>
          <w:b/>
          <w:color w:val="000000"/>
          <w:lang w:val="fr-CA"/>
        </w:rPr>
      </w:pPr>
      <w:r>
        <w:rPr>
          <w:rFonts w:cs="Times New Roman"/>
          <w:b/>
          <w:color w:val="000000"/>
          <w:lang w:val="fr-CA"/>
        </w:rPr>
        <w:t>Remarque </w:t>
      </w:r>
      <w:r w:rsidR="003C2415" w:rsidRPr="00AD13A5">
        <w:rPr>
          <w:rFonts w:cs="Times New Roman"/>
          <w:b/>
          <w:color w:val="000000"/>
          <w:lang w:val="fr-CA"/>
        </w:rPr>
        <w:t xml:space="preserve">: Le contenu variera </w:t>
      </w:r>
      <w:r>
        <w:rPr>
          <w:rFonts w:cs="Times New Roman"/>
          <w:b/>
          <w:color w:val="000000"/>
          <w:lang w:val="fr-CA"/>
        </w:rPr>
        <w:t>selon que des travaux ont été </w:t>
      </w:r>
      <w:r w:rsidR="003C2415" w:rsidRPr="00AD13A5">
        <w:rPr>
          <w:rFonts w:cs="Times New Roman"/>
          <w:b/>
          <w:color w:val="000000"/>
          <w:lang w:val="fr-CA"/>
        </w:rPr>
        <w:t>exécuté</w:t>
      </w:r>
      <w:r>
        <w:rPr>
          <w:rFonts w:cs="Times New Roman"/>
          <w:b/>
          <w:color w:val="000000"/>
          <w:lang w:val="fr-CA"/>
        </w:rPr>
        <w:t>s</w:t>
      </w:r>
      <w:r w:rsidR="003C2415" w:rsidRPr="00AD13A5">
        <w:rPr>
          <w:rFonts w:cs="Times New Roman"/>
          <w:b/>
          <w:color w:val="000000"/>
          <w:lang w:val="fr-CA"/>
        </w:rPr>
        <w:t xml:space="preserve"> sur les contrôles internes, les contrôles </w:t>
      </w:r>
      <w:r w:rsidR="00BE0FFD">
        <w:rPr>
          <w:rFonts w:cs="Times New Roman"/>
          <w:b/>
          <w:color w:val="000000"/>
          <w:lang w:val="fr-CA"/>
        </w:rPr>
        <w:t>généraux informatiques</w:t>
      </w:r>
      <w:r>
        <w:rPr>
          <w:rFonts w:cs="Times New Roman"/>
          <w:b/>
          <w:color w:val="000000"/>
          <w:lang w:val="fr-CA"/>
        </w:rPr>
        <w:t> </w:t>
      </w:r>
      <w:r w:rsidR="003C2415" w:rsidRPr="00AD13A5">
        <w:rPr>
          <w:rFonts w:cs="Times New Roman"/>
          <w:b/>
          <w:color w:val="000000"/>
          <w:lang w:val="fr-CA"/>
        </w:rPr>
        <w:t xml:space="preserve">ou </w:t>
      </w:r>
      <w:r>
        <w:rPr>
          <w:rFonts w:cs="Times New Roman"/>
          <w:b/>
          <w:color w:val="000000"/>
          <w:lang w:val="fr-CA"/>
        </w:rPr>
        <w:t xml:space="preserve">que des </w:t>
      </w:r>
      <w:r w:rsidR="003C2415" w:rsidRPr="00AD13A5">
        <w:rPr>
          <w:rFonts w:cs="Times New Roman"/>
          <w:b/>
          <w:color w:val="000000"/>
          <w:lang w:val="fr-CA"/>
        </w:rPr>
        <w:t>procédures</w:t>
      </w:r>
      <w:r>
        <w:rPr>
          <w:rFonts w:cs="Times New Roman"/>
          <w:b/>
          <w:color w:val="000000"/>
          <w:lang w:val="fr-CA"/>
        </w:rPr>
        <w:t xml:space="preserve"> corroboratives ont été mises en œuvre pour le centre de </w:t>
      </w:r>
      <w:r w:rsidR="003C2415" w:rsidRPr="00AD13A5">
        <w:rPr>
          <w:rFonts w:cs="Times New Roman"/>
          <w:b/>
          <w:color w:val="000000"/>
          <w:lang w:val="fr-CA"/>
        </w:rPr>
        <w:t>services partagés (CSP); par conséquent, le modèle ci-après a été divisé en deux sections intitulées « Contrôles » et «</w:t>
      </w:r>
      <w:r>
        <w:rPr>
          <w:rFonts w:cs="Times New Roman"/>
          <w:b/>
          <w:color w:val="000000"/>
          <w:lang w:val="fr-CA"/>
        </w:rPr>
        <w:t> Corroboration </w:t>
      </w:r>
      <w:r w:rsidR="003C2415" w:rsidRPr="00AD13A5">
        <w:rPr>
          <w:rFonts w:cs="Times New Roman"/>
          <w:b/>
          <w:color w:val="000000"/>
          <w:lang w:val="fr-CA"/>
        </w:rPr>
        <w:t>».</w:t>
      </w:r>
    </w:p>
    <w:p w14:paraId="2199B3EF" w14:textId="77777777" w:rsidR="003C2415" w:rsidRPr="00AD13A5" w:rsidRDefault="003C2415">
      <w:pPr>
        <w:autoSpaceDE w:val="0"/>
        <w:autoSpaceDN w:val="0"/>
        <w:adjustRightInd w:val="0"/>
        <w:spacing w:line="240" w:lineRule="atLeast"/>
        <w:rPr>
          <w:rFonts w:cs="Times New Roman"/>
          <w:b/>
          <w:color w:val="000000"/>
          <w:lang w:val="fr-CA"/>
        </w:rPr>
      </w:pPr>
    </w:p>
    <w:p w14:paraId="2098975E" w14:textId="2917185A" w:rsidR="003C2415" w:rsidRPr="00A10C08" w:rsidRDefault="003C2415">
      <w:pPr>
        <w:autoSpaceDE w:val="0"/>
        <w:autoSpaceDN w:val="0"/>
        <w:adjustRightInd w:val="0"/>
        <w:spacing w:line="240" w:lineRule="atLeast"/>
        <w:rPr>
          <w:b/>
          <w:color w:val="1F497D" w:themeColor="text2"/>
          <w:sz w:val="32"/>
          <w:szCs w:val="32"/>
        </w:rPr>
      </w:pPr>
      <w:r w:rsidRPr="00A10C08">
        <w:rPr>
          <w:b/>
          <w:color w:val="1F497D" w:themeColor="text2"/>
          <w:sz w:val="32"/>
          <w:szCs w:val="32"/>
        </w:rPr>
        <w:t xml:space="preserve">SUJETS </w:t>
      </w:r>
      <w:r w:rsidR="007A6A5B" w:rsidRPr="00A10C08">
        <w:rPr>
          <w:b/>
          <w:color w:val="1F497D" w:themeColor="text2"/>
          <w:sz w:val="32"/>
          <w:szCs w:val="32"/>
        </w:rPr>
        <w:t xml:space="preserve">OBLIGATOIRES </w:t>
      </w:r>
    </w:p>
    <w:p w14:paraId="18F3A5D3" w14:textId="2EB5DE71" w:rsidR="003C2415" w:rsidRPr="00AD13A5" w:rsidRDefault="003C2415">
      <w:pPr>
        <w:numPr>
          <w:ilvl w:val="0"/>
          <w:numId w:val="43"/>
        </w:numPr>
        <w:spacing w:line="260" w:lineRule="atLeast"/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Un document sur la réal</w:t>
      </w:r>
      <w:r w:rsidR="007A6A5B">
        <w:rPr>
          <w:rFonts w:cs="Times New Roman"/>
          <w:lang w:val="fr-CA"/>
        </w:rPr>
        <w:t>isation de l’audit décrivant les constata</w:t>
      </w:r>
      <w:r w:rsidR="0045504C">
        <w:rPr>
          <w:rFonts w:cs="Times New Roman"/>
          <w:lang w:val="fr-CA"/>
        </w:rPr>
        <w:t xml:space="preserve">tions </w:t>
      </w:r>
      <w:r w:rsidRPr="00AD13A5">
        <w:rPr>
          <w:rFonts w:cs="Times New Roman"/>
          <w:lang w:val="fr-CA"/>
        </w:rPr>
        <w:t>formulé</w:t>
      </w:r>
      <w:r w:rsidR="0045504C">
        <w:rPr>
          <w:rFonts w:cs="Times New Roman"/>
          <w:lang w:val="fr-CA"/>
        </w:rPr>
        <w:t>e</w:t>
      </w:r>
      <w:r w:rsidRPr="00AD13A5">
        <w:rPr>
          <w:rFonts w:cs="Times New Roman"/>
          <w:lang w:val="fr-CA"/>
        </w:rPr>
        <w:t>s par l’équipe du CSP.</w:t>
      </w:r>
      <w:r w:rsidR="00E211BD" w:rsidRPr="00AD13A5">
        <w:rPr>
          <w:rFonts w:cs="Times New Roman"/>
          <w:lang w:val="fr-CA"/>
        </w:rPr>
        <w:t xml:space="preserve"> </w:t>
      </w:r>
      <w:r w:rsidRPr="00AD13A5">
        <w:rPr>
          <w:rFonts w:cs="Times New Roman"/>
          <w:lang w:val="fr-CA"/>
        </w:rPr>
        <w:t xml:space="preserve">L’information sur chaque </w:t>
      </w:r>
      <w:r w:rsidR="003C1E0A">
        <w:rPr>
          <w:rFonts w:cs="Times New Roman"/>
          <w:lang w:val="fr-CA"/>
        </w:rPr>
        <w:t xml:space="preserve">question </w:t>
      </w:r>
      <w:r w:rsidR="00A96249">
        <w:rPr>
          <w:rFonts w:cs="Times New Roman"/>
          <w:lang w:val="fr-CA"/>
        </w:rPr>
        <w:t>importante</w:t>
      </w:r>
      <w:r w:rsidRPr="00AD13A5">
        <w:rPr>
          <w:rFonts w:cs="Times New Roman"/>
          <w:lang w:val="fr-CA"/>
        </w:rPr>
        <w:t xml:space="preserve"> comprendr</w:t>
      </w:r>
      <w:r w:rsidR="00A96249">
        <w:rPr>
          <w:rFonts w:cs="Times New Roman"/>
          <w:lang w:val="fr-CA"/>
        </w:rPr>
        <w:t>ait</w:t>
      </w:r>
      <w:r w:rsidRPr="00AD13A5">
        <w:rPr>
          <w:rFonts w:cs="Times New Roman"/>
          <w:lang w:val="fr-CA"/>
        </w:rPr>
        <w:t xml:space="preserve"> une description de la question, </w:t>
      </w:r>
      <w:r w:rsidR="00A96249">
        <w:rPr>
          <w:rFonts w:cs="Times New Roman"/>
          <w:lang w:val="fr-CA"/>
        </w:rPr>
        <w:t>ses répercussions,</w:t>
      </w:r>
      <w:r w:rsidRPr="00AD13A5">
        <w:rPr>
          <w:rFonts w:cs="Times New Roman"/>
          <w:lang w:val="fr-CA"/>
        </w:rPr>
        <w:t xml:space="preserve"> les mesures prises pour la résoudre et tout autre élément probant obtenu</w:t>
      </w:r>
      <w:r w:rsidR="00A96249">
        <w:rPr>
          <w:rFonts w:cs="Times New Roman"/>
          <w:lang w:val="fr-CA"/>
        </w:rPr>
        <w:t>,</w:t>
      </w:r>
      <w:r w:rsidRPr="00AD13A5">
        <w:rPr>
          <w:rFonts w:cs="Times New Roman"/>
          <w:lang w:val="fr-CA"/>
        </w:rPr>
        <w:t xml:space="preserve"> et les résultats des consultations auprès de</w:t>
      </w:r>
      <w:r w:rsidR="0045504C">
        <w:rPr>
          <w:rFonts w:cs="Times New Roman"/>
          <w:lang w:val="fr-CA"/>
        </w:rPr>
        <w:t xml:space="preserve"> tiers.</w:t>
      </w:r>
    </w:p>
    <w:p w14:paraId="562D5DBA" w14:textId="77777777" w:rsidR="003C2415" w:rsidRPr="00AD13A5" w:rsidRDefault="003C2415">
      <w:pPr>
        <w:spacing w:line="260" w:lineRule="atLeast"/>
        <w:rPr>
          <w:rFonts w:cs="Times New Roman"/>
          <w:lang w:val="fr-CA"/>
        </w:rPr>
      </w:pPr>
    </w:p>
    <w:p w14:paraId="25718CC0" w14:textId="16A2960D" w:rsidR="003C2415" w:rsidRPr="00AD13A5" w:rsidRDefault="00EB0C51">
      <w:pPr>
        <w:numPr>
          <w:ilvl w:val="0"/>
          <w:numId w:val="41"/>
        </w:numPr>
        <w:tabs>
          <w:tab w:val="clear" w:pos="540"/>
        </w:tabs>
        <w:autoSpaceDE w:val="0"/>
        <w:autoSpaceDN w:val="0"/>
        <w:adjustRightInd w:val="0"/>
        <w:ind w:left="360"/>
        <w:rPr>
          <w:rFonts w:cs="Times New Roman"/>
          <w:b/>
          <w:color w:val="000000"/>
          <w:lang w:val="fr-CA"/>
        </w:rPr>
      </w:pPr>
      <w:r>
        <w:rPr>
          <w:rFonts w:cs="Times New Roman"/>
          <w:lang w:val="fr-CA"/>
        </w:rPr>
        <w:t>Toutes</w:t>
      </w:r>
      <w:r w:rsidR="0045504C">
        <w:rPr>
          <w:rFonts w:cs="Times New Roman"/>
          <w:lang w:val="fr-CA"/>
        </w:rPr>
        <w:t xml:space="preserve"> </w:t>
      </w:r>
      <w:r w:rsidR="00D81854">
        <w:rPr>
          <w:rFonts w:cs="Times New Roman"/>
          <w:lang w:val="fr-CA"/>
        </w:rPr>
        <w:t xml:space="preserve">les </w:t>
      </w:r>
      <w:r w:rsidR="0045504C">
        <w:rPr>
          <w:rFonts w:cs="Times New Roman"/>
          <w:lang w:val="fr-CA"/>
        </w:rPr>
        <w:t>questions </w:t>
      </w:r>
      <w:r w:rsidR="003C2415" w:rsidRPr="00AD13A5">
        <w:rPr>
          <w:rFonts w:cs="Times New Roman"/>
          <w:lang w:val="fr-CA"/>
        </w:rPr>
        <w:t>à communiquer au</w:t>
      </w:r>
      <w:r w:rsidR="00A96249">
        <w:rPr>
          <w:rFonts w:cs="Times New Roman"/>
          <w:lang w:val="fr-CA"/>
        </w:rPr>
        <w:t>x responsables de la gouvernance</w:t>
      </w:r>
    </w:p>
    <w:p w14:paraId="103175F9" w14:textId="77777777" w:rsidR="003C2415" w:rsidRPr="00AD13A5" w:rsidRDefault="003C2415">
      <w:pPr>
        <w:autoSpaceDE w:val="0"/>
        <w:autoSpaceDN w:val="0"/>
        <w:adjustRightInd w:val="0"/>
        <w:rPr>
          <w:rFonts w:cs="Times New Roman"/>
          <w:b/>
          <w:color w:val="000000"/>
          <w:lang w:val="fr-CA"/>
        </w:rPr>
      </w:pPr>
    </w:p>
    <w:p w14:paraId="54878B3A" w14:textId="77777777" w:rsidR="003C2415" w:rsidRPr="005A5230" w:rsidRDefault="00DD1CDD">
      <w:pPr>
        <w:numPr>
          <w:ilvl w:val="0"/>
          <w:numId w:val="41"/>
        </w:numPr>
        <w:tabs>
          <w:tab w:val="clear" w:pos="540"/>
        </w:tabs>
        <w:autoSpaceDE w:val="0"/>
        <w:autoSpaceDN w:val="0"/>
        <w:adjustRightInd w:val="0"/>
        <w:ind w:left="360"/>
        <w:rPr>
          <w:rFonts w:cs="Times New Roman"/>
          <w:lang w:val="fr-CA"/>
        </w:rPr>
      </w:pPr>
      <w:r w:rsidRPr="005A5230">
        <w:rPr>
          <w:rFonts w:cs="Times New Roman"/>
          <w:lang w:val="fr-CA"/>
        </w:rPr>
        <w:t xml:space="preserve">Les restrictions sur l’utilisation du rapport, notamment les paragraphes suivants : </w:t>
      </w:r>
    </w:p>
    <w:p w14:paraId="6EF50BA1" w14:textId="06665867" w:rsidR="003C2415" w:rsidRPr="005A5230" w:rsidRDefault="00D317DD">
      <w:pPr>
        <w:numPr>
          <w:ilvl w:val="1"/>
          <w:numId w:val="41"/>
        </w:numPr>
        <w:tabs>
          <w:tab w:val="clear" w:pos="1620"/>
          <w:tab w:val="num" w:pos="1080"/>
        </w:tabs>
        <w:autoSpaceDE w:val="0"/>
        <w:autoSpaceDN w:val="0"/>
        <w:adjustRightInd w:val="0"/>
        <w:ind w:left="1080"/>
        <w:rPr>
          <w:rFonts w:cs="Times New Roman"/>
          <w:lang w:val="fr-CA"/>
        </w:rPr>
      </w:pPr>
      <w:r>
        <w:rPr>
          <w:rFonts w:cs="Times New Roman"/>
          <w:lang w:val="fr-CA"/>
        </w:rPr>
        <w:t>Étant donné que les procédures mises en œuvre ne constituent ni un audit ni un examen mené conformément aux [</w:t>
      </w:r>
      <w:r w:rsidRPr="00A10C08">
        <w:rPr>
          <w:color w:val="0000FF"/>
          <w:lang w:val="fr-CA"/>
        </w:rPr>
        <w:t>Normes canadiennes d’audit ou aux normes canadiennes sur les missions d’examen</w:t>
      </w:r>
      <w:r>
        <w:rPr>
          <w:rFonts w:cs="Times New Roman"/>
          <w:lang w:val="fr-CA"/>
        </w:rPr>
        <w:t>], nous ne pouvons donner aucune assurance quant aux [</w:t>
      </w:r>
      <w:r w:rsidRPr="00A10C08">
        <w:rPr>
          <w:color w:val="0000FF"/>
          <w:lang w:val="fr-CA"/>
        </w:rPr>
        <w:t>préciser les états financiers/l’information financière à usage particulier</w:t>
      </w:r>
      <w:r>
        <w:rPr>
          <w:rFonts w:cs="Times New Roman"/>
          <w:lang w:val="fr-CA"/>
        </w:rPr>
        <w:t>].</w:t>
      </w:r>
      <w:r w:rsidRPr="00543E83">
        <w:rPr>
          <w:rFonts w:cs="Times New Roman"/>
          <w:lang w:val="fr-CA"/>
        </w:rPr>
        <w:t xml:space="preserve"> </w:t>
      </w:r>
      <w:r w:rsidRPr="00A10C08">
        <w:rPr>
          <w:lang w:val="fr-CA"/>
        </w:rPr>
        <w:t>[</w:t>
      </w:r>
      <w:r w:rsidRPr="00A10C08">
        <w:rPr>
          <w:b/>
          <w:color w:val="0000FF"/>
          <w:lang w:val="fr-CA"/>
        </w:rPr>
        <w:t>Inclure si c’est pertinent dans les circonstances </w:t>
      </w:r>
      <w:r w:rsidRPr="00A10C08">
        <w:rPr>
          <w:color w:val="0000FF"/>
          <w:lang w:val="fr-CA"/>
        </w:rPr>
        <w:t>: Le présent rapport concerne uniquement [l’information financière] précisée ci-dessus et ne se rapporte pas aux [états financiers/à l’information financière à usage particulier] de [nom de la composante] pris dans leur ensemble.</w:t>
      </w:r>
      <w:r w:rsidRPr="00A10C08">
        <w:rPr>
          <w:lang w:val="fr-CA"/>
        </w:rPr>
        <w:t>]</w:t>
      </w:r>
    </w:p>
    <w:p w14:paraId="49CC1E57" w14:textId="77777777" w:rsidR="003C2415" w:rsidRPr="005A5230" w:rsidRDefault="00D317DD">
      <w:pPr>
        <w:numPr>
          <w:ilvl w:val="1"/>
          <w:numId w:val="41"/>
        </w:numPr>
        <w:tabs>
          <w:tab w:val="clear" w:pos="1620"/>
          <w:tab w:val="num" w:pos="1080"/>
        </w:tabs>
        <w:autoSpaceDE w:val="0"/>
        <w:autoSpaceDN w:val="0"/>
        <w:adjustRightInd w:val="0"/>
        <w:ind w:left="1080"/>
        <w:rPr>
          <w:rFonts w:cs="Times New Roman"/>
          <w:lang w:val="fr-CA"/>
        </w:rPr>
      </w:pPr>
      <w:r>
        <w:rPr>
          <w:rFonts w:cs="Times New Roman"/>
          <w:lang w:val="fr-CA"/>
        </w:rPr>
        <w:t xml:space="preserve">Le présent rapport est destiné à l’usage du Bureau du vérificateur général du Canada seulement - Équipe affectée à l’audit du groupe </w:t>
      </w:r>
      <w:r w:rsidRPr="00A10C08">
        <w:rPr>
          <w:rFonts w:cs="Times New Roman"/>
          <w:lang w:val="fr-CA"/>
        </w:rPr>
        <w:t>[</w:t>
      </w:r>
      <w:r w:rsidRPr="00A10C08">
        <w:rPr>
          <w:color w:val="0000FF"/>
          <w:lang w:val="fr-CA"/>
        </w:rPr>
        <w:t>nom de l’équipe</w:t>
      </w:r>
      <w:r w:rsidRPr="00A10C08">
        <w:rPr>
          <w:rFonts w:cs="Times New Roman"/>
          <w:lang w:val="fr-CA"/>
        </w:rPr>
        <w:t>]</w:t>
      </w:r>
      <w:r>
        <w:rPr>
          <w:rFonts w:cs="Times New Roman"/>
          <w:color w:val="FF0000"/>
          <w:lang w:val="fr-CA"/>
        </w:rPr>
        <w:t xml:space="preserve"> </w:t>
      </w:r>
      <w:r w:rsidRPr="00A10C08">
        <w:rPr>
          <w:rFonts w:cs="Times New Roman"/>
          <w:lang w:val="fr-CA"/>
        </w:rPr>
        <w:t>[</w:t>
      </w:r>
      <w:r w:rsidRPr="00A10C08">
        <w:rPr>
          <w:color w:val="0000FF"/>
          <w:lang w:val="fr-CA"/>
        </w:rPr>
        <w:t>nom de l’entité mère</w:t>
      </w:r>
      <w:r w:rsidRPr="00A10C08">
        <w:rPr>
          <w:rFonts w:cs="Times New Roman"/>
          <w:lang w:val="fr-CA"/>
        </w:rPr>
        <w:t>]</w:t>
      </w:r>
      <w:r>
        <w:rPr>
          <w:rFonts w:cs="Times New Roman"/>
          <w:lang w:val="fr-CA"/>
        </w:rPr>
        <w:t xml:space="preserve"> en relation avec </w:t>
      </w:r>
      <w:r w:rsidRPr="00A10C08">
        <w:rPr>
          <w:rFonts w:cs="Times New Roman"/>
          <w:lang w:val="fr-CA"/>
        </w:rPr>
        <w:t>[</w:t>
      </w:r>
      <w:r w:rsidRPr="00A10C08">
        <w:rPr>
          <w:color w:val="0000FF"/>
          <w:lang w:val="fr-CA"/>
        </w:rPr>
        <w:t>l’audit/l’examen</w:t>
      </w:r>
      <w:r w:rsidRPr="00A10C08">
        <w:rPr>
          <w:rFonts w:cs="Times New Roman"/>
          <w:lang w:val="fr-CA"/>
        </w:rPr>
        <w:t>]</w:t>
      </w:r>
      <w:r>
        <w:rPr>
          <w:rFonts w:cs="Times New Roman"/>
          <w:color w:val="FF0000"/>
          <w:lang w:val="fr-CA"/>
        </w:rPr>
        <w:t> </w:t>
      </w:r>
      <w:r>
        <w:rPr>
          <w:rFonts w:cs="Times New Roman"/>
          <w:lang w:val="fr-CA"/>
        </w:rPr>
        <w:t xml:space="preserve">des états financiers consolidés de </w:t>
      </w:r>
      <w:r w:rsidRPr="00A10C08">
        <w:rPr>
          <w:rFonts w:cs="Times New Roman"/>
          <w:lang w:val="fr-CA"/>
        </w:rPr>
        <w:t>[</w:t>
      </w:r>
      <w:r w:rsidRPr="00A10C08">
        <w:rPr>
          <w:color w:val="0000FF"/>
          <w:lang w:val="fr-CA"/>
        </w:rPr>
        <w:t>nom de l’entité mère</w:t>
      </w:r>
      <w:r w:rsidRPr="00A10C08">
        <w:rPr>
          <w:rFonts w:cs="Times New Roman"/>
          <w:lang w:val="fr-CA"/>
        </w:rPr>
        <w:t>]</w:t>
      </w:r>
      <w:r>
        <w:rPr>
          <w:rFonts w:cs="Times New Roman"/>
          <w:lang w:val="fr-CA"/>
        </w:rPr>
        <w:t xml:space="preserve"> et ne doit pas être utilisé à d’autres fins</w:t>
      </w:r>
      <w:r w:rsidR="00DD1CDD" w:rsidRPr="005A5230">
        <w:rPr>
          <w:rFonts w:cs="Times New Roman"/>
          <w:lang w:val="fr-CA"/>
        </w:rPr>
        <w:t>.</w:t>
      </w:r>
    </w:p>
    <w:p w14:paraId="36B4DD60" w14:textId="77777777" w:rsidR="003C2415" w:rsidRPr="00AD13A5" w:rsidRDefault="003C2415">
      <w:pPr>
        <w:autoSpaceDE w:val="0"/>
        <w:autoSpaceDN w:val="0"/>
        <w:adjustRightInd w:val="0"/>
        <w:spacing w:line="240" w:lineRule="atLeast"/>
        <w:rPr>
          <w:rFonts w:cs="Times New Roman"/>
          <w:b/>
          <w:color w:val="000000"/>
          <w:lang w:val="fr-CA"/>
        </w:rPr>
      </w:pPr>
    </w:p>
    <w:p w14:paraId="539D89AF" w14:textId="77777777" w:rsidR="003C2415" w:rsidRPr="00A10C08" w:rsidRDefault="003C2415">
      <w:pPr>
        <w:autoSpaceDE w:val="0"/>
        <w:autoSpaceDN w:val="0"/>
        <w:adjustRightInd w:val="0"/>
        <w:spacing w:line="240" w:lineRule="atLeast"/>
        <w:rPr>
          <w:b/>
          <w:color w:val="1F497D" w:themeColor="text2"/>
          <w:sz w:val="32"/>
          <w:szCs w:val="32"/>
          <w:lang w:val="fr-CA"/>
        </w:rPr>
      </w:pPr>
      <w:r w:rsidRPr="00A10C08">
        <w:rPr>
          <w:b/>
          <w:color w:val="1F497D" w:themeColor="text2"/>
          <w:sz w:val="32"/>
          <w:szCs w:val="32"/>
          <w:lang w:val="fr-CA"/>
        </w:rPr>
        <w:t xml:space="preserve">AUTRES SUJETS PROPOSÉS </w:t>
      </w:r>
    </w:p>
    <w:p w14:paraId="5DB7E84C" w14:textId="16D6692F" w:rsidR="003C2415" w:rsidRPr="00AD13A5" w:rsidRDefault="003C2415">
      <w:pPr>
        <w:autoSpaceDE w:val="0"/>
        <w:autoSpaceDN w:val="0"/>
        <w:adjustRightInd w:val="0"/>
        <w:spacing w:line="240" w:lineRule="atLeast"/>
        <w:rPr>
          <w:rFonts w:cs="Times New Roman"/>
          <w:b/>
          <w:color w:val="000000"/>
          <w:lang w:val="fr-CA"/>
        </w:rPr>
      </w:pPr>
      <w:r w:rsidRPr="00A10C08">
        <w:rPr>
          <w:b/>
          <w:bCs/>
          <w:color w:val="000000"/>
          <w:sz w:val="32"/>
          <w:szCs w:val="32"/>
          <w:lang w:val="fr-CA"/>
        </w:rPr>
        <w:t>Contrôles</w:t>
      </w:r>
    </w:p>
    <w:p w14:paraId="735790C2" w14:textId="77777777" w:rsidR="003C2415" w:rsidRPr="00AD13A5" w:rsidRDefault="003C2415">
      <w:pPr>
        <w:autoSpaceDE w:val="0"/>
        <w:autoSpaceDN w:val="0"/>
        <w:adjustRightInd w:val="0"/>
        <w:spacing w:line="240" w:lineRule="atLeast"/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Joindre les modèles remplis aux annexes B et C.</w:t>
      </w:r>
    </w:p>
    <w:p w14:paraId="01596AED" w14:textId="77777777" w:rsidR="003C2415" w:rsidRPr="00AD13A5" w:rsidRDefault="003C2415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  <w:lang w:val="fr-CA"/>
        </w:rPr>
      </w:pPr>
    </w:p>
    <w:p w14:paraId="5E67B0BB" w14:textId="77777777" w:rsidR="0045504C" w:rsidRPr="00A10C08" w:rsidRDefault="003C2415" w:rsidP="0045504C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32"/>
          <w:szCs w:val="32"/>
        </w:rPr>
      </w:pPr>
      <w:proofErr w:type="spellStart"/>
      <w:r w:rsidRPr="00A10C08">
        <w:rPr>
          <w:b/>
          <w:bCs/>
          <w:color w:val="000000"/>
          <w:sz w:val="32"/>
          <w:szCs w:val="32"/>
        </w:rPr>
        <w:t>Procédures</w:t>
      </w:r>
      <w:proofErr w:type="spellEnd"/>
      <w:r w:rsidRPr="00A10C08">
        <w:rPr>
          <w:b/>
          <w:bCs/>
          <w:color w:val="000000"/>
          <w:sz w:val="32"/>
          <w:szCs w:val="32"/>
        </w:rPr>
        <w:t xml:space="preserve"> d</w:t>
      </w:r>
      <w:r w:rsidR="0045504C" w:rsidRPr="00A10C08">
        <w:rPr>
          <w:b/>
          <w:bCs/>
          <w:color w:val="000000"/>
          <w:sz w:val="32"/>
          <w:szCs w:val="32"/>
        </w:rPr>
        <w:t>e corroboration</w:t>
      </w:r>
    </w:p>
    <w:p w14:paraId="4AF3DD56" w14:textId="77777777" w:rsidR="0045504C" w:rsidRDefault="0045504C" w:rsidP="0045504C">
      <w:pPr>
        <w:autoSpaceDE w:val="0"/>
        <w:autoSpaceDN w:val="0"/>
        <w:adjustRightInd w:val="0"/>
        <w:spacing w:line="240" w:lineRule="atLeast"/>
        <w:rPr>
          <w:rFonts w:cs="Times New Roman"/>
          <w:b/>
          <w:color w:val="000000"/>
          <w:lang w:val="fr-CA"/>
        </w:rPr>
      </w:pPr>
    </w:p>
    <w:p w14:paraId="087F04A9" w14:textId="77777777" w:rsidR="003C2415" w:rsidRPr="0045504C" w:rsidRDefault="0045504C" w:rsidP="0045504C">
      <w:pPr>
        <w:numPr>
          <w:ilvl w:val="0"/>
          <w:numId w:val="39"/>
        </w:numPr>
        <w:autoSpaceDE w:val="0"/>
        <w:autoSpaceDN w:val="0"/>
        <w:adjustRightInd w:val="0"/>
        <w:spacing w:line="240" w:lineRule="atLeast"/>
        <w:rPr>
          <w:rFonts w:cs="Times New Roman"/>
          <w:color w:val="000000"/>
          <w:lang w:val="fr-CA"/>
        </w:rPr>
      </w:pPr>
      <w:r w:rsidRPr="0045504C">
        <w:rPr>
          <w:rFonts w:cs="Times New Roman"/>
          <w:color w:val="000000"/>
          <w:lang w:val="fr-CA"/>
        </w:rPr>
        <w:t>S</w:t>
      </w:r>
      <w:r w:rsidR="003C2415" w:rsidRPr="0045504C">
        <w:rPr>
          <w:rFonts w:cs="Times New Roman"/>
          <w:color w:val="000000"/>
          <w:lang w:val="fr-CA"/>
        </w:rPr>
        <w:t>ommaire des situations de déséquilibre dans les comptes rapprochés au CSP.</w:t>
      </w:r>
    </w:p>
    <w:p w14:paraId="0BE287C3" w14:textId="77777777" w:rsidR="003C2415" w:rsidRPr="00AD13A5" w:rsidRDefault="003C2415">
      <w:pPr>
        <w:numPr>
          <w:ilvl w:val="0"/>
          <w:numId w:val="39"/>
        </w:numPr>
        <w:autoSpaceDE w:val="0"/>
        <w:autoSpaceDN w:val="0"/>
        <w:adjustRightInd w:val="0"/>
        <w:spacing w:line="240" w:lineRule="atLeast"/>
        <w:rPr>
          <w:rFonts w:cs="Times New Roman"/>
          <w:color w:val="000000"/>
          <w:lang w:val="fr-CA"/>
        </w:rPr>
      </w:pPr>
      <w:r w:rsidRPr="00AD13A5">
        <w:rPr>
          <w:rFonts w:cs="Times New Roman"/>
          <w:color w:val="000000"/>
          <w:lang w:val="fr-CA"/>
        </w:rPr>
        <w:t xml:space="preserve">Renseignements relatifs aux </w:t>
      </w:r>
      <w:r w:rsidR="0045504C">
        <w:rPr>
          <w:rFonts w:cs="Times New Roman"/>
          <w:color w:val="000000"/>
          <w:lang w:val="fr-CA"/>
        </w:rPr>
        <w:t xml:space="preserve">divergences relevées dans le cadre des </w:t>
      </w:r>
      <w:r w:rsidRPr="00AD13A5">
        <w:rPr>
          <w:rFonts w:cs="Times New Roman"/>
          <w:color w:val="000000"/>
          <w:lang w:val="fr-CA"/>
        </w:rPr>
        <w:t>procédures d</w:t>
      </w:r>
      <w:r w:rsidR="0045504C">
        <w:rPr>
          <w:rFonts w:cs="Times New Roman"/>
          <w:color w:val="000000"/>
          <w:lang w:val="fr-CA"/>
        </w:rPr>
        <w:t xml:space="preserve">e corroboration </w:t>
      </w:r>
      <w:r w:rsidRPr="00AD13A5">
        <w:rPr>
          <w:rFonts w:cs="Times New Roman"/>
          <w:color w:val="000000"/>
          <w:lang w:val="fr-CA"/>
        </w:rPr>
        <w:t>ci-après :</w:t>
      </w:r>
    </w:p>
    <w:p w14:paraId="0C7EF871" w14:textId="77777777" w:rsidR="003C2415" w:rsidRPr="00AD13A5" w:rsidRDefault="003C2415">
      <w:pPr>
        <w:rPr>
          <w:rFonts w:cs="Times New Roman"/>
          <w:color w:val="000000"/>
          <w:lang w:val="fr-CA"/>
        </w:rPr>
      </w:pPr>
    </w:p>
    <w:p w14:paraId="7E0DCE27" w14:textId="77777777" w:rsidR="003C2415" w:rsidRPr="00AD13A5" w:rsidRDefault="003C2415">
      <w:pPr>
        <w:rPr>
          <w:rFonts w:cs="Times New Roman"/>
          <w:lang w:val="fr-CA"/>
        </w:rPr>
      </w:pPr>
    </w:p>
    <w:p w14:paraId="72AABCD4" w14:textId="76632F49" w:rsidR="003C2415" w:rsidRDefault="0096088E" w:rsidP="0045504C">
      <w:pPr>
        <w:keepNext/>
        <w:rPr>
          <w:rFonts w:cs="Times New Roman"/>
          <w:b/>
          <w:lang w:val="fr-CA"/>
        </w:rPr>
      </w:pPr>
      <w:r w:rsidRPr="00AD13A5">
        <w:rPr>
          <w:rFonts w:cs="Times New Roman"/>
          <w:b/>
          <w:lang w:val="fr-CA"/>
        </w:rPr>
        <w:t>Résultats des test</w:t>
      </w:r>
      <w:r w:rsidR="00D81854">
        <w:rPr>
          <w:rFonts w:cs="Times New Roman"/>
          <w:b/>
          <w:lang w:val="fr-CA"/>
        </w:rPr>
        <w:t>s</w:t>
      </w:r>
      <w:r w:rsidRPr="00AD13A5">
        <w:rPr>
          <w:rFonts w:cs="Times New Roman"/>
          <w:b/>
          <w:lang w:val="fr-CA"/>
        </w:rPr>
        <w:t xml:space="preserve"> </w:t>
      </w:r>
      <w:r w:rsidR="00C71611">
        <w:rPr>
          <w:rFonts w:cs="Times New Roman"/>
          <w:b/>
          <w:lang w:val="fr-CA"/>
        </w:rPr>
        <w:t xml:space="preserve">de </w:t>
      </w:r>
      <w:r w:rsidR="003C2415" w:rsidRPr="00AD13A5">
        <w:rPr>
          <w:rFonts w:cs="Times New Roman"/>
          <w:b/>
          <w:lang w:val="fr-CA"/>
        </w:rPr>
        <w:t>détail</w:t>
      </w:r>
      <w:r w:rsidR="0045504C">
        <w:rPr>
          <w:rFonts w:cs="Times New Roman"/>
          <w:b/>
          <w:lang w:val="fr-CA"/>
        </w:rPr>
        <w:t> </w:t>
      </w:r>
      <w:r w:rsidR="003C2415" w:rsidRPr="00AD13A5">
        <w:rPr>
          <w:rFonts w:cs="Times New Roman"/>
          <w:b/>
          <w:lang w:val="fr-CA"/>
        </w:rPr>
        <w:t>(</w:t>
      </w:r>
      <w:r w:rsidR="0045504C">
        <w:rPr>
          <w:rFonts w:cs="Times New Roman"/>
          <w:b/>
          <w:lang w:val="fr-CA"/>
        </w:rPr>
        <w:t>uniquement les divergences</w:t>
      </w:r>
      <w:r w:rsidR="003C2415" w:rsidRPr="00AD13A5">
        <w:rPr>
          <w:rFonts w:cs="Times New Roman"/>
          <w:b/>
          <w:lang w:val="fr-CA"/>
        </w:rPr>
        <w:t>)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D4078E" w:rsidRPr="00A10C08" w14:paraId="69C776CC" w14:textId="77777777" w:rsidTr="00085F57">
        <w:trPr>
          <w:tblHeader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429B791" w14:textId="4D9C925C" w:rsidR="00D4078E" w:rsidRPr="00A10C08" w:rsidRDefault="00D4078E" w:rsidP="00D4078E">
            <w:pPr>
              <w:keepNext/>
              <w:rPr>
                <w:rFonts w:cs="Times New Roman"/>
                <w:b/>
                <w:color w:val="FFFFFF" w:themeColor="background1"/>
                <w:lang w:val="fr-CA"/>
              </w:rPr>
            </w:pPr>
            <w:r w:rsidRPr="00A10C08">
              <w:rPr>
                <w:rFonts w:cs="Times New Roman"/>
                <w:b/>
                <w:color w:val="FFFFFF" w:themeColor="background1"/>
                <w:lang w:val="fr-CA"/>
              </w:rPr>
              <w:t>Compte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F73F510" w14:textId="0593CD3A" w:rsidR="00D4078E" w:rsidRPr="00A10C08" w:rsidRDefault="00D4078E" w:rsidP="00D4078E">
            <w:pPr>
              <w:keepNext/>
              <w:rPr>
                <w:rFonts w:cs="Times New Roman"/>
                <w:b/>
                <w:color w:val="FFFFFF" w:themeColor="background1"/>
                <w:lang w:val="fr-CA"/>
              </w:rPr>
            </w:pPr>
            <w:r w:rsidRPr="00A10C08">
              <w:rPr>
                <w:rFonts w:cs="Times New Roman"/>
                <w:b/>
                <w:color w:val="FFFFFF" w:themeColor="background1"/>
                <w:lang w:val="fr-CA"/>
              </w:rPr>
              <w:t>Procédures déterminées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E8D5A47" w14:textId="41D45CCB" w:rsidR="00D4078E" w:rsidRPr="00A10C08" w:rsidRDefault="00D4078E" w:rsidP="00D4078E">
            <w:pPr>
              <w:keepNext/>
              <w:rPr>
                <w:rFonts w:cs="Times New Roman"/>
                <w:b/>
                <w:color w:val="FFFFFF" w:themeColor="background1"/>
                <w:lang w:val="fr-CA"/>
              </w:rPr>
            </w:pPr>
            <w:r w:rsidRPr="00A10C08">
              <w:rPr>
                <w:rFonts w:cs="Times New Roman"/>
                <w:b/>
                <w:color w:val="FFFFFF" w:themeColor="background1"/>
                <w:lang w:val="fr-CA"/>
              </w:rPr>
              <w:t>Taille de l’échantillon et population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FCD2C30" w14:textId="67CC8641" w:rsidR="00D4078E" w:rsidRPr="00A10C08" w:rsidRDefault="00D4078E" w:rsidP="00D4078E">
            <w:pPr>
              <w:keepNext/>
              <w:rPr>
                <w:rFonts w:cs="Times New Roman"/>
                <w:b/>
                <w:color w:val="FFFFFF" w:themeColor="background1"/>
                <w:lang w:val="fr-CA"/>
              </w:rPr>
            </w:pPr>
            <w:r w:rsidRPr="00A10C08">
              <w:rPr>
                <w:rFonts w:cs="Times New Roman"/>
                <w:b/>
                <w:color w:val="FFFFFF" w:themeColor="background1"/>
                <w:lang w:val="fr-CA"/>
              </w:rPr>
              <w:t>Divergence</w:t>
            </w:r>
          </w:p>
        </w:tc>
      </w:tr>
      <w:tr w:rsidR="00D4078E" w:rsidRPr="00FA57D4" w14:paraId="24256BBE" w14:textId="77777777" w:rsidTr="00D4078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0861A" w14:textId="77777777" w:rsidR="00D4078E" w:rsidRPr="00D4078E" w:rsidRDefault="00D4078E" w:rsidP="00D4078E">
            <w:pPr>
              <w:keepNext/>
              <w:rPr>
                <w:rFonts w:cs="Times New Roman"/>
                <w:lang w:val="fr-C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55071" w14:textId="77777777" w:rsidR="00D4078E" w:rsidRPr="00D4078E" w:rsidRDefault="00D4078E" w:rsidP="00D4078E">
            <w:pPr>
              <w:keepNext/>
              <w:rPr>
                <w:rFonts w:cs="Times New Roman"/>
                <w:lang w:val="fr-C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BACFB" w14:textId="77777777" w:rsidR="00D4078E" w:rsidRPr="00D4078E" w:rsidRDefault="00D4078E" w:rsidP="00D4078E">
            <w:pPr>
              <w:keepNext/>
              <w:rPr>
                <w:rFonts w:cs="Times New Roman"/>
                <w:lang w:val="fr-C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80048" w14:textId="77777777" w:rsidR="00D4078E" w:rsidRPr="00D4078E" w:rsidRDefault="00D4078E" w:rsidP="00D4078E">
            <w:pPr>
              <w:keepNext/>
              <w:rPr>
                <w:rFonts w:cs="Times New Roman"/>
                <w:lang w:val="fr-CA"/>
              </w:rPr>
            </w:pPr>
          </w:p>
        </w:tc>
      </w:tr>
    </w:tbl>
    <w:p w14:paraId="6744D8A2" w14:textId="77777777" w:rsidR="003C2415" w:rsidRPr="00AD13A5" w:rsidRDefault="003C2415">
      <w:pPr>
        <w:rPr>
          <w:rFonts w:cs="Times New Roman"/>
          <w:lang w:val="fr-CA"/>
        </w:rPr>
      </w:pPr>
    </w:p>
    <w:p w14:paraId="5737B3AA" w14:textId="77777777" w:rsidR="003C2415" w:rsidRPr="00AD13A5" w:rsidRDefault="003C2415">
      <w:pPr>
        <w:rPr>
          <w:rFonts w:cs="Times New Roman"/>
          <w:b/>
          <w:lang w:val="fr-CA"/>
        </w:rPr>
      </w:pPr>
    </w:p>
    <w:p w14:paraId="0EF4616B" w14:textId="77777777" w:rsidR="003C2415" w:rsidRDefault="003C2415">
      <w:pPr>
        <w:rPr>
          <w:rFonts w:cs="Times New Roman"/>
          <w:b/>
          <w:lang w:val="fr-CA"/>
        </w:rPr>
      </w:pPr>
      <w:r w:rsidRPr="00AD13A5">
        <w:rPr>
          <w:rFonts w:cs="Times New Roman"/>
          <w:b/>
          <w:lang w:val="fr-CA"/>
        </w:rPr>
        <w:t>Procédures analytiques d</w:t>
      </w:r>
      <w:r w:rsidR="0045504C">
        <w:rPr>
          <w:rFonts w:cs="Times New Roman"/>
          <w:b/>
          <w:lang w:val="fr-CA"/>
        </w:rPr>
        <w:t xml:space="preserve">e corroboration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704"/>
        <w:gridCol w:w="2280"/>
        <w:gridCol w:w="2834"/>
      </w:tblGrid>
      <w:tr w:rsidR="004D2E0D" w:rsidRPr="00A10C08" w14:paraId="71CCF27C" w14:textId="77777777" w:rsidTr="00085F57">
        <w:trPr>
          <w:tblHeader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B32DE0B" w14:textId="70B96A40" w:rsidR="004D2E0D" w:rsidRPr="00A10C08" w:rsidRDefault="00100B02" w:rsidP="00C270AA">
            <w:pPr>
              <w:rPr>
                <w:rFonts w:cs="Times New Roman"/>
                <w:b/>
                <w:color w:val="FFFFFF" w:themeColor="background1"/>
                <w:lang w:val="fr-CA"/>
              </w:rPr>
            </w:pPr>
            <w:r w:rsidRPr="00A10C08">
              <w:rPr>
                <w:rFonts w:cs="Times New Roman"/>
                <w:b/>
                <w:color w:val="FFFFFF" w:themeColor="background1"/>
                <w:lang w:val="fr-CA"/>
              </w:rPr>
              <w:t>Compte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97D0E62" w14:textId="658E10F3" w:rsidR="004D2E0D" w:rsidRPr="00A10C08" w:rsidRDefault="00100B02" w:rsidP="00C270AA">
            <w:pPr>
              <w:rPr>
                <w:rFonts w:cs="Times New Roman"/>
                <w:b/>
                <w:color w:val="FFFFFF" w:themeColor="background1"/>
                <w:lang w:val="fr-CA"/>
              </w:rPr>
            </w:pPr>
            <w:r w:rsidRPr="00A10C08">
              <w:rPr>
                <w:rFonts w:cs="Times New Roman"/>
                <w:b/>
                <w:color w:val="FFFFFF" w:themeColor="background1"/>
                <w:lang w:val="fr-CA"/>
              </w:rPr>
              <w:t>Test effectué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9D9CE5" w14:textId="77777777" w:rsidR="004D2E0D" w:rsidRPr="00A10C08" w:rsidRDefault="004D2E0D" w:rsidP="00C270AA">
            <w:pPr>
              <w:rPr>
                <w:rFonts w:cs="Times New Roman"/>
                <w:b/>
                <w:color w:val="FFFFFF" w:themeColor="background1"/>
                <w:lang w:val="fr-CA"/>
              </w:rPr>
            </w:pPr>
            <w:r w:rsidRPr="00A10C08">
              <w:rPr>
                <w:rFonts w:cs="Times New Roman"/>
                <w:b/>
                <w:color w:val="FFFFFF" w:themeColor="background1"/>
                <w:lang w:val="fr-CA"/>
              </w:rPr>
              <w:t>Conclusion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298C81E" w14:textId="3AF11359" w:rsidR="004D2E0D" w:rsidRPr="00A10C08" w:rsidRDefault="00100B02" w:rsidP="00C270AA">
            <w:pPr>
              <w:rPr>
                <w:rFonts w:cs="Times New Roman"/>
                <w:b/>
                <w:color w:val="FFFFFF" w:themeColor="background1"/>
                <w:lang w:val="fr-CA"/>
              </w:rPr>
            </w:pPr>
            <w:r w:rsidRPr="00A10C08">
              <w:rPr>
                <w:rFonts w:cs="Times New Roman"/>
                <w:b/>
                <w:color w:val="FFFFFF" w:themeColor="background1"/>
                <w:lang w:val="fr-CA"/>
              </w:rPr>
              <w:t>Justification de la conclusion</w:t>
            </w:r>
          </w:p>
        </w:tc>
      </w:tr>
      <w:tr w:rsidR="004D2E0D" w:rsidRPr="0039155C" w14:paraId="5E7F8265" w14:textId="77777777" w:rsidTr="004D2E0D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1F9E9" w14:textId="77777777" w:rsidR="004D2E0D" w:rsidRPr="004D2E0D" w:rsidRDefault="004D2E0D" w:rsidP="004D2E0D">
            <w:pPr>
              <w:rPr>
                <w:rFonts w:cs="Times New Roman"/>
                <w:lang w:val="fr-C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D5668" w14:textId="77777777" w:rsidR="004D2E0D" w:rsidRPr="004D2E0D" w:rsidRDefault="004D2E0D" w:rsidP="004D2E0D">
            <w:pPr>
              <w:rPr>
                <w:rFonts w:cs="Times New Roman"/>
                <w:lang w:val="fr-C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98A9E0" w14:textId="77777777" w:rsidR="004D2E0D" w:rsidRPr="004D2E0D" w:rsidRDefault="004D2E0D" w:rsidP="004D2E0D">
            <w:pPr>
              <w:rPr>
                <w:rFonts w:cs="Times New Roman"/>
                <w:lang w:val="fr-C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9C4E6" w14:textId="77777777" w:rsidR="004D2E0D" w:rsidRPr="004D2E0D" w:rsidRDefault="004D2E0D" w:rsidP="004D2E0D">
            <w:pPr>
              <w:rPr>
                <w:rFonts w:cs="Times New Roman"/>
                <w:lang w:val="fr-CA"/>
              </w:rPr>
            </w:pPr>
          </w:p>
        </w:tc>
      </w:tr>
    </w:tbl>
    <w:p w14:paraId="33AD0B22" w14:textId="20DB37F7" w:rsidR="003C2415" w:rsidRPr="003D785F" w:rsidRDefault="003C2415" w:rsidP="003D785F">
      <w:pPr>
        <w:pStyle w:val="Style2"/>
        <w:rPr>
          <w:lang w:val="fr-CA"/>
        </w:rPr>
      </w:pPr>
      <w:r w:rsidRPr="00AD13A5">
        <w:rPr>
          <w:lang w:val="fr-CA"/>
        </w:rPr>
        <w:br w:type="page"/>
      </w:r>
      <w:bookmarkStart w:id="15" w:name="_Toc9421280"/>
      <w:r w:rsidRPr="003D785F">
        <w:rPr>
          <w:lang w:val="fr-CA"/>
        </w:rPr>
        <w:t xml:space="preserve">Annexe </w:t>
      </w:r>
      <w:r w:rsidR="00A96249" w:rsidRPr="003D785F">
        <w:rPr>
          <w:lang w:val="fr-CA"/>
        </w:rPr>
        <w:t xml:space="preserve">L </w:t>
      </w:r>
      <w:r w:rsidR="00085F57">
        <w:rPr>
          <w:lang w:val="fr-CA"/>
        </w:rPr>
        <w:t>─</w:t>
      </w:r>
      <w:r w:rsidR="0045504C" w:rsidRPr="003D785F">
        <w:rPr>
          <w:lang w:val="fr-CA"/>
        </w:rPr>
        <w:t> </w:t>
      </w:r>
      <w:r w:rsidR="00B24A5B" w:rsidRPr="003D785F">
        <w:rPr>
          <w:lang w:val="fr-CA"/>
        </w:rPr>
        <w:t xml:space="preserve">Examen </w:t>
      </w:r>
      <w:r w:rsidRPr="003D785F">
        <w:rPr>
          <w:lang w:val="fr-CA"/>
        </w:rPr>
        <w:t xml:space="preserve">des événements </w:t>
      </w:r>
      <w:r w:rsidR="0045504C" w:rsidRPr="003D785F">
        <w:rPr>
          <w:lang w:val="fr-CA"/>
        </w:rPr>
        <w:t>postérieurs à la clôture</w:t>
      </w:r>
      <w:bookmarkEnd w:id="15"/>
      <w:r w:rsidR="0045504C" w:rsidRPr="003D785F">
        <w:rPr>
          <w:lang w:val="fr-CA"/>
        </w:rPr>
        <w:t xml:space="preserve"> </w:t>
      </w:r>
    </w:p>
    <w:p w14:paraId="1090EDF9" w14:textId="77777777" w:rsidR="003C2415" w:rsidRPr="00AD13A5" w:rsidRDefault="003C2415">
      <w:pPr>
        <w:rPr>
          <w:rFonts w:cs="Times New Roman"/>
          <w:b/>
          <w:lang w:val="fr-CA"/>
        </w:rPr>
      </w:pPr>
    </w:p>
    <w:p w14:paraId="23061C09" w14:textId="77777777" w:rsidR="003C2415" w:rsidRPr="00AD13A5" w:rsidRDefault="003C2415">
      <w:p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 xml:space="preserve">Dans le cadre de notre </w:t>
      </w:r>
      <w:r w:rsidR="00B24A5B">
        <w:rPr>
          <w:rFonts w:cs="Times New Roman"/>
          <w:lang w:val="fr-CA"/>
        </w:rPr>
        <w:t xml:space="preserve">examen </w:t>
      </w:r>
      <w:r w:rsidRPr="00AD13A5">
        <w:rPr>
          <w:rFonts w:cs="Times New Roman"/>
          <w:lang w:val="fr-CA"/>
        </w:rPr>
        <w:t xml:space="preserve">des événements </w:t>
      </w:r>
      <w:r w:rsidR="0045504C">
        <w:rPr>
          <w:rFonts w:cs="Times New Roman"/>
          <w:lang w:val="fr-CA"/>
        </w:rPr>
        <w:t>postérieurs à la clôture, nous mettrons en œuvre les </w:t>
      </w:r>
      <w:r w:rsidRPr="00AD13A5">
        <w:rPr>
          <w:rFonts w:cs="Times New Roman"/>
          <w:lang w:val="fr-CA"/>
        </w:rPr>
        <w:t>procédures suivantes :</w:t>
      </w:r>
    </w:p>
    <w:p w14:paraId="3C6E500C" w14:textId="77777777" w:rsidR="003C2415" w:rsidRPr="00AD13A5" w:rsidRDefault="003C2415">
      <w:pPr>
        <w:rPr>
          <w:rFonts w:cs="Times New Roman"/>
          <w:lang w:val="fr-CA"/>
        </w:rPr>
      </w:pPr>
    </w:p>
    <w:p w14:paraId="6F01C0D6" w14:textId="77777777" w:rsidR="003C2415" w:rsidRPr="00AD13A5" w:rsidRDefault="003C2415">
      <w:pPr>
        <w:rPr>
          <w:rFonts w:cs="Times New Roman"/>
          <w:i/>
          <w:lang w:val="fr-CA"/>
        </w:rPr>
      </w:pPr>
      <w:r w:rsidRPr="00AD13A5">
        <w:rPr>
          <w:rFonts w:cs="Times New Roman"/>
          <w:i/>
          <w:lang w:val="fr-CA"/>
        </w:rPr>
        <w:t>Adapter comme il convient</w:t>
      </w:r>
    </w:p>
    <w:p w14:paraId="314FC1D6" w14:textId="77777777" w:rsidR="003C2415" w:rsidRPr="00AD13A5" w:rsidRDefault="003C2415">
      <w:pPr>
        <w:rPr>
          <w:rFonts w:cs="Times New Roman"/>
          <w:lang w:val="fr-CA"/>
        </w:rPr>
      </w:pPr>
    </w:p>
    <w:p w14:paraId="5BCBFE64" w14:textId="77777777" w:rsidR="003C2415" w:rsidRPr="00AD13A5" w:rsidRDefault="003C2415">
      <w:pPr>
        <w:numPr>
          <w:ilvl w:val="0"/>
          <w:numId w:val="37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Revue de l’information financière disponible la plus récente</w:t>
      </w:r>
    </w:p>
    <w:p w14:paraId="3BEB1F64" w14:textId="77777777" w:rsidR="003C2415" w:rsidRPr="00AD13A5" w:rsidRDefault="003C2415">
      <w:pPr>
        <w:numPr>
          <w:ilvl w:val="0"/>
          <w:numId w:val="37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Recherche</w:t>
      </w:r>
      <w:r w:rsidR="0045504C">
        <w:rPr>
          <w:rFonts w:cs="Times New Roman"/>
          <w:lang w:val="fr-CA"/>
        </w:rPr>
        <w:t xml:space="preserve"> d</w:t>
      </w:r>
      <w:r w:rsidRPr="00AD13A5">
        <w:rPr>
          <w:rFonts w:cs="Times New Roman"/>
          <w:lang w:val="fr-CA"/>
        </w:rPr>
        <w:t>es passifs non en</w:t>
      </w:r>
      <w:r w:rsidR="00AD13A5">
        <w:rPr>
          <w:rFonts w:cs="Times New Roman"/>
          <w:lang w:val="fr-CA"/>
        </w:rPr>
        <w:t>r</w:t>
      </w:r>
      <w:r w:rsidRPr="00AD13A5">
        <w:rPr>
          <w:rFonts w:cs="Times New Roman"/>
          <w:lang w:val="fr-CA"/>
        </w:rPr>
        <w:t>egistrés</w:t>
      </w:r>
    </w:p>
    <w:p w14:paraId="462009BB" w14:textId="77777777" w:rsidR="003C2415" w:rsidRPr="00AD13A5" w:rsidRDefault="003C2415">
      <w:pPr>
        <w:numPr>
          <w:ilvl w:val="0"/>
          <w:numId w:val="37"/>
        </w:numPr>
        <w:rPr>
          <w:rFonts w:cs="Times New Roman"/>
          <w:lang w:val="fr-CA"/>
        </w:rPr>
      </w:pPr>
      <w:r w:rsidRPr="00AD13A5">
        <w:rPr>
          <w:rFonts w:cs="Times New Roman"/>
          <w:lang w:val="fr-CA"/>
        </w:rPr>
        <w:t>Demandes d</w:t>
      </w:r>
      <w:r w:rsidR="0045504C">
        <w:rPr>
          <w:rFonts w:cs="Times New Roman"/>
          <w:lang w:val="fr-CA"/>
        </w:rPr>
        <w:t xml:space="preserve">’informations </w:t>
      </w:r>
      <w:r w:rsidRPr="00AD13A5">
        <w:rPr>
          <w:rFonts w:cs="Times New Roman"/>
          <w:lang w:val="fr-CA"/>
        </w:rPr>
        <w:t>de la direction</w:t>
      </w:r>
    </w:p>
    <w:p w14:paraId="562232EF" w14:textId="77777777" w:rsidR="003C2415" w:rsidRPr="00AD13A5" w:rsidRDefault="003C2415">
      <w:pPr>
        <w:rPr>
          <w:rFonts w:cs="Times New Roman"/>
          <w:lang w:val="fr-CA"/>
        </w:rPr>
      </w:pPr>
    </w:p>
    <w:p w14:paraId="7908D928" w14:textId="77777777" w:rsidR="003C2415" w:rsidRDefault="0045504C">
      <w:pPr>
        <w:rPr>
          <w:rFonts w:cs="Times New Roman"/>
          <w:b/>
          <w:lang w:val="fr-CA"/>
        </w:rPr>
      </w:pPr>
      <w:r>
        <w:rPr>
          <w:rFonts w:cs="Times New Roman"/>
          <w:b/>
          <w:lang w:val="fr-CA"/>
        </w:rPr>
        <w:t>Remarque </w:t>
      </w:r>
      <w:r w:rsidR="003C2415" w:rsidRPr="00AD13A5">
        <w:rPr>
          <w:rFonts w:cs="Times New Roman"/>
          <w:b/>
          <w:lang w:val="fr-CA"/>
        </w:rPr>
        <w:t xml:space="preserve">– Le calendrier de la signature des rapports </w:t>
      </w:r>
      <w:r>
        <w:rPr>
          <w:rFonts w:cs="Times New Roman"/>
          <w:b/>
          <w:lang w:val="fr-CA"/>
        </w:rPr>
        <w:t xml:space="preserve">d’audit des </w:t>
      </w:r>
      <w:r w:rsidR="003C2415" w:rsidRPr="00AD13A5">
        <w:rPr>
          <w:rFonts w:cs="Times New Roman"/>
          <w:b/>
          <w:lang w:val="fr-CA"/>
        </w:rPr>
        <w:t>états financiers consolidés d</w:t>
      </w:r>
      <w:r>
        <w:rPr>
          <w:rFonts w:cs="Times New Roman"/>
          <w:b/>
          <w:lang w:val="fr-CA"/>
        </w:rPr>
        <w:t>e</w:t>
      </w:r>
      <w:r w:rsidR="003C2415" w:rsidRPr="00AD13A5">
        <w:rPr>
          <w:rFonts w:cs="Times New Roman"/>
          <w:b/>
          <w:lang w:val="fr-CA"/>
        </w:rPr>
        <w:t xml:space="preserve"> groupe et </w:t>
      </w:r>
      <w:r>
        <w:rPr>
          <w:rFonts w:cs="Times New Roman"/>
          <w:b/>
          <w:lang w:val="fr-CA"/>
        </w:rPr>
        <w:t xml:space="preserve">des </w:t>
      </w:r>
      <w:r w:rsidR="003C2415" w:rsidRPr="00AD13A5">
        <w:rPr>
          <w:rFonts w:cs="Times New Roman"/>
          <w:b/>
          <w:lang w:val="fr-CA"/>
        </w:rPr>
        <w:t>divers états financiers réglementaires peut varier considérablement. C’est la raison pour laquelle la nature, l’étendue et le calendrier des procédures</w:t>
      </w:r>
      <w:r>
        <w:rPr>
          <w:rFonts w:cs="Times New Roman"/>
          <w:b/>
          <w:lang w:val="fr-CA"/>
        </w:rPr>
        <w:t xml:space="preserve"> de contrôle </w:t>
      </w:r>
      <w:r w:rsidR="003C2415" w:rsidRPr="00AD13A5">
        <w:rPr>
          <w:rFonts w:cs="Times New Roman"/>
          <w:b/>
          <w:lang w:val="fr-CA"/>
        </w:rPr>
        <w:t>des événements</w:t>
      </w:r>
      <w:r>
        <w:rPr>
          <w:rFonts w:cs="Times New Roman"/>
          <w:b/>
          <w:lang w:val="fr-CA"/>
        </w:rPr>
        <w:t xml:space="preserve"> postérieurs à la clôture</w:t>
      </w:r>
      <w:r w:rsidR="003C2415" w:rsidRPr="00AD13A5">
        <w:rPr>
          <w:rFonts w:cs="Times New Roman"/>
          <w:b/>
          <w:lang w:val="fr-CA"/>
        </w:rPr>
        <w:t xml:space="preserve"> risquent de varier </w:t>
      </w:r>
      <w:r w:rsidR="0096088E">
        <w:rPr>
          <w:rFonts w:cs="Times New Roman"/>
          <w:b/>
          <w:lang w:val="fr-CA"/>
        </w:rPr>
        <w:t xml:space="preserve">considérablement </w:t>
      </w:r>
      <w:r>
        <w:rPr>
          <w:rFonts w:cs="Times New Roman"/>
          <w:b/>
          <w:lang w:val="fr-CA"/>
        </w:rPr>
        <w:t xml:space="preserve">pour les différentes </w:t>
      </w:r>
      <w:r w:rsidR="003C2415" w:rsidRPr="00AD13A5">
        <w:rPr>
          <w:rFonts w:cs="Times New Roman"/>
          <w:b/>
          <w:lang w:val="fr-CA"/>
        </w:rPr>
        <w:t xml:space="preserve">équipes affectées à l’audit – l’équipe affectée à l’audit du CSP doit </w:t>
      </w:r>
      <w:r>
        <w:rPr>
          <w:rFonts w:cs="Times New Roman"/>
          <w:b/>
          <w:lang w:val="fr-CA"/>
        </w:rPr>
        <w:t xml:space="preserve">envisager d’adapter </w:t>
      </w:r>
      <w:r w:rsidR="003C2415" w:rsidRPr="00AD13A5">
        <w:rPr>
          <w:rFonts w:cs="Times New Roman"/>
          <w:b/>
          <w:lang w:val="fr-CA"/>
        </w:rPr>
        <w:t>ces procédures comme il convient pour chaque partie.</w:t>
      </w:r>
    </w:p>
    <w:p w14:paraId="251A493C" w14:textId="7C784F38" w:rsidR="00A96249" w:rsidRDefault="00A96249">
      <w:pPr>
        <w:rPr>
          <w:rFonts w:cs="Times New Roman"/>
          <w:b/>
          <w:lang w:val="fr-CA"/>
        </w:rPr>
      </w:pPr>
      <w:r>
        <w:rPr>
          <w:rFonts w:cs="Times New Roman"/>
          <w:b/>
          <w:lang w:val="fr-CA"/>
        </w:rPr>
        <w:br w:type="page"/>
      </w:r>
    </w:p>
    <w:p w14:paraId="2E84220A" w14:textId="30D328A6" w:rsidR="00A96249" w:rsidRPr="003D785F" w:rsidRDefault="00A96249" w:rsidP="006375B0">
      <w:pPr>
        <w:pStyle w:val="Style2"/>
        <w:rPr>
          <w:lang w:val="fr-CA"/>
        </w:rPr>
      </w:pPr>
      <w:bookmarkStart w:id="16" w:name="_Toc9421281"/>
      <w:r w:rsidRPr="003D785F">
        <w:rPr>
          <w:lang w:val="fr-CA"/>
        </w:rPr>
        <w:t xml:space="preserve">Annexe </w:t>
      </w:r>
      <w:r w:rsidR="00434374" w:rsidRPr="003D785F">
        <w:rPr>
          <w:lang w:val="fr-CA"/>
        </w:rPr>
        <w:t>M</w:t>
      </w:r>
      <w:r w:rsidRPr="003D785F">
        <w:rPr>
          <w:lang w:val="fr-CA"/>
        </w:rPr>
        <w:t xml:space="preserve"> </w:t>
      </w:r>
      <w:r w:rsidR="00085F57">
        <w:rPr>
          <w:lang w:val="fr-CA"/>
        </w:rPr>
        <w:t>─</w:t>
      </w:r>
      <w:r w:rsidRPr="003D785F">
        <w:rPr>
          <w:lang w:val="fr-CA"/>
        </w:rPr>
        <w:t> Confirmation de la conform</w:t>
      </w:r>
      <w:r w:rsidR="00434374" w:rsidRPr="003D785F">
        <w:rPr>
          <w:lang w:val="fr-CA"/>
        </w:rPr>
        <w:t>ité aux normes de documentation</w:t>
      </w:r>
      <w:r w:rsidRPr="003D785F">
        <w:rPr>
          <w:lang w:val="fr-CA"/>
        </w:rPr>
        <w:t xml:space="preserve"> </w:t>
      </w:r>
      <w:r w:rsidR="00085F57">
        <w:rPr>
          <w:lang w:val="fr-CA"/>
        </w:rPr>
        <w:t>─</w:t>
      </w:r>
      <w:r w:rsidRPr="003D785F">
        <w:rPr>
          <w:lang w:val="fr-CA"/>
        </w:rPr>
        <w:t xml:space="preserve"> Achèvement</w:t>
      </w:r>
      <w:bookmarkEnd w:id="16"/>
    </w:p>
    <w:p w14:paraId="6B2EAF8B" w14:textId="77777777" w:rsidR="00A96249" w:rsidRPr="00085F57" w:rsidRDefault="00A96249" w:rsidP="00085F57">
      <w:pPr>
        <w:rPr>
          <w:lang w:val="fr-CA"/>
        </w:rPr>
      </w:pPr>
    </w:p>
    <w:p w14:paraId="27BD05E2" w14:textId="77777777" w:rsidR="00A96249" w:rsidRPr="003D785F" w:rsidRDefault="00A96249">
      <w:pPr>
        <w:rPr>
          <w:rFonts w:cs="Times New Roman"/>
          <w:snapToGrid/>
          <w:lang w:val="fr-CA" w:eastAsia="en-US"/>
        </w:rPr>
      </w:pPr>
    </w:p>
    <w:p w14:paraId="637FC7AB" w14:textId="190EAB23" w:rsidR="003C2415" w:rsidRDefault="00434374">
      <w:pPr>
        <w:tabs>
          <w:tab w:val="left" w:pos="360"/>
        </w:tabs>
        <w:rPr>
          <w:rFonts w:cs="Times New Roman"/>
          <w:lang w:val="fr-CA"/>
        </w:rPr>
      </w:pPr>
      <w:r>
        <w:rPr>
          <w:rFonts w:cs="Times New Roman"/>
          <w:lang w:val="fr-CA"/>
        </w:rPr>
        <w:t xml:space="preserve">Une documentation d’audit suffisante pour se conformer aux exigences de la </w:t>
      </w:r>
      <w:r w:rsidRPr="003D785F">
        <w:rPr>
          <w:rFonts w:cs="Times New Roman"/>
          <w:lang w:val="fr-CA"/>
        </w:rPr>
        <w:t>NCA</w:t>
      </w:r>
      <w:r>
        <w:rPr>
          <w:rFonts w:cs="Times New Roman"/>
          <w:lang w:val="fr-CA"/>
        </w:rPr>
        <w:t xml:space="preserve"> 230 </w:t>
      </w:r>
      <w:r w:rsidRPr="003D785F">
        <w:rPr>
          <w:rFonts w:cs="Times New Roman"/>
          <w:lang w:val="fr-CA"/>
        </w:rPr>
        <w:t xml:space="preserve">et de la Norme canadienne de contrôle qualité </w:t>
      </w:r>
      <w:proofErr w:type="spellStart"/>
      <w:r w:rsidRPr="003D785F">
        <w:rPr>
          <w:rFonts w:cs="Times New Roman"/>
          <w:lang w:val="fr-CA"/>
        </w:rPr>
        <w:t>NC</w:t>
      </w:r>
      <w:r w:rsidR="00951DD2">
        <w:rPr>
          <w:rFonts w:cs="Times New Roman"/>
          <w:lang w:val="fr-CA"/>
        </w:rPr>
        <w:t>G</w:t>
      </w:r>
      <w:r w:rsidRPr="003D785F">
        <w:rPr>
          <w:rFonts w:cs="Times New Roman"/>
          <w:lang w:val="fr-CA"/>
        </w:rPr>
        <w:t>Q</w:t>
      </w:r>
      <w:proofErr w:type="spellEnd"/>
      <w:r w:rsidRPr="003D785F">
        <w:rPr>
          <w:rFonts w:cs="Times New Roman"/>
          <w:lang w:val="fr-CA"/>
        </w:rPr>
        <w:t> </w:t>
      </w:r>
      <w:r w:rsidR="00C71611">
        <w:rPr>
          <w:rFonts w:cs="Times New Roman"/>
          <w:lang w:val="fr-CA"/>
        </w:rPr>
        <w:t xml:space="preserve">1 </w:t>
      </w:r>
      <w:r w:rsidRPr="003D785F">
        <w:rPr>
          <w:rFonts w:cs="Times New Roman"/>
          <w:lang w:val="fr-CA"/>
        </w:rPr>
        <w:t>(les « normes</w:t>
      </w:r>
      <w:r>
        <w:rPr>
          <w:rFonts w:cs="Times New Roman"/>
          <w:lang w:val="fr-CA"/>
        </w:rPr>
        <w:t xml:space="preserve"> </w:t>
      </w:r>
      <w:r w:rsidRPr="003D785F">
        <w:rPr>
          <w:rFonts w:cs="Times New Roman"/>
          <w:lang w:val="fr-CA"/>
        </w:rPr>
        <w:t>»)</w:t>
      </w:r>
      <w:r>
        <w:rPr>
          <w:rFonts w:cs="Times New Roman"/>
          <w:lang w:val="fr-CA"/>
        </w:rPr>
        <w:t xml:space="preserve"> a été préparée à la date du rapport. Le personnel de la mission a rassemblé un ensemble </w:t>
      </w:r>
      <w:r w:rsidR="00C71611">
        <w:rPr>
          <w:rFonts w:cs="Times New Roman"/>
          <w:lang w:val="fr-CA"/>
        </w:rPr>
        <w:t xml:space="preserve">final et définitif </w:t>
      </w:r>
      <w:r>
        <w:rPr>
          <w:rFonts w:cs="Times New Roman"/>
          <w:lang w:val="fr-CA"/>
        </w:rPr>
        <w:t xml:space="preserve">de documents d’audit à une date ne dépassant pas 60 jours </w:t>
      </w:r>
      <w:r w:rsidR="00C71611">
        <w:rPr>
          <w:rFonts w:cs="Times New Roman"/>
          <w:lang w:val="fr-CA"/>
        </w:rPr>
        <w:t xml:space="preserve">de </w:t>
      </w:r>
      <w:r>
        <w:rPr>
          <w:rFonts w:cs="Times New Roman"/>
          <w:lang w:val="fr-CA"/>
        </w:rPr>
        <w:t>la date du rapport. Cette documentation sera conservée pendant une période de sept ans à compter de la date du rapport. T</w:t>
      </w:r>
      <w:r w:rsidRPr="003D785F">
        <w:rPr>
          <w:rFonts w:cs="Times New Roman"/>
          <w:lang w:val="fr-CA"/>
        </w:rPr>
        <w:t xml:space="preserve">out changement à nos documents d’audit après la date du rapport </w:t>
      </w:r>
      <w:r w:rsidR="00F91095">
        <w:rPr>
          <w:rFonts w:cs="Times New Roman"/>
          <w:lang w:val="fr-CA"/>
        </w:rPr>
        <w:t xml:space="preserve">et </w:t>
      </w:r>
      <w:r w:rsidRPr="003D785F">
        <w:rPr>
          <w:rFonts w:cs="Times New Roman"/>
          <w:lang w:val="fr-CA"/>
        </w:rPr>
        <w:t xml:space="preserve">la date d’achèvement de la documentation </w:t>
      </w:r>
      <w:r w:rsidR="00F91095">
        <w:rPr>
          <w:rFonts w:cs="Times New Roman"/>
          <w:lang w:val="fr-CA"/>
        </w:rPr>
        <w:t xml:space="preserve">sera apporté </w:t>
      </w:r>
      <w:r w:rsidR="00C71611">
        <w:rPr>
          <w:rFonts w:cs="Times New Roman"/>
          <w:lang w:val="fr-CA"/>
        </w:rPr>
        <w:t>selon</w:t>
      </w:r>
      <w:r w:rsidRPr="003D785F">
        <w:rPr>
          <w:rFonts w:cs="Times New Roman"/>
          <w:lang w:val="fr-CA"/>
        </w:rPr>
        <w:t xml:space="preserve"> les normes</w:t>
      </w:r>
      <w:r w:rsidR="00F91095">
        <w:rPr>
          <w:rFonts w:cs="Times New Roman"/>
          <w:lang w:val="fr-CA"/>
        </w:rPr>
        <w:t>.</w:t>
      </w:r>
    </w:p>
    <w:p w14:paraId="5CACF7E7" w14:textId="77777777" w:rsidR="00F91095" w:rsidRDefault="00F91095">
      <w:pPr>
        <w:tabs>
          <w:tab w:val="left" w:pos="360"/>
        </w:tabs>
        <w:rPr>
          <w:rFonts w:cs="Times New Roman"/>
          <w:lang w:val="fr-CA"/>
        </w:rPr>
      </w:pPr>
    </w:p>
    <w:p w14:paraId="5E667E36" w14:textId="77777777" w:rsidR="00F91095" w:rsidRDefault="00F91095">
      <w:pPr>
        <w:tabs>
          <w:tab w:val="left" w:pos="360"/>
        </w:tabs>
        <w:rPr>
          <w:rFonts w:cs="Times New Roman"/>
          <w:lang w:val="fr-CA"/>
        </w:rPr>
      </w:pPr>
    </w:p>
    <w:p w14:paraId="1D04CCBD" w14:textId="77777777" w:rsidR="00F91095" w:rsidRDefault="00F91095">
      <w:pPr>
        <w:tabs>
          <w:tab w:val="left" w:pos="360"/>
        </w:tabs>
        <w:rPr>
          <w:rFonts w:cs="Times New Roman"/>
          <w:lang w:val="fr-CA"/>
        </w:rPr>
      </w:pPr>
    </w:p>
    <w:p w14:paraId="5C2F3072" w14:textId="77777777" w:rsidR="00F91095" w:rsidRDefault="00F91095">
      <w:pPr>
        <w:tabs>
          <w:tab w:val="left" w:pos="360"/>
        </w:tabs>
        <w:rPr>
          <w:rFonts w:cs="Times New Roman"/>
          <w:lang w:val="fr-CA"/>
        </w:rPr>
      </w:pPr>
    </w:p>
    <w:p w14:paraId="196271B0" w14:textId="77777777" w:rsidR="00F91095" w:rsidRDefault="00F91095" w:rsidP="00016EA1">
      <w:pPr>
        <w:rPr>
          <w:lang w:val="fr-CA"/>
        </w:rPr>
      </w:pPr>
    </w:p>
    <w:p w14:paraId="45DF1249" w14:textId="77777777" w:rsidR="00F91095" w:rsidRDefault="00F91095" w:rsidP="00016EA1">
      <w:pPr>
        <w:rPr>
          <w:b/>
          <w:i/>
          <w:lang w:val="fr-CA"/>
        </w:rPr>
      </w:pPr>
      <w:r>
        <w:rPr>
          <w:lang w:val="fr-CA"/>
        </w:rPr>
        <w:t>____________________________________________</w:t>
      </w:r>
    </w:p>
    <w:p w14:paraId="19CD64D8" w14:textId="2DDE61DE" w:rsidR="00F91095" w:rsidRDefault="00F91095" w:rsidP="00016EA1">
      <w:pPr>
        <w:rPr>
          <w:b/>
          <w:i/>
          <w:lang w:val="fr-CA"/>
        </w:rPr>
      </w:pPr>
      <w:r>
        <w:rPr>
          <w:lang w:val="fr-CA"/>
        </w:rPr>
        <w:t xml:space="preserve">Nom de l’équipe d’audit de </w:t>
      </w:r>
      <w:r w:rsidR="003D785F">
        <w:rPr>
          <w:lang w:val="fr-CA"/>
        </w:rPr>
        <w:t xml:space="preserve">la </w:t>
      </w:r>
      <w:r>
        <w:rPr>
          <w:lang w:val="fr-CA"/>
        </w:rPr>
        <w:t xml:space="preserve">composante </w:t>
      </w:r>
    </w:p>
    <w:p w14:paraId="77A282A4" w14:textId="77777777" w:rsidR="00F91095" w:rsidRDefault="00F91095" w:rsidP="00016EA1">
      <w:pPr>
        <w:rPr>
          <w:b/>
          <w:i/>
          <w:lang w:val="fr-CA"/>
        </w:rPr>
      </w:pPr>
    </w:p>
    <w:p w14:paraId="307AB50E" w14:textId="77777777" w:rsidR="00F91095" w:rsidRDefault="00F91095" w:rsidP="00016EA1">
      <w:pPr>
        <w:rPr>
          <w:b/>
          <w:i/>
          <w:lang w:val="fr-CA"/>
        </w:rPr>
      </w:pPr>
    </w:p>
    <w:p w14:paraId="6E80AE14" w14:textId="77777777" w:rsidR="00F91095" w:rsidRDefault="00F91095" w:rsidP="00016EA1">
      <w:pPr>
        <w:rPr>
          <w:b/>
          <w:i/>
          <w:lang w:val="fr-CA"/>
        </w:rPr>
      </w:pPr>
      <w:r>
        <w:rPr>
          <w:lang w:val="fr-CA"/>
        </w:rPr>
        <w:t>_____________________________________________</w:t>
      </w:r>
    </w:p>
    <w:p w14:paraId="59A326DB" w14:textId="77777777" w:rsidR="00F91095" w:rsidRDefault="00F91095" w:rsidP="00016EA1">
      <w:pPr>
        <w:rPr>
          <w:b/>
          <w:i/>
          <w:lang w:val="fr-CA"/>
        </w:rPr>
      </w:pPr>
      <w:r>
        <w:rPr>
          <w:lang w:val="fr-CA"/>
        </w:rPr>
        <w:t>Responsable de mission</w:t>
      </w:r>
    </w:p>
    <w:p w14:paraId="6316877B" w14:textId="77777777" w:rsidR="00F91095" w:rsidRDefault="00F91095" w:rsidP="00016EA1">
      <w:pPr>
        <w:rPr>
          <w:b/>
          <w:i/>
          <w:lang w:val="fr-CA"/>
        </w:rPr>
      </w:pPr>
    </w:p>
    <w:p w14:paraId="72587769" w14:textId="77777777" w:rsidR="00F91095" w:rsidRDefault="00F91095" w:rsidP="00016EA1">
      <w:pPr>
        <w:rPr>
          <w:b/>
          <w:i/>
          <w:lang w:val="fr-CA"/>
        </w:rPr>
      </w:pPr>
    </w:p>
    <w:p w14:paraId="46E9EF68" w14:textId="77777777" w:rsidR="00F91095" w:rsidRDefault="00F91095" w:rsidP="00016EA1">
      <w:pPr>
        <w:rPr>
          <w:b/>
          <w:i/>
          <w:lang w:val="fr-CA"/>
        </w:rPr>
      </w:pPr>
      <w:r>
        <w:rPr>
          <w:lang w:val="fr-CA"/>
        </w:rPr>
        <w:t>_______________________________</w:t>
      </w:r>
    </w:p>
    <w:p w14:paraId="179230CA" w14:textId="77777777" w:rsidR="00F91095" w:rsidRPr="0056214B" w:rsidRDefault="00F91095" w:rsidP="00016EA1">
      <w:pPr>
        <w:rPr>
          <w:b/>
          <w:i/>
          <w:lang w:val="fr-CA"/>
        </w:rPr>
      </w:pPr>
      <w:r>
        <w:rPr>
          <w:lang w:val="fr-CA"/>
        </w:rPr>
        <w:t>Date</w:t>
      </w:r>
    </w:p>
    <w:p w14:paraId="72AF305B" w14:textId="77777777" w:rsidR="00F91095" w:rsidRPr="003D785F" w:rsidRDefault="00F91095" w:rsidP="00016EA1">
      <w:pPr>
        <w:rPr>
          <w:lang w:val="fr-CA"/>
        </w:rPr>
      </w:pPr>
    </w:p>
    <w:sectPr w:rsidR="00F91095" w:rsidRPr="003D785F" w:rsidSect="00A10C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7FFC7" w14:textId="77777777" w:rsidR="00996EC0" w:rsidRDefault="00996E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EE39A5" w14:textId="77777777" w:rsidR="00996EC0" w:rsidRDefault="00996E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1CFEF" w14:textId="77777777" w:rsidR="00996EC0" w:rsidRPr="00C47C81" w:rsidRDefault="00996EC0">
    <w:pPr>
      <w:pStyle w:val="Footer"/>
      <w:jc w:val="right"/>
      <w:rPr>
        <w:rFonts w:ascii="Arial" w:hAnsi="Arial" w:cs="Arial"/>
        <w:sz w:val="20"/>
        <w:szCs w:val="20"/>
      </w:rPr>
    </w:pPr>
    <w:r w:rsidRPr="00C47C81">
      <w:rPr>
        <w:rStyle w:val="PageNumber"/>
        <w:rFonts w:ascii="Arial" w:hAnsi="Arial" w:cs="Arial"/>
        <w:noProof/>
        <w:sz w:val="20"/>
        <w:szCs w:val="20"/>
      </w:rPr>
      <w:fldChar w:fldCharType="begin"/>
    </w:r>
    <w:r w:rsidRPr="00C47C81">
      <w:rPr>
        <w:rStyle w:val="PageNumber"/>
        <w:rFonts w:ascii="Arial" w:hAnsi="Arial" w:cs="Arial"/>
        <w:noProof/>
        <w:sz w:val="20"/>
        <w:szCs w:val="20"/>
      </w:rPr>
      <w:instrText xml:space="preserve"> PAGE </w:instrText>
    </w:r>
    <w:r w:rsidRPr="00C47C81">
      <w:rPr>
        <w:rStyle w:val="PageNumber"/>
        <w:rFonts w:ascii="Arial" w:hAnsi="Arial" w:cs="Arial"/>
        <w:noProof/>
        <w:sz w:val="20"/>
        <w:szCs w:val="20"/>
      </w:rPr>
      <w:fldChar w:fldCharType="separate"/>
    </w:r>
    <w:r w:rsidR="00F3582E">
      <w:rPr>
        <w:rStyle w:val="PageNumber"/>
        <w:rFonts w:ascii="Arial" w:hAnsi="Arial" w:cs="Arial"/>
        <w:noProof/>
        <w:sz w:val="20"/>
        <w:szCs w:val="20"/>
      </w:rPr>
      <w:t>2</w:t>
    </w:r>
    <w:r w:rsidRPr="00C47C81">
      <w:rPr>
        <w:rStyle w:val="PageNumber"/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AB660" w14:textId="60B9661D" w:rsidR="00996EC0" w:rsidRPr="00A10C08" w:rsidRDefault="00996EC0" w:rsidP="00495C4F">
    <w:pPr>
      <w:pStyle w:val="Footer"/>
      <w:rPr>
        <w:rFonts w:ascii="Arial" w:hAnsi="Arial" w:cs="Arial"/>
        <w:sz w:val="16"/>
        <w:szCs w:val="16"/>
        <w:lang w:val="fr-CA"/>
      </w:rPr>
    </w:pPr>
    <w:r w:rsidRPr="00A10C08">
      <w:rPr>
        <w:rFonts w:ascii="Arial" w:hAnsi="Arial" w:cs="Arial"/>
        <w:sz w:val="16"/>
        <w:szCs w:val="16"/>
        <w:lang w:val="fr-CA"/>
      </w:rPr>
      <w:t>j</w:t>
    </w:r>
    <w:r>
      <w:rPr>
        <w:rFonts w:ascii="Arial" w:hAnsi="Arial" w:cs="Arial"/>
        <w:sz w:val="16"/>
        <w:szCs w:val="16"/>
        <w:lang w:val="fr-CA"/>
      </w:rPr>
      <w:t>uin</w:t>
    </w:r>
    <w:r w:rsidRPr="00A10C08">
      <w:rPr>
        <w:rFonts w:ascii="Arial" w:hAnsi="Arial" w:cs="Arial"/>
        <w:sz w:val="16"/>
        <w:szCs w:val="16"/>
        <w:lang w:val="fr-CA"/>
      </w:rPr>
      <w:t>-2019</w:t>
    </w:r>
  </w:p>
  <w:p w14:paraId="5E337FBA" w14:textId="0BE97124" w:rsidR="00996EC0" w:rsidRPr="00A10C08" w:rsidRDefault="00B35290" w:rsidP="00495C4F">
    <w:pPr>
      <w:pStyle w:val="Footer"/>
      <w:rPr>
        <w:rFonts w:ascii="Arial" w:hAnsi="Arial" w:cs="Arial"/>
        <w:sz w:val="16"/>
        <w:szCs w:val="16"/>
        <w:lang w:val="fr-CA"/>
      </w:rPr>
    </w:pPr>
    <w:r>
      <w:rPr>
        <w:rFonts w:ascii="Arial" w:hAnsi="Arial" w:cs="Arial"/>
        <w:sz w:val="16"/>
        <w:szCs w:val="16"/>
        <w:lang w:val="fr-CA"/>
      </w:rPr>
      <w:t>Propriétaire du modèle : Services d’audit</w:t>
    </w:r>
  </w:p>
  <w:p w14:paraId="4349B0C9" w14:textId="77777777" w:rsidR="00996EC0" w:rsidRPr="00A10C08" w:rsidRDefault="00996EC0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DCBC8" w14:textId="77777777" w:rsidR="00996EC0" w:rsidRDefault="00996E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05CF66" w14:textId="77777777" w:rsidR="00996EC0" w:rsidRDefault="00996EC0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14:paraId="6016CCE5" w14:textId="77777777" w:rsidR="00996EC0" w:rsidRPr="00E211BD" w:rsidRDefault="00996EC0">
      <w:pPr>
        <w:pStyle w:val="FootnoteText"/>
        <w:rPr>
          <w:rFonts w:cs="Times New Roman"/>
          <w:szCs w:val="24"/>
          <w:lang w:val="fr-CA"/>
        </w:rPr>
      </w:pPr>
      <w:r>
        <w:rPr>
          <w:rStyle w:val="FootnoteReference"/>
          <w:szCs w:val="24"/>
        </w:rPr>
        <w:footnoteRef/>
      </w:r>
      <w:r>
        <w:rPr>
          <w:rFonts w:cs="Times New Roman"/>
          <w:szCs w:val="24"/>
          <w:lang w:val="fr-CA"/>
        </w:rPr>
        <w:t xml:space="preserve"> Cela peut être adapté comme il convient afin d’inclure tous les utilisateurs du rapport ou aux fins de référence à une annexe.</w:t>
      </w:r>
    </w:p>
  </w:footnote>
  <w:footnote w:id="2">
    <w:p w14:paraId="65BF514B" w14:textId="77777777" w:rsidR="00996EC0" w:rsidRPr="00A10C08" w:rsidRDefault="00996EC0">
      <w:pPr>
        <w:pStyle w:val="FootnoteText"/>
        <w:rPr>
          <w:rFonts w:cs="Times New Roman"/>
          <w:szCs w:val="24"/>
          <w:lang w:val="fr-CA"/>
        </w:rPr>
      </w:pPr>
      <w:r>
        <w:rPr>
          <w:rStyle w:val="FootnoteReference"/>
          <w:szCs w:val="24"/>
        </w:rPr>
        <w:footnoteRef/>
      </w:r>
      <w:r>
        <w:rPr>
          <w:rFonts w:cs="Times New Roman"/>
          <w:szCs w:val="24"/>
          <w:lang w:val="fr-CA"/>
        </w:rPr>
        <w:t xml:space="preserve"> Adapter comme il convient.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C30A3" w14:textId="7FF5AE36" w:rsidR="00996EC0" w:rsidRDefault="00996EC0" w:rsidP="00A10C08">
    <w:pPr>
      <w:pStyle w:val="Header"/>
      <w:jc w:val="right"/>
    </w:pPr>
  </w:p>
  <w:tbl>
    <w:tblPr>
      <w:tblStyle w:val="TableGrid"/>
      <w:tblpPr w:vertAnchor="page" w:horzAnchor="margin" w:tblpY="1182"/>
      <w:tblOverlap w:val="never"/>
      <w:tblW w:w="5000" w:type="pct"/>
      <w:tblBorders>
        <w:top w:val="single" w:sz="6" w:space="0" w:color="1F497D" w:themeColor="text2"/>
        <w:left w:val="single" w:sz="6" w:space="0" w:color="1F497D" w:themeColor="text2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27" w:type="dxa"/>
        <w:right w:w="115" w:type="dxa"/>
      </w:tblCellMar>
      <w:tblLook w:val="04A0" w:firstRow="1" w:lastRow="0" w:firstColumn="1" w:lastColumn="0" w:noHBand="0" w:noVBand="1"/>
    </w:tblPr>
    <w:tblGrid>
      <w:gridCol w:w="8298"/>
    </w:tblGrid>
    <w:tr w:rsidR="00996EC0" w:rsidRPr="001C3517" w14:paraId="1B53F0A0" w14:textId="77777777" w:rsidTr="00C270AA">
      <w:tc>
        <w:tcPr>
          <w:tcW w:w="5000" w:type="pct"/>
        </w:tcPr>
        <w:p w14:paraId="4C52B0C2" w14:textId="77777777" w:rsidR="00996EC0" w:rsidRPr="001C3517" w:rsidRDefault="00996EC0" w:rsidP="00A25F17"/>
      </w:tc>
    </w:tr>
  </w:tbl>
  <w:p w14:paraId="530D29FB" w14:textId="77777777" w:rsidR="00996EC0" w:rsidRPr="008B2166" w:rsidRDefault="00996EC0" w:rsidP="00BA3C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0C629" w14:textId="77777777" w:rsidR="00996EC0" w:rsidRDefault="00F3582E" w:rsidP="00495C4F">
    <w:pPr>
      <w:pStyle w:val="Header"/>
      <w:jc w:val="right"/>
    </w:pPr>
    <w:sdt>
      <w:sdtPr>
        <w:rPr>
          <w:rFonts w:ascii="Arial" w:hAnsi="Arial" w:cs="Arial"/>
          <w:b/>
          <w:sz w:val="22"/>
        </w:rPr>
        <w:alias w:val="Étiquette de sécurité"/>
        <w:tag w:val="OAG-BVG-Classification"/>
        <w:id w:val="1173146756"/>
        <w:placeholder>
          <w:docPart w:val="D070F4BD5A9946089AFE12C0DAF69409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  <w:lang w:val="fr-CA"/>
        </w:rPr>
      </w:sdtEndPr>
      <w:sdtContent>
        <w:r w:rsidR="00996EC0">
          <w:rPr>
            <w:rFonts w:ascii="Arial" w:hAnsi="Arial" w:cs="Arial"/>
            <w:b/>
            <w:sz w:val="22"/>
          </w:rPr>
          <w:t>PROTÉGÉ A (lorsque rempli)</w:t>
        </w:r>
      </w:sdtContent>
    </w:sdt>
  </w:p>
  <w:p w14:paraId="43646E65" w14:textId="77777777" w:rsidR="00996EC0" w:rsidRDefault="00996EC0" w:rsidP="00A10C0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6B77"/>
    <w:multiLevelType w:val="hybridMultilevel"/>
    <w:tmpl w:val="8ABA6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4A534">
      <w:start w:val="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64AE"/>
    <w:multiLevelType w:val="hybridMultilevel"/>
    <w:tmpl w:val="48B4A074"/>
    <w:lvl w:ilvl="0" w:tplc="FCF631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D35"/>
    <w:multiLevelType w:val="hybridMultilevel"/>
    <w:tmpl w:val="04129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502B"/>
    <w:multiLevelType w:val="hybridMultilevel"/>
    <w:tmpl w:val="87C2B5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AB7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720F1"/>
    <w:multiLevelType w:val="hybridMultilevel"/>
    <w:tmpl w:val="CD302AF0"/>
    <w:lvl w:ilvl="0" w:tplc="B1B4B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F4670"/>
    <w:multiLevelType w:val="hybridMultilevel"/>
    <w:tmpl w:val="08AAE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1D245C"/>
    <w:multiLevelType w:val="multilevel"/>
    <w:tmpl w:val="6B46F6B8"/>
    <w:numStyleLink w:val="Style1"/>
  </w:abstractNum>
  <w:abstractNum w:abstractNumId="7" w15:restartNumberingAfterBreak="0">
    <w:nsid w:val="0E4343A4"/>
    <w:multiLevelType w:val="hybridMultilevel"/>
    <w:tmpl w:val="F78E83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106926"/>
    <w:multiLevelType w:val="hybridMultilevel"/>
    <w:tmpl w:val="D85A7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D6AAF"/>
    <w:multiLevelType w:val="hybridMultilevel"/>
    <w:tmpl w:val="FA6A6A9C"/>
    <w:lvl w:ilvl="0" w:tplc="FEACB45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C27C85"/>
    <w:multiLevelType w:val="hybridMultilevel"/>
    <w:tmpl w:val="1272E6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C7468"/>
    <w:multiLevelType w:val="hybridMultilevel"/>
    <w:tmpl w:val="38FEE386"/>
    <w:lvl w:ilvl="0" w:tplc="A596E0E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19A071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B17388"/>
    <w:multiLevelType w:val="hybridMultilevel"/>
    <w:tmpl w:val="5122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159A0"/>
    <w:multiLevelType w:val="hybridMultilevel"/>
    <w:tmpl w:val="8CA4DE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730D26"/>
    <w:multiLevelType w:val="hybridMultilevel"/>
    <w:tmpl w:val="57C6B1E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0E76884"/>
    <w:multiLevelType w:val="hybridMultilevel"/>
    <w:tmpl w:val="BFBC0A4C"/>
    <w:lvl w:ilvl="0" w:tplc="61463788">
      <w:start w:val="1"/>
      <w:numFmt w:val="bullet"/>
      <w:lvlText w:val=""/>
      <w:lvlJc w:val="left"/>
      <w:pPr>
        <w:tabs>
          <w:tab w:val="num" w:pos="18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05486"/>
    <w:multiLevelType w:val="multilevel"/>
    <w:tmpl w:val="F962C966"/>
    <w:numStyleLink w:val="PwCListBullets1"/>
  </w:abstractNum>
  <w:abstractNum w:abstractNumId="17" w15:restartNumberingAfterBreak="0">
    <w:nsid w:val="292F384B"/>
    <w:multiLevelType w:val="hybridMultilevel"/>
    <w:tmpl w:val="4724A634"/>
    <w:lvl w:ilvl="0" w:tplc="B2AC128E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205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2E675F2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AFC49D9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9846B88"/>
    <w:multiLevelType w:val="singleLevel"/>
    <w:tmpl w:val="37169F10"/>
    <w:lvl w:ilvl="0">
      <w:start w:val="1"/>
      <w:numFmt w:val="bullet"/>
      <w:pStyle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  <w:sz w:val="16"/>
      </w:rPr>
    </w:lvl>
  </w:abstractNum>
  <w:abstractNum w:abstractNumId="19" w15:restartNumberingAfterBreak="0">
    <w:nsid w:val="2C487A8A"/>
    <w:multiLevelType w:val="hybridMultilevel"/>
    <w:tmpl w:val="9244A194"/>
    <w:lvl w:ilvl="0" w:tplc="19A071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 w15:restartNumberingAfterBreak="0">
    <w:nsid w:val="313B6007"/>
    <w:multiLevelType w:val="hybridMultilevel"/>
    <w:tmpl w:val="6C00AC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F3C34"/>
    <w:multiLevelType w:val="hybridMultilevel"/>
    <w:tmpl w:val="B41E4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94279"/>
    <w:multiLevelType w:val="hybridMultilevel"/>
    <w:tmpl w:val="B274A594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 w15:restartNumberingAfterBreak="0">
    <w:nsid w:val="37B37CF8"/>
    <w:multiLevelType w:val="hybridMultilevel"/>
    <w:tmpl w:val="FDE0096C"/>
    <w:lvl w:ilvl="0" w:tplc="800EF96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03D26C6"/>
    <w:multiLevelType w:val="multilevel"/>
    <w:tmpl w:val="6B46F6B8"/>
    <w:styleLink w:val="Style1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o"/>
      <w:lvlJc w:val="left"/>
      <w:pPr>
        <w:tabs>
          <w:tab w:val="num" w:pos="864"/>
        </w:tabs>
        <w:ind w:left="864" w:hanging="288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bullet"/>
      <w:lvlText w:val=""/>
      <w:lvlJc w:val="left"/>
      <w:pPr>
        <w:tabs>
          <w:tab w:val="num" w:pos="1152"/>
        </w:tabs>
        <w:ind w:left="1152" w:hanging="288"/>
      </w:pPr>
      <w:rPr>
        <w:rFonts w:ascii="Symbol" w:hAnsi="Symbol" w:hint="default"/>
        <w:b w:val="0"/>
        <w:i w:val="0"/>
        <w:color w:val="auto"/>
        <w:sz w:val="20"/>
      </w:rPr>
    </w:lvl>
    <w:lvl w:ilvl="4">
      <w:start w:val="1"/>
      <w:numFmt w:val="bullet"/>
      <w:lvlText w:val="~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163478C"/>
    <w:multiLevelType w:val="hybridMultilevel"/>
    <w:tmpl w:val="F364D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DB1F60"/>
    <w:multiLevelType w:val="hybridMultilevel"/>
    <w:tmpl w:val="891460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3FA845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3247ED7"/>
    <w:multiLevelType w:val="hybridMultilevel"/>
    <w:tmpl w:val="893E881C"/>
    <w:lvl w:ilvl="0" w:tplc="D688D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BA31A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6F4AA5"/>
    <w:multiLevelType w:val="hybridMultilevel"/>
    <w:tmpl w:val="A28C6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164E8"/>
    <w:multiLevelType w:val="hybridMultilevel"/>
    <w:tmpl w:val="E5882F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F7FAC"/>
    <w:multiLevelType w:val="hybridMultilevel"/>
    <w:tmpl w:val="9112C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712365B"/>
    <w:multiLevelType w:val="hybridMultilevel"/>
    <w:tmpl w:val="DF7089AA"/>
    <w:lvl w:ilvl="0" w:tplc="6146378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8C85556"/>
    <w:multiLevelType w:val="hybridMultilevel"/>
    <w:tmpl w:val="777EA9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0E53F6"/>
    <w:multiLevelType w:val="hybridMultilevel"/>
    <w:tmpl w:val="954E5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C10F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57855796"/>
    <w:multiLevelType w:val="hybridMultilevel"/>
    <w:tmpl w:val="15AA77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6" w15:restartNumberingAfterBreak="0">
    <w:nsid w:val="57F059AF"/>
    <w:multiLevelType w:val="hybridMultilevel"/>
    <w:tmpl w:val="6D4A3FFE"/>
    <w:lvl w:ilvl="0" w:tplc="3A703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6831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1469F5"/>
    <w:multiLevelType w:val="hybridMultilevel"/>
    <w:tmpl w:val="55C4C3D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5E595245"/>
    <w:multiLevelType w:val="hybridMultilevel"/>
    <w:tmpl w:val="6FEEA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F7D1A5D"/>
    <w:multiLevelType w:val="hybridMultilevel"/>
    <w:tmpl w:val="4F12BAAC"/>
    <w:lvl w:ilvl="0" w:tplc="0E2055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02C3E78"/>
    <w:multiLevelType w:val="hybridMultilevel"/>
    <w:tmpl w:val="F4DAE98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3365B22"/>
    <w:multiLevelType w:val="hybridMultilevel"/>
    <w:tmpl w:val="C86C7BA6"/>
    <w:lvl w:ilvl="0" w:tplc="05E0C568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3377FEA"/>
    <w:multiLevelType w:val="hybridMultilevel"/>
    <w:tmpl w:val="F8824272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36B5862"/>
    <w:multiLevelType w:val="hybridMultilevel"/>
    <w:tmpl w:val="2B6420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62B0FE">
      <w:start w:val="8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34A639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6603060"/>
    <w:multiLevelType w:val="hybridMultilevel"/>
    <w:tmpl w:val="C4D6C5AE"/>
    <w:lvl w:ilvl="0" w:tplc="F7CAB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D538F"/>
    <w:multiLevelType w:val="hybridMultilevel"/>
    <w:tmpl w:val="82D8390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868242E"/>
    <w:multiLevelType w:val="hybridMultilevel"/>
    <w:tmpl w:val="F1841FEC"/>
    <w:lvl w:ilvl="0" w:tplc="CB1EB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9971E42"/>
    <w:multiLevelType w:val="hybridMultilevel"/>
    <w:tmpl w:val="200821A8"/>
    <w:lvl w:ilvl="0" w:tplc="3A703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CA23F2E"/>
    <w:multiLevelType w:val="hybridMultilevel"/>
    <w:tmpl w:val="4F9ECC7C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E205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2591CA9"/>
    <w:multiLevelType w:val="multilevel"/>
    <w:tmpl w:val="F962C966"/>
    <w:styleLink w:val="PwCListBullets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pStyle w:val="ListBullet4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50" w15:restartNumberingAfterBreak="0">
    <w:nsid w:val="747E5325"/>
    <w:multiLevelType w:val="hybridMultilevel"/>
    <w:tmpl w:val="9F702B56"/>
    <w:lvl w:ilvl="0" w:tplc="6146378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463788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0D4062"/>
    <w:multiLevelType w:val="hybridMultilevel"/>
    <w:tmpl w:val="6A76CD5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85F28A6"/>
    <w:multiLevelType w:val="hybridMultilevel"/>
    <w:tmpl w:val="2E5E47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A8E5BE0"/>
    <w:multiLevelType w:val="hybridMultilevel"/>
    <w:tmpl w:val="C7C2F6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6049ED"/>
    <w:multiLevelType w:val="hybridMultilevel"/>
    <w:tmpl w:val="9F1EED46"/>
    <w:lvl w:ilvl="0" w:tplc="B1B4B7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38"/>
  </w:num>
  <w:num w:numId="4">
    <w:abstractNumId w:val="12"/>
  </w:num>
  <w:num w:numId="5">
    <w:abstractNumId w:val="1"/>
  </w:num>
  <w:num w:numId="6">
    <w:abstractNumId w:val="50"/>
  </w:num>
  <w:num w:numId="7">
    <w:abstractNumId w:val="4"/>
  </w:num>
  <w:num w:numId="8">
    <w:abstractNumId w:val="54"/>
  </w:num>
  <w:num w:numId="9">
    <w:abstractNumId w:val="45"/>
  </w:num>
  <w:num w:numId="10">
    <w:abstractNumId w:val="48"/>
  </w:num>
  <w:num w:numId="11">
    <w:abstractNumId w:val="43"/>
  </w:num>
  <w:num w:numId="12">
    <w:abstractNumId w:val="17"/>
  </w:num>
  <w:num w:numId="13">
    <w:abstractNumId w:val="22"/>
  </w:num>
  <w:num w:numId="14">
    <w:abstractNumId w:val="19"/>
  </w:num>
  <w:num w:numId="15">
    <w:abstractNumId w:val="11"/>
  </w:num>
  <w:num w:numId="16">
    <w:abstractNumId w:val="36"/>
  </w:num>
  <w:num w:numId="17">
    <w:abstractNumId w:val="41"/>
  </w:num>
  <w:num w:numId="18">
    <w:abstractNumId w:val="47"/>
  </w:num>
  <w:num w:numId="19">
    <w:abstractNumId w:val="23"/>
  </w:num>
  <w:num w:numId="20">
    <w:abstractNumId w:val="39"/>
  </w:num>
  <w:num w:numId="21">
    <w:abstractNumId w:val="27"/>
  </w:num>
  <w:num w:numId="22">
    <w:abstractNumId w:val="53"/>
  </w:num>
  <w:num w:numId="23">
    <w:abstractNumId w:val="40"/>
  </w:num>
  <w:num w:numId="24">
    <w:abstractNumId w:val="34"/>
  </w:num>
  <w:num w:numId="25">
    <w:abstractNumId w:val="8"/>
  </w:num>
  <w:num w:numId="26">
    <w:abstractNumId w:val="15"/>
  </w:num>
  <w:num w:numId="27">
    <w:abstractNumId w:val="25"/>
  </w:num>
  <w:num w:numId="28">
    <w:abstractNumId w:val="31"/>
  </w:num>
  <w:num w:numId="29">
    <w:abstractNumId w:val="33"/>
  </w:num>
  <w:num w:numId="30">
    <w:abstractNumId w:val="32"/>
  </w:num>
  <w:num w:numId="31">
    <w:abstractNumId w:val="46"/>
  </w:num>
  <w:num w:numId="32">
    <w:abstractNumId w:val="30"/>
  </w:num>
  <w:num w:numId="33">
    <w:abstractNumId w:val="5"/>
  </w:num>
  <w:num w:numId="34">
    <w:abstractNumId w:val="9"/>
  </w:num>
  <w:num w:numId="35">
    <w:abstractNumId w:val="18"/>
  </w:num>
  <w:num w:numId="36">
    <w:abstractNumId w:val="35"/>
  </w:num>
  <w:num w:numId="37">
    <w:abstractNumId w:val="28"/>
  </w:num>
  <w:num w:numId="38">
    <w:abstractNumId w:val="10"/>
  </w:num>
  <w:num w:numId="39">
    <w:abstractNumId w:val="13"/>
  </w:num>
  <w:num w:numId="40">
    <w:abstractNumId w:val="7"/>
  </w:num>
  <w:num w:numId="41">
    <w:abstractNumId w:val="37"/>
  </w:num>
  <w:num w:numId="42">
    <w:abstractNumId w:val="14"/>
  </w:num>
  <w:num w:numId="43">
    <w:abstractNumId w:val="52"/>
  </w:num>
  <w:num w:numId="44">
    <w:abstractNumId w:val="21"/>
  </w:num>
  <w:num w:numId="45">
    <w:abstractNumId w:val="29"/>
  </w:num>
  <w:num w:numId="46">
    <w:abstractNumId w:val="24"/>
  </w:num>
  <w:num w:numId="47">
    <w:abstractNumId w:val="6"/>
  </w:num>
  <w:num w:numId="48">
    <w:abstractNumId w:val="49"/>
  </w:num>
  <w:num w:numId="49">
    <w:abstractNumId w:val="16"/>
  </w:num>
  <w:num w:numId="50">
    <w:abstractNumId w:val="42"/>
  </w:num>
  <w:num w:numId="51">
    <w:abstractNumId w:val="2"/>
  </w:num>
  <w:num w:numId="52">
    <w:abstractNumId w:val="3"/>
  </w:num>
  <w:num w:numId="53">
    <w:abstractNumId w:val="51"/>
  </w:num>
  <w:num w:numId="54">
    <w:abstractNumId w:val="44"/>
  </w:num>
  <w:num w:numId="55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5E"/>
    <w:rsid w:val="00000AC0"/>
    <w:rsid w:val="00000B3E"/>
    <w:rsid w:val="0000111D"/>
    <w:rsid w:val="000012BA"/>
    <w:rsid w:val="00004BDB"/>
    <w:rsid w:val="00016B2A"/>
    <w:rsid w:val="00016EA1"/>
    <w:rsid w:val="00023FF3"/>
    <w:rsid w:val="00027362"/>
    <w:rsid w:val="00031A62"/>
    <w:rsid w:val="00032591"/>
    <w:rsid w:val="00033514"/>
    <w:rsid w:val="00040611"/>
    <w:rsid w:val="0004212C"/>
    <w:rsid w:val="00047C42"/>
    <w:rsid w:val="00056969"/>
    <w:rsid w:val="00060424"/>
    <w:rsid w:val="000637D1"/>
    <w:rsid w:val="000677D5"/>
    <w:rsid w:val="00070321"/>
    <w:rsid w:val="00073A20"/>
    <w:rsid w:val="00075A35"/>
    <w:rsid w:val="00082B0B"/>
    <w:rsid w:val="00085F57"/>
    <w:rsid w:val="00086736"/>
    <w:rsid w:val="00091285"/>
    <w:rsid w:val="000945DE"/>
    <w:rsid w:val="0009596F"/>
    <w:rsid w:val="000A3A12"/>
    <w:rsid w:val="000A55E4"/>
    <w:rsid w:val="000B2033"/>
    <w:rsid w:val="000C633D"/>
    <w:rsid w:val="000D4DCF"/>
    <w:rsid w:val="000E0B82"/>
    <w:rsid w:val="000E1F16"/>
    <w:rsid w:val="000E283C"/>
    <w:rsid w:val="000E37C0"/>
    <w:rsid w:val="000F4D1D"/>
    <w:rsid w:val="000F717E"/>
    <w:rsid w:val="00100447"/>
    <w:rsid w:val="00100B02"/>
    <w:rsid w:val="00105AAE"/>
    <w:rsid w:val="00117DF7"/>
    <w:rsid w:val="00123F57"/>
    <w:rsid w:val="00125953"/>
    <w:rsid w:val="001301A2"/>
    <w:rsid w:val="00141DCA"/>
    <w:rsid w:val="00143607"/>
    <w:rsid w:val="00145C41"/>
    <w:rsid w:val="00153172"/>
    <w:rsid w:val="00153797"/>
    <w:rsid w:val="00157ACC"/>
    <w:rsid w:val="00164D28"/>
    <w:rsid w:val="00181B95"/>
    <w:rsid w:val="00187095"/>
    <w:rsid w:val="0019021B"/>
    <w:rsid w:val="001913F3"/>
    <w:rsid w:val="001A4386"/>
    <w:rsid w:val="001A46A7"/>
    <w:rsid w:val="001B529B"/>
    <w:rsid w:val="001C182A"/>
    <w:rsid w:val="001D3E5E"/>
    <w:rsid w:val="001F03F0"/>
    <w:rsid w:val="001F0906"/>
    <w:rsid w:val="001F13EB"/>
    <w:rsid w:val="0020263E"/>
    <w:rsid w:val="0021151D"/>
    <w:rsid w:val="00213D39"/>
    <w:rsid w:val="00213FE5"/>
    <w:rsid w:val="00215303"/>
    <w:rsid w:val="0021700A"/>
    <w:rsid w:val="00221B0F"/>
    <w:rsid w:val="00223D67"/>
    <w:rsid w:val="00224274"/>
    <w:rsid w:val="00227ACE"/>
    <w:rsid w:val="00237E1B"/>
    <w:rsid w:val="00240A3F"/>
    <w:rsid w:val="00245B84"/>
    <w:rsid w:val="002542BA"/>
    <w:rsid w:val="002551B2"/>
    <w:rsid w:val="002623CB"/>
    <w:rsid w:val="002643BA"/>
    <w:rsid w:val="00265D3F"/>
    <w:rsid w:val="0027130E"/>
    <w:rsid w:val="002750CF"/>
    <w:rsid w:val="00276D8A"/>
    <w:rsid w:val="002956A8"/>
    <w:rsid w:val="00297497"/>
    <w:rsid w:val="00297781"/>
    <w:rsid w:val="002A14D0"/>
    <w:rsid w:val="002A3E0F"/>
    <w:rsid w:val="002A5382"/>
    <w:rsid w:val="002B50D4"/>
    <w:rsid w:val="002B7A91"/>
    <w:rsid w:val="002C0E9D"/>
    <w:rsid w:val="002C404F"/>
    <w:rsid w:val="002C463E"/>
    <w:rsid w:val="002C72B4"/>
    <w:rsid w:val="002C7A69"/>
    <w:rsid w:val="002D28E0"/>
    <w:rsid w:val="002D6D6F"/>
    <w:rsid w:val="002D74C8"/>
    <w:rsid w:val="002E552A"/>
    <w:rsid w:val="002E5C0C"/>
    <w:rsid w:val="002E5CD0"/>
    <w:rsid w:val="002F0195"/>
    <w:rsid w:val="002F128C"/>
    <w:rsid w:val="00304853"/>
    <w:rsid w:val="00312761"/>
    <w:rsid w:val="00312E79"/>
    <w:rsid w:val="003158C5"/>
    <w:rsid w:val="00320D0C"/>
    <w:rsid w:val="0032788F"/>
    <w:rsid w:val="00347AA6"/>
    <w:rsid w:val="00351E54"/>
    <w:rsid w:val="0035446F"/>
    <w:rsid w:val="00356B42"/>
    <w:rsid w:val="00374318"/>
    <w:rsid w:val="0038358E"/>
    <w:rsid w:val="00384EF2"/>
    <w:rsid w:val="00385005"/>
    <w:rsid w:val="0039325E"/>
    <w:rsid w:val="003A435C"/>
    <w:rsid w:val="003C0B7F"/>
    <w:rsid w:val="003C1E0A"/>
    <w:rsid w:val="003C2415"/>
    <w:rsid w:val="003C41A6"/>
    <w:rsid w:val="003D228A"/>
    <w:rsid w:val="003D3A74"/>
    <w:rsid w:val="003D4335"/>
    <w:rsid w:val="003D785F"/>
    <w:rsid w:val="003E4452"/>
    <w:rsid w:val="003F3CEE"/>
    <w:rsid w:val="003F74F7"/>
    <w:rsid w:val="00402A15"/>
    <w:rsid w:val="00411383"/>
    <w:rsid w:val="00431D9B"/>
    <w:rsid w:val="00434374"/>
    <w:rsid w:val="00453FA0"/>
    <w:rsid w:val="0045504C"/>
    <w:rsid w:val="00462C01"/>
    <w:rsid w:val="00471ACA"/>
    <w:rsid w:val="00473F7E"/>
    <w:rsid w:val="00477EB4"/>
    <w:rsid w:val="00486035"/>
    <w:rsid w:val="00493193"/>
    <w:rsid w:val="00494392"/>
    <w:rsid w:val="00495C4F"/>
    <w:rsid w:val="004A0A3A"/>
    <w:rsid w:val="004A340A"/>
    <w:rsid w:val="004B1346"/>
    <w:rsid w:val="004B4D57"/>
    <w:rsid w:val="004C55B0"/>
    <w:rsid w:val="004C7CF8"/>
    <w:rsid w:val="004D2E0D"/>
    <w:rsid w:val="004F20E5"/>
    <w:rsid w:val="004F6A32"/>
    <w:rsid w:val="004F77C0"/>
    <w:rsid w:val="00504277"/>
    <w:rsid w:val="00504D9F"/>
    <w:rsid w:val="0051178B"/>
    <w:rsid w:val="005146A6"/>
    <w:rsid w:val="00521884"/>
    <w:rsid w:val="00521AEF"/>
    <w:rsid w:val="00524274"/>
    <w:rsid w:val="00525A99"/>
    <w:rsid w:val="0054061C"/>
    <w:rsid w:val="0054146D"/>
    <w:rsid w:val="00542D1A"/>
    <w:rsid w:val="00543C15"/>
    <w:rsid w:val="00543E83"/>
    <w:rsid w:val="0055017F"/>
    <w:rsid w:val="005519C4"/>
    <w:rsid w:val="005525BB"/>
    <w:rsid w:val="00556ED0"/>
    <w:rsid w:val="00557291"/>
    <w:rsid w:val="00560A84"/>
    <w:rsid w:val="00563C63"/>
    <w:rsid w:val="005677A1"/>
    <w:rsid w:val="00581C08"/>
    <w:rsid w:val="00584D4C"/>
    <w:rsid w:val="00594F51"/>
    <w:rsid w:val="0059609C"/>
    <w:rsid w:val="005A3FAB"/>
    <w:rsid w:val="005A4270"/>
    <w:rsid w:val="005A5230"/>
    <w:rsid w:val="005A7678"/>
    <w:rsid w:val="005B63BF"/>
    <w:rsid w:val="005C00A7"/>
    <w:rsid w:val="005C1711"/>
    <w:rsid w:val="005C37D8"/>
    <w:rsid w:val="005C5595"/>
    <w:rsid w:val="005F1DDF"/>
    <w:rsid w:val="005F4D88"/>
    <w:rsid w:val="006025C9"/>
    <w:rsid w:val="00607B04"/>
    <w:rsid w:val="00611D71"/>
    <w:rsid w:val="00614957"/>
    <w:rsid w:val="00617D6D"/>
    <w:rsid w:val="00625C69"/>
    <w:rsid w:val="006271D9"/>
    <w:rsid w:val="00627F36"/>
    <w:rsid w:val="0063542D"/>
    <w:rsid w:val="00636097"/>
    <w:rsid w:val="0063701E"/>
    <w:rsid w:val="006375B0"/>
    <w:rsid w:val="00666285"/>
    <w:rsid w:val="006718FD"/>
    <w:rsid w:val="00676ADC"/>
    <w:rsid w:val="00686D83"/>
    <w:rsid w:val="006907D3"/>
    <w:rsid w:val="006A11AA"/>
    <w:rsid w:val="006A41F7"/>
    <w:rsid w:val="006B79C7"/>
    <w:rsid w:val="006C5541"/>
    <w:rsid w:val="006C7A4B"/>
    <w:rsid w:val="006D3DF0"/>
    <w:rsid w:val="006E57DF"/>
    <w:rsid w:val="006E62B6"/>
    <w:rsid w:val="006F0F8C"/>
    <w:rsid w:val="006F1F5C"/>
    <w:rsid w:val="006F2BAB"/>
    <w:rsid w:val="006F3710"/>
    <w:rsid w:val="006F3DAB"/>
    <w:rsid w:val="006F51ED"/>
    <w:rsid w:val="007032CB"/>
    <w:rsid w:val="00703FD9"/>
    <w:rsid w:val="00710E60"/>
    <w:rsid w:val="0071637A"/>
    <w:rsid w:val="007205FA"/>
    <w:rsid w:val="00735235"/>
    <w:rsid w:val="0073544D"/>
    <w:rsid w:val="00735870"/>
    <w:rsid w:val="0076202E"/>
    <w:rsid w:val="00782553"/>
    <w:rsid w:val="00786419"/>
    <w:rsid w:val="007867A6"/>
    <w:rsid w:val="00790399"/>
    <w:rsid w:val="00791D9B"/>
    <w:rsid w:val="00792CE1"/>
    <w:rsid w:val="0079669B"/>
    <w:rsid w:val="00796AB2"/>
    <w:rsid w:val="007A49A6"/>
    <w:rsid w:val="007A6A5B"/>
    <w:rsid w:val="007B09EC"/>
    <w:rsid w:val="007B12B5"/>
    <w:rsid w:val="007C4096"/>
    <w:rsid w:val="007C4273"/>
    <w:rsid w:val="007C4847"/>
    <w:rsid w:val="007C6DB0"/>
    <w:rsid w:val="007D269A"/>
    <w:rsid w:val="007D2DAB"/>
    <w:rsid w:val="007E2992"/>
    <w:rsid w:val="007E3823"/>
    <w:rsid w:val="007E7055"/>
    <w:rsid w:val="007F0AE9"/>
    <w:rsid w:val="00800238"/>
    <w:rsid w:val="00801448"/>
    <w:rsid w:val="00801F74"/>
    <w:rsid w:val="00802258"/>
    <w:rsid w:val="00805261"/>
    <w:rsid w:val="008111B5"/>
    <w:rsid w:val="00812649"/>
    <w:rsid w:val="0082067C"/>
    <w:rsid w:val="00821381"/>
    <w:rsid w:val="00827DAC"/>
    <w:rsid w:val="00830F7C"/>
    <w:rsid w:val="00842241"/>
    <w:rsid w:val="00844DE6"/>
    <w:rsid w:val="008503C4"/>
    <w:rsid w:val="0085445B"/>
    <w:rsid w:val="00854D7D"/>
    <w:rsid w:val="0085593A"/>
    <w:rsid w:val="00864768"/>
    <w:rsid w:val="008668CB"/>
    <w:rsid w:val="00866FC2"/>
    <w:rsid w:val="00871E06"/>
    <w:rsid w:val="008732D7"/>
    <w:rsid w:val="00873E0D"/>
    <w:rsid w:val="00874BA0"/>
    <w:rsid w:val="00884BFB"/>
    <w:rsid w:val="0088696D"/>
    <w:rsid w:val="008A2FC5"/>
    <w:rsid w:val="008B2166"/>
    <w:rsid w:val="008B2763"/>
    <w:rsid w:val="008B6D54"/>
    <w:rsid w:val="008C3E41"/>
    <w:rsid w:val="008D6735"/>
    <w:rsid w:val="008E1EE0"/>
    <w:rsid w:val="008E1FBF"/>
    <w:rsid w:val="008E338E"/>
    <w:rsid w:val="008E3D48"/>
    <w:rsid w:val="008E4DBF"/>
    <w:rsid w:val="008E51B9"/>
    <w:rsid w:val="00900C7F"/>
    <w:rsid w:val="00901401"/>
    <w:rsid w:val="009040D9"/>
    <w:rsid w:val="00910FBD"/>
    <w:rsid w:val="00911D4F"/>
    <w:rsid w:val="00913CA3"/>
    <w:rsid w:val="009164AC"/>
    <w:rsid w:val="00922751"/>
    <w:rsid w:val="009256FA"/>
    <w:rsid w:val="00926DDC"/>
    <w:rsid w:val="009367AA"/>
    <w:rsid w:val="0093731C"/>
    <w:rsid w:val="00940488"/>
    <w:rsid w:val="00941FD6"/>
    <w:rsid w:val="00945D2D"/>
    <w:rsid w:val="00951DD2"/>
    <w:rsid w:val="009532DF"/>
    <w:rsid w:val="00955240"/>
    <w:rsid w:val="0095534F"/>
    <w:rsid w:val="009560DD"/>
    <w:rsid w:val="0096088E"/>
    <w:rsid w:val="0097355D"/>
    <w:rsid w:val="00992501"/>
    <w:rsid w:val="00992894"/>
    <w:rsid w:val="00996EC0"/>
    <w:rsid w:val="00996F2C"/>
    <w:rsid w:val="009A28E5"/>
    <w:rsid w:val="009A4E2E"/>
    <w:rsid w:val="009B02C2"/>
    <w:rsid w:val="009B1D6A"/>
    <w:rsid w:val="009B63E4"/>
    <w:rsid w:val="009B7828"/>
    <w:rsid w:val="009C06DB"/>
    <w:rsid w:val="009C1EA4"/>
    <w:rsid w:val="009D1E88"/>
    <w:rsid w:val="009D3528"/>
    <w:rsid w:val="009D3D80"/>
    <w:rsid w:val="009D4944"/>
    <w:rsid w:val="009E1D6C"/>
    <w:rsid w:val="009E32AE"/>
    <w:rsid w:val="009E4EAB"/>
    <w:rsid w:val="009E77C0"/>
    <w:rsid w:val="009F4620"/>
    <w:rsid w:val="00A00E37"/>
    <w:rsid w:val="00A014DE"/>
    <w:rsid w:val="00A031D4"/>
    <w:rsid w:val="00A10C08"/>
    <w:rsid w:val="00A10E4A"/>
    <w:rsid w:val="00A15CA6"/>
    <w:rsid w:val="00A1647F"/>
    <w:rsid w:val="00A241AD"/>
    <w:rsid w:val="00A25F17"/>
    <w:rsid w:val="00A3001E"/>
    <w:rsid w:val="00A3378A"/>
    <w:rsid w:val="00A33849"/>
    <w:rsid w:val="00A3393B"/>
    <w:rsid w:val="00A3616C"/>
    <w:rsid w:val="00A40F6B"/>
    <w:rsid w:val="00A42605"/>
    <w:rsid w:val="00A47E43"/>
    <w:rsid w:val="00A60549"/>
    <w:rsid w:val="00A6253E"/>
    <w:rsid w:val="00A64B55"/>
    <w:rsid w:val="00A674D2"/>
    <w:rsid w:val="00A67EB8"/>
    <w:rsid w:val="00A81065"/>
    <w:rsid w:val="00A8265F"/>
    <w:rsid w:val="00A838C9"/>
    <w:rsid w:val="00A84CBA"/>
    <w:rsid w:val="00A87A7C"/>
    <w:rsid w:val="00A93B4F"/>
    <w:rsid w:val="00A96249"/>
    <w:rsid w:val="00AA12EB"/>
    <w:rsid w:val="00AA42D1"/>
    <w:rsid w:val="00AB0725"/>
    <w:rsid w:val="00AB4D89"/>
    <w:rsid w:val="00AC11F5"/>
    <w:rsid w:val="00AC12FC"/>
    <w:rsid w:val="00AC2EBA"/>
    <w:rsid w:val="00AC7522"/>
    <w:rsid w:val="00AC755A"/>
    <w:rsid w:val="00AD00AC"/>
    <w:rsid w:val="00AD13A5"/>
    <w:rsid w:val="00AD5738"/>
    <w:rsid w:val="00AE0274"/>
    <w:rsid w:val="00AE3684"/>
    <w:rsid w:val="00AE6B00"/>
    <w:rsid w:val="00AF5074"/>
    <w:rsid w:val="00B1234A"/>
    <w:rsid w:val="00B160E8"/>
    <w:rsid w:val="00B20819"/>
    <w:rsid w:val="00B20828"/>
    <w:rsid w:val="00B22277"/>
    <w:rsid w:val="00B24A5B"/>
    <w:rsid w:val="00B3354B"/>
    <w:rsid w:val="00B35290"/>
    <w:rsid w:val="00B36860"/>
    <w:rsid w:val="00B4324B"/>
    <w:rsid w:val="00B45A9E"/>
    <w:rsid w:val="00B531E9"/>
    <w:rsid w:val="00B553E4"/>
    <w:rsid w:val="00B70088"/>
    <w:rsid w:val="00B755E5"/>
    <w:rsid w:val="00B823A6"/>
    <w:rsid w:val="00B8246D"/>
    <w:rsid w:val="00B864E0"/>
    <w:rsid w:val="00B96920"/>
    <w:rsid w:val="00B96940"/>
    <w:rsid w:val="00B97205"/>
    <w:rsid w:val="00BA132A"/>
    <w:rsid w:val="00BA3CC2"/>
    <w:rsid w:val="00BA441D"/>
    <w:rsid w:val="00BA7F61"/>
    <w:rsid w:val="00BB0266"/>
    <w:rsid w:val="00BD5C6A"/>
    <w:rsid w:val="00BD5ED2"/>
    <w:rsid w:val="00BE0FFD"/>
    <w:rsid w:val="00BF3478"/>
    <w:rsid w:val="00C0665A"/>
    <w:rsid w:val="00C13FC5"/>
    <w:rsid w:val="00C146B8"/>
    <w:rsid w:val="00C20BB5"/>
    <w:rsid w:val="00C217CC"/>
    <w:rsid w:val="00C227C0"/>
    <w:rsid w:val="00C270AA"/>
    <w:rsid w:val="00C3097B"/>
    <w:rsid w:val="00C33862"/>
    <w:rsid w:val="00C405A8"/>
    <w:rsid w:val="00C42528"/>
    <w:rsid w:val="00C432E0"/>
    <w:rsid w:val="00C475E0"/>
    <w:rsid w:val="00C479B6"/>
    <w:rsid w:val="00C47C81"/>
    <w:rsid w:val="00C505C3"/>
    <w:rsid w:val="00C512BF"/>
    <w:rsid w:val="00C515DE"/>
    <w:rsid w:val="00C52628"/>
    <w:rsid w:val="00C56C85"/>
    <w:rsid w:val="00C57062"/>
    <w:rsid w:val="00C61EA0"/>
    <w:rsid w:val="00C71611"/>
    <w:rsid w:val="00C94B6D"/>
    <w:rsid w:val="00C94BF8"/>
    <w:rsid w:val="00C94FC9"/>
    <w:rsid w:val="00C96AAD"/>
    <w:rsid w:val="00C97BFF"/>
    <w:rsid w:val="00C97EAB"/>
    <w:rsid w:val="00CA09CE"/>
    <w:rsid w:val="00CB0C16"/>
    <w:rsid w:val="00CB0F54"/>
    <w:rsid w:val="00CC3392"/>
    <w:rsid w:val="00CD4669"/>
    <w:rsid w:val="00CD4874"/>
    <w:rsid w:val="00CD7E04"/>
    <w:rsid w:val="00CE1C7D"/>
    <w:rsid w:val="00CE44D0"/>
    <w:rsid w:val="00CF2889"/>
    <w:rsid w:val="00CF687B"/>
    <w:rsid w:val="00D02BF4"/>
    <w:rsid w:val="00D04839"/>
    <w:rsid w:val="00D04C1E"/>
    <w:rsid w:val="00D1202F"/>
    <w:rsid w:val="00D1386C"/>
    <w:rsid w:val="00D15679"/>
    <w:rsid w:val="00D21F0D"/>
    <w:rsid w:val="00D317DD"/>
    <w:rsid w:val="00D35488"/>
    <w:rsid w:val="00D4078E"/>
    <w:rsid w:val="00D413C6"/>
    <w:rsid w:val="00D4232D"/>
    <w:rsid w:val="00D44818"/>
    <w:rsid w:val="00D453A1"/>
    <w:rsid w:val="00D4585A"/>
    <w:rsid w:val="00D50E0A"/>
    <w:rsid w:val="00D5136F"/>
    <w:rsid w:val="00D557E1"/>
    <w:rsid w:val="00D56589"/>
    <w:rsid w:val="00D612AB"/>
    <w:rsid w:val="00D64278"/>
    <w:rsid w:val="00D64C87"/>
    <w:rsid w:val="00D66F06"/>
    <w:rsid w:val="00D73169"/>
    <w:rsid w:val="00D810D2"/>
    <w:rsid w:val="00D81854"/>
    <w:rsid w:val="00D865BC"/>
    <w:rsid w:val="00DA0009"/>
    <w:rsid w:val="00DA067E"/>
    <w:rsid w:val="00DA23CD"/>
    <w:rsid w:val="00DA4C5F"/>
    <w:rsid w:val="00DB1383"/>
    <w:rsid w:val="00DB1A70"/>
    <w:rsid w:val="00DB25BA"/>
    <w:rsid w:val="00DC0BC4"/>
    <w:rsid w:val="00DC1056"/>
    <w:rsid w:val="00DC2D9E"/>
    <w:rsid w:val="00DC76A3"/>
    <w:rsid w:val="00DC7C82"/>
    <w:rsid w:val="00DD1CDD"/>
    <w:rsid w:val="00DD486F"/>
    <w:rsid w:val="00DD6773"/>
    <w:rsid w:val="00DE0817"/>
    <w:rsid w:val="00DE5259"/>
    <w:rsid w:val="00DE6E97"/>
    <w:rsid w:val="00DF421C"/>
    <w:rsid w:val="00E01F84"/>
    <w:rsid w:val="00E05177"/>
    <w:rsid w:val="00E05CEE"/>
    <w:rsid w:val="00E10AD2"/>
    <w:rsid w:val="00E13DAA"/>
    <w:rsid w:val="00E170AE"/>
    <w:rsid w:val="00E211BD"/>
    <w:rsid w:val="00E36817"/>
    <w:rsid w:val="00E40916"/>
    <w:rsid w:val="00E42598"/>
    <w:rsid w:val="00E43FB4"/>
    <w:rsid w:val="00E44EC0"/>
    <w:rsid w:val="00E45451"/>
    <w:rsid w:val="00E530E2"/>
    <w:rsid w:val="00E76563"/>
    <w:rsid w:val="00E83952"/>
    <w:rsid w:val="00E95AF7"/>
    <w:rsid w:val="00E96968"/>
    <w:rsid w:val="00EA31DD"/>
    <w:rsid w:val="00EA5221"/>
    <w:rsid w:val="00EB0C51"/>
    <w:rsid w:val="00EB708E"/>
    <w:rsid w:val="00EB78E2"/>
    <w:rsid w:val="00EE0442"/>
    <w:rsid w:val="00EE08F7"/>
    <w:rsid w:val="00EE25A3"/>
    <w:rsid w:val="00EE4AF5"/>
    <w:rsid w:val="00EE581B"/>
    <w:rsid w:val="00EF3693"/>
    <w:rsid w:val="00F0463D"/>
    <w:rsid w:val="00F05013"/>
    <w:rsid w:val="00F13E04"/>
    <w:rsid w:val="00F14C2B"/>
    <w:rsid w:val="00F249B4"/>
    <w:rsid w:val="00F25451"/>
    <w:rsid w:val="00F323CD"/>
    <w:rsid w:val="00F34D7F"/>
    <w:rsid w:val="00F35251"/>
    <w:rsid w:val="00F3582E"/>
    <w:rsid w:val="00F37AEB"/>
    <w:rsid w:val="00F50660"/>
    <w:rsid w:val="00F569ED"/>
    <w:rsid w:val="00F56FC5"/>
    <w:rsid w:val="00F664FC"/>
    <w:rsid w:val="00F731B1"/>
    <w:rsid w:val="00F91095"/>
    <w:rsid w:val="00F92560"/>
    <w:rsid w:val="00FA0DCA"/>
    <w:rsid w:val="00FA4C21"/>
    <w:rsid w:val="00FB0BE1"/>
    <w:rsid w:val="00FB1130"/>
    <w:rsid w:val="00FB4137"/>
    <w:rsid w:val="00FB42B0"/>
    <w:rsid w:val="00FB43F7"/>
    <w:rsid w:val="00FC132A"/>
    <w:rsid w:val="00FC1380"/>
    <w:rsid w:val="00FC1B84"/>
    <w:rsid w:val="00FC2DB4"/>
    <w:rsid w:val="00FC5C8D"/>
    <w:rsid w:val="00FD4402"/>
    <w:rsid w:val="00FE1F89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0E825EC"/>
  <w15:docId w15:val="{468C5825-5EE6-4919-A0E0-6CD0A231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14" w:unhideWhenUsed="1"/>
    <w:lsdException w:name="List Bullet 5" w:semiHidden="1" w:uiPriority="1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3F3"/>
    <w:rPr>
      <w:rFonts w:cs="Angsana New"/>
      <w:snapToGrid w:val="0"/>
      <w:sz w:val="24"/>
      <w:szCs w:val="24"/>
      <w:lang w:val="en-GB" w:eastAsia="fr-CA"/>
    </w:rPr>
  </w:style>
  <w:style w:type="paragraph" w:styleId="Heading1">
    <w:name w:val="heading 1"/>
    <w:basedOn w:val="Normal"/>
    <w:next w:val="Normal"/>
    <w:qFormat/>
    <w:rsid w:val="001913F3"/>
    <w:pPr>
      <w:keepNext/>
      <w:jc w:val="center"/>
      <w:outlineLvl w:val="0"/>
    </w:pPr>
    <w:rPr>
      <w:b/>
      <w:sz w:val="20"/>
      <w:szCs w:val="20"/>
      <w:lang w:val="fr-FR"/>
    </w:rPr>
  </w:style>
  <w:style w:type="paragraph" w:styleId="Heading2">
    <w:name w:val="heading 2"/>
    <w:basedOn w:val="Normal"/>
    <w:next w:val="Normal"/>
    <w:qFormat/>
    <w:rsid w:val="001913F3"/>
    <w:pPr>
      <w:keepNext/>
      <w:outlineLvl w:val="1"/>
    </w:pPr>
    <w:rPr>
      <w:szCs w:val="20"/>
      <w:lang w:val="fr-F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85F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qFormat/>
    <w:rsid w:val="001913F3"/>
    <w:pPr>
      <w:keepNext/>
      <w:widowControl w:val="0"/>
      <w:spacing w:after="58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1913F3"/>
    <w:pPr>
      <w:keepNext/>
      <w:widowControl w:val="0"/>
      <w:tabs>
        <w:tab w:val="left" w:pos="-1440"/>
      </w:tabs>
      <w:jc w:val="center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913F3"/>
    <w:pPr>
      <w:autoSpaceDE w:val="0"/>
      <w:autoSpaceDN w:val="0"/>
      <w:spacing w:line="240" w:lineRule="atLeast"/>
    </w:pPr>
    <w:rPr>
      <w:noProof/>
      <w:color w:val="000000"/>
      <w:lang w:val="fr-CA"/>
    </w:rPr>
  </w:style>
  <w:style w:type="table" w:styleId="TableGrid">
    <w:name w:val="Table Grid"/>
    <w:basedOn w:val="TableNormal"/>
    <w:rsid w:val="001913F3"/>
    <w:rPr>
      <w:rFonts w:cs="Angsana New"/>
      <w:snapToGrid w:val="0"/>
      <w:lang w:val="fr-CA" w:eastAsia="fr-CA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">
    <w:name w:val="listbullet"/>
    <w:basedOn w:val="Normal"/>
    <w:rsid w:val="001913F3"/>
    <w:pPr>
      <w:spacing w:after="260" w:line="260" w:lineRule="atLeast"/>
      <w:ind w:left="54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1913F3"/>
    <w:rPr>
      <w:sz w:val="16"/>
      <w:szCs w:val="16"/>
    </w:rPr>
  </w:style>
  <w:style w:type="paragraph" w:styleId="BodyText2">
    <w:name w:val="Body Text 2"/>
    <w:basedOn w:val="Normal"/>
    <w:rsid w:val="001913F3"/>
    <w:pPr>
      <w:spacing w:after="120" w:line="480" w:lineRule="auto"/>
    </w:pPr>
  </w:style>
  <w:style w:type="paragraph" w:styleId="BodyText3">
    <w:name w:val="Body Text 3"/>
    <w:basedOn w:val="Normal"/>
    <w:rsid w:val="001913F3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1913F3"/>
    <w:pPr>
      <w:spacing w:after="120"/>
      <w:ind w:left="283"/>
    </w:pPr>
  </w:style>
  <w:style w:type="paragraph" w:styleId="BodyTextIndent2">
    <w:name w:val="Body Text Indent 2"/>
    <w:basedOn w:val="Normal"/>
    <w:rsid w:val="001913F3"/>
    <w:pPr>
      <w:spacing w:after="120" w:line="480" w:lineRule="auto"/>
      <w:ind w:left="283"/>
    </w:pPr>
  </w:style>
  <w:style w:type="paragraph" w:styleId="Header">
    <w:name w:val="header"/>
    <w:basedOn w:val="Normal"/>
    <w:link w:val="HeaderChar"/>
    <w:uiPriority w:val="99"/>
    <w:rsid w:val="001913F3"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paragraph" w:styleId="FootnoteText">
    <w:name w:val="footnote text"/>
    <w:basedOn w:val="Normal"/>
    <w:link w:val="FootnoteTextChar"/>
    <w:semiHidden/>
    <w:rsid w:val="001913F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913F3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191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F3"/>
    <w:rPr>
      <w:rFonts w:cs="Times New Roman"/>
    </w:rPr>
  </w:style>
  <w:style w:type="paragraph" w:customStyle="1" w:styleId="roundbullet">
    <w:name w:val="round bullet"/>
    <w:rsid w:val="001913F3"/>
    <w:pPr>
      <w:tabs>
        <w:tab w:val="left" w:pos="288"/>
      </w:tabs>
      <w:spacing w:line="240" w:lineRule="atLeast"/>
      <w:ind w:left="288" w:hanging="288"/>
    </w:pPr>
    <w:rPr>
      <w:rFonts w:cs="Angsana New"/>
      <w:snapToGrid w:val="0"/>
      <w:color w:val="000000"/>
      <w:sz w:val="24"/>
      <w:lang w:val="en-US" w:eastAsia="fr-CA"/>
    </w:rPr>
  </w:style>
  <w:style w:type="paragraph" w:customStyle="1" w:styleId="Bullet">
    <w:name w:val="Bullet *"/>
    <w:rsid w:val="001913F3"/>
    <w:pPr>
      <w:numPr>
        <w:numId w:val="35"/>
      </w:numPr>
      <w:tabs>
        <w:tab w:val="right" w:pos="504"/>
      </w:tabs>
      <w:autoSpaceDE w:val="0"/>
      <w:autoSpaceDN w:val="0"/>
      <w:spacing w:line="240" w:lineRule="atLeast"/>
      <w:ind w:left="504" w:hanging="360"/>
    </w:pPr>
    <w:rPr>
      <w:rFonts w:cs="Angsana New"/>
      <w:snapToGrid w:val="0"/>
      <w:color w:val="000000"/>
      <w:sz w:val="24"/>
      <w:szCs w:val="24"/>
      <w:lang w:val="en-US" w:eastAsia="fr-CA"/>
    </w:rPr>
  </w:style>
  <w:style w:type="character" w:styleId="CommentReference">
    <w:name w:val="annotation reference"/>
    <w:basedOn w:val="DefaultParagraphFont"/>
    <w:semiHidden/>
    <w:rsid w:val="001913F3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1913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913F3"/>
    <w:rPr>
      <w:b/>
      <w:bCs/>
    </w:rPr>
  </w:style>
  <w:style w:type="character" w:styleId="Hyperlink">
    <w:name w:val="Hyperlink"/>
    <w:basedOn w:val="DefaultParagraphFont"/>
    <w:uiPriority w:val="99"/>
    <w:rsid w:val="001913F3"/>
    <w:rPr>
      <w:rFonts w:cs="Times New Roman"/>
      <w:color w:val="333399"/>
      <w:u w:val="single"/>
    </w:rPr>
  </w:style>
  <w:style w:type="character" w:customStyle="1" w:styleId="tw4winMark">
    <w:name w:val="tw4winMark"/>
    <w:rsid w:val="001913F3"/>
    <w:rPr>
      <w:rFonts w:ascii="Courier New" w:hAnsi="Courier New"/>
      <w:vanish/>
      <w:color w:val="800080"/>
      <w:sz w:val="24"/>
      <w:vertAlign w:val="subscript"/>
    </w:rPr>
  </w:style>
  <w:style w:type="character" w:customStyle="1" w:styleId="CarCar1">
    <w:name w:val="Car Car1"/>
    <w:basedOn w:val="DefaultParagraphFont"/>
    <w:locked/>
    <w:rsid w:val="001913F3"/>
    <w:rPr>
      <w:rFonts w:eastAsia="Times New Roman" w:cs="Times New Roman"/>
      <w:noProof/>
      <w:color w:val="000000"/>
      <w:sz w:val="24"/>
      <w:szCs w:val="24"/>
    </w:rPr>
  </w:style>
  <w:style w:type="character" w:customStyle="1" w:styleId="CarCar">
    <w:name w:val="Car Car"/>
    <w:basedOn w:val="DefaultParagraphFont"/>
    <w:semiHidden/>
    <w:locked/>
    <w:rsid w:val="001913F3"/>
    <w:rPr>
      <w:rFonts w:eastAsia="Times New Roman" w:cs="Times New Roman"/>
      <w:lang w:val="en-GB"/>
    </w:rPr>
  </w:style>
  <w:style w:type="character" w:customStyle="1" w:styleId="tw4winError">
    <w:name w:val="tw4winError"/>
    <w:rsid w:val="001913F3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1913F3"/>
    <w:rPr>
      <w:color w:val="0000FF"/>
    </w:rPr>
  </w:style>
  <w:style w:type="character" w:customStyle="1" w:styleId="tw4winPopup">
    <w:name w:val="tw4winPopup"/>
    <w:rsid w:val="001913F3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1913F3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1913F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1913F3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1913F3"/>
    <w:rPr>
      <w:rFonts w:ascii="Courier New" w:hAnsi="Courier New"/>
      <w:noProof/>
      <w:color w:val="800000"/>
    </w:rPr>
  </w:style>
  <w:style w:type="character" w:customStyle="1" w:styleId="hps">
    <w:name w:val="hps"/>
    <w:basedOn w:val="DefaultParagraphFont"/>
    <w:rsid w:val="00DC2D9E"/>
  </w:style>
  <w:style w:type="character" w:customStyle="1" w:styleId="FooterChar">
    <w:name w:val="Footer Char"/>
    <w:basedOn w:val="DefaultParagraphFont"/>
    <w:link w:val="Footer"/>
    <w:uiPriority w:val="99"/>
    <w:rsid w:val="007F0AE9"/>
    <w:rPr>
      <w:rFonts w:cs="Angsana New"/>
      <w:snapToGrid w:val="0"/>
      <w:sz w:val="24"/>
      <w:szCs w:val="24"/>
      <w:lang w:val="en-GB" w:eastAsia="fr-CA"/>
    </w:rPr>
  </w:style>
  <w:style w:type="character" w:customStyle="1" w:styleId="FootnoteTextChar">
    <w:name w:val="Footnote Text Char"/>
    <w:basedOn w:val="DefaultParagraphFont"/>
    <w:link w:val="FootnoteText"/>
    <w:semiHidden/>
    <w:rsid w:val="00B70088"/>
    <w:rPr>
      <w:rFonts w:cs="Angsana New"/>
      <w:snapToGrid w:val="0"/>
      <w:lang w:val="en-GB" w:eastAsia="fr-CA"/>
    </w:rPr>
  </w:style>
  <w:style w:type="paragraph" w:customStyle="1" w:styleId="Style2">
    <w:name w:val="Style2"/>
    <w:basedOn w:val="Normal"/>
    <w:link w:val="Style2Car"/>
    <w:qFormat/>
    <w:rsid w:val="00B70088"/>
    <w:rPr>
      <w:rFonts w:ascii="Georgia" w:hAnsi="Georgia"/>
      <w:b/>
      <w:i/>
      <w:snapToGrid/>
      <w:sz w:val="56"/>
      <w:szCs w:val="56"/>
      <w:lang w:eastAsia="en-US"/>
    </w:rPr>
  </w:style>
  <w:style w:type="character" w:customStyle="1" w:styleId="Style2Car">
    <w:name w:val="Style2 Car"/>
    <w:basedOn w:val="DefaultParagraphFont"/>
    <w:link w:val="Style2"/>
    <w:rsid w:val="00B70088"/>
    <w:rPr>
      <w:rFonts w:ascii="Georgia" w:hAnsi="Georgia" w:cs="Angsana New"/>
      <w:b/>
      <w:i/>
      <w:sz w:val="56"/>
      <w:szCs w:val="56"/>
      <w:lang w:val="en-GB" w:eastAsia="en-US"/>
    </w:rPr>
  </w:style>
  <w:style w:type="paragraph" w:styleId="Revision">
    <w:name w:val="Revision"/>
    <w:hidden/>
    <w:uiPriority w:val="99"/>
    <w:semiHidden/>
    <w:rsid w:val="00223D67"/>
    <w:rPr>
      <w:rFonts w:cs="Angsana New"/>
      <w:snapToGrid w:val="0"/>
      <w:sz w:val="24"/>
      <w:szCs w:val="24"/>
      <w:lang w:val="en-GB" w:eastAsia="fr-CA"/>
    </w:rPr>
  </w:style>
  <w:style w:type="numbering" w:customStyle="1" w:styleId="Style1">
    <w:name w:val="Style1"/>
    <w:uiPriority w:val="99"/>
    <w:rsid w:val="002C7A69"/>
    <w:pPr>
      <w:numPr>
        <w:numId w:val="46"/>
      </w:numPr>
    </w:pPr>
  </w:style>
  <w:style w:type="paragraph" w:customStyle="1" w:styleId="TableBulletArial">
    <w:name w:val="Table Bullet_Arial"/>
    <w:basedOn w:val="Normal"/>
    <w:uiPriority w:val="99"/>
    <w:qFormat/>
    <w:rsid w:val="002C7A69"/>
    <w:pPr>
      <w:numPr>
        <w:numId w:val="47"/>
      </w:numPr>
      <w:spacing w:before="60" w:after="60"/>
    </w:pPr>
    <w:rPr>
      <w:rFonts w:ascii="Arial" w:hAnsi="Arial" w:cs="Arial"/>
      <w:snapToGrid/>
      <w:color w:val="000000" w:themeColor="text1"/>
      <w:sz w:val="20"/>
      <w:szCs w:val="21"/>
      <w:lang w:val="en-US" w:eastAsia="en-US"/>
    </w:rPr>
  </w:style>
  <w:style w:type="paragraph" w:customStyle="1" w:styleId="TableTitleArial">
    <w:name w:val="Table Title_Arial"/>
    <w:basedOn w:val="BodyText2"/>
    <w:uiPriority w:val="99"/>
    <w:qFormat/>
    <w:rsid w:val="002C7A69"/>
    <w:pPr>
      <w:spacing w:before="60" w:after="60" w:line="240" w:lineRule="auto"/>
    </w:pPr>
    <w:rPr>
      <w:rFonts w:ascii="Arial" w:eastAsiaTheme="minorHAnsi" w:hAnsi="Arial" w:cstheme="minorBidi"/>
      <w:snapToGrid/>
      <w:sz w:val="20"/>
      <w:szCs w:val="20"/>
      <w:lang w:eastAsia="en-US"/>
    </w:rPr>
  </w:style>
  <w:style w:type="paragraph" w:customStyle="1" w:styleId="TableTextArial">
    <w:name w:val="Table Text_Arial"/>
    <w:basedOn w:val="BodyText2"/>
    <w:uiPriority w:val="99"/>
    <w:qFormat/>
    <w:rsid w:val="002C7A69"/>
    <w:pPr>
      <w:spacing w:before="60" w:after="60" w:line="240" w:lineRule="auto"/>
    </w:pPr>
    <w:rPr>
      <w:rFonts w:ascii="Arial" w:eastAsiaTheme="minorHAnsi" w:hAnsi="Arial" w:cs="Arial"/>
      <w:snapToGrid/>
      <w:sz w:val="20"/>
      <w:szCs w:val="20"/>
      <w:lang w:eastAsia="en-US"/>
    </w:rPr>
  </w:style>
  <w:style w:type="numbering" w:customStyle="1" w:styleId="PwCListBullets1">
    <w:name w:val="PwC List Bullets 1"/>
    <w:uiPriority w:val="99"/>
    <w:rsid w:val="0054146D"/>
    <w:pPr>
      <w:numPr>
        <w:numId w:val="48"/>
      </w:numPr>
    </w:pPr>
  </w:style>
  <w:style w:type="paragraph" w:styleId="ListBullet4">
    <w:name w:val="List Bullet 4"/>
    <w:basedOn w:val="Normal"/>
    <w:uiPriority w:val="14"/>
    <w:unhideWhenUsed/>
    <w:rsid w:val="0054146D"/>
    <w:pPr>
      <w:numPr>
        <w:ilvl w:val="3"/>
        <w:numId w:val="49"/>
      </w:numPr>
      <w:spacing w:after="180" w:line="260" w:lineRule="atLeast"/>
      <w:ind w:left="1440" w:hanging="360"/>
    </w:pPr>
    <w:rPr>
      <w:rFonts w:ascii="Georgia" w:eastAsiaTheme="minorHAnsi" w:hAnsi="Georgia" w:cstheme="minorBidi"/>
      <w:snapToGrid/>
      <w:sz w:val="20"/>
      <w:szCs w:val="20"/>
      <w:lang w:eastAsia="en-US"/>
    </w:rPr>
  </w:style>
  <w:style w:type="paragraph" w:styleId="ListBullet5">
    <w:name w:val="List Bullet 5"/>
    <w:basedOn w:val="Normal"/>
    <w:uiPriority w:val="13"/>
    <w:unhideWhenUsed/>
    <w:rsid w:val="0054146D"/>
    <w:pPr>
      <w:numPr>
        <w:ilvl w:val="4"/>
        <w:numId w:val="49"/>
      </w:numPr>
      <w:spacing w:after="180" w:line="260" w:lineRule="atLeast"/>
      <w:ind w:left="1800" w:hanging="360"/>
    </w:pPr>
    <w:rPr>
      <w:rFonts w:ascii="Georgia" w:eastAsiaTheme="minorHAnsi" w:hAnsi="Georgia" w:cstheme="minorBidi"/>
      <w:snapToGrid/>
      <w:sz w:val="20"/>
      <w:szCs w:val="20"/>
      <w:lang w:eastAsia="en-US"/>
    </w:rPr>
  </w:style>
  <w:style w:type="paragraph" w:customStyle="1" w:styleId="TableSecondLevelArial">
    <w:name w:val="Table Second Level_Arial"/>
    <w:basedOn w:val="Normal"/>
    <w:uiPriority w:val="99"/>
    <w:qFormat/>
    <w:rsid w:val="0054146D"/>
    <w:pPr>
      <w:spacing w:before="60" w:after="60"/>
    </w:pPr>
    <w:rPr>
      <w:rFonts w:ascii="Arial" w:eastAsiaTheme="minorHAnsi" w:hAnsi="Arial" w:cs="Arial"/>
      <w:snapToGrid/>
      <w:color w:val="1F497D" w:themeColor="text2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3731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823A6"/>
    <w:pPr>
      <w:tabs>
        <w:tab w:val="right" w:leader="dot" w:pos="8296"/>
      </w:tabs>
      <w:spacing w:after="100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A25F17"/>
    <w:rPr>
      <w:rFonts w:cs="Angsana New"/>
      <w:snapToGrid w:val="0"/>
      <w:lang w:val="fr-FR" w:eastAsia="fr-CA"/>
    </w:rPr>
  </w:style>
  <w:style w:type="paragraph" w:styleId="ListParagraph">
    <w:name w:val="List Paragraph"/>
    <w:basedOn w:val="Normal"/>
    <w:uiPriority w:val="34"/>
    <w:qFormat/>
    <w:rsid w:val="003C41A6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3C41A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C41A6"/>
    <w:rPr>
      <w:rFonts w:cs="Angsana New"/>
      <w:snapToGrid w:val="0"/>
      <w:lang w:val="en-GB" w:eastAsia="fr-CA"/>
    </w:rPr>
  </w:style>
  <w:style w:type="character" w:styleId="EndnoteReference">
    <w:name w:val="endnote reference"/>
    <w:basedOn w:val="DefaultParagraphFont"/>
    <w:semiHidden/>
    <w:unhideWhenUsed/>
    <w:rsid w:val="003C41A6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6375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75B0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val="en-GB" w:eastAsia="fr-CA"/>
    </w:rPr>
  </w:style>
  <w:style w:type="character" w:styleId="Strong">
    <w:name w:val="Strong"/>
    <w:basedOn w:val="DefaultParagraphFont"/>
    <w:uiPriority w:val="22"/>
    <w:qFormat/>
    <w:rsid w:val="00312761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085F57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val="en-GB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3291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2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521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57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70F4BD5A9946089AFE12C0DAF69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6244B4-0339-4775-9468-DF3F915A4B8A}"/>
      </w:docPartPr>
      <w:docPartBody>
        <w:p w:rsidR="005E2F06" w:rsidRDefault="005E2F06" w:rsidP="005E2F06">
          <w:pPr>
            <w:pStyle w:val="D070F4BD5A9946089AFE12C0DAF69409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44"/>
    <w:rsid w:val="00201184"/>
    <w:rsid w:val="00224776"/>
    <w:rsid w:val="0058476A"/>
    <w:rsid w:val="005E2F06"/>
    <w:rsid w:val="00770560"/>
    <w:rsid w:val="00831404"/>
    <w:rsid w:val="00855644"/>
    <w:rsid w:val="0092444F"/>
    <w:rsid w:val="00972536"/>
    <w:rsid w:val="00C8718F"/>
    <w:rsid w:val="00F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F06"/>
    <w:rPr>
      <w:color w:val="808080"/>
    </w:rPr>
  </w:style>
  <w:style w:type="paragraph" w:customStyle="1" w:styleId="49DE3A2B4B06477BA975EBF5042A9865">
    <w:name w:val="49DE3A2B4B06477BA975EBF5042A9865"/>
    <w:rsid w:val="00855644"/>
  </w:style>
  <w:style w:type="paragraph" w:customStyle="1" w:styleId="F5DFFB3B3B1B4F60AF707052CF988FF8">
    <w:name w:val="F5DFFB3B3B1B4F60AF707052CF988FF8"/>
    <w:rsid w:val="00224776"/>
  </w:style>
  <w:style w:type="paragraph" w:customStyle="1" w:styleId="85196A6FF34848FFBD200BA18B550868">
    <w:name w:val="85196A6FF34848FFBD200BA18B550868"/>
    <w:rsid w:val="00831404"/>
  </w:style>
  <w:style w:type="paragraph" w:customStyle="1" w:styleId="62EC9ADADC5B4681B4DAEE30C1291F6B">
    <w:name w:val="62EC9ADADC5B4681B4DAEE30C1291F6B"/>
    <w:rsid w:val="00770560"/>
  </w:style>
  <w:style w:type="paragraph" w:customStyle="1" w:styleId="DF2883AADC8C4F87B555DE806CD6C403">
    <w:name w:val="DF2883AADC8C4F87B555DE806CD6C403"/>
    <w:rsid w:val="005E2F06"/>
    <w:rPr>
      <w:lang w:val="fr-CA" w:eastAsia="fr-CA"/>
    </w:rPr>
  </w:style>
  <w:style w:type="paragraph" w:customStyle="1" w:styleId="F06B244C0A0B4E9588BBA474512C91EB">
    <w:name w:val="F06B244C0A0B4E9588BBA474512C91EB"/>
    <w:rsid w:val="005E2F06"/>
    <w:rPr>
      <w:lang w:val="fr-CA" w:eastAsia="fr-CA"/>
    </w:rPr>
  </w:style>
  <w:style w:type="paragraph" w:customStyle="1" w:styleId="D070F4BD5A9946089AFE12C0DAF69409">
    <w:name w:val="D070F4BD5A9946089AFE12C0DAF69409"/>
    <w:rsid w:val="005E2F06"/>
    <w:rPr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DB8DF-B774-410D-9A77-8D02B243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3579</Words>
  <Characters>21337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Protocole d’entente relatif aux procédures précises pour un audit d’un centre de services partagés</vt:lpstr>
      <vt:lpstr>Protocole d’entente relatif aux procédures précises pour un audit d’un centre de services partagés</vt:lpstr>
    </vt:vector>
  </TitlesOfParts>
  <Company>PricewaterhouseCoopers</Company>
  <LinksUpToDate>false</LinksUpToDate>
  <CharactersWithSpaces>24867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d’entente relatif aux procédures précises pour un audit d’un centre de services partagés</dc:title>
  <dc:subject>Protocole d’entente relatif aux procédures précises pour un audit d’un centre de services partagés</dc:subject>
  <dc:creator>OAG-BVG</dc:creator>
  <cp:lastModifiedBy>Martin, Anne-Marie</cp:lastModifiedBy>
  <cp:revision>3</cp:revision>
  <cp:lastPrinted>2010-06-18T14:57:00Z</cp:lastPrinted>
  <dcterms:created xsi:type="dcterms:W3CDTF">2023-05-26T18:29:00Z</dcterms:created>
  <dcterms:modified xsi:type="dcterms:W3CDTF">2023-05-26T18:30:00Z</dcterms:modified>
  <cp:category>Templates</cp:category>
  <cp:contentStatus>15669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