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C4" w:rsidRDefault="00C94BC4" w:rsidP="00C94BC4">
      <w:pPr>
        <w:spacing w:after="120"/>
        <w:jc w:val="center"/>
        <w:rPr>
          <w:b/>
          <w:lang w:val="fr-CA"/>
        </w:rPr>
      </w:pPr>
      <w:bookmarkStart w:id="0" w:name="_GoBack"/>
      <w:bookmarkEnd w:id="0"/>
      <w:r>
        <w:rPr>
          <w:b/>
          <w:lang w:val="fr-CA"/>
        </w:rPr>
        <w:t>BUREAU DU VÉRIFICATEUR GÉNÉRAL DU CANADA</w:t>
      </w:r>
    </w:p>
    <w:p w:rsidR="00811FDC" w:rsidRDefault="00811FDC" w:rsidP="00C94BC4">
      <w:pPr>
        <w:spacing w:after="120"/>
        <w:jc w:val="center"/>
        <w:rPr>
          <w:b/>
          <w:lang w:val="fr-CA"/>
        </w:rPr>
      </w:pPr>
      <w:r>
        <w:rPr>
          <w:b/>
          <w:lang w:val="fr-CA"/>
        </w:rPr>
        <w:t>NATURE ET IMPORTANCE</w:t>
      </w:r>
      <w:r w:rsidR="00C94BC4">
        <w:rPr>
          <w:b/>
          <w:lang w:val="fr-CA"/>
        </w:rPr>
        <w:t xml:space="preserve"> D’UNE NON-CONFORMITÉ AUX AUTORISATIONS</w:t>
      </w:r>
    </w:p>
    <w:p w:rsidR="00C94BC4" w:rsidRPr="006E0C76" w:rsidRDefault="00C94BC4" w:rsidP="00C94BC4">
      <w:pPr>
        <w:rPr>
          <w:lang w:val="fr-CA"/>
        </w:rPr>
      </w:pPr>
    </w:p>
    <w:p w:rsidR="00837EEB" w:rsidRPr="006E0C76" w:rsidRDefault="00C94BC4">
      <w:pPr>
        <w:spacing w:after="240"/>
        <w:rPr>
          <w:u w:val="single"/>
          <w:lang w:val="fr-CA"/>
        </w:rPr>
      </w:pPr>
      <w:r w:rsidRPr="006E0C76">
        <w:rPr>
          <w:b/>
          <w:lang w:val="fr-CA"/>
        </w:rPr>
        <w:t>ENTITÉ</w:t>
      </w:r>
      <w:r w:rsidRPr="006E0C76">
        <w:rPr>
          <w:lang w:val="fr-CA"/>
        </w:rPr>
        <w:t xml:space="preserve">:  </w:t>
      </w:r>
      <w:r w:rsidRPr="006E0C76">
        <w:rPr>
          <w:lang w:val="fr-CA"/>
        </w:rPr>
        <w:tab/>
      </w:r>
      <w:r w:rsidRPr="006E0C76">
        <w:rPr>
          <w:u w:val="single"/>
          <w:lang w:val="fr-CA"/>
        </w:rPr>
        <w:tab/>
      </w:r>
      <w:r w:rsidRPr="006E0C76">
        <w:rPr>
          <w:u w:val="single"/>
          <w:lang w:val="fr-CA"/>
        </w:rPr>
        <w:tab/>
      </w:r>
      <w:r w:rsidRPr="006E0C76">
        <w:rPr>
          <w:u w:val="single"/>
          <w:lang w:val="fr-CA"/>
        </w:rPr>
        <w:tab/>
      </w:r>
      <w:r w:rsidRPr="006E0C76">
        <w:rPr>
          <w:u w:val="single"/>
          <w:lang w:val="fr-CA"/>
        </w:rPr>
        <w:tab/>
      </w:r>
      <w:r w:rsidRPr="006E0C76">
        <w:rPr>
          <w:u w:val="single"/>
          <w:lang w:val="fr-CA"/>
        </w:rPr>
        <w:tab/>
      </w:r>
    </w:p>
    <w:p w:rsidR="00837EEB" w:rsidRPr="006E0C76" w:rsidRDefault="00C94BC4">
      <w:pPr>
        <w:spacing w:after="240"/>
        <w:rPr>
          <w:b/>
          <w:lang w:val="fr-CA"/>
        </w:rPr>
      </w:pPr>
      <w:r w:rsidRPr="006E0C76">
        <w:rPr>
          <w:b/>
          <w:lang w:val="fr-CA"/>
        </w:rPr>
        <w:t>Fin d’exercice</w:t>
      </w:r>
      <w:r w:rsidRPr="006E0C76">
        <w:rPr>
          <w:b/>
          <w:lang w:val="fr-CA"/>
        </w:rPr>
        <w:tab/>
      </w:r>
      <w:r w:rsidRPr="006E0C76">
        <w:rPr>
          <w:u w:val="single"/>
          <w:lang w:val="fr-CA"/>
        </w:rPr>
        <w:tab/>
      </w:r>
      <w:r w:rsidRPr="006E0C76">
        <w:rPr>
          <w:u w:val="single"/>
          <w:lang w:val="fr-CA"/>
        </w:rPr>
        <w:tab/>
      </w:r>
      <w:r w:rsidRPr="006E0C76">
        <w:rPr>
          <w:u w:val="single"/>
          <w:lang w:val="fr-CA"/>
        </w:rPr>
        <w:tab/>
      </w:r>
      <w:r w:rsidRPr="006E0C76">
        <w:rPr>
          <w:u w:val="single"/>
          <w:lang w:val="fr-CA"/>
        </w:rPr>
        <w:tab/>
      </w:r>
      <w:r w:rsidRPr="006E0C76">
        <w:rPr>
          <w:u w:val="single"/>
          <w:lang w:val="fr-CA"/>
        </w:rPr>
        <w:tab/>
      </w:r>
    </w:p>
    <w:p w:rsidR="00D76BFD" w:rsidRDefault="00F56742">
      <w:pPr>
        <w:pStyle w:val="BodyText3"/>
        <w:rPr>
          <w:sz w:val="20"/>
          <w:lang w:val="fr-CA"/>
        </w:rPr>
      </w:pPr>
      <w:r w:rsidRPr="00F56742">
        <w:rPr>
          <w:sz w:val="20"/>
          <w:lang w:val="fr-CA"/>
        </w:rPr>
        <w:t>Le choix du mode communication qui convient pour rapporter une non-conformité requiert l’exercice du jugement. Les facteurs qui suivent aideront l’auditeur dans son analyse et décision.  Il faut examiner tous les facteurs, mais il peut arriver qu’un seul soit suffisant pour justifier un rapport externe. Il faut mentionner dans le Sommaire d’approbation du rapport les décisions prises quant au mode de communication choisi pour rapporter une  non-conformité.</w:t>
      </w:r>
    </w:p>
    <w:p w:rsidR="00FD35A2" w:rsidRPr="00FD35A2" w:rsidRDefault="00FD35A2">
      <w:pPr>
        <w:pStyle w:val="BodyText3"/>
        <w:rPr>
          <w:sz w:val="20"/>
          <w:lang w:val="fr-CA"/>
        </w:rPr>
      </w:pPr>
    </w:p>
    <w:p w:rsidR="00FD35A2" w:rsidRPr="006E0C76" w:rsidRDefault="00F56742" w:rsidP="00FD35A2">
      <w:pPr>
        <w:numPr>
          <w:ilvl w:val="0"/>
          <w:numId w:val="1"/>
        </w:numPr>
        <w:spacing w:after="120"/>
        <w:ind w:left="284" w:hanging="284"/>
        <w:rPr>
          <w:lang w:val="fr-CA"/>
        </w:rPr>
      </w:pPr>
      <w:r w:rsidRPr="006E0C76">
        <w:rPr>
          <w:lang w:val="fr-CA"/>
        </w:rPr>
        <w:t>Évaluer chacun des facteurs suivants et documenter, dans la colonne correspondante, les faits li</w:t>
      </w:r>
      <w:r w:rsidR="00FD35A2" w:rsidRPr="006E0C76">
        <w:rPr>
          <w:lang w:val="fr-CA"/>
        </w:rPr>
        <w:t>é</w:t>
      </w:r>
      <w:r w:rsidRPr="006E0C76">
        <w:rPr>
          <w:lang w:val="fr-CA"/>
        </w:rPr>
        <w:t>s à la situation de non conformité.</w:t>
      </w:r>
    </w:p>
    <w:p w:rsidR="00FD35A2" w:rsidRPr="006E0C76" w:rsidRDefault="00F56742" w:rsidP="00FD35A2">
      <w:pPr>
        <w:numPr>
          <w:ilvl w:val="0"/>
          <w:numId w:val="1"/>
        </w:numPr>
        <w:spacing w:after="120"/>
        <w:ind w:left="284" w:hanging="284"/>
        <w:rPr>
          <w:lang w:val="fr-CA"/>
        </w:rPr>
      </w:pPr>
      <w:r w:rsidRPr="006E0C76">
        <w:rPr>
          <w:lang w:val="fr-CA"/>
        </w:rPr>
        <w:t xml:space="preserve">Conclure sur le mode de communication </w:t>
      </w:r>
      <w:r w:rsidR="004C2C18" w:rsidRPr="006E0C76">
        <w:rPr>
          <w:lang w:val="fr-CA"/>
        </w:rPr>
        <w:t>choisi.</w:t>
      </w:r>
    </w:p>
    <w:p w:rsidR="00F56742" w:rsidRPr="006E0C76" w:rsidRDefault="00F56742">
      <w:pPr>
        <w:numPr>
          <w:ilvl w:val="0"/>
          <w:numId w:val="1"/>
        </w:numPr>
        <w:spacing w:after="240"/>
        <w:ind w:left="284" w:hanging="284"/>
        <w:rPr>
          <w:lang w:val="fr-CA"/>
        </w:rPr>
      </w:pPr>
      <w:r w:rsidRPr="006E0C76">
        <w:rPr>
          <w:lang w:val="fr-CA"/>
        </w:rPr>
        <w:t xml:space="preserve">Mentionner dans le Sommaire d’approbation du rapport les décisions prises quant au mode de communication et la justification de ce choix. </w:t>
      </w:r>
    </w:p>
    <w:tbl>
      <w:tblPr>
        <w:tblW w:w="9630" w:type="dxa"/>
        <w:tblInd w:w="-23" w:type="dxa"/>
        <w:tblLayout w:type="fixed"/>
        <w:tblCellMar>
          <w:left w:w="360" w:type="dxa"/>
          <w:right w:w="360" w:type="dxa"/>
        </w:tblCellMar>
        <w:tblLook w:val="0000" w:firstRow="0" w:lastRow="0" w:firstColumn="0" w:lastColumn="0" w:noHBand="0" w:noVBand="0"/>
      </w:tblPr>
      <w:tblGrid>
        <w:gridCol w:w="2610"/>
        <w:gridCol w:w="3420"/>
        <w:gridCol w:w="3600"/>
      </w:tblGrid>
      <w:tr w:rsidR="00811FDC" w:rsidRPr="002F5521" w:rsidTr="006D1242">
        <w:trPr>
          <w:cantSplit/>
          <w:tblHeader/>
        </w:trPr>
        <w:tc>
          <w:tcPr>
            <w:tcW w:w="2610" w:type="dxa"/>
            <w:tcBorders>
              <w:top w:val="double" w:sz="6" w:space="0" w:color="auto"/>
              <w:left w:val="double" w:sz="6" w:space="0" w:color="auto"/>
              <w:right w:val="double" w:sz="6" w:space="0" w:color="auto"/>
            </w:tcBorders>
            <w:shd w:val="pct20" w:color="auto" w:fill="auto"/>
            <w:vAlign w:val="center"/>
          </w:tcPr>
          <w:p w:rsidR="00837EEB" w:rsidRDefault="00F56742">
            <w:pPr>
              <w:pStyle w:val="Heading9"/>
              <w:jc w:val="center"/>
              <w:rPr>
                <w:rFonts w:ascii="Arial" w:hAnsi="Arial" w:cs="Arial"/>
                <w:b/>
                <w:sz w:val="20"/>
                <w:szCs w:val="20"/>
              </w:rPr>
            </w:pPr>
            <w:proofErr w:type="spellStart"/>
            <w:r w:rsidRPr="00F56742">
              <w:rPr>
                <w:rFonts w:ascii="Arial" w:hAnsi="Arial" w:cs="Arial"/>
                <w:b/>
                <w:sz w:val="20"/>
                <w:szCs w:val="20"/>
              </w:rPr>
              <w:t>Facteur</w:t>
            </w:r>
            <w:proofErr w:type="spellEnd"/>
          </w:p>
        </w:tc>
        <w:tc>
          <w:tcPr>
            <w:tcW w:w="3420" w:type="dxa"/>
            <w:tcBorders>
              <w:top w:val="double" w:sz="6" w:space="0" w:color="auto"/>
              <w:right w:val="double" w:sz="6" w:space="0" w:color="auto"/>
            </w:tcBorders>
            <w:shd w:val="pct20" w:color="auto" w:fill="auto"/>
          </w:tcPr>
          <w:p w:rsidR="00837EEB" w:rsidRDefault="00F56742">
            <w:pPr>
              <w:spacing w:after="60"/>
              <w:rPr>
                <w:rFonts w:cs="Arial"/>
                <w:b/>
                <w:lang w:val="fr-CA"/>
              </w:rPr>
            </w:pPr>
            <w:r w:rsidRPr="00F56742">
              <w:rPr>
                <w:rFonts w:cs="Arial"/>
                <w:b/>
                <w:lang w:val="fr-CA"/>
              </w:rPr>
              <w:t>Facteurs pouvant justifier un rapport interne (</w:t>
            </w:r>
            <w:r w:rsidR="00E0184C">
              <w:rPr>
                <w:rFonts w:cs="Arial"/>
                <w:b/>
                <w:lang w:val="fr-CA"/>
              </w:rPr>
              <w:t>L</w:t>
            </w:r>
            <w:r w:rsidRPr="00F56742">
              <w:rPr>
                <w:rFonts w:cs="Arial"/>
                <w:b/>
                <w:lang w:val="fr-CA"/>
              </w:rPr>
              <w:t xml:space="preserve">ettre de recommandations ou </w:t>
            </w:r>
            <w:r w:rsidR="009F76C3">
              <w:rPr>
                <w:rFonts w:cs="Arial"/>
                <w:b/>
                <w:lang w:val="fr-CA"/>
              </w:rPr>
              <w:t>R</w:t>
            </w:r>
            <w:r w:rsidRPr="00F56742">
              <w:rPr>
                <w:rFonts w:cs="Arial"/>
                <w:b/>
                <w:lang w:val="fr-CA"/>
              </w:rPr>
              <w:t>apport au comité de vérification)</w:t>
            </w:r>
          </w:p>
        </w:tc>
        <w:tc>
          <w:tcPr>
            <w:tcW w:w="3600" w:type="dxa"/>
            <w:tcBorders>
              <w:top w:val="double" w:sz="6" w:space="0" w:color="auto"/>
              <w:right w:val="double" w:sz="6" w:space="0" w:color="auto"/>
            </w:tcBorders>
            <w:shd w:val="pct20" w:color="auto" w:fill="auto"/>
          </w:tcPr>
          <w:p w:rsidR="00837EEB" w:rsidRDefault="00F56742">
            <w:pPr>
              <w:spacing w:after="60"/>
              <w:rPr>
                <w:rFonts w:cs="Arial"/>
                <w:b/>
                <w:lang w:val="fr-CA"/>
              </w:rPr>
            </w:pPr>
            <w:r w:rsidRPr="00F56742">
              <w:rPr>
                <w:rFonts w:cs="Arial"/>
                <w:b/>
                <w:lang w:val="fr-CA"/>
              </w:rPr>
              <w:t>Facteurs pouvant justifier un rapport externe (</w:t>
            </w:r>
            <w:r w:rsidR="009F76C3">
              <w:rPr>
                <w:rFonts w:cs="Arial"/>
                <w:b/>
                <w:lang w:val="fr-CA"/>
              </w:rPr>
              <w:t>R</w:t>
            </w:r>
            <w:r w:rsidRPr="00F56742">
              <w:rPr>
                <w:rFonts w:cs="Arial"/>
                <w:b/>
                <w:lang w:val="fr-CA"/>
              </w:rPr>
              <w:t xml:space="preserve">apport </w:t>
            </w:r>
            <w:r w:rsidR="009F76C3">
              <w:rPr>
                <w:rFonts w:cs="Arial"/>
                <w:b/>
                <w:lang w:val="fr-CA"/>
              </w:rPr>
              <w:t>de l’auditeur</w:t>
            </w:r>
            <w:r w:rsidRPr="00F56742">
              <w:rPr>
                <w:rFonts w:cs="Arial"/>
                <w:b/>
                <w:lang w:val="fr-CA"/>
              </w:rPr>
              <w:t xml:space="preserve"> ou </w:t>
            </w:r>
            <w:r w:rsidR="009F76C3">
              <w:rPr>
                <w:rFonts w:cs="Arial"/>
                <w:b/>
                <w:lang w:val="fr-CA"/>
              </w:rPr>
              <w:t>A</w:t>
            </w:r>
            <w:r w:rsidRPr="00F56742">
              <w:rPr>
                <w:rFonts w:cs="Arial"/>
                <w:b/>
                <w:lang w:val="fr-CA"/>
              </w:rPr>
              <w:t xml:space="preserve">utres observations </w:t>
            </w:r>
            <w:r w:rsidR="009F76C3">
              <w:rPr>
                <w:rFonts w:cs="Arial"/>
                <w:b/>
                <w:lang w:val="fr-CA"/>
              </w:rPr>
              <w:t>d’audit</w:t>
            </w:r>
            <w:r w:rsidRPr="00F56742">
              <w:rPr>
                <w:rFonts w:cs="Arial"/>
                <w:b/>
                <w:lang w:val="fr-CA"/>
              </w:rPr>
              <w:t>)</w:t>
            </w:r>
          </w:p>
        </w:tc>
      </w:tr>
      <w:tr w:rsidR="00811FDC" w:rsidRPr="002F5521" w:rsidTr="006D1242">
        <w:trPr>
          <w:trHeight w:val="760"/>
        </w:trPr>
        <w:tc>
          <w:tcPr>
            <w:tcW w:w="2610" w:type="dxa"/>
            <w:tcBorders>
              <w:top w:val="double" w:sz="6" w:space="0" w:color="auto"/>
              <w:left w:val="double" w:sz="6" w:space="0" w:color="auto"/>
              <w:right w:val="double" w:sz="6" w:space="0" w:color="auto"/>
            </w:tcBorders>
            <w:shd w:val="pct20" w:color="auto" w:fill="auto"/>
            <w:vAlign w:val="center"/>
          </w:tcPr>
          <w:p w:rsidR="00837EEB" w:rsidRDefault="00811FDC">
            <w:pPr>
              <w:spacing w:before="60" w:after="60"/>
              <w:rPr>
                <w:sz w:val="18"/>
                <w:lang w:val="fr-CA"/>
              </w:rPr>
            </w:pPr>
            <w:r>
              <w:rPr>
                <w:sz w:val="18"/>
                <w:lang w:val="fr-CA"/>
              </w:rPr>
              <w:t>Importance monétaire de</w:t>
            </w:r>
            <w:r w:rsidR="0064376B">
              <w:rPr>
                <w:sz w:val="18"/>
                <w:lang w:val="fr-CA"/>
              </w:rPr>
              <w:t xml:space="preserve"> </w:t>
            </w:r>
            <w:r>
              <w:rPr>
                <w:sz w:val="18"/>
                <w:lang w:val="fr-CA"/>
              </w:rPr>
              <w:t>(des) l’opération(s)</w:t>
            </w:r>
          </w:p>
        </w:tc>
        <w:tc>
          <w:tcPr>
            <w:tcW w:w="342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 xml:space="preserve">De beaucoup </w:t>
            </w:r>
            <w:proofErr w:type="gramStart"/>
            <w:r>
              <w:rPr>
                <w:sz w:val="18"/>
                <w:lang w:val="fr-CA"/>
              </w:rPr>
              <w:t>inférieure</w:t>
            </w:r>
            <w:proofErr w:type="gramEnd"/>
            <w:r>
              <w:rPr>
                <w:sz w:val="18"/>
                <w:lang w:val="fr-CA"/>
              </w:rPr>
              <w:t xml:space="preserve"> </w:t>
            </w:r>
            <w:r w:rsidR="00E0184C">
              <w:rPr>
                <w:sz w:val="18"/>
                <w:lang w:val="fr-CA"/>
              </w:rPr>
              <w:t xml:space="preserve">au seuil de signification </w:t>
            </w:r>
            <w:r>
              <w:rPr>
                <w:sz w:val="18"/>
                <w:lang w:val="fr-CA"/>
              </w:rPr>
              <w:t>fixé pour l’entité</w:t>
            </w:r>
          </w:p>
        </w:tc>
        <w:tc>
          <w:tcPr>
            <w:tcW w:w="360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 xml:space="preserve">Supérieure </w:t>
            </w:r>
            <w:r w:rsidR="00E0184C">
              <w:rPr>
                <w:sz w:val="18"/>
                <w:lang w:val="fr-CA"/>
              </w:rPr>
              <w:t xml:space="preserve">au seuil de signification </w:t>
            </w:r>
          </w:p>
        </w:tc>
      </w:tr>
      <w:tr w:rsidR="00811FDC" w:rsidRPr="002F5521" w:rsidTr="006D1242">
        <w:trPr>
          <w:trHeight w:val="794"/>
        </w:trPr>
        <w:tc>
          <w:tcPr>
            <w:tcW w:w="2610" w:type="dxa"/>
            <w:tcBorders>
              <w:top w:val="double" w:sz="6" w:space="0" w:color="auto"/>
              <w:left w:val="double" w:sz="6" w:space="0" w:color="auto"/>
              <w:right w:val="double" w:sz="6" w:space="0" w:color="auto"/>
            </w:tcBorders>
            <w:shd w:val="pct20" w:color="auto" w:fill="auto"/>
            <w:vAlign w:val="center"/>
          </w:tcPr>
          <w:p w:rsidR="00837EEB" w:rsidRDefault="00811FDC">
            <w:pPr>
              <w:spacing w:before="60" w:after="60"/>
              <w:rPr>
                <w:sz w:val="18"/>
                <w:lang w:val="fr-CA"/>
              </w:rPr>
            </w:pPr>
            <w:r>
              <w:rPr>
                <w:sz w:val="18"/>
                <w:lang w:val="fr-CA"/>
              </w:rPr>
              <w:t>Caractère délicat pour le public ou le Parlement</w:t>
            </w:r>
          </w:p>
        </w:tc>
        <w:tc>
          <w:tcPr>
            <w:tcW w:w="3420" w:type="dxa"/>
            <w:tcBorders>
              <w:top w:val="double" w:sz="6" w:space="0" w:color="auto"/>
              <w:right w:val="double" w:sz="6" w:space="0" w:color="auto"/>
            </w:tcBorders>
            <w:vAlign w:val="center"/>
          </w:tcPr>
          <w:p w:rsidR="00837EEB" w:rsidRDefault="0064376B">
            <w:pPr>
              <w:spacing w:before="60" w:after="60"/>
              <w:rPr>
                <w:sz w:val="18"/>
                <w:lang w:val="fr-CA"/>
              </w:rPr>
            </w:pPr>
            <w:r>
              <w:rPr>
                <w:sz w:val="18"/>
                <w:lang w:val="fr-CA"/>
              </w:rPr>
              <w:t>Pas de caractère délicat connu</w:t>
            </w:r>
          </w:p>
        </w:tc>
        <w:tc>
          <w:tcPr>
            <w:tcW w:w="360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 xml:space="preserve">Question à caractère délicat connu, p. ex., code de conduite, rémunération s </w:t>
            </w:r>
            <w:r w:rsidR="009F76C3">
              <w:rPr>
                <w:sz w:val="18"/>
                <w:lang w:val="fr-CA"/>
              </w:rPr>
              <w:t>de la direction,</w:t>
            </w:r>
            <w:r>
              <w:rPr>
                <w:sz w:val="18"/>
                <w:lang w:val="fr-CA"/>
              </w:rPr>
              <w:t xml:space="preserve"> etc.</w:t>
            </w:r>
          </w:p>
        </w:tc>
      </w:tr>
      <w:tr w:rsidR="00811FDC" w:rsidRPr="002F5521" w:rsidTr="006D1242">
        <w:tc>
          <w:tcPr>
            <w:tcW w:w="2610" w:type="dxa"/>
            <w:tcBorders>
              <w:top w:val="double" w:sz="6" w:space="0" w:color="auto"/>
              <w:left w:val="double" w:sz="6" w:space="0" w:color="auto"/>
              <w:right w:val="double" w:sz="6" w:space="0" w:color="auto"/>
            </w:tcBorders>
            <w:shd w:val="pct20" w:color="auto" w:fill="auto"/>
            <w:vAlign w:val="center"/>
          </w:tcPr>
          <w:p w:rsidR="00837EEB" w:rsidRDefault="00811FDC">
            <w:pPr>
              <w:spacing w:before="60" w:after="60"/>
              <w:rPr>
                <w:sz w:val="18"/>
                <w:lang w:val="fr-CA"/>
              </w:rPr>
            </w:pPr>
            <w:r>
              <w:rPr>
                <w:sz w:val="18"/>
                <w:lang w:val="fr-CA"/>
              </w:rPr>
              <w:t>“ Possibilité de contrôle ”</w:t>
            </w:r>
          </w:p>
        </w:tc>
        <w:tc>
          <w:tcPr>
            <w:tcW w:w="342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Conformité totale ou contrôle plus rigoureux impossible</w:t>
            </w:r>
          </w:p>
        </w:tc>
        <w:tc>
          <w:tcPr>
            <w:tcW w:w="3600" w:type="dxa"/>
            <w:tcBorders>
              <w:top w:val="double" w:sz="6" w:space="0" w:color="auto"/>
              <w:right w:val="double" w:sz="6" w:space="0" w:color="auto"/>
            </w:tcBorders>
            <w:vAlign w:val="center"/>
          </w:tcPr>
          <w:p w:rsidR="00837EEB" w:rsidRDefault="009F76C3">
            <w:pPr>
              <w:spacing w:before="60" w:after="60"/>
              <w:rPr>
                <w:sz w:val="18"/>
                <w:lang w:val="fr-CA"/>
              </w:rPr>
            </w:pPr>
            <w:r>
              <w:rPr>
                <w:sz w:val="18"/>
                <w:lang w:val="fr-CA"/>
              </w:rPr>
              <w:t>Conformité ou</w:t>
            </w:r>
            <w:r w:rsidR="00811FDC">
              <w:rPr>
                <w:sz w:val="18"/>
                <w:lang w:val="fr-CA"/>
              </w:rPr>
              <w:t xml:space="preserve"> contrôle </w:t>
            </w:r>
            <w:r>
              <w:rPr>
                <w:sz w:val="18"/>
                <w:lang w:val="fr-CA"/>
              </w:rPr>
              <w:t xml:space="preserve">plus rigoureux possible </w:t>
            </w:r>
          </w:p>
        </w:tc>
      </w:tr>
      <w:tr w:rsidR="00811FDC" w:rsidRPr="008E206D" w:rsidTr="006D1242">
        <w:tc>
          <w:tcPr>
            <w:tcW w:w="2610" w:type="dxa"/>
            <w:tcBorders>
              <w:top w:val="double" w:sz="6" w:space="0" w:color="auto"/>
              <w:left w:val="double" w:sz="6" w:space="0" w:color="auto"/>
              <w:right w:val="double" w:sz="6" w:space="0" w:color="auto"/>
            </w:tcBorders>
            <w:shd w:val="pct20" w:color="auto" w:fill="auto"/>
            <w:vAlign w:val="center"/>
          </w:tcPr>
          <w:p w:rsidR="00837EEB" w:rsidRDefault="00811FDC">
            <w:pPr>
              <w:spacing w:before="60" w:after="60"/>
              <w:rPr>
                <w:sz w:val="18"/>
                <w:lang w:val="fr-CA"/>
              </w:rPr>
            </w:pPr>
            <w:r>
              <w:rPr>
                <w:sz w:val="18"/>
                <w:lang w:val="fr-CA"/>
              </w:rPr>
              <w:t>Champ d’application de l’exigence</w:t>
            </w:r>
          </w:p>
        </w:tc>
        <w:tc>
          <w:tcPr>
            <w:tcW w:w="342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Exigence générale</w:t>
            </w:r>
          </w:p>
        </w:tc>
        <w:tc>
          <w:tcPr>
            <w:tcW w:w="3600" w:type="dxa"/>
            <w:tcBorders>
              <w:top w:val="double" w:sz="6" w:space="0" w:color="auto"/>
              <w:right w:val="double" w:sz="6" w:space="0" w:color="auto"/>
            </w:tcBorders>
            <w:vAlign w:val="center"/>
          </w:tcPr>
          <w:p w:rsidR="00837EEB" w:rsidRDefault="00811FDC">
            <w:pPr>
              <w:spacing w:before="60" w:after="60"/>
              <w:rPr>
                <w:sz w:val="18"/>
                <w:lang w:val="fr-CA"/>
              </w:rPr>
            </w:pPr>
            <w:r>
              <w:rPr>
                <w:sz w:val="18"/>
                <w:lang w:val="fr-CA"/>
              </w:rPr>
              <w:t>Exigence propre à l’entité</w:t>
            </w:r>
          </w:p>
        </w:tc>
      </w:tr>
      <w:tr w:rsidR="00811FDC" w:rsidRPr="002F5521" w:rsidTr="006D1242">
        <w:tc>
          <w:tcPr>
            <w:tcW w:w="2610" w:type="dxa"/>
            <w:tcBorders>
              <w:top w:val="double" w:sz="6" w:space="0" w:color="auto"/>
              <w:left w:val="double" w:sz="6" w:space="0" w:color="auto"/>
              <w:right w:val="double" w:sz="6" w:space="0" w:color="auto"/>
            </w:tcBorders>
            <w:shd w:val="pct20" w:color="auto" w:fill="auto"/>
          </w:tcPr>
          <w:p w:rsidR="00837EEB" w:rsidRDefault="00811FDC">
            <w:pPr>
              <w:spacing w:before="60" w:after="60"/>
              <w:rPr>
                <w:sz w:val="18"/>
                <w:lang w:val="fr-CA"/>
              </w:rPr>
            </w:pPr>
            <w:r>
              <w:rPr>
                <w:sz w:val="18"/>
                <w:lang w:val="fr-CA"/>
              </w:rPr>
              <w:t>Situation hiérarchique de l’exigence</w:t>
            </w:r>
          </w:p>
        </w:tc>
        <w:tc>
          <w:tcPr>
            <w:tcW w:w="3420" w:type="dxa"/>
            <w:tcBorders>
              <w:top w:val="double" w:sz="6" w:space="0" w:color="auto"/>
              <w:right w:val="double" w:sz="6" w:space="0" w:color="auto"/>
            </w:tcBorders>
          </w:tcPr>
          <w:p w:rsidR="00837EEB" w:rsidRDefault="00811FDC">
            <w:pPr>
              <w:spacing w:before="60" w:after="60"/>
              <w:rPr>
                <w:sz w:val="18"/>
                <w:lang w:val="fr-CA"/>
              </w:rPr>
            </w:pPr>
            <w:r>
              <w:rPr>
                <w:sz w:val="18"/>
                <w:lang w:val="fr-CA"/>
              </w:rPr>
              <w:t xml:space="preserve">Questions internes </w:t>
            </w:r>
            <w:r w:rsidR="009F76C3">
              <w:rPr>
                <w:sz w:val="18"/>
                <w:lang w:val="fr-CA"/>
              </w:rPr>
              <w:t xml:space="preserve">au </w:t>
            </w:r>
            <w:r>
              <w:rPr>
                <w:sz w:val="18"/>
                <w:lang w:val="fr-CA"/>
              </w:rPr>
              <w:t xml:space="preserve">gouvernement ou </w:t>
            </w:r>
            <w:r w:rsidR="009F76C3">
              <w:rPr>
                <w:sz w:val="18"/>
                <w:lang w:val="fr-CA"/>
              </w:rPr>
              <w:t xml:space="preserve">au </w:t>
            </w:r>
            <w:r>
              <w:rPr>
                <w:sz w:val="18"/>
                <w:lang w:val="fr-CA"/>
              </w:rPr>
              <w:t xml:space="preserve">conseil d’administration (p. ex. </w:t>
            </w:r>
            <w:r w:rsidR="009F76C3">
              <w:rPr>
                <w:sz w:val="18"/>
                <w:lang w:val="fr-CA"/>
              </w:rPr>
              <w:t>d</w:t>
            </w:r>
            <w:r>
              <w:rPr>
                <w:sz w:val="18"/>
                <w:lang w:val="fr-CA"/>
              </w:rPr>
              <w:t>écision du Conseil du Trésor, règlement administratif)</w:t>
            </w:r>
          </w:p>
        </w:tc>
        <w:tc>
          <w:tcPr>
            <w:tcW w:w="3600" w:type="dxa"/>
            <w:tcBorders>
              <w:top w:val="double" w:sz="6" w:space="0" w:color="auto"/>
              <w:right w:val="double" w:sz="6" w:space="0" w:color="auto"/>
            </w:tcBorders>
          </w:tcPr>
          <w:p w:rsidR="00837EEB" w:rsidRDefault="00811FDC">
            <w:pPr>
              <w:spacing w:before="60" w:after="60"/>
              <w:rPr>
                <w:sz w:val="18"/>
                <w:lang w:val="fr-CA"/>
              </w:rPr>
            </w:pPr>
            <w:r>
              <w:rPr>
                <w:sz w:val="18"/>
                <w:lang w:val="fr-CA"/>
              </w:rPr>
              <w:t>Exigence prévue par la loi</w:t>
            </w:r>
          </w:p>
        </w:tc>
      </w:tr>
      <w:tr w:rsidR="00811FDC" w:rsidTr="006D1242">
        <w:tc>
          <w:tcPr>
            <w:tcW w:w="2610" w:type="dxa"/>
            <w:tcBorders>
              <w:top w:val="double" w:sz="6" w:space="0" w:color="auto"/>
              <w:left w:val="double" w:sz="6" w:space="0" w:color="auto"/>
              <w:right w:val="double" w:sz="6" w:space="0" w:color="auto"/>
            </w:tcBorders>
            <w:shd w:val="pct20" w:color="auto" w:fill="auto"/>
          </w:tcPr>
          <w:p w:rsidR="00837EEB" w:rsidRDefault="00811FDC">
            <w:pPr>
              <w:spacing w:before="60" w:after="60"/>
              <w:rPr>
                <w:lang w:val="fr-CA"/>
              </w:rPr>
            </w:pPr>
            <w:r>
              <w:rPr>
                <w:lang w:val="fr-CA"/>
              </w:rPr>
              <w:t>Incidence possible de la non-conformité sur le rendement de l’entité</w:t>
            </w:r>
          </w:p>
        </w:tc>
        <w:tc>
          <w:tcPr>
            <w:tcW w:w="3420" w:type="dxa"/>
            <w:tcBorders>
              <w:top w:val="double" w:sz="6" w:space="0" w:color="auto"/>
              <w:right w:val="double" w:sz="6" w:space="0" w:color="auto"/>
            </w:tcBorders>
          </w:tcPr>
          <w:p w:rsidR="00837EEB" w:rsidRDefault="00811FDC">
            <w:pPr>
              <w:tabs>
                <w:tab w:val="right" w:pos="9360"/>
              </w:tabs>
              <w:spacing w:before="120" w:after="120"/>
              <w:rPr>
                <w:lang w:val="fr-CA"/>
              </w:rPr>
            </w:pPr>
            <w:r>
              <w:rPr>
                <w:lang w:val="fr-CA"/>
              </w:rPr>
              <w:t>Incidence négligeable</w:t>
            </w:r>
          </w:p>
        </w:tc>
        <w:tc>
          <w:tcPr>
            <w:tcW w:w="3600" w:type="dxa"/>
            <w:tcBorders>
              <w:top w:val="double" w:sz="6" w:space="0" w:color="auto"/>
              <w:right w:val="double" w:sz="6" w:space="0" w:color="auto"/>
            </w:tcBorders>
          </w:tcPr>
          <w:p w:rsidR="00837EEB" w:rsidRDefault="00811FDC">
            <w:pPr>
              <w:tabs>
                <w:tab w:val="right" w:pos="9360"/>
              </w:tabs>
              <w:spacing w:before="120" w:after="120"/>
              <w:rPr>
                <w:lang w:val="fr-CA"/>
              </w:rPr>
            </w:pPr>
            <w:r>
              <w:rPr>
                <w:lang w:val="fr-CA"/>
              </w:rPr>
              <w:t>Incidence importante</w:t>
            </w:r>
            <w:r w:rsidR="009F76C3">
              <w:rPr>
                <w:lang w:val="fr-CA"/>
              </w:rPr>
              <w:t xml:space="preserve"> possible</w:t>
            </w:r>
          </w:p>
        </w:tc>
      </w:tr>
      <w:tr w:rsidR="00811FDC" w:rsidRPr="008E206D" w:rsidTr="006D1242">
        <w:tc>
          <w:tcPr>
            <w:tcW w:w="2610" w:type="dxa"/>
            <w:tcBorders>
              <w:top w:val="double" w:sz="6" w:space="0" w:color="auto"/>
              <w:left w:val="double" w:sz="6" w:space="0" w:color="auto"/>
              <w:right w:val="double" w:sz="6" w:space="0" w:color="auto"/>
            </w:tcBorders>
            <w:shd w:val="pct20" w:color="auto" w:fill="auto"/>
          </w:tcPr>
          <w:p w:rsidR="00837EEB" w:rsidRDefault="00811FDC">
            <w:pPr>
              <w:spacing w:before="60" w:after="60"/>
              <w:rPr>
                <w:lang w:val="fr-CA"/>
              </w:rPr>
            </w:pPr>
            <w:r>
              <w:rPr>
                <w:lang w:val="fr-CA"/>
              </w:rPr>
              <w:t>Fréquence de la non</w:t>
            </w:r>
            <w:r>
              <w:rPr>
                <w:lang w:val="fr-CA"/>
              </w:rPr>
              <w:noBreakHyphen/>
              <w:t>conformité</w:t>
            </w:r>
          </w:p>
        </w:tc>
        <w:tc>
          <w:tcPr>
            <w:tcW w:w="3420" w:type="dxa"/>
            <w:tcBorders>
              <w:top w:val="double" w:sz="6" w:space="0" w:color="auto"/>
              <w:right w:val="double" w:sz="6" w:space="0" w:color="auto"/>
            </w:tcBorders>
          </w:tcPr>
          <w:p w:rsidR="00837EEB" w:rsidRDefault="00811FDC">
            <w:pPr>
              <w:tabs>
                <w:tab w:val="right" w:pos="9360"/>
              </w:tabs>
              <w:spacing w:before="120" w:after="120"/>
              <w:rPr>
                <w:lang w:val="fr-CA"/>
              </w:rPr>
            </w:pPr>
            <w:r>
              <w:rPr>
                <w:lang w:val="fr-CA"/>
              </w:rPr>
              <w:t>Cas isolé</w:t>
            </w:r>
          </w:p>
        </w:tc>
        <w:tc>
          <w:tcPr>
            <w:tcW w:w="3600" w:type="dxa"/>
            <w:tcBorders>
              <w:top w:val="double" w:sz="6" w:space="0" w:color="auto"/>
              <w:right w:val="double" w:sz="6" w:space="0" w:color="auto"/>
            </w:tcBorders>
          </w:tcPr>
          <w:p w:rsidR="00837EEB" w:rsidRDefault="00811FDC">
            <w:pPr>
              <w:tabs>
                <w:tab w:val="right" w:pos="9360"/>
              </w:tabs>
              <w:spacing w:before="120" w:after="120"/>
              <w:rPr>
                <w:lang w:val="fr-CA"/>
              </w:rPr>
            </w:pPr>
            <w:r>
              <w:rPr>
                <w:lang w:val="fr-CA"/>
              </w:rPr>
              <w:t>Cas répétitifs, répandus</w:t>
            </w:r>
          </w:p>
        </w:tc>
      </w:tr>
      <w:tr w:rsidR="00811FDC" w:rsidRPr="002F5521" w:rsidTr="006D1242">
        <w:tc>
          <w:tcPr>
            <w:tcW w:w="2610" w:type="dxa"/>
            <w:tcBorders>
              <w:top w:val="double" w:sz="6" w:space="0" w:color="auto"/>
              <w:left w:val="double" w:sz="6" w:space="0" w:color="auto"/>
              <w:right w:val="double" w:sz="6" w:space="0" w:color="auto"/>
            </w:tcBorders>
            <w:shd w:val="pct20" w:color="auto" w:fill="auto"/>
          </w:tcPr>
          <w:p w:rsidR="00837EEB" w:rsidRDefault="00811FDC">
            <w:pPr>
              <w:spacing w:before="60" w:after="60"/>
              <w:rPr>
                <w:lang w:val="fr-CA"/>
              </w:rPr>
            </w:pPr>
            <w:r>
              <w:rPr>
                <w:lang w:val="fr-CA"/>
              </w:rPr>
              <w:t>Attitude de l’entité</w:t>
            </w:r>
          </w:p>
        </w:tc>
        <w:tc>
          <w:tcPr>
            <w:tcW w:w="3420" w:type="dxa"/>
            <w:tcBorders>
              <w:top w:val="double" w:sz="6" w:space="0" w:color="auto"/>
              <w:right w:val="double" w:sz="6" w:space="0" w:color="auto"/>
            </w:tcBorders>
          </w:tcPr>
          <w:p w:rsidR="00837EEB" w:rsidRDefault="00811FDC">
            <w:pPr>
              <w:tabs>
                <w:tab w:val="right" w:pos="9360"/>
              </w:tabs>
              <w:spacing w:before="60" w:after="60"/>
              <w:rPr>
                <w:lang w:val="fr-CA"/>
              </w:rPr>
            </w:pPr>
            <w:r>
              <w:rPr>
                <w:lang w:val="fr-CA"/>
              </w:rPr>
              <w:t>Conformité favorisée: mesures correctives prises (ou envisagées) dès le premier cas</w:t>
            </w:r>
          </w:p>
        </w:tc>
        <w:tc>
          <w:tcPr>
            <w:tcW w:w="3600" w:type="dxa"/>
            <w:tcBorders>
              <w:top w:val="double" w:sz="6" w:space="0" w:color="auto"/>
              <w:right w:val="double" w:sz="6" w:space="0" w:color="auto"/>
            </w:tcBorders>
          </w:tcPr>
          <w:p w:rsidR="00837EEB" w:rsidRDefault="00811FDC">
            <w:pPr>
              <w:tabs>
                <w:tab w:val="right" w:pos="9360"/>
              </w:tabs>
              <w:spacing w:before="60" w:after="60"/>
              <w:rPr>
                <w:lang w:val="fr-CA"/>
              </w:rPr>
            </w:pPr>
            <w:r>
              <w:rPr>
                <w:lang w:val="fr-CA"/>
              </w:rPr>
              <w:t>Résultat du défaut de favoriser la conformité; aucune mesure corrective prise ou envisagée</w:t>
            </w:r>
          </w:p>
        </w:tc>
      </w:tr>
      <w:tr w:rsidR="00811FDC" w:rsidRPr="002F5521" w:rsidTr="006D1242">
        <w:tc>
          <w:tcPr>
            <w:tcW w:w="2610" w:type="dxa"/>
            <w:tcBorders>
              <w:top w:val="double" w:sz="6" w:space="0" w:color="auto"/>
              <w:left w:val="double" w:sz="6" w:space="0" w:color="auto"/>
              <w:right w:val="double" w:sz="6" w:space="0" w:color="auto"/>
            </w:tcBorders>
            <w:shd w:val="pct20" w:color="auto" w:fill="auto"/>
          </w:tcPr>
          <w:p w:rsidR="00837EEB" w:rsidRDefault="00811FDC">
            <w:pPr>
              <w:tabs>
                <w:tab w:val="right" w:pos="9360"/>
              </w:tabs>
              <w:spacing w:before="60" w:after="60"/>
              <w:rPr>
                <w:lang w:val="fr-CA"/>
              </w:rPr>
            </w:pPr>
            <w:r>
              <w:rPr>
                <w:lang w:val="fr-CA"/>
              </w:rPr>
              <w:lastRenderedPageBreak/>
              <w:t>Évidence de la non</w:t>
            </w:r>
            <w:r>
              <w:rPr>
                <w:lang w:val="fr-CA"/>
              </w:rPr>
              <w:noBreakHyphen/>
              <w:t>conformité</w:t>
            </w:r>
          </w:p>
        </w:tc>
        <w:tc>
          <w:tcPr>
            <w:tcW w:w="3420" w:type="dxa"/>
            <w:tcBorders>
              <w:top w:val="double" w:sz="6" w:space="0" w:color="auto"/>
              <w:right w:val="double" w:sz="6" w:space="0" w:color="auto"/>
            </w:tcBorders>
          </w:tcPr>
          <w:p w:rsidR="00837EEB" w:rsidRDefault="00811FDC">
            <w:pPr>
              <w:tabs>
                <w:tab w:val="right" w:pos="9360"/>
              </w:tabs>
              <w:spacing w:before="60" w:after="60"/>
              <w:rPr>
                <w:lang w:val="fr-CA"/>
              </w:rPr>
            </w:pPr>
            <w:r>
              <w:rPr>
                <w:lang w:val="fr-CA"/>
              </w:rPr>
              <w:t>La direction de l’entité est convaincue qu’elle se conforme, et a un motif raisonnable de le croire</w:t>
            </w:r>
          </w:p>
        </w:tc>
        <w:tc>
          <w:tcPr>
            <w:tcW w:w="3600" w:type="dxa"/>
            <w:tcBorders>
              <w:top w:val="double" w:sz="6" w:space="0" w:color="auto"/>
              <w:right w:val="double" w:sz="6" w:space="0" w:color="auto"/>
            </w:tcBorders>
          </w:tcPr>
          <w:p w:rsidR="00837EEB" w:rsidRDefault="00811FDC">
            <w:pPr>
              <w:tabs>
                <w:tab w:val="right" w:pos="9360"/>
              </w:tabs>
              <w:spacing w:before="60" w:after="60"/>
              <w:rPr>
                <w:lang w:val="fr-CA"/>
              </w:rPr>
            </w:pPr>
            <w:r>
              <w:rPr>
                <w:lang w:val="fr-CA"/>
              </w:rPr>
              <w:t>La direction ne se conforme manifestement pas</w:t>
            </w:r>
            <w:r w:rsidR="009F76C3">
              <w:rPr>
                <w:lang w:val="fr-CA"/>
              </w:rPr>
              <w:t>;</w:t>
            </w:r>
            <w:r>
              <w:rPr>
                <w:lang w:val="fr-CA"/>
              </w:rPr>
              <w:t xml:space="preserve"> l</w:t>
            </w:r>
            <w:r w:rsidR="009F76C3">
              <w:rPr>
                <w:lang w:val="fr-CA"/>
              </w:rPr>
              <w:t xml:space="preserve">es </w:t>
            </w:r>
            <w:r>
              <w:rPr>
                <w:lang w:val="fr-CA"/>
              </w:rPr>
              <w:t>avis juridique</w:t>
            </w:r>
            <w:r w:rsidR="009F76C3">
              <w:rPr>
                <w:lang w:val="fr-CA"/>
              </w:rPr>
              <w:t>s</w:t>
            </w:r>
            <w:r>
              <w:rPr>
                <w:lang w:val="fr-CA"/>
              </w:rPr>
              <w:t xml:space="preserve"> le confirme</w:t>
            </w:r>
            <w:r w:rsidR="009F76C3">
              <w:rPr>
                <w:lang w:val="fr-CA"/>
              </w:rPr>
              <w:t xml:space="preserve">nt. </w:t>
            </w:r>
          </w:p>
        </w:tc>
      </w:tr>
      <w:tr w:rsidR="00811FDC" w:rsidRPr="002F5521" w:rsidTr="006D1242">
        <w:tc>
          <w:tcPr>
            <w:tcW w:w="2610" w:type="dxa"/>
            <w:tcBorders>
              <w:top w:val="double" w:sz="6" w:space="0" w:color="auto"/>
              <w:left w:val="double" w:sz="6" w:space="0" w:color="auto"/>
              <w:bottom w:val="double" w:sz="6" w:space="0" w:color="auto"/>
              <w:right w:val="double" w:sz="6" w:space="0" w:color="auto"/>
            </w:tcBorders>
            <w:shd w:val="pct20" w:color="auto" w:fill="auto"/>
          </w:tcPr>
          <w:p w:rsidR="00837EEB" w:rsidRDefault="00811FDC">
            <w:pPr>
              <w:tabs>
                <w:tab w:val="right" w:pos="9360"/>
              </w:tabs>
              <w:spacing w:before="60" w:after="60"/>
              <w:rPr>
                <w:lang w:val="fr-CA"/>
              </w:rPr>
            </w:pPr>
            <w:r>
              <w:rPr>
                <w:lang w:val="fr-CA"/>
              </w:rPr>
              <w:t>Incidence à l’échelle du gouvernement</w:t>
            </w:r>
          </w:p>
        </w:tc>
        <w:tc>
          <w:tcPr>
            <w:tcW w:w="3420" w:type="dxa"/>
            <w:tcBorders>
              <w:top w:val="double" w:sz="6" w:space="0" w:color="auto"/>
              <w:bottom w:val="double" w:sz="6" w:space="0" w:color="auto"/>
              <w:right w:val="double" w:sz="6" w:space="0" w:color="auto"/>
            </w:tcBorders>
          </w:tcPr>
          <w:p w:rsidR="00837EEB" w:rsidRDefault="00811FDC">
            <w:pPr>
              <w:tabs>
                <w:tab w:val="right" w:pos="9360"/>
              </w:tabs>
              <w:spacing w:before="60" w:after="60"/>
              <w:rPr>
                <w:lang w:val="fr-CA"/>
              </w:rPr>
            </w:pPr>
            <w:r>
              <w:rPr>
                <w:lang w:val="fr-CA"/>
              </w:rPr>
              <w:t>Propre à l’entité</w:t>
            </w:r>
          </w:p>
        </w:tc>
        <w:tc>
          <w:tcPr>
            <w:tcW w:w="3600" w:type="dxa"/>
            <w:tcBorders>
              <w:top w:val="double" w:sz="6" w:space="0" w:color="auto"/>
              <w:bottom w:val="double" w:sz="6" w:space="0" w:color="auto"/>
              <w:right w:val="double" w:sz="6" w:space="0" w:color="auto"/>
            </w:tcBorders>
          </w:tcPr>
          <w:p w:rsidR="00837EEB" w:rsidRDefault="00811FDC">
            <w:pPr>
              <w:tabs>
                <w:tab w:val="right" w:pos="9360"/>
              </w:tabs>
              <w:spacing w:before="60" w:after="60"/>
              <w:rPr>
                <w:lang w:val="fr-CA"/>
              </w:rPr>
            </w:pPr>
            <w:r>
              <w:rPr>
                <w:lang w:val="fr-CA"/>
              </w:rPr>
              <w:t xml:space="preserve">Incidence sur l’entité dans ses </w:t>
            </w:r>
            <w:r w:rsidR="009F76C3">
              <w:rPr>
                <w:lang w:val="fr-CA"/>
              </w:rPr>
              <w:t xml:space="preserve">relations </w:t>
            </w:r>
            <w:r>
              <w:rPr>
                <w:lang w:val="fr-CA"/>
              </w:rPr>
              <w:t xml:space="preserve">avec d’autres entités, les </w:t>
            </w:r>
            <w:r w:rsidR="009F76C3">
              <w:rPr>
                <w:lang w:val="fr-CA"/>
              </w:rPr>
              <w:t>agences centrales</w:t>
            </w:r>
            <w:r>
              <w:rPr>
                <w:lang w:val="fr-CA"/>
              </w:rPr>
              <w:t xml:space="preserve">  ou avec le Parlement (</w:t>
            </w:r>
            <w:r w:rsidR="0064376B">
              <w:rPr>
                <w:lang w:val="fr-CA"/>
              </w:rPr>
              <w:t>« A</w:t>
            </w:r>
            <w:r>
              <w:rPr>
                <w:lang w:val="fr-CA"/>
              </w:rPr>
              <w:t>utre question</w:t>
            </w:r>
            <w:r w:rsidR="0064376B">
              <w:rPr>
                <w:lang w:val="fr-CA"/>
              </w:rPr>
              <w:t> »</w:t>
            </w:r>
            <w:r>
              <w:rPr>
                <w:lang w:val="fr-CA"/>
              </w:rPr>
              <w:t xml:space="preserve"> possible)</w:t>
            </w:r>
          </w:p>
        </w:tc>
      </w:tr>
    </w:tbl>
    <w:p w:rsidR="00D5313F" w:rsidRPr="006E0C76" w:rsidRDefault="00D5313F" w:rsidP="00D5313F">
      <w:pPr>
        <w:rPr>
          <w:lang w:val="fr-CA"/>
        </w:rPr>
      </w:pPr>
    </w:p>
    <w:p w:rsidR="00FD35A2" w:rsidRPr="006E0C76" w:rsidRDefault="00FD35A2" w:rsidP="00D5313F">
      <w:pPr>
        <w:rPr>
          <w:lang w:val="fr-CA"/>
        </w:rPr>
      </w:pPr>
    </w:p>
    <w:p w:rsidR="00FD35A2" w:rsidRPr="006E0C76" w:rsidRDefault="00FD35A2" w:rsidP="00D5313F">
      <w:pPr>
        <w:rPr>
          <w:lang w:val="fr-CA"/>
        </w:rPr>
      </w:pPr>
    </w:p>
    <w:p w:rsidR="00FD35A2" w:rsidRPr="006E0C76" w:rsidRDefault="00FD35A2" w:rsidP="00D5313F">
      <w:pPr>
        <w:rPr>
          <w:lang w:val="fr-CA"/>
        </w:rPr>
      </w:pPr>
    </w:p>
    <w:p w:rsidR="00FD35A2" w:rsidRPr="006E0C76" w:rsidRDefault="00FD35A2" w:rsidP="00D5313F">
      <w:pPr>
        <w:rPr>
          <w:lang w:val="fr-CA"/>
        </w:rPr>
      </w:pPr>
    </w:p>
    <w:p w:rsidR="00FD35A2" w:rsidRPr="006E0C76" w:rsidRDefault="00FD35A2" w:rsidP="00D5313F">
      <w:pPr>
        <w:rPr>
          <w:lang w:val="fr-CA"/>
        </w:rPr>
      </w:pPr>
    </w:p>
    <w:p w:rsidR="00FD35A2" w:rsidRPr="006E0C76" w:rsidRDefault="00FD35A2" w:rsidP="00D5313F">
      <w:pPr>
        <w:rPr>
          <w:lang w:val="fr-CA"/>
        </w:rPr>
      </w:pPr>
    </w:p>
    <w:p w:rsidR="00F56742" w:rsidRPr="006E0C76" w:rsidRDefault="00F56742" w:rsidP="006D1242">
      <w:pPr>
        <w:rPr>
          <w:lang w:val="fr-CA"/>
        </w:rPr>
      </w:pPr>
      <w:r w:rsidRPr="006E0C76">
        <w:rPr>
          <w:b/>
          <w:lang w:val="fr-CA"/>
        </w:rPr>
        <w:t>Conclusion quant au mode de communication</w:t>
      </w:r>
      <w:r w:rsidR="004C2C18" w:rsidRPr="006E0C76">
        <w:rPr>
          <w:b/>
          <w:lang w:val="fr-CA"/>
        </w:rPr>
        <w:t xml:space="preserve"> choisi</w:t>
      </w:r>
      <w:r w:rsidR="00FD35A2" w:rsidRPr="006E0C76">
        <w:rPr>
          <w:lang w:val="fr-CA"/>
        </w:rPr>
        <w:t>:</w:t>
      </w:r>
    </w:p>
    <w:sectPr w:rsidR="00F56742" w:rsidRPr="006E0C76" w:rsidSect="006D1242">
      <w:headerReference w:type="default" r:id="rId8"/>
      <w:footerReference w:type="default" r:id="rId9"/>
      <w:headerReference w:type="first" r:id="rId10"/>
      <w:footerReference w:type="first" r:id="rId11"/>
      <w:pgSz w:w="12240" w:h="15840" w:code="1"/>
      <w:pgMar w:top="1195" w:right="1440" w:bottom="965"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6A" w:rsidRDefault="00F1186A" w:rsidP="0064376B">
      <w:r>
        <w:separator/>
      </w:r>
    </w:p>
  </w:endnote>
  <w:endnote w:type="continuationSeparator" w:id="0">
    <w:p w:rsidR="00F1186A" w:rsidRDefault="00F1186A"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6B" w:rsidRPr="00F84918" w:rsidRDefault="00F84918" w:rsidP="006D1242">
    <w:pPr>
      <w:pStyle w:val="Footer"/>
      <w:tabs>
        <w:tab w:val="clear" w:pos="4680"/>
      </w:tabs>
      <w:jc w:val="right"/>
      <w:rPr>
        <w:lang w:val="fr-CA"/>
      </w:rPr>
    </w:pPr>
    <w:r w:rsidRPr="00F84918">
      <w:rPr>
        <w:lang w:val="fr-CA"/>
      </w:rPr>
      <w:fldChar w:fldCharType="begin"/>
    </w:r>
    <w:r w:rsidRPr="00F84918">
      <w:rPr>
        <w:lang w:val="fr-CA"/>
      </w:rPr>
      <w:instrText xml:space="preserve"> PAGE   \* MERGEFORMAT </w:instrText>
    </w:r>
    <w:r w:rsidRPr="00F84918">
      <w:rPr>
        <w:lang w:val="fr-CA"/>
      </w:rPr>
      <w:fldChar w:fldCharType="separate"/>
    </w:r>
    <w:r w:rsidR="00F1756A">
      <w:rPr>
        <w:noProof/>
        <w:lang w:val="fr-CA"/>
      </w:rPr>
      <w:t>2</w:t>
    </w:r>
    <w:r w:rsidRPr="00F84918">
      <w:rPr>
        <w:noProof/>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18" w:rsidRDefault="00F84918" w:rsidP="00F84918">
    <w:pPr>
      <w:pStyle w:val="Footer"/>
      <w:rPr>
        <w:sz w:val="16"/>
        <w:lang w:val="fr-CA"/>
      </w:rPr>
    </w:pPr>
    <w:r>
      <w:rPr>
        <w:sz w:val="16"/>
        <w:lang w:val="fr-CA"/>
      </w:rPr>
      <w:t>oct. -2012</w:t>
    </w:r>
  </w:p>
  <w:p w:rsidR="00F84918" w:rsidRPr="00F84918" w:rsidRDefault="00F1756A" w:rsidP="006D1242">
    <w:pPr>
      <w:pStyle w:val="Footer"/>
      <w:tabs>
        <w:tab w:val="clear" w:pos="4680"/>
      </w:tabs>
      <w:rPr>
        <w:lang w:val="fr-CA"/>
      </w:rPr>
    </w:pPr>
    <w:r>
      <w:rPr>
        <w:sz w:val="16"/>
        <w:lang w:val="fr-CA"/>
      </w:rPr>
      <w:t>Propriétaire du modèle : Services d’audit</w:t>
    </w:r>
    <w:r w:rsidR="00F84918">
      <w:rPr>
        <w:sz w:val="16"/>
        <w:lang w:val="fr-CA"/>
      </w:rPr>
      <w:tab/>
    </w:r>
    <w:r w:rsidR="00F84918" w:rsidRPr="00F84918">
      <w:rPr>
        <w:lang w:val="fr-CA"/>
      </w:rPr>
      <w:fldChar w:fldCharType="begin"/>
    </w:r>
    <w:r w:rsidR="00F84918" w:rsidRPr="00F84918">
      <w:rPr>
        <w:lang w:val="fr-CA"/>
      </w:rPr>
      <w:instrText xml:space="preserve"> PAGE   \* MERGEFORMAT </w:instrText>
    </w:r>
    <w:r w:rsidR="00F84918" w:rsidRPr="00F84918">
      <w:rPr>
        <w:lang w:val="fr-CA"/>
      </w:rPr>
      <w:fldChar w:fldCharType="separate"/>
    </w:r>
    <w:r>
      <w:rPr>
        <w:noProof/>
        <w:lang w:val="fr-CA"/>
      </w:rPr>
      <w:t>1</w:t>
    </w:r>
    <w:r w:rsidR="00F84918" w:rsidRPr="00F84918">
      <w:rPr>
        <w:noProof/>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6A" w:rsidRDefault="00F1186A" w:rsidP="0064376B">
      <w:r>
        <w:separator/>
      </w:r>
    </w:p>
  </w:footnote>
  <w:footnote w:type="continuationSeparator" w:id="0">
    <w:p w:rsidR="00F1186A" w:rsidRDefault="00F1186A" w:rsidP="0064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5C1" w:rsidRDefault="00F1756A" w:rsidP="001415C1">
    <w:pPr>
      <w:pStyle w:val="Header"/>
      <w:jc w:val="right"/>
    </w:pPr>
    <w:sdt>
      <w:sdtPr>
        <w:rPr>
          <w:b/>
          <w:sz w:val="22"/>
        </w:rPr>
        <w:alias w:val="Security Label"/>
        <w:tag w:val="OAG-BVG-Classification"/>
        <w:id w:val="134609748"/>
        <w:placeholder>
          <w:docPart w:val="3B017CC89497404AAEFD0F19671FBB4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1415C1">
          <w:rPr>
            <w:b/>
            <w:sz w:val="22"/>
          </w:rPr>
          <w:t>PROTÉGÉ A (lorsque complété)</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85" w:rsidRPr="002F5521" w:rsidRDefault="00F1756A" w:rsidP="002C1985">
    <w:pPr>
      <w:pStyle w:val="Header"/>
      <w:jc w:val="right"/>
      <w:rPr>
        <w:sz w:val="22"/>
        <w:szCs w:val="22"/>
      </w:rPr>
    </w:pPr>
    <w:sdt>
      <w:sdtPr>
        <w:rPr>
          <w:rFonts w:cs="Arial"/>
          <w:b/>
          <w:sz w:val="22"/>
          <w:szCs w:val="22"/>
          <w:lang w:val="fr-CA"/>
        </w:rPr>
        <w:alias w:val="Étiquette de sécurité"/>
        <w:tag w:val="OAG-BVG-Classification"/>
        <w:id w:val="2052195265"/>
        <w:placeholder>
          <w:docPart w:val="CC6FF86CFDAF497D9181E53F75F6A4F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F5521" w:rsidRPr="002F5521">
          <w:rPr>
            <w:rFonts w:cs="Arial"/>
            <w:b/>
            <w:sz w:val="22"/>
            <w:szCs w:val="22"/>
            <w:lang w:val="fr-CA"/>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57968"/>
    <w:multiLevelType w:val="hybridMultilevel"/>
    <w:tmpl w:val="E0BC20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DC"/>
    <w:rsid w:val="00022DF8"/>
    <w:rsid w:val="00033ACC"/>
    <w:rsid w:val="00050CE6"/>
    <w:rsid w:val="00051ADC"/>
    <w:rsid w:val="000613C5"/>
    <w:rsid w:val="00076506"/>
    <w:rsid w:val="00092506"/>
    <w:rsid w:val="000945A2"/>
    <w:rsid w:val="000A6AB5"/>
    <w:rsid w:val="000A73ED"/>
    <w:rsid w:val="000B6818"/>
    <w:rsid w:val="000C6821"/>
    <w:rsid w:val="000F4717"/>
    <w:rsid w:val="000F6DEC"/>
    <w:rsid w:val="001066B9"/>
    <w:rsid w:val="00121BB7"/>
    <w:rsid w:val="00134304"/>
    <w:rsid w:val="00137DC1"/>
    <w:rsid w:val="001415C1"/>
    <w:rsid w:val="00142287"/>
    <w:rsid w:val="001849F8"/>
    <w:rsid w:val="00184A1B"/>
    <w:rsid w:val="001945DF"/>
    <w:rsid w:val="001C353A"/>
    <w:rsid w:val="001C4ED2"/>
    <w:rsid w:val="001D6EB4"/>
    <w:rsid w:val="001F56E7"/>
    <w:rsid w:val="00205FAA"/>
    <w:rsid w:val="00213553"/>
    <w:rsid w:val="00231156"/>
    <w:rsid w:val="00232231"/>
    <w:rsid w:val="00245FEF"/>
    <w:rsid w:val="00263F36"/>
    <w:rsid w:val="002673A9"/>
    <w:rsid w:val="002852AB"/>
    <w:rsid w:val="0028696C"/>
    <w:rsid w:val="002907FD"/>
    <w:rsid w:val="00296F5C"/>
    <w:rsid w:val="002C1985"/>
    <w:rsid w:val="002D67A1"/>
    <w:rsid w:val="002E0DD1"/>
    <w:rsid w:val="002E3D9C"/>
    <w:rsid w:val="002E4088"/>
    <w:rsid w:val="002F5521"/>
    <w:rsid w:val="002F795F"/>
    <w:rsid w:val="00301F77"/>
    <w:rsid w:val="00321E53"/>
    <w:rsid w:val="0036202E"/>
    <w:rsid w:val="00362914"/>
    <w:rsid w:val="00373AE9"/>
    <w:rsid w:val="00385FB2"/>
    <w:rsid w:val="003867B4"/>
    <w:rsid w:val="0039286C"/>
    <w:rsid w:val="003A2935"/>
    <w:rsid w:val="003C01DF"/>
    <w:rsid w:val="003C76A4"/>
    <w:rsid w:val="003D7AD4"/>
    <w:rsid w:val="004014F6"/>
    <w:rsid w:val="00407BE0"/>
    <w:rsid w:val="004164F0"/>
    <w:rsid w:val="00420DEF"/>
    <w:rsid w:val="004570EA"/>
    <w:rsid w:val="00474FCF"/>
    <w:rsid w:val="004A16DA"/>
    <w:rsid w:val="004A593B"/>
    <w:rsid w:val="004C16C9"/>
    <w:rsid w:val="004C2C18"/>
    <w:rsid w:val="004C5A65"/>
    <w:rsid w:val="004D09CB"/>
    <w:rsid w:val="004E20D8"/>
    <w:rsid w:val="004E2C7A"/>
    <w:rsid w:val="004E2E05"/>
    <w:rsid w:val="004F0FA4"/>
    <w:rsid w:val="005363EE"/>
    <w:rsid w:val="00537C94"/>
    <w:rsid w:val="00550455"/>
    <w:rsid w:val="00572671"/>
    <w:rsid w:val="005916CD"/>
    <w:rsid w:val="00593409"/>
    <w:rsid w:val="00594123"/>
    <w:rsid w:val="005A3DC8"/>
    <w:rsid w:val="005A64EC"/>
    <w:rsid w:val="005B3F6C"/>
    <w:rsid w:val="005C1AA8"/>
    <w:rsid w:val="005F7B1B"/>
    <w:rsid w:val="00604E6B"/>
    <w:rsid w:val="00625744"/>
    <w:rsid w:val="006303F9"/>
    <w:rsid w:val="00635A86"/>
    <w:rsid w:val="0064376B"/>
    <w:rsid w:val="00653118"/>
    <w:rsid w:val="0065576F"/>
    <w:rsid w:val="00660345"/>
    <w:rsid w:val="00661DDD"/>
    <w:rsid w:val="00666347"/>
    <w:rsid w:val="00670ABE"/>
    <w:rsid w:val="00681991"/>
    <w:rsid w:val="00682D0C"/>
    <w:rsid w:val="0068328E"/>
    <w:rsid w:val="00696E35"/>
    <w:rsid w:val="006A0D2B"/>
    <w:rsid w:val="006A28E7"/>
    <w:rsid w:val="006A2E9E"/>
    <w:rsid w:val="006D1242"/>
    <w:rsid w:val="006E0C76"/>
    <w:rsid w:val="006F56AB"/>
    <w:rsid w:val="00704E4B"/>
    <w:rsid w:val="00711CE7"/>
    <w:rsid w:val="007134FF"/>
    <w:rsid w:val="007208FB"/>
    <w:rsid w:val="0072402A"/>
    <w:rsid w:val="00750786"/>
    <w:rsid w:val="00782CFF"/>
    <w:rsid w:val="007839BA"/>
    <w:rsid w:val="00794A29"/>
    <w:rsid w:val="007D0CAE"/>
    <w:rsid w:val="007E1363"/>
    <w:rsid w:val="007E3020"/>
    <w:rsid w:val="007E4EDC"/>
    <w:rsid w:val="007E5D7D"/>
    <w:rsid w:val="007E67E0"/>
    <w:rsid w:val="007F4971"/>
    <w:rsid w:val="00811FDC"/>
    <w:rsid w:val="0082022B"/>
    <w:rsid w:val="00820D25"/>
    <w:rsid w:val="0082735D"/>
    <w:rsid w:val="008347A8"/>
    <w:rsid w:val="00837EEB"/>
    <w:rsid w:val="008451B3"/>
    <w:rsid w:val="00847E57"/>
    <w:rsid w:val="00867ACD"/>
    <w:rsid w:val="008845C4"/>
    <w:rsid w:val="00885D7B"/>
    <w:rsid w:val="00886436"/>
    <w:rsid w:val="0089418C"/>
    <w:rsid w:val="008A1BBB"/>
    <w:rsid w:val="008A3477"/>
    <w:rsid w:val="008B1C26"/>
    <w:rsid w:val="008D1509"/>
    <w:rsid w:val="008E0005"/>
    <w:rsid w:val="008E206D"/>
    <w:rsid w:val="008F3B57"/>
    <w:rsid w:val="00901897"/>
    <w:rsid w:val="009170B4"/>
    <w:rsid w:val="0092344A"/>
    <w:rsid w:val="00925372"/>
    <w:rsid w:val="00934798"/>
    <w:rsid w:val="00936257"/>
    <w:rsid w:val="00945E4B"/>
    <w:rsid w:val="00970F26"/>
    <w:rsid w:val="00980AD9"/>
    <w:rsid w:val="009C3351"/>
    <w:rsid w:val="009C4225"/>
    <w:rsid w:val="009C759E"/>
    <w:rsid w:val="009F56AB"/>
    <w:rsid w:val="009F76C3"/>
    <w:rsid w:val="00A543B6"/>
    <w:rsid w:val="00A75C9A"/>
    <w:rsid w:val="00AA2CCD"/>
    <w:rsid w:val="00AB534D"/>
    <w:rsid w:val="00AB7721"/>
    <w:rsid w:val="00AC3886"/>
    <w:rsid w:val="00AE1293"/>
    <w:rsid w:val="00AF0470"/>
    <w:rsid w:val="00B12226"/>
    <w:rsid w:val="00B14135"/>
    <w:rsid w:val="00B14F80"/>
    <w:rsid w:val="00B16C16"/>
    <w:rsid w:val="00B17405"/>
    <w:rsid w:val="00B20B4E"/>
    <w:rsid w:val="00B7411A"/>
    <w:rsid w:val="00B8337E"/>
    <w:rsid w:val="00B8768F"/>
    <w:rsid w:val="00B87D54"/>
    <w:rsid w:val="00B953A1"/>
    <w:rsid w:val="00BC54D3"/>
    <w:rsid w:val="00BD7D72"/>
    <w:rsid w:val="00BF24B0"/>
    <w:rsid w:val="00C07D46"/>
    <w:rsid w:val="00C12EDB"/>
    <w:rsid w:val="00C16888"/>
    <w:rsid w:val="00C62F2F"/>
    <w:rsid w:val="00C73878"/>
    <w:rsid w:val="00C85C0A"/>
    <w:rsid w:val="00C94BC4"/>
    <w:rsid w:val="00CA22D4"/>
    <w:rsid w:val="00CC1DCE"/>
    <w:rsid w:val="00CC228F"/>
    <w:rsid w:val="00CF5A36"/>
    <w:rsid w:val="00D0046F"/>
    <w:rsid w:val="00D24740"/>
    <w:rsid w:val="00D37A3B"/>
    <w:rsid w:val="00D5313F"/>
    <w:rsid w:val="00D61D28"/>
    <w:rsid w:val="00D76BFD"/>
    <w:rsid w:val="00D9014F"/>
    <w:rsid w:val="00D90EE2"/>
    <w:rsid w:val="00DB5420"/>
    <w:rsid w:val="00DE62CD"/>
    <w:rsid w:val="00E0184C"/>
    <w:rsid w:val="00E20BA8"/>
    <w:rsid w:val="00E5466B"/>
    <w:rsid w:val="00E61E0E"/>
    <w:rsid w:val="00E62E75"/>
    <w:rsid w:val="00E65D36"/>
    <w:rsid w:val="00EC7F48"/>
    <w:rsid w:val="00EE0FEF"/>
    <w:rsid w:val="00EE3C71"/>
    <w:rsid w:val="00EF0820"/>
    <w:rsid w:val="00F1186A"/>
    <w:rsid w:val="00F14C4B"/>
    <w:rsid w:val="00F1756A"/>
    <w:rsid w:val="00F21C79"/>
    <w:rsid w:val="00F23976"/>
    <w:rsid w:val="00F254E2"/>
    <w:rsid w:val="00F3087A"/>
    <w:rsid w:val="00F372BE"/>
    <w:rsid w:val="00F50A4B"/>
    <w:rsid w:val="00F56742"/>
    <w:rsid w:val="00F57F47"/>
    <w:rsid w:val="00F6684E"/>
    <w:rsid w:val="00F7631C"/>
    <w:rsid w:val="00F80F08"/>
    <w:rsid w:val="00F84918"/>
    <w:rsid w:val="00FB4888"/>
    <w:rsid w:val="00FC4FAA"/>
    <w:rsid w:val="00FD0DC6"/>
    <w:rsid w:val="00FD35A2"/>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D776AB-2097-45E9-B84A-70D104B7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DC"/>
    <w:pPr>
      <w:spacing w:after="0" w:line="240" w:lineRule="auto"/>
    </w:pPr>
    <w:rPr>
      <w:rFonts w:ascii="Arial" w:eastAsia="Times New Roman" w:hAnsi="Arial"/>
      <w:sz w:val="20"/>
      <w:szCs w:val="20"/>
      <w:lang w:bidi="ar-S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lang w:val="en-CA" w:bidi="en-US"/>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lang w:val="en-CA" w:bidi="en-US"/>
    </w:rPr>
  </w:style>
  <w:style w:type="paragraph" w:styleId="Heading3">
    <w:name w:val="heading 3"/>
    <w:basedOn w:val="Normal"/>
    <w:link w:val="Heading3Char"/>
    <w:uiPriority w:val="9"/>
    <w:qFormat/>
    <w:rsid w:val="00594123"/>
    <w:pPr>
      <w:spacing w:before="100" w:beforeAutospacing="1" w:after="100" w:afterAutospacing="1"/>
      <w:outlineLvl w:val="2"/>
    </w:pPr>
    <w:rPr>
      <w:rFonts w:asciiTheme="majorHAnsi" w:eastAsiaTheme="majorEastAsia" w:hAnsiTheme="majorHAnsi" w:cstheme="majorBidi"/>
      <w:b/>
      <w:bCs/>
      <w:color w:val="4F81BD" w:themeColor="accent1"/>
      <w:sz w:val="24"/>
      <w:szCs w:val="24"/>
      <w:lang w:bidi="en-US"/>
    </w:rPr>
  </w:style>
  <w:style w:type="paragraph" w:styleId="Heading4">
    <w:name w:val="heading 4"/>
    <w:basedOn w:val="Normal"/>
    <w:link w:val="Heading4Char"/>
    <w:autoRedefine/>
    <w:uiPriority w:val="9"/>
    <w:unhideWhenUsed/>
    <w:qFormat/>
    <w:rsid w:val="00F6684E"/>
    <w:pPr>
      <w:spacing w:before="100" w:beforeAutospacing="1" w:after="100" w:afterAutospacing="1"/>
      <w:outlineLvl w:val="3"/>
    </w:pPr>
    <w:rPr>
      <w:rFonts w:ascii="Times New Roman" w:eastAsiaTheme="minorEastAsia" w:hAnsi="Times New Roman"/>
      <w:b/>
      <w:bCs/>
      <w:color w:val="000000"/>
      <w:sz w:val="24"/>
      <w:szCs w:val="28"/>
      <w:lang w:val="en-CA" w:eastAsia="en-CA"/>
    </w:rPr>
  </w:style>
  <w:style w:type="paragraph" w:styleId="Heading5">
    <w:name w:val="heading 5"/>
    <w:basedOn w:val="Normal"/>
    <w:next w:val="Normal"/>
    <w:link w:val="Heading5Char"/>
    <w:uiPriority w:val="9"/>
    <w:semiHidden/>
    <w:unhideWhenUsed/>
    <w:qFormat/>
    <w:rsid w:val="00B8337E"/>
    <w:pPr>
      <w:spacing w:before="240" w:after="60"/>
      <w:outlineLvl w:val="4"/>
    </w:pPr>
    <w:rPr>
      <w:rFonts w:eastAsiaTheme="minorHAnsi"/>
      <w:b/>
      <w:bCs/>
      <w:i/>
      <w:iCs/>
      <w:sz w:val="26"/>
      <w:szCs w:val="26"/>
      <w:lang w:val="en-CA" w:bidi="en-US"/>
    </w:rPr>
  </w:style>
  <w:style w:type="paragraph" w:styleId="Heading6">
    <w:name w:val="heading 6"/>
    <w:basedOn w:val="Normal"/>
    <w:next w:val="Normal"/>
    <w:link w:val="Heading6Char"/>
    <w:uiPriority w:val="9"/>
    <w:semiHidden/>
    <w:unhideWhenUsed/>
    <w:qFormat/>
    <w:rsid w:val="00B8337E"/>
    <w:pPr>
      <w:spacing w:before="240" w:after="60"/>
      <w:outlineLvl w:val="5"/>
    </w:pPr>
    <w:rPr>
      <w:rFonts w:eastAsiaTheme="minorHAnsi"/>
      <w:b/>
      <w:bCs/>
      <w:sz w:val="22"/>
      <w:szCs w:val="22"/>
      <w:lang w:val="en-CA" w:bidi="en-US"/>
    </w:rPr>
  </w:style>
  <w:style w:type="paragraph" w:styleId="Heading7">
    <w:name w:val="heading 7"/>
    <w:basedOn w:val="Normal"/>
    <w:next w:val="Normal"/>
    <w:link w:val="Heading7Char"/>
    <w:uiPriority w:val="9"/>
    <w:semiHidden/>
    <w:unhideWhenUsed/>
    <w:qFormat/>
    <w:rsid w:val="00B8337E"/>
    <w:pPr>
      <w:spacing w:before="240" w:after="60"/>
      <w:outlineLvl w:val="6"/>
    </w:pPr>
    <w:rPr>
      <w:rFonts w:eastAsiaTheme="minorHAnsi"/>
      <w:sz w:val="22"/>
      <w:szCs w:val="24"/>
      <w:lang w:val="en-CA" w:bidi="en-US"/>
    </w:rPr>
  </w:style>
  <w:style w:type="paragraph" w:styleId="Heading8">
    <w:name w:val="heading 8"/>
    <w:basedOn w:val="Normal"/>
    <w:next w:val="Normal"/>
    <w:link w:val="Heading8Char"/>
    <w:uiPriority w:val="9"/>
    <w:semiHidden/>
    <w:unhideWhenUsed/>
    <w:qFormat/>
    <w:rsid w:val="00B8337E"/>
    <w:pPr>
      <w:spacing w:before="240" w:after="60"/>
      <w:outlineLvl w:val="7"/>
    </w:pPr>
    <w:rPr>
      <w:rFonts w:eastAsiaTheme="minorHAnsi"/>
      <w:i/>
      <w:iCs/>
      <w:sz w:val="22"/>
      <w:szCs w:val="24"/>
      <w:lang w:val="en-CA" w:bidi="en-US"/>
    </w:rPr>
  </w:style>
  <w:style w:type="paragraph" w:styleId="Heading9">
    <w:name w:val="heading 9"/>
    <w:basedOn w:val="Normal"/>
    <w:next w:val="Normal"/>
    <w:link w:val="Heading9Char"/>
    <w:unhideWhenUsed/>
    <w:qFormat/>
    <w:rsid w:val="00B8337E"/>
    <w:pPr>
      <w:spacing w:before="240" w:after="60"/>
      <w:outlineLvl w:val="8"/>
    </w:pPr>
    <w:rPr>
      <w:rFonts w:asciiTheme="majorHAnsi" w:eastAsiaTheme="majorEastAsia" w:hAnsiTheme="majorHAnsi"/>
      <w:sz w:val="22"/>
      <w:szCs w:val="22"/>
      <w:lang w:val="en-CA"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59412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84E"/>
    <w:rPr>
      <w:rFonts w:ascii="Times New Roman" w:eastAsiaTheme="minorEastAsia" w:hAnsi="Times New Roman"/>
      <w:b/>
      <w:bCs/>
      <w:color w:val="000000"/>
      <w:sz w:val="24"/>
      <w:szCs w:val="28"/>
      <w:lang w:val="en-CA" w:eastAsia="en-CA" w:bidi="ar-SA"/>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lang w:val="en-CA" w:bidi="en-US"/>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sz w:val="22"/>
      <w:szCs w:val="24"/>
      <w:lang w:val="en-CA" w:bidi="en-US"/>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rFonts w:eastAsiaTheme="minorHAnsi"/>
      <w:sz w:val="22"/>
      <w:szCs w:val="32"/>
      <w:lang w:val="en-CA" w:bidi="en-US"/>
    </w:rPr>
  </w:style>
  <w:style w:type="paragraph" w:styleId="ListParagraph">
    <w:name w:val="List Paragraph"/>
    <w:basedOn w:val="Normal"/>
    <w:uiPriority w:val="34"/>
    <w:qFormat/>
    <w:rsid w:val="00B8337E"/>
    <w:pPr>
      <w:ind w:left="720"/>
      <w:contextualSpacing/>
    </w:pPr>
    <w:rPr>
      <w:rFonts w:eastAsiaTheme="minorHAnsi"/>
      <w:sz w:val="22"/>
      <w:szCs w:val="24"/>
      <w:lang w:val="en-CA" w:bidi="en-US"/>
    </w:rPr>
  </w:style>
  <w:style w:type="paragraph" w:styleId="Quote">
    <w:name w:val="Quote"/>
    <w:basedOn w:val="Normal"/>
    <w:next w:val="Normal"/>
    <w:link w:val="QuoteChar"/>
    <w:uiPriority w:val="29"/>
    <w:qFormat/>
    <w:rsid w:val="00B8337E"/>
    <w:rPr>
      <w:rFonts w:eastAsiaTheme="minorHAnsi"/>
      <w:i/>
      <w:sz w:val="22"/>
      <w:szCs w:val="24"/>
      <w:lang w:val="en-CA" w:bidi="en-US"/>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rFonts w:eastAsiaTheme="minorHAnsi"/>
      <w:b/>
      <w:i/>
      <w:sz w:val="22"/>
      <w:szCs w:val="22"/>
      <w:lang w:val="en-CA" w:bidi="en-US"/>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paragraph" w:styleId="BodyText3">
    <w:name w:val="Body Text 3"/>
    <w:basedOn w:val="Normal"/>
    <w:link w:val="BodyText3Char"/>
    <w:rsid w:val="00811FDC"/>
    <w:pPr>
      <w:spacing w:after="120"/>
    </w:pPr>
    <w:rPr>
      <w:i/>
      <w:sz w:val="18"/>
    </w:rPr>
  </w:style>
  <w:style w:type="character" w:customStyle="1" w:styleId="BodyText3Char">
    <w:name w:val="Body Text 3 Char"/>
    <w:basedOn w:val="DefaultParagraphFont"/>
    <w:link w:val="BodyText3"/>
    <w:rsid w:val="00811FDC"/>
    <w:rPr>
      <w:rFonts w:ascii="Arial" w:eastAsia="Times New Roman" w:hAnsi="Arial"/>
      <w:i/>
      <w:sz w:val="18"/>
      <w:szCs w:val="20"/>
      <w:lang w:bidi="ar-SA"/>
    </w:rPr>
  </w:style>
  <w:style w:type="paragraph" w:styleId="Header">
    <w:name w:val="header"/>
    <w:basedOn w:val="Normal"/>
    <w:link w:val="HeaderChar"/>
    <w:uiPriority w:val="99"/>
    <w:unhideWhenUsed/>
    <w:rsid w:val="0064376B"/>
    <w:pPr>
      <w:tabs>
        <w:tab w:val="center" w:pos="4680"/>
        <w:tab w:val="right" w:pos="9360"/>
      </w:tabs>
    </w:pPr>
  </w:style>
  <w:style w:type="character" w:customStyle="1" w:styleId="HeaderChar">
    <w:name w:val="Header Char"/>
    <w:basedOn w:val="DefaultParagraphFont"/>
    <w:link w:val="Header"/>
    <w:uiPriority w:val="99"/>
    <w:rsid w:val="0064376B"/>
    <w:rPr>
      <w:rFonts w:ascii="Arial" w:eastAsia="Times New Roman" w:hAnsi="Arial"/>
      <w:sz w:val="20"/>
      <w:szCs w:val="20"/>
      <w:lang w:bidi="ar-SA"/>
    </w:rPr>
  </w:style>
  <w:style w:type="paragraph" w:styleId="Footer">
    <w:name w:val="footer"/>
    <w:basedOn w:val="Normal"/>
    <w:link w:val="FooterChar"/>
    <w:uiPriority w:val="99"/>
    <w:unhideWhenUsed/>
    <w:rsid w:val="0064376B"/>
    <w:pPr>
      <w:tabs>
        <w:tab w:val="center" w:pos="4680"/>
        <w:tab w:val="right" w:pos="9360"/>
      </w:tabs>
    </w:pPr>
  </w:style>
  <w:style w:type="character" w:customStyle="1" w:styleId="FooterChar">
    <w:name w:val="Footer Char"/>
    <w:basedOn w:val="DefaultParagraphFont"/>
    <w:link w:val="Footer"/>
    <w:uiPriority w:val="99"/>
    <w:rsid w:val="0064376B"/>
    <w:rPr>
      <w:rFonts w:ascii="Arial" w:eastAsia="Times New Roman" w:hAnsi="Arial"/>
      <w:sz w:val="20"/>
      <w:szCs w:val="20"/>
      <w:lang w:bidi="ar-SA"/>
    </w:rPr>
  </w:style>
  <w:style w:type="paragraph" w:styleId="BalloonText">
    <w:name w:val="Balloon Text"/>
    <w:basedOn w:val="Normal"/>
    <w:link w:val="BalloonTextChar"/>
    <w:uiPriority w:val="99"/>
    <w:semiHidden/>
    <w:unhideWhenUsed/>
    <w:rsid w:val="006E0C76"/>
    <w:rPr>
      <w:rFonts w:ascii="Tahoma" w:hAnsi="Tahoma" w:cs="Tahoma"/>
      <w:sz w:val="16"/>
      <w:szCs w:val="16"/>
    </w:rPr>
  </w:style>
  <w:style w:type="character" w:customStyle="1" w:styleId="BalloonTextChar">
    <w:name w:val="Balloon Text Char"/>
    <w:basedOn w:val="DefaultParagraphFont"/>
    <w:link w:val="BalloonText"/>
    <w:uiPriority w:val="99"/>
    <w:semiHidden/>
    <w:rsid w:val="006E0C76"/>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017CC89497404AAEFD0F19671FBB4A"/>
        <w:category>
          <w:name w:val="General"/>
          <w:gallery w:val="placeholder"/>
        </w:category>
        <w:types>
          <w:type w:val="bbPlcHdr"/>
        </w:types>
        <w:behaviors>
          <w:behavior w:val="content"/>
        </w:behaviors>
        <w:guid w:val="{B203F8F8-6967-472A-B958-3972B1BBBD14}"/>
      </w:docPartPr>
      <w:docPartBody>
        <w:p w:rsidR="00AD1EA6" w:rsidRDefault="00B4397E" w:rsidP="00B4397E">
          <w:pPr>
            <w:pStyle w:val="3B017CC89497404AAEFD0F19671FBB4A"/>
          </w:pPr>
          <w:r w:rsidRPr="00790F45">
            <w:rPr>
              <w:rStyle w:val="PlaceholderText"/>
            </w:rPr>
            <w:t>Choose an item.</w:t>
          </w:r>
        </w:p>
      </w:docPartBody>
    </w:docPart>
    <w:docPart>
      <w:docPartPr>
        <w:name w:val="CC6FF86CFDAF497D9181E53F75F6A4F8"/>
        <w:category>
          <w:name w:val="General"/>
          <w:gallery w:val="placeholder"/>
        </w:category>
        <w:types>
          <w:type w:val="bbPlcHdr"/>
        </w:types>
        <w:behaviors>
          <w:behavior w:val="content"/>
        </w:behaviors>
        <w:guid w:val="{326862AE-5DE7-4193-B178-AD9C396230E8}"/>
      </w:docPartPr>
      <w:docPartBody>
        <w:p w:rsidR="00C82A16" w:rsidRDefault="00686A82" w:rsidP="00686A82">
          <w:pPr>
            <w:pStyle w:val="CC6FF86CFDAF497D9181E53F75F6A4F8"/>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CA"/>
    <w:rsid w:val="000557CA"/>
    <w:rsid w:val="00686A82"/>
    <w:rsid w:val="00AD1EA6"/>
    <w:rsid w:val="00B4397E"/>
    <w:rsid w:val="00C82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82"/>
    <w:rPr>
      <w:color w:val="808080"/>
    </w:rPr>
  </w:style>
  <w:style w:type="paragraph" w:customStyle="1" w:styleId="EFE16326C0064F8F95154CEFEA9C4370">
    <w:name w:val="EFE16326C0064F8F95154CEFEA9C4370"/>
    <w:rsid w:val="000557CA"/>
  </w:style>
  <w:style w:type="paragraph" w:customStyle="1" w:styleId="3B017CC89497404AAEFD0F19671FBB4A">
    <w:name w:val="3B017CC89497404AAEFD0F19671FBB4A"/>
    <w:rsid w:val="00B4397E"/>
  </w:style>
  <w:style w:type="paragraph" w:customStyle="1" w:styleId="BE8BA25480F94D1ABB05A2325E279891">
    <w:name w:val="BE8BA25480F94D1ABB05A2325E279891"/>
    <w:rsid w:val="00AD1EA6"/>
  </w:style>
  <w:style w:type="paragraph" w:customStyle="1" w:styleId="1D859E4B38A045369802B476BCEAF6B8">
    <w:name w:val="1D859E4B38A045369802B476BCEAF6B8"/>
    <w:rsid w:val="00686A82"/>
  </w:style>
  <w:style w:type="paragraph" w:customStyle="1" w:styleId="CC6FF86CFDAF497D9181E53F75F6A4F8">
    <w:name w:val="CC6FF86CFDAF497D9181E53F75F6A4F8"/>
    <w:rsid w:val="00686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3D4E-CC28-4213-BB90-1311F9C6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Grand'Maison</dc:creator>
  <cp:lastModifiedBy>Lepage, Roxanne</cp:lastModifiedBy>
  <cp:revision>9</cp:revision>
  <cp:lastPrinted>2012-04-30T20:18:00Z</cp:lastPrinted>
  <dcterms:created xsi:type="dcterms:W3CDTF">2016-04-04T19:45:00Z</dcterms:created>
  <dcterms:modified xsi:type="dcterms:W3CDTF">2020-05-29T19:57:00Z</dcterms:modified>
</cp:coreProperties>
</file>