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0799F" w14:textId="77777777" w:rsidR="006F27D2" w:rsidRPr="00955ADF" w:rsidRDefault="000E4043" w:rsidP="006F27D2">
      <w:pPr>
        <w:pStyle w:val="03Date"/>
      </w:pPr>
      <w:bookmarkStart w:id="0" w:name="_GoBack"/>
      <w:bookmarkEnd w:id="0"/>
      <w:r w:rsidRPr="000F6757">
        <w:rPr>
          <w:noProof/>
          <w:lang w:val="en-CA" w:eastAsia="en-CA"/>
        </w:rPr>
        <mc:AlternateContent>
          <mc:Choice Requires="wps">
            <w:drawing>
              <wp:anchor distT="0" distB="0" distL="114300" distR="114300" simplePos="0" relativeHeight="251659264" behindDoc="0" locked="0" layoutInCell="1" allowOverlap="1" wp14:anchorId="3DD0DE07" wp14:editId="3B186FE5">
                <wp:simplePos x="0" y="0"/>
                <wp:positionH relativeFrom="column">
                  <wp:posOffset>753466</wp:posOffset>
                </wp:positionH>
                <wp:positionV relativeFrom="paragraph">
                  <wp:posOffset>-918642</wp:posOffset>
                </wp:positionV>
                <wp:extent cx="3209925" cy="790042"/>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209925" cy="790042"/>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716D8" w14:textId="4484C351" w:rsidR="008457E2" w:rsidRDefault="008457E2" w:rsidP="000E4043">
                            <w:pPr>
                              <w:ind w:right="-720"/>
                              <w:rPr>
                                <w:rFonts w:cs="Arial"/>
                                <w:sz w:val="16"/>
                                <w:szCs w:val="16"/>
                                <w:lang w:val="fr-CA"/>
                              </w:rPr>
                            </w:pPr>
                            <w:r>
                              <w:rPr>
                                <w:rFonts w:cs="Arial"/>
                                <w:sz w:val="16"/>
                                <w:szCs w:val="16"/>
                                <w:lang w:val="fr-CA"/>
                              </w:rPr>
                              <w:t xml:space="preserve">Protocole d’entente sur la gestion des relations entre </w:t>
                            </w:r>
                            <w:proofErr w:type="spellStart"/>
                            <w:r>
                              <w:rPr>
                                <w:rFonts w:cs="Arial"/>
                                <w:sz w:val="16"/>
                                <w:szCs w:val="16"/>
                                <w:lang w:val="fr-CA"/>
                              </w:rPr>
                              <w:t>coauditeurs</w:t>
                            </w:r>
                            <w:proofErr w:type="spellEnd"/>
                          </w:p>
                          <w:p w14:paraId="5EC42A65" w14:textId="77777777" w:rsidR="008457E2" w:rsidRPr="009A0A87" w:rsidRDefault="008457E2" w:rsidP="000E4043">
                            <w:pPr>
                              <w:ind w:right="-720"/>
                              <w:rPr>
                                <w:rFonts w:cs="Arial"/>
                                <w:sz w:val="16"/>
                                <w:szCs w:val="16"/>
                                <w:lang w:val="fr-CA"/>
                              </w:rPr>
                            </w:pPr>
                            <w:r>
                              <w:rPr>
                                <w:rFonts w:cs="Arial"/>
                                <w:sz w:val="16"/>
                                <w:szCs w:val="16"/>
                                <w:lang w:val="fr-CA"/>
                              </w:rPr>
                              <w:t>oct</w:t>
                            </w:r>
                            <w:r w:rsidRPr="009A0A87">
                              <w:rPr>
                                <w:rFonts w:cs="Arial"/>
                                <w:sz w:val="16"/>
                                <w:szCs w:val="16"/>
                                <w:lang w:val="fr-CA"/>
                              </w:rPr>
                              <w:t>.-20</w:t>
                            </w:r>
                            <w:r>
                              <w:rPr>
                                <w:rFonts w:cs="Arial"/>
                                <w:sz w:val="16"/>
                                <w:szCs w:val="16"/>
                                <w:lang w:val="fr-CA"/>
                              </w:rPr>
                              <w:t>06</w:t>
                            </w:r>
                          </w:p>
                          <w:p w14:paraId="269B3AF0" w14:textId="77777777" w:rsidR="008457E2" w:rsidRPr="009A0A87" w:rsidRDefault="008457E2" w:rsidP="000E4043">
                            <w:pPr>
                              <w:ind w:right="-720"/>
                              <w:rPr>
                                <w:rFonts w:cs="Arial"/>
                                <w:sz w:val="16"/>
                                <w:szCs w:val="16"/>
                                <w:lang w:val="fr-CA"/>
                              </w:rPr>
                            </w:pPr>
                            <w:r w:rsidRPr="009A0A87">
                              <w:rPr>
                                <w:rFonts w:cs="Arial"/>
                                <w:sz w:val="16"/>
                                <w:szCs w:val="16"/>
                                <w:lang w:val="fr-CA"/>
                              </w:rPr>
                              <w:t xml:space="preserve">Propriétaire du modèle : </w:t>
                            </w:r>
                            <w:r>
                              <w:rPr>
                                <w:rFonts w:cs="Arial"/>
                                <w:sz w:val="16"/>
                                <w:szCs w:val="16"/>
                                <w:lang w:val="fr-CA"/>
                              </w:rPr>
                              <w:t>Services d’audit</w:t>
                            </w:r>
                          </w:p>
                          <w:p w14:paraId="2C30BF4A" w14:textId="77777777" w:rsidR="008457E2" w:rsidRPr="009A0A87" w:rsidRDefault="008457E2" w:rsidP="000E4043">
                            <w:pPr>
                              <w:ind w:right="-720"/>
                              <w:rPr>
                                <w:rFonts w:cs="Arial"/>
                                <w:sz w:val="16"/>
                                <w:szCs w:val="16"/>
                                <w:lang w:val="fr-CA"/>
                              </w:rPr>
                            </w:pPr>
                            <w:r w:rsidRPr="009A0A87">
                              <w:rPr>
                                <w:rFonts w:cs="Arial"/>
                                <w:sz w:val="16"/>
                                <w:szCs w:val="16"/>
                                <w:lang w:val="fr-CA"/>
                              </w:rPr>
                              <w:t xml:space="preserve">Maintenu par : </w:t>
                            </w:r>
                            <w:r>
                              <w:rPr>
                                <w:rFonts w:cs="Arial"/>
                                <w:sz w:val="16"/>
                                <w:szCs w:val="16"/>
                                <w:lang w:val="fr-CA"/>
                              </w:rPr>
                              <w:t>Création et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0DE07" id="_x0000_t202" coordsize="21600,21600" o:spt="202" path="m,l,21600r21600,l21600,xe">
                <v:stroke joinstyle="miter"/>
                <v:path gradientshapeok="t" o:connecttype="rect"/>
              </v:shapetype>
              <v:shape id="Text Box 5" o:spid="_x0000_s1026" type="#_x0000_t202" style="position:absolute;margin-left:59.35pt;margin-top:-72.35pt;width:252.7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" fillcolor="#f2f2f2 [3052]" stroked="f" strokeweight=".5pt">
                <v:textbox>
                  <w:txbxContent>
                    <w:p w14:paraId="46C716D8" w14:textId="4484C351" w:rsidR="008457E2" w:rsidRDefault="008457E2" w:rsidP="000E4043">
                      <w:pPr>
                        <w:ind w:right="-720"/>
                        <w:rPr>
                          <w:rFonts w:cs="Arial"/>
                          <w:sz w:val="16"/>
                          <w:szCs w:val="16"/>
                          <w:lang w:val="fr-CA"/>
                        </w:rPr>
                      </w:pPr>
                      <w:r>
                        <w:rPr>
                          <w:rFonts w:cs="Arial"/>
                          <w:sz w:val="16"/>
                          <w:szCs w:val="16"/>
                          <w:lang w:val="fr-CA"/>
                        </w:rPr>
                        <w:t xml:space="preserve">Protocole d’entente sur la gestion des relations entre </w:t>
                      </w:r>
                      <w:proofErr w:type="spellStart"/>
                      <w:r>
                        <w:rPr>
                          <w:rFonts w:cs="Arial"/>
                          <w:sz w:val="16"/>
                          <w:szCs w:val="16"/>
                          <w:lang w:val="fr-CA"/>
                        </w:rPr>
                        <w:t>coauditeurs</w:t>
                      </w:r>
                      <w:proofErr w:type="spellEnd"/>
                    </w:p>
                    <w:p w14:paraId="5EC42A65" w14:textId="77777777" w:rsidR="008457E2" w:rsidRPr="009A0A87" w:rsidRDefault="008457E2" w:rsidP="000E4043">
                      <w:pPr>
                        <w:ind w:right="-720"/>
                        <w:rPr>
                          <w:rFonts w:cs="Arial"/>
                          <w:sz w:val="16"/>
                          <w:szCs w:val="16"/>
                          <w:lang w:val="fr-CA"/>
                        </w:rPr>
                      </w:pPr>
                      <w:r>
                        <w:rPr>
                          <w:rFonts w:cs="Arial"/>
                          <w:sz w:val="16"/>
                          <w:szCs w:val="16"/>
                          <w:lang w:val="fr-CA"/>
                        </w:rPr>
                        <w:t>oct</w:t>
                      </w:r>
                      <w:r w:rsidRPr="009A0A87">
                        <w:rPr>
                          <w:rFonts w:cs="Arial"/>
                          <w:sz w:val="16"/>
                          <w:szCs w:val="16"/>
                          <w:lang w:val="fr-CA"/>
                        </w:rPr>
                        <w:t>.-20</w:t>
                      </w:r>
                      <w:r>
                        <w:rPr>
                          <w:rFonts w:cs="Arial"/>
                          <w:sz w:val="16"/>
                          <w:szCs w:val="16"/>
                          <w:lang w:val="fr-CA"/>
                        </w:rPr>
                        <w:t>06</w:t>
                      </w:r>
                    </w:p>
                    <w:p w14:paraId="269B3AF0" w14:textId="77777777" w:rsidR="008457E2" w:rsidRPr="009A0A87" w:rsidRDefault="008457E2" w:rsidP="000E4043">
                      <w:pPr>
                        <w:ind w:right="-720"/>
                        <w:rPr>
                          <w:rFonts w:cs="Arial"/>
                          <w:sz w:val="16"/>
                          <w:szCs w:val="16"/>
                          <w:lang w:val="fr-CA"/>
                        </w:rPr>
                      </w:pPr>
                      <w:r w:rsidRPr="009A0A87">
                        <w:rPr>
                          <w:rFonts w:cs="Arial"/>
                          <w:sz w:val="16"/>
                          <w:szCs w:val="16"/>
                          <w:lang w:val="fr-CA"/>
                        </w:rPr>
                        <w:t xml:space="preserve">Propriétaire du modèle : </w:t>
                      </w:r>
                      <w:r>
                        <w:rPr>
                          <w:rFonts w:cs="Arial"/>
                          <w:sz w:val="16"/>
                          <w:szCs w:val="16"/>
                          <w:lang w:val="fr-CA"/>
                        </w:rPr>
                        <w:t>Services d’audit</w:t>
                      </w:r>
                    </w:p>
                    <w:p w14:paraId="2C30BF4A" w14:textId="77777777" w:rsidR="008457E2" w:rsidRPr="009A0A87" w:rsidRDefault="008457E2" w:rsidP="000E4043">
                      <w:pPr>
                        <w:ind w:right="-720"/>
                        <w:rPr>
                          <w:rFonts w:cs="Arial"/>
                          <w:sz w:val="16"/>
                          <w:szCs w:val="16"/>
                          <w:lang w:val="fr-CA"/>
                        </w:rPr>
                      </w:pPr>
                      <w:r w:rsidRPr="009A0A87">
                        <w:rPr>
                          <w:rFonts w:cs="Arial"/>
                          <w:sz w:val="16"/>
                          <w:szCs w:val="16"/>
                          <w:lang w:val="fr-CA"/>
                        </w:rPr>
                        <w:t xml:space="preserve">Maintenu par : </w:t>
                      </w:r>
                      <w:r>
                        <w:rPr>
                          <w:rFonts w:cs="Arial"/>
                          <w:sz w:val="16"/>
                          <w:szCs w:val="16"/>
                          <w:lang w:val="fr-CA"/>
                        </w:rPr>
                        <w:t>Création et publication</w:t>
                      </w:r>
                    </w:p>
                  </w:txbxContent>
                </v:textbox>
              </v:shape>
            </w:pict>
          </mc:Fallback>
        </mc:AlternateContent>
      </w:r>
      <w:r w:rsidR="006F27D2">
        <w:t>[</w:t>
      </w:r>
      <w:r w:rsidR="006F27D2" w:rsidRPr="006F27D2">
        <w:rPr>
          <w:color w:val="0000FF"/>
        </w:rPr>
        <w:t>Date</w:t>
      </w:r>
      <w:r w:rsidR="006F27D2">
        <w:t>]</w:t>
      </w:r>
    </w:p>
    <w:p w14:paraId="3816BAFE" w14:textId="3DAE21D9" w:rsidR="006F27D2" w:rsidRPr="00955ADF" w:rsidRDefault="006F27D2" w:rsidP="00F74511">
      <w:pPr>
        <w:pStyle w:val="Heading3"/>
      </w:pPr>
      <w:r w:rsidRPr="00955ADF">
        <w:t xml:space="preserve">Protocole d’entente sur la gestion </w:t>
      </w:r>
      <w:r w:rsidR="00186C63">
        <w:t>des</w:t>
      </w:r>
      <w:r w:rsidR="00186C63" w:rsidRPr="00955ADF">
        <w:t xml:space="preserve"> </w:t>
      </w:r>
      <w:r w:rsidRPr="00955ADF">
        <w:t>relation</w:t>
      </w:r>
      <w:r w:rsidR="00186C63">
        <w:t>s</w:t>
      </w:r>
      <w:r w:rsidRPr="00955ADF">
        <w:t xml:space="preserve"> </w:t>
      </w:r>
      <w:r w:rsidR="00186C63">
        <w:t>entre</w:t>
      </w:r>
      <w:r w:rsidRPr="00955ADF">
        <w:t xml:space="preserve"> </w:t>
      </w:r>
      <w:proofErr w:type="spellStart"/>
      <w:r w:rsidR="00A67F61" w:rsidRPr="00955ADF">
        <w:t>co</w:t>
      </w:r>
      <w:r w:rsidR="00A67F61">
        <w:t>audit</w:t>
      </w:r>
      <w:r w:rsidR="00A67F61" w:rsidRPr="00955ADF">
        <w:t>eurs</w:t>
      </w:r>
      <w:proofErr w:type="spellEnd"/>
    </w:p>
    <w:p w14:paraId="5B10658F" w14:textId="77777777" w:rsidR="006F27D2" w:rsidRPr="00955ADF" w:rsidRDefault="009C5E09" w:rsidP="00F33296">
      <w:pPr>
        <w:pStyle w:val="08Appel"/>
      </w:pPr>
      <w:r>
        <w:t>[</w:t>
      </w:r>
      <w:r w:rsidR="006F27D2" w:rsidRPr="00F33296">
        <w:rPr>
          <w:color w:val="0000FF"/>
        </w:rPr>
        <w:t>Nom du client</w:t>
      </w:r>
      <w:r>
        <w:t>]</w:t>
      </w:r>
    </w:p>
    <w:p w14:paraId="1F14FD23" w14:textId="77777777" w:rsidR="006F27D2" w:rsidRPr="00955ADF" w:rsidRDefault="009C5E09" w:rsidP="00F33296">
      <w:pPr>
        <w:pStyle w:val="09Para"/>
      </w:pPr>
      <w:r>
        <w:t>[</w:t>
      </w:r>
      <w:proofErr w:type="gramStart"/>
      <w:r w:rsidR="006F27D2" w:rsidRPr="00F33296">
        <w:rPr>
          <w:color w:val="0000FF"/>
        </w:rPr>
        <w:t>exercice</w:t>
      </w:r>
      <w:proofErr w:type="gramEnd"/>
      <w:r>
        <w:t>]</w:t>
      </w:r>
    </w:p>
    <w:p w14:paraId="033FE78F" w14:textId="3445D22B" w:rsidR="006F27D2" w:rsidRPr="00955ADF" w:rsidRDefault="006F27D2" w:rsidP="00F74511">
      <w:pPr>
        <w:pStyle w:val="09Para"/>
        <w:rPr>
          <w:b/>
          <w:i/>
        </w:rPr>
      </w:pPr>
      <w:r w:rsidRPr="00955ADF">
        <w:t>Le g</w:t>
      </w:r>
      <w:r w:rsidR="0091128B">
        <w:t>ouvernement du Canada a nommé la</w:t>
      </w:r>
      <w:r w:rsidRPr="00955ADF">
        <w:t xml:space="preserve"> vérificatr</w:t>
      </w:r>
      <w:r w:rsidR="0091128B">
        <w:t>ice</w:t>
      </w:r>
      <w:r w:rsidRPr="00955ADF">
        <w:t xml:space="preserve"> général</w:t>
      </w:r>
      <w:r w:rsidR="0091128B">
        <w:t>e</w:t>
      </w:r>
      <w:r w:rsidRPr="00955ADF">
        <w:t xml:space="preserve"> du Canada et </w:t>
      </w:r>
      <w:r w:rsidR="009C5E09">
        <w:rPr>
          <w:bCs/>
          <w:iCs/>
        </w:rPr>
        <w:t>[</w:t>
      </w:r>
      <w:r w:rsidRPr="00F74511">
        <w:rPr>
          <w:bCs/>
          <w:iCs/>
          <w:color w:val="0000FF"/>
        </w:rPr>
        <w:t xml:space="preserve">nom du </w:t>
      </w:r>
      <w:proofErr w:type="spellStart"/>
      <w:r w:rsidR="00A67F61" w:rsidRPr="00F74511">
        <w:rPr>
          <w:bCs/>
          <w:iCs/>
          <w:color w:val="0000FF"/>
        </w:rPr>
        <w:t>co</w:t>
      </w:r>
      <w:r w:rsidR="00A67F61">
        <w:rPr>
          <w:bCs/>
          <w:iCs/>
          <w:color w:val="0000FF"/>
        </w:rPr>
        <w:t>auditeur</w:t>
      </w:r>
      <w:proofErr w:type="spellEnd"/>
      <w:r w:rsidR="009C5E09" w:rsidRPr="004E6ADA">
        <w:rPr>
          <w:iCs/>
        </w:rPr>
        <w:t>]</w:t>
      </w:r>
      <w:r w:rsidRPr="00955ADF">
        <w:t xml:space="preserve"> </w:t>
      </w:r>
      <w:r w:rsidR="00A67F61">
        <w:t xml:space="preserve">auditeurs </w:t>
      </w:r>
      <w:r w:rsidRPr="00955ADF">
        <w:t xml:space="preserve">conjoints de </w:t>
      </w:r>
      <w:r w:rsidR="009C5E09">
        <w:rPr>
          <w:bCs/>
          <w:iCs/>
        </w:rPr>
        <w:t>[</w:t>
      </w:r>
      <w:r w:rsidRPr="00F74511">
        <w:rPr>
          <w:bCs/>
          <w:iCs/>
          <w:color w:val="0000FF"/>
        </w:rPr>
        <w:t>nom de l’entité</w:t>
      </w:r>
      <w:r w:rsidR="009C5E09" w:rsidRPr="004E6ADA">
        <w:rPr>
          <w:iCs/>
        </w:rPr>
        <w:t>]</w:t>
      </w:r>
      <w:r w:rsidRPr="00F74511">
        <w:rPr>
          <w:iCs/>
        </w:rPr>
        <w:t>.</w:t>
      </w:r>
      <w:r w:rsidRPr="00955ADF">
        <w:t xml:space="preserve"> Ensemble, nous présenterons au </w:t>
      </w:r>
      <w:r w:rsidR="009C5E09">
        <w:rPr>
          <w:bCs/>
          <w:iCs/>
        </w:rPr>
        <w:t>[</w:t>
      </w:r>
      <w:r w:rsidRPr="00F74511">
        <w:rPr>
          <w:bCs/>
          <w:iCs/>
          <w:color w:val="0000FF"/>
        </w:rPr>
        <w:t>ministre responsable</w:t>
      </w:r>
      <w:r w:rsidR="000B6C2D">
        <w:rPr>
          <w:bCs/>
          <w:iCs/>
          <w:color w:val="0000FF"/>
        </w:rPr>
        <w:t xml:space="preserve"> </w:t>
      </w:r>
      <w:r w:rsidRPr="00F74511">
        <w:rPr>
          <w:bCs/>
          <w:iCs/>
          <w:color w:val="0000FF"/>
        </w:rPr>
        <w:t>(ou Conseil d’administration</w:t>
      </w:r>
      <w:r w:rsidRPr="00F74511">
        <w:rPr>
          <w:bCs/>
          <w:iCs/>
        </w:rPr>
        <w:t>)</w:t>
      </w:r>
      <w:r w:rsidR="009C5E09">
        <w:rPr>
          <w:bCs/>
          <w:iCs/>
        </w:rPr>
        <w:t>]</w:t>
      </w:r>
      <w:r w:rsidRPr="00955ADF">
        <w:t xml:space="preserve"> un rapport sur les résultats de notre examen des états financiers annuels (ou de notre examen spécial) de </w:t>
      </w:r>
      <w:r w:rsidR="009C5E09">
        <w:rPr>
          <w:bCs/>
          <w:iCs/>
        </w:rPr>
        <w:t>[</w:t>
      </w:r>
      <w:r w:rsidRPr="00F74511">
        <w:rPr>
          <w:bCs/>
          <w:iCs/>
          <w:color w:val="0000FF"/>
        </w:rPr>
        <w:t>nom de l’entité</w:t>
      </w:r>
      <w:r w:rsidR="009C5E09" w:rsidRPr="009C5E09">
        <w:rPr>
          <w:bCs/>
          <w:iCs/>
        </w:rPr>
        <w:t>]</w:t>
      </w:r>
      <w:r w:rsidRPr="00955ADF">
        <w:t xml:space="preserve"> pour l’exercice terminé le </w:t>
      </w:r>
      <w:r w:rsidR="009C5E09">
        <w:rPr>
          <w:bCs/>
          <w:iCs/>
        </w:rPr>
        <w:t>[</w:t>
      </w:r>
      <w:r w:rsidRPr="00F74511">
        <w:rPr>
          <w:bCs/>
          <w:iCs/>
          <w:color w:val="0000FF"/>
        </w:rPr>
        <w:t>date</w:t>
      </w:r>
      <w:r w:rsidR="009C5E09">
        <w:rPr>
          <w:bCs/>
          <w:iCs/>
          <w:color w:val="0000FF"/>
        </w:rPr>
        <w:t>]</w:t>
      </w:r>
      <w:r w:rsidRPr="00955ADF">
        <w:t xml:space="preserve">. Par la présente, nous confirmons notre acceptation des règles régissant les relations </w:t>
      </w:r>
      <w:r w:rsidR="00186C63">
        <w:t>entre les</w:t>
      </w:r>
      <w:r w:rsidRPr="00955ADF">
        <w:t xml:space="preserve"> </w:t>
      </w:r>
      <w:proofErr w:type="spellStart"/>
      <w:r w:rsidR="00A67F61">
        <w:t>coauditeurs</w:t>
      </w:r>
      <w:proofErr w:type="spellEnd"/>
      <w:r w:rsidR="0091128B">
        <w:t>, à savoir la vérificatrice</w:t>
      </w:r>
      <w:r w:rsidRPr="00955ADF">
        <w:t xml:space="preserve"> général</w:t>
      </w:r>
      <w:r w:rsidR="0091128B">
        <w:t>e</w:t>
      </w:r>
      <w:r w:rsidRPr="00955ADF">
        <w:t xml:space="preserve"> du Canada et </w:t>
      </w:r>
      <w:r w:rsidR="009C5E09">
        <w:rPr>
          <w:bCs/>
          <w:iCs/>
        </w:rPr>
        <w:t>[</w:t>
      </w:r>
      <w:r w:rsidRPr="00F74511">
        <w:rPr>
          <w:bCs/>
          <w:iCs/>
          <w:color w:val="0000FF"/>
        </w:rPr>
        <w:t xml:space="preserve">nom du </w:t>
      </w:r>
      <w:proofErr w:type="spellStart"/>
      <w:r w:rsidR="00A67F61">
        <w:rPr>
          <w:bCs/>
          <w:iCs/>
          <w:color w:val="0000FF"/>
        </w:rPr>
        <w:t>coauditeur</w:t>
      </w:r>
      <w:proofErr w:type="spellEnd"/>
      <w:r w:rsidR="009C5E09" w:rsidRPr="009C5E09">
        <w:rPr>
          <w:bCs/>
          <w:iCs/>
        </w:rPr>
        <w:t>]</w:t>
      </w:r>
      <w:r w:rsidRPr="00955ADF">
        <w:t xml:space="preserve"> (ci</w:t>
      </w:r>
      <w:r w:rsidR="00E91E0D">
        <w:noBreakHyphen/>
      </w:r>
      <w:r w:rsidRPr="00955ADF">
        <w:t xml:space="preserve">après désignés individuellement par </w:t>
      </w:r>
      <w:r w:rsidR="009C5E09">
        <w:t>[</w:t>
      </w:r>
      <w:r w:rsidRPr="009C5E09">
        <w:rPr>
          <w:color w:val="0000FF"/>
        </w:rPr>
        <w:t>l</w:t>
      </w:r>
      <w:r w:rsidR="00A67F61">
        <w:rPr>
          <w:color w:val="0000FF"/>
        </w:rPr>
        <w:t>’auditeur</w:t>
      </w:r>
      <w:r w:rsidR="009C5E09" w:rsidRPr="009C5E09">
        <w:t>]</w:t>
      </w:r>
      <w:r w:rsidRPr="009C5E09">
        <w:t xml:space="preserve"> </w:t>
      </w:r>
      <w:r w:rsidRPr="00955ADF">
        <w:t xml:space="preserve">ou collectivement par </w:t>
      </w:r>
      <w:r w:rsidR="009C5E09">
        <w:t>[</w:t>
      </w:r>
      <w:r w:rsidRPr="009C5E09">
        <w:rPr>
          <w:color w:val="0000FF"/>
        </w:rPr>
        <w:t xml:space="preserve">les </w:t>
      </w:r>
      <w:r w:rsidR="00A67F61">
        <w:rPr>
          <w:color w:val="0000FF"/>
        </w:rPr>
        <w:t>auditeurs</w:t>
      </w:r>
      <w:r w:rsidR="009C5E09">
        <w:t>]</w:t>
      </w:r>
      <w:r w:rsidRPr="00955ADF">
        <w:t>), et des conditions administratives de notre mission décrites ci</w:t>
      </w:r>
      <w:r w:rsidR="00E91E0D">
        <w:noBreakHyphen/>
      </w:r>
      <w:r w:rsidRPr="00955ADF">
        <w:t xml:space="preserve">après. Ce protocole ne modifie en rien les autorisations et les pouvoirs qui nous sont conférés en vertu de la </w:t>
      </w:r>
      <w:r w:rsidRPr="00955ADF">
        <w:rPr>
          <w:i/>
          <w:iCs/>
        </w:rPr>
        <w:t>Loi sur le vérificateur général</w:t>
      </w:r>
      <w:r w:rsidRPr="00955ADF">
        <w:t xml:space="preserve"> </w:t>
      </w:r>
      <w:r w:rsidR="00EF414A">
        <w:t xml:space="preserve">et </w:t>
      </w:r>
      <w:r w:rsidRPr="00955ADF">
        <w:t xml:space="preserve">de la </w:t>
      </w:r>
      <w:r w:rsidRPr="00955ADF">
        <w:rPr>
          <w:i/>
          <w:iCs/>
        </w:rPr>
        <w:t xml:space="preserve">Loi sur la gestion des finances </w:t>
      </w:r>
      <w:proofErr w:type="gramStart"/>
      <w:r w:rsidRPr="00955ADF">
        <w:rPr>
          <w:i/>
          <w:iCs/>
        </w:rPr>
        <w:t>publiques</w:t>
      </w:r>
      <w:r w:rsidR="00EF414A">
        <w:rPr>
          <w:rFonts w:cs="Arial"/>
        </w:rPr>
        <w:t>[</w:t>
      </w:r>
      <w:proofErr w:type="gramEnd"/>
      <w:r w:rsidR="00EF414A" w:rsidRPr="003F68CC">
        <w:rPr>
          <w:color w:val="0000FF"/>
        </w:rPr>
        <w:t>, ainsi que</w:t>
      </w:r>
      <w:r w:rsidRPr="003F68CC">
        <w:rPr>
          <w:color w:val="0000FF"/>
        </w:rPr>
        <w:t xml:space="preserve"> de la </w:t>
      </w:r>
      <w:r w:rsidRPr="003F68CC">
        <w:rPr>
          <w:i/>
          <w:color w:val="0000FF"/>
        </w:rPr>
        <w:t>Loi sur</w:t>
      </w:r>
      <w:r w:rsidRPr="003F68CC">
        <w:rPr>
          <w:color w:val="0000FF"/>
        </w:rPr>
        <w:t xml:space="preserve"> </w:t>
      </w:r>
      <w:r w:rsidR="009C5E09" w:rsidRPr="003F68CC">
        <w:rPr>
          <w:color w:val="0000FF"/>
        </w:rPr>
        <w:t>[</w:t>
      </w:r>
      <w:r w:rsidRPr="00D50BE5">
        <w:rPr>
          <w:color w:val="0000FF"/>
        </w:rPr>
        <w:t>nom de l’entité</w:t>
      </w:r>
      <w:r w:rsidR="009C5E09" w:rsidRPr="003F68CC">
        <w:rPr>
          <w:color w:val="0000FF"/>
        </w:rPr>
        <w:t>]</w:t>
      </w:r>
      <w:r w:rsidRPr="003F68CC">
        <w:rPr>
          <w:color w:val="0000FF"/>
        </w:rPr>
        <w:t>, le cas échéant</w:t>
      </w:r>
      <w:r w:rsidR="00EF414A">
        <w:rPr>
          <w:rFonts w:cs="Arial"/>
        </w:rPr>
        <w:t>]</w:t>
      </w:r>
      <w:r w:rsidRPr="00EF414A">
        <w:t> </w:t>
      </w:r>
      <w:r w:rsidRPr="003F68CC">
        <w:rPr>
          <w:b/>
        </w:rPr>
        <w:t>:</w:t>
      </w:r>
      <w:r w:rsidR="000E4043" w:rsidRPr="00BF0481">
        <w:rPr>
          <w:noProof/>
          <w:lang w:eastAsia="en-CA"/>
        </w:rPr>
        <w:t xml:space="preserve"> </w:t>
      </w:r>
    </w:p>
    <w:p w14:paraId="45A30322" w14:textId="77777777" w:rsidR="006F27D2" w:rsidRPr="00955ADF" w:rsidRDefault="006F27D2" w:rsidP="00F74511">
      <w:pPr>
        <w:pStyle w:val="09ParaList1"/>
      </w:pPr>
      <w:r w:rsidRPr="00955ADF">
        <w:t xml:space="preserve">Notre mission </w:t>
      </w:r>
      <w:r w:rsidR="00A67F61">
        <w:t xml:space="preserve">d’audit </w:t>
      </w:r>
      <w:r w:rsidRPr="00955ADF">
        <w:t xml:space="preserve">de </w:t>
      </w:r>
      <w:r w:rsidR="009C5E09" w:rsidRPr="009C5E09">
        <w:rPr>
          <w:bCs/>
          <w:iCs/>
        </w:rPr>
        <w:t>[</w:t>
      </w:r>
      <w:r w:rsidRPr="009C5E09">
        <w:rPr>
          <w:bCs/>
          <w:iCs/>
          <w:color w:val="0000FF"/>
        </w:rPr>
        <w:t>nom de l’entité</w:t>
      </w:r>
      <w:r w:rsidR="009C5E09" w:rsidRPr="009C5E09">
        <w:rPr>
          <w:bCs/>
          <w:iCs/>
        </w:rPr>
        <w:t>]</w:t>
      </w:r>
      <w:r w:rsidRPr="00955ADF">
        <w:t xml:space="preserve"> a pour objectif de fournir notre opinion dans un rapport </w:t>
      </w:r>
      <w:r w:rsidR="00A67F61">
        <w:t xml:space="preserve">d’audit </w:t>
      </w:r>
      <w:r w:rsidRPr="00955ADF">
        <w:t xml:space="preserve">conjoint signé par les </w:t>
      </w:r>
      <w:r w:rsidR="00A67F61">
        <w:t xml:space="preserve">auditeurs </w:t>
      </w:r>
      <w:r w:rsidRPr="00955ADF">
        <w:t xml:space="preserve">sur les états financiers annuels (ou un rapport d’examen conjoint) conformément aux exigences de la </w:t>
      </w:r>
      <w:r w:rsidRPr="00955ADF">
        <w:rPr>
          <w:i/>
          <w:iCs/>
        </w:rPr>
        <w:t>Loi sur la gestion des finances publiques</w:t>
      </w:r>
      <w:r w:rsidRPr="00955ADF">
        <w:t xml:space="preserve">. Dans le cadre de cette mission, chacun des </w:t>
      </w:r>
      <w:r w:rsidR="00A67F61">
        <w:t xml:space="preserve">auditeurs </w:t>
      </w:r>
      <w:r w:rsidRPr="00955ADF">
        <w:t xml:space="preserve">assume la responsabilité de l’ensemble de </w:t>
      </w:r>
      <w:r w:rsidR="00A67F61">
        <w:t>l’audit</w:t>
      </w:r>
      <w:r w:rsidRPr="00955ADF">
        <w:t>.</w:t>
      </w:r>
    </w:p>
    <w:p w14:paraId="19BC1350" w14:textId="77777777" w:rsidR="006F27D2" w:rsidRPr="00955ADF" w:rsidRDefault="006F27D2" w:rsidP="00F74511">
      <w:pPr>
        <w:pStyle w:val="09ParaList1"/>
      </w:pPr>
      <w:r w:rsidRPr="00955ADF">
        <w:t xml:space="preserve">Les </w:t>
      </w:r>
      <w:r w:rsidR="00A67F61">
        <w:t xml:space="preserve">auditeurs </w:t>
      </w:r>
      <w:r w:rsidRPr="00955ADF">
        <w:t xml:space="preserve">ont établi, ou établiront, la stratégie </w:t>
      </w:r>
      <w:r w:rsidR="00A67F61">
        <w:t xml:space="preserve">d’audit </w:t>
      </w:r>
      <w:r w:rsidRPr="00955ADF">
        <w:t xml:space="preserve">conjointement. Les travaux </w:t>
      </w:r>
      <w:r w:rsidR="00A67F61">
        <w:t xml:space="preserve">d’audit </w:t>
      </w:r>
      <w:r w:rsidRPr="00955ADF">
        <w:t>qui doivent être exécutés pour mettre cette stratégie en œuvre seront équitablement répartis entre les</w:t>
      </w:r>
      <w:r w:rsidR="00001D4C">
        <w:t xml:space="preserve"> </w:t>
      </w:r>
      <w:r w:rsidR="00A67F61">
        <w:t>auditeurs</w:t>
      </w:r>
      <w:r w:rsidRPr="00955ADF">
        <w:t>. Cette répartition des tâches tiendra compte des secteurs de risque et d’un plan de rotation des travaux qui aura été accepté par les</w:t>
      </w:r>
      <w:r w:rsidR="00A67F61">
        <w:t xml:space="preserve"> auditeurs</w:t>
      </w:r>
      <w:r w:rsidRPr="00955ADF">
        <w:t>.</w:t>
      </w:r>
    </w:p>
    <w:p w14:paraId="5F3D9404" w14:textId="77777777" w:rsidR="006F27D2" w:rsidRPr="00955ADF" w:rsidRDefault="006F27D2" w:rsidP="00F74511">
      <w:pPr>
        <w:pStyle w:val="09ParaList1"/>
      </w:pPr>
      <w:r w:rsidRPr="00955ADF">
        <w:t xml:space="preserve">Chaque </w:t>
      </w:r>
      <w:r w:rsidR="00A67F61">
        <w:t>auditeur</w:t>
      </w:r>
      <w:r w:rsidR="00A67F61" w:rsidRPr="00955ADF">
        <w:t xml:space="preserve"> </w:t>
      </w:r>
      <w:r w:rsidRPr="00955ADF">
        <w:t xml:space="preserve">reconnaît sa responsabilité de planifier et d’exécuter les travaux qui lui sont confiés en faisant preuve de diligence. Pour ce faire, il devra déterminer la nature, l’étendue et le calendrier d’application des procédés </w:t>
      </w:r>
      <w:r w:rsidR="00A67F61">
        <w:t xml:space="preserve">d’audit </w:t>
      </w:r>
      <w:r w:rsidRPr="00955ADF">
        <w:t xml:space="preserve">et exécuter les procédés nécessaires, selon son jugement professionnel, pour réduire à un niveau suffisamment faible le risque de ne pas déceler des inexactitudes importantes dans les états financiers (ou des lacunes importantes). Chaque </w:t>
      </w:r>
      <w:r w:rsidR="00A67F61">
        <w:t xml:space="preserve">auditeur </w:t>
      </w:r>
      <w:r w:rsidRPr="00955ADF">
        <w:t xml:space="preserve">continue d’assumer la responsabilité de l’ensemble de la mission et il doit obtenir l’assurance que les deux </w:t>
      </w:r>
      <w:r w:rsidR="00A67F61">
        <w:t>auditeur</w:t>
      </w:r>
      <w:r w:rsidR="00001D4C">
        <w:t>s</w:t>
      </w:r>
      <w:r w:rsidR="00A67F61">
        <w:t xml:space="preserve"> </w:t>
      </w:r>
      <w:r w:rsidRPr="00955ADF">
        <w:t xml:space="preserve">ont respecté les normes </w:t>
      </w:r>
      <w:r w:rsidR="00A67F61">
        <w:t xml:space="preserve">d’audit </w:t>
      </w:r>
      <w:r w:rsidRPr="00955ADF">
        <w:t xml:space="preserve">généralement reconnues du Canada et les normes de certification </w:t>
      </w:r>
      <w:r w:rsidR="000B6C2D">
        <w:t>de CPA Canada</w:t>
      </w:r>
      <w:r w:rsidRPr="00955ADF">
        <w:t>.</w:t>
      </w:r>
    </w:p>
    <w:p w14:paraId="586440E2" w14:textId="52AA5D74" w:rsidR="006F27D2" w:rsidRPr="00955ADF" w:rsidRDefault="006F27D2" w:rsidP="00F74511">
      <w:pPr>
        <w:pStyle w:val="09ParaList1"/>
      </w:pPr>
      <w:r w:rsidRPr="00955ADF">
        <w:t xml:space="preserve">Un accès aux documents et aux dossiers de travail </w:t>
      </w:r>
      <w:r w:rsidRPr="00955ADF">
        <w:rPr>
          <w:szCs w:val="24"/>
        </w:rPr>
        <w:t xml:space="preserve">sur lesquels les </w:t>
      </w:r>
      <w:r w:rsidR="00A67F61">
        <w:rPr>
          <w:szCs w:val="24"/>
        </w:rPr>
        <w:t xml:space="preserve">auditeurs </w:t>
      </w:r>
      <w:r w:rsidRPr="00955ADF">
        <w:rPr>
          <w:szCs w:val="24"/>
        </w:rPr>
        <w:t xml:space="preserve">fonderont leur opinion sera </w:t>
      </w:r>
      <w:proofErr w:type="gramStart"/>
      <w:r w:rsidRPr="00955ADF">
        <w:rPr>
          <w:szCs w:val="24"/>
        </w:rPr>
        <w:t>accordé</w:t>
      </w:r>
      <w:proofErr w:type="gramEnd"/>
      <w:r w:rsidRPr="00955ADF">
        <w:rPr>
          <w:szCs w:val="24"/>
        </w:rPr>
        <w:t xml:space="preserve"> à l’autre </w:t>
      </w:r>
      <w:r w:rsidR="00A67F61">
        <w:rPr>
          <w:szCs w:val="24"/>
        </w:rPr>
        <w:t xml:space="preserve">auditeur </w:t>
      </w:r>
      <w:r w:rsidRPr="00955ADF">
        <w:rPr>
          <w:szCs w:val="24"/>
        </w:rPr>
        <w:t>à des fins d’examen</w:t>
      </w:r>
      <w:r w:rsidRPr="00955ADF">
        <w:t xml:space="preserve">. Cet accès pourrait nécessiter que le matériel informatique, les logiciels et une aide technique requis soient </w:t>
      </w:r>
      <w:r w:rsidRPr="00955ADF">
        <w:lastRenderedPageBreak/>
        <w:t xml:space="preserve">fournis dans le cas des documents électroniques. Chaque </w:t>
      </w:r>
      <w:r w:rsidR="00A67F61">
        <w:t xml:space="preserve">auditeur </w:t>
      </w:r>
      <w:r w:rsidRPr="00955ADF">
        <w:t xml:space="preserve">s’engage à répondre aux demandes d’information découlant d’un tel examen ou de l’application du système de </w:t>
      </w:r>
      <w:r w:rsidR="005C74F1">
        <w:t>gestion</w:t>
      </w:r>
      <w:r w:rsidRPr="00955ADF">
        <w:t xml:space="preserve"> de la qualité mis en place par l’autre </w:t>
      </w:r>
      <w:r w:rsidR="00A67F61">
        <w:t>auditeur</w:t>
      </w:r>
      <w:r w:rsidRPr="00955ADF">
        <w:t xml:space="preserve">. Les documents de travail relatifs aux responsabilités confiées à chacun des </w:t>
      </w:r>
      <w:r w:rsidR="00A67F61">
        <w:t xml:space="preserve">auditeurs </w:t>
      </w:r>
      <w:r w:rsidRPr="00955ADF">
        <w:t xml:space="preserve">demeureront la propriété </w:t>
      </w:r>
      <w:r w:rsidR="00A67F61">
        <w:t xml:space="preserve">de l’auditeur </w:t>
      </w:r>
      <w:r w:rsidRPr="00955ADF">
        <w:t xml:space="preserve">en question et chacun des </w:t>
      </w:r>
      <w:r w:rsidR="00A67F61">
        <w:t xml:space="preserve">auditeurs </w:t>
      </w:r>
      <w:r w:rsidRPr="00955ADF">
        <w:t xml:space="preserve">conservera les droits d’auteur et les autres droits de propriété intellectuelle sur tous ses avis et documents de travail. L’utilisation ou la distribution des outils et des logiciels propres aux </w:t>
      </w:r>
      <w:r w:rsidR="00A67F61">
        <w:t xml:space="preserve">auditeurs </w:t>
      </w:r>
      <w:r w:rsidRPr="00955ADF">
        <w:t xml:space="preserve">seront limités aux membres des équipes </w:t>
      </w:r>
      <w:r w:rsidR="00A67F61">
        <w:t xml:space="preserve">d’audit </w:t>
      </w:r>
      <w:r w:rsidRPr="00955ADF">
        <w:t xml:space="preserve">affectés à la présente mission. Les dossiers </w:t>
      </w:r>
      <w:r w:rsidR="002E3CBC">
        <w:t xml:space="preserve">d’audit </w:t>
      </w:r>
      <w:r w:rsidRPr="00955ADF">
        <w:t xml:space="preserve">doivent être accessibles pour toute inspection professionnelle, au besoin. Chacun des </w:t>
      </w:r>
      <w:r w:rsidR="002E3CBC">
        <w:t xml:space="preserve">auditeurs </w:t>
      </w:r>
      <w:r w:rsidRPr="00955ADF">
        <w:t>conservera ses documents et dossiers de travail, dans un format lisible, pendant au moins sept ans.</w:t>
      </w:r>
    </w:p>
    <w:p w14:paraId="1919F95E" w14:textId="77777777" w:rsidR="006F27D2" w:rsidRPr="00955ADF" w:rsidRDefault="006F27D2" w:rsidP="00F74511">
      <w:pPr>
        <w:pStyle w:val="09ParaList1"/>
        <w:rPr>
          <w:snapToGrid w:val="0"/>
        </w:rPr>
      </w:pPr>
      <w:r w:rsidRPr="00955ADF">
        <w:t xml:space="preserve">Reconnaissant que le présent protocole d’entente ne modifie en rien les autorisations et les pouvoirs législatifs qui leur sont confiés et que les documents de travail contiennent des renseignements confidentiels qui appartiennent en propre à chacun des </w:t>
      </w:r>
      <w:r w:rsidR="002E3CBC">
        <w:t>auditeurs</w:t>
      </w:r>
      <w:r w:rsidRPr="00955ADF">
        <w:t xml:space="preserve">, comme le précise le paragraphe 4, l’autre </w:t>
      </w:r>
      <w:r w:rsidR="002E3CBC">
        <w:t>auditeur</w:t>
      </w:r>
      <w:r w:rsidR="002E3CBC" w:rsidRPr="00955ADF">
        <w:t xml:space="preserve"> </w:t>
      </w:r>
      <w:r w:rsidRPr="00955ADF">
        <w:t xml:space="preserve">s’engage par la présente à préserver la confidentialité de ces renseignements et à ne pas les utiliser à des fins autres que </w:t>
      </w:r>
      <w:r w:rsidR="002E3CBC">
        <w:t xml:space="preserve">d’audit </w:t>
      </w:r>
      <w:r w:rsidRPr="00955ADF">
        <w:t xml:space="preserve">de </w:t>
      </w:r>
      <w:r w:rsidR="009C5E09" w:rsidRPr="009C5E09">
        <w:rPr>
          <w:bCs/>
          <w:iCs/>
        </w:rPr>
        <w:t>[</w:t>
      </w:r>
      <w:r w:rsidRPr="009C5E09">
        <w:rPr>
          <w:bCs/>
          <w:iCs/>
          <w:color w:val="0000FF"/>
        </w:rPr>
        <w:t>nom de l’entité</w:t>
      </w:r>
      <w:r w:rsidR="009C5E09" w:rsidRPr="009C5E09">
        <w:rPr>
          <w:bCs/>
          <w:iCs/>
        </w:rPr>
        <w:t>]</w:t>
      </w:r>
      <w:r w:rsidRPr="00955ADF">
        <w:t>. Cette obligation de confidentialité ne s’applique pas si :</w:t>
      </w:r>
    </w:p>
    <w:p w14:paraId="148047C5" w14:textId="77777777" w:rsidR="006F27D2" w:rsidRPr="00955ADF" w:rsidRDefault="006F27D2" w:rsidP="009A7EBF">
      <w:pPr>
        <w:pStyle w:val="09ParaAlpha3"/>
      </w:pPr>
      <w:r w:rsidRPr="00955ADF">
        <w:t>les renseignements transmis par l’un des deux</w:t>
      </w:r>
      <w:r w:rsidR="002E3CBC">
        <w:t xml:space="preserve"> auditeurs </w:t>
      </w:r>
      <w:r w:rsidRPr="00955ADF">
        <w:t xml:space="preserve">sont déjà connus de l’autre </w:t>
      </w:r>
      <w:r w:rsidR="002E3CBC">
        <w:t>auditeur</w:t>
      </w:r>
      <w:r w:rsidRPr="00955ADF">
        <w:t xml:space="preserve">; </w:t>
      </w:r>
    </w:p>
    <w:p w14:paraId="184E0206" w14:textId="77777777" w:rsidR="006F27D2" w:rsidRPr="00955ADF" w:rsidRDefault="006F27D2" w:rsidP="009A7EBF">
      <w:pPr>
        <w:pStyle w:val="09ParaAlpha3"/>
      </w:pPr>
      <w:r w:rsidRPr="00955ADF">
        <w:t xml:space="preserve">les renseignements sont obtenus par l’autre </w:t>
      </w:r>
      <w:r w:rsidR="002E3CBC">
        <w:t>auditeur</w:t>
      </w:r>
      <w:r w:rsidRPr="00955ADF">
        <w:t>, de manière légitime, auprès d’un tiers qui n’en exige pas la confidentialité;</w:t>
      </w:r>
    </w:p>
    <w:p w14:paraId="03B04F2A" w14:textId="77777777" w:rsidR="006F27D2" w:rsidRPr="00955ADF" w:rsidRDefault="006F27D2" w:rsidP="009A7EBF">
      <w:pPr>
        <w:pStyle w:val="09ParaAlpha3"/>
      </w:pPr>
      <w:r w:rsidRPr="00955ADF">
        <w:t>les renseignements sont ou deviennent généralement connus ou entrent dans le domaine public autrement qu’à la suite d’une fuite;</w:t>
      </w:r>
    </w:p>
    <w:p w14:paraId="1DD9AD77" w14:textId="77777777" w:rsidR="006F27D2" w:rsidRPr="00955ADF" w:rsidRDefault="006F27D2" w:rsidP="009A7EBF">
      <w:pPr>
        <w:pStyle w:val="09ParaAlpha3"/>
      </w:pPr>
      <w:r w:rsidRPr="00955ADF">
        <w:t xml:space="preserve">les renseignements ont été colligés de façon indépendante par l’autre </w:t>
      </w:r>
      <w:r w:rsidR="002E3CBC">
        <w:t>auditeur</w:t>
      </w:r>
      <w:r w:rsidRPr="00955ADF">
        <w:t xml:space="preserve">; </w:t>
      </w:r>
    </w:p>
    <w:p w14:paraId="42E07257" w14:textId="77777777" w:rsidR="006F27D2" w:rsidRPr="00955ADF" w:rsidRDefault="006F27D2" w:rsidP="009A7EBF">
      <w:pPr>
        <w:pStyle w:val="09ParaAlpha3"/>
        <w:rPr>
          <w:snapToGrid w:val="0"/>
        </w:rPr>
      </w:pPr>
      <w:r w:rsidRPr="00955ADF">
        <w:t>la divulgation des renseignements est permise ou requise en vertu d’une loi.</w:t>
      </w:r>
    </w:p>
    <w:p w14:paraId="378F51B7" w14:textId="77777777" w:rsidR="006F27D2" w:rsidRPr="00955ADF" w:rsidRDefault="006F27D2" w:rsidP="00DF7CAC">
      <w:pPr>
        <w:pStyle w:val="09ParaList1"/>
      </w:pPr>
      <w:r w:rsidRPr="00955ADF">
        <w:t xml:space="preserve">Chacun des </w:t>
      </w:r>
      <w:r w:rsidR="002E3CBC">
        <w:t>auditeurs</w:t>
      </w:r>
      <w:r w:rsidR="002E3CBC" w:rsidRPr="00955ADF">
        <w:t xml:space="preserve"> </w:t>
      </w:r>
      <w:r w:rsidRPr="00955ADF">
        <w:t xml:space="preserve">avisera l’autre </w:t>
      </w:r>
      <w:r w:rsidR="002E3CBC">
        <w:t>auditeur</w:t>
      </w:r>
      <w:r w:rsidRPr="00955ADF">
        <w:t xml:space="preserve">, en temps opportun, de toute question importante dont il aura pris connaissance dans le cadre de </w:t>
      </w:r>
      <w:r w:rsidR="002E3CBC">
        <w:t xml:space="preserve">l’audit </w:t>
      </w:r>
      <w:r w:rsidRPr="00955ADF">
        <w:t xml:space="preserve">de </w:t>
      </w:r>
      <w:r w:rsidR="009C5E09" w:rsidRPr="009C5E09">
        <w:rPr>
          <w:bCs/>
          <w:iCs/>
        </w:rPr>
        <w:t>[</w:t>
      </w:r>
      <w:r w:rsidRPr="009C5E09">
        <w:rPr>
          <w:bCs/>
          <w:iCs/>
          <w:color w:val="0000FF"/>
        </w:rPr>
        <w:t>nom de l’entité</w:t>
      </w:r>
      <w:r w:rsidR="009C5E09" w:rsidRPr="009C5E09">
        <w:rPr>
          <w:bCs/>
          <w:iCs/>
        </w:rPr>
        <w:t>]</w:t>
      </w:r>
      <w:r w:rsidRPr="00955ADF">
        <w:t xml:space="preserve"> et qu’il peut raisonnablement considérer comme étant susceptible d’influer sur le rapport conjoint des </w:t>
      </w:r>
      <w:r w:rsidR="002E3CBC">
        <w:t>auditeurs</w:t>
      </w:r>
      <w:r w:rsidRPr="00955ADF">
        <w:t xml:space="preserve">. Il peut s’agir de désaccords avec la direction et de consultations menées par la direction sur des questions </w:t>
      </w:r>
      <w:r w:rsidR="002E3CBC">
        <w:t xml:space="preserve">d’audit </w:t>
      </w:r>
      <w:r w:rsidRPr="00955ADF">
        <w:t>et de comptabilité</w:t>
      </w:r>
      <w:r w:rsidRPr="00955ADF">
        <w:rPr>
          <w:bCs/>
          <w:snapToGrid w:val="0"/>
        </w:rPr>
        <w:t>. L</w:t>
      </w:r>
      <w:r w:rsidR="002E3CBC">
        <w:rPr>
          <w:bCs/>
          <w:snapToGrid w:val="0"/>
        </w:rPr>
        <w:t>’auditeur</w:t>
      </w:r>
      <w:r w:rsidRPr="00955ADF">
        <w:rPr>
          <w:bCs/>
          <w:snapToGrid w:val="0"/>
        </w:rPr>
        <w:t xml:space="preserve"> discutera de ces questions avec l’autre </w:t>
      </w:r>
      <w:r w:rsidR="002E3CBC">
        <w:rPr>
          <w:bCs/>
          <w:snapToGrid w:val="0"/>
        </w:rPr>
        <w:t xml:space="preserve">auditeur </w:t>
      </w:r>
      <w:r w:rsidRPr="00955ADF">
        <w:rPr>
          <w:bCs/>
          <w:snapToGrid w:val="0"/>
        </w:rPr>
        <w:t>avant de les communiquer à la haute direction, au comité de vérification ou au conseil d’administration. Les deux</w:t>
      </w:r>
      <w:r w:rsidR="002E3CBC">
        <w:rPr>
          <w:bCs/>
          <w:snapToGrid w:val="0"/>
        </w:rPr>
        <w:t> </w:t>
      </w:r>
      <w:r w:rsidRPr="00955ADF">
        <w:rPr>
          <w:bCs/>
          <w:snapToGrid w:val="0"/>
        </w:rPr>
        <w:t xml:space="preserve">parties conviennent que toute communication officielle à l’entité généralement relative à un </w:t>
      </w:r>
      <w:r w:rsidR="002E3CBC">
        <w:rPr>
          <w:bCs/>
          <w:snapToGrid w:val="0"/>
        </w:rPr>
        <w:t>audit</w:t>
      </w:r>
      <w:r w:rsidR="002E3CBC" w:rsidRPr="00955ADF">
        <w:rPr>
          <w:bCs/>
          <w:snapToGrid w:val="0"/>
        </w:rPr>
        <w:t xml:space="preserve"> </w:t>
      </w:r>
      <w:r w:rsidRPr="00955ADF">
        <w:rPr>
          <w:bCs/>
          <w:snapToGrid w:val="0"/>
        </w:rPr>
        <w:t xml:space="preserve">annuel, comme le plan </w:t>
      </w:r>
      <w:r w:rsidR="002E3CBC">
        <w:rPr>
          <w:bCs/>
          <w:snapToGrid w:val="0"/>
        </w:rPr>
        <w:t xml:space="preserve">d’audit </w:t>
      </w:r>
      <w:r w:rsidRPr="00955ADF">
        <w:rPr>
          <w:bCs/>
          <w:snapToGrid w:val="0"/>
        </w:rPr>
        <w:t xml:space="preserve">annuel, le rapport sur les résultats de </w:t>
      </w:r>
      <w:r w:rsidR="002E3CBC">
        <w:rPr>
          <w:bCs/>
          <w:snapToGrid w:val="0"/>
        </w:rPr>
        <w:t xml:space="preserve">l’audit </w:t>
      </w:r>
      <w:r w:rsidRPr="00955ADF">
        <w:rPr>
          <w:bCs/>
          <w:snapToGrid w:val="0"/>
        </w:rPr>
        <w:t>annuel remis au comité de vérification et la lettre de recommandations, sera effectuée conjointement et préparée d’une manière acceptable aux deux</w:t>
      </w:r>
      <w:r w:rsidR="002E3CBC">
        <w:rPr>
          <w:bCs/>
          <w:snapToGrid w:val="0"/>
        </w:rPr>
        <w:t> </w:t>
      </w:r>
      <w:r w:rsidRPr="00955ADF">
        <w:rPr>
          <w:bCs/>
          <w:snapToGrid w:val="0"/>
        </w:rPr>
        <w:t>parties.</w:t>
      </w:r>
    </w:p>
    <w:p w14:paraId="103EB8B8" w14:textId="77777777" w:rsidR="006F27D2" w:rsidRPr="00955ADF" w:rsidRDefault="006F27D2" w:rsidP="00DF7CAC">
      <w:pPr>
        <w:pStyle w:val="09ParaList1"/>
      </w:pPr>
      <w:r w:rsidRPr="00955ADF">
        <w:rPr>
          <w:snapToGrid w:val="0"/>
        </w:rPr>
        <w:t xml:space="preserve">Les conditions de mission prévues dans le présent protocole s’appliquent à tous les </w:t>
      </w:r>
      <w:r w:rsidR="004300E9">
        <w:rPr>
          <w:snapToGrid w:val="0"/>
        </w:rPr>
        <w:t xml:space="preserve">audits </w:t>
      </w:r>
      <w:r w:rsidRPr="00955ADF">
        <w:rPr>
          <w:snapToGrid w:val="0"/>
        </w:rPr>
        <w:t xml:space="preserve">comptables prescrits par la loi (ou examens spéciaux) de </w:t>
      </w:r>
      <w:r w:rsidR="009C5E09" w:rsidRPr="009C5E09">
        <w:rPr>
          <w:bCs/>
          <w:iCs/>
          <w:snapToGrid w:val="0"/>
        </w:rPr>
        <w:t>[</w:t>
      </w:r>
      <w:r w:rsidRPr="009C5E09">
        <w:rPr>
          <w:bCs/>
          <w:iCs/>
          <w:snapToGrid w:val="0"/>
          <w:color w:val="0000FF"/>
        </w:rPr>
        <w:t>nom de l’entité</w:t>
      </w:r>
      <w:r w:rsidR="009C5E09" w:rsidRPr="009C5E09">
        <w:rPr>
          <w:bCs/>
          <w:iCs/>
          <w:snapToGrid w:val="0"/>
        </w:rPr>
        <w:t>]</w:t>
      </w:r>
      <w:r w:rsidRPr="009C5E09">
        <w:rPr>
          <w:snapToGrid w:val="0"/>
        </w:rPr>
        <w:t xml:space="preserve"> </w:t>
      </w:r>
      <w:r w:rsidRPr="00955ADF">
        <w:rPr>
          <w:snapToGrid w:val="0"/>
        </w:rPr>
        <w:t xml:space="preserve">qui seront effectués conjointement par les </w:t>
      </w:r>
      <w:r w:rsidR="004300E9">
        <w:rPr>
          <w:snapToGrid w:val="0"/>
        </w:rPr>
        <w:t xml:space="preserve">auditeurs </w:t>
      </w:r>
      <w:r w:rsidRPr="00955ADF">
        <w:rPr>
          <w:snapToGrid w:val="0"/>
        </w:rPr>
        <w:t xml:space="preserve">pour l’exercice terminé au </w:t>
      </w:r>
      <w:r w:rsidR="009C5E09" w:rsidRPr="009C5E09">
        <w:rPr>
          <w:bCs/>
          <w:iCs/>
          <w:snapToGrid w:val="0"/>
        </w:rPr>
        <w:t>[</w:t>
      </w:r>
      <w:r w:rsidRPr="009C5E09">
        <w:rPr>
          <w:bCs/>
          <w:iCs/>
          <w:snapToGrid w:val="0"/>
          <w:color w:val="0000FF"/>
        </w:rPr>
        <w:t>date de fin d’exercice</w:t>
      </w:r>
      <w:r w:rsidR="009C5E09" w:rsidRPr="009C5E09">
        <w:rPr>
          <w:bCs/>
          <w:iCs/>
          <w:snapToGrid w:val="0"/>
        </w:rPr>
        <w:t>]</w:t>
      </w:r>
      <w:r w:rsidR="00001D4C">
        <w:rPr>
          <w:snapToGrid w:val="0"/>
        </w:rPr>
        <w:t>.</w:t>
      </w:r>
    </w:p>
    <w:p w14:paraId="51411926" w14:textId="77777777" w:rsidR="006F27D2" w:rsidRPr="00955ADF" w:rsidRDefault="006F27D2" w:rsidP="004E6ADA">
      <w:pPr>
        <w:pStyle w:val="09Para"/>
        <w:keepNext/>
        <w:keepLines/>
      </w:pPr>
      <w:r w:rsidRPr="00955ADF">
        <w:lastRenderedPageBreak/>
        <w:t>Les conditions de mission décrites ci</w:t>
      </w:r>
      <w:r w:rsidR="00E91E0D">
        <w:noBreakHyphen/>
      </w:r>
      <w:r w:rsidRPr="00955ADF">
        <w:t>dessus sont acceptées par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835"/>
        <w:gridCol w:w="3953"/>
        <w:gridCol w:w="817"/>
        <w:gridCol w:w="3971"/>
      </w:tblGrid>
      <w:tr w:rsidR="0006453E" w14:paraId="3E274536" w14:textId="77777777" w:rsidTr="008457E2">
        <w:tc>
          <w:tcPr>
            <w:tcW w:w="4788" w:type="dxa"/>
            <w:gridSpan w:val="2"/>
          </w:tcPr>
          <w:p w14:paraId="496EAA62" w14:textId="77777777" w:rsidR="0006453E" w:rsidRDefault="0006453E" w:rsidP="0006453E">
            <w:pPr>
              <w:pStyle w:val="11aSignatureTable"/>
            </w:pPr>
            <w:r w:rsidRPr="00955ADF">
              <w:t>L</w:t>
            </w:r>
            <w:r>
              <w:t>e Bureau du vérificateur général</w:t>
            </w:r>
            <w:r w:rsidRPr="00955ADF">
              <w:t xml:space="preserve"> du Canada</w:t>
            </w:r>
          </w:p>
        </w:tc>
        <w:tc>
          <w:tcPr>
            <w:tcW w:w="4788" w:type="dxa"/>
            <w:gridSpan w:val="2"/>
          </w:tcPr>
          <w:p w14:paraId="358B5ACD" w14:textId="77777777" w:rsidR="0006453E" w:rsidRDefault="0006453E">
            <w:pPr>
              <w:pStyle w:val="11aSignatureTable"/>
            </w:pPr>
            <w:r w:rsidRPr="006F27D2">
              <w:t>[</w:t>
            </w:r>
            <w:r w:rsidRPr="006F27D2">
              <w:rPr>
                <w:color w:val="0000FF"/>
              </w:rPr>
              <w:t xml:space="preserve">Nom du </w:t>
            </w:r>
            <w:proofErr w:type="spellStart"/>
            <w:r w:rsidR="004300E9">
              <w:rPr>
                <w:color w:val="0000FF"/>
              </w:rPr>
              <w:t>coauditeur</w:t>
            </w:r>
            <w:proofErr w:type="spellEnd"/>
            <w:r w:rsidRPr="006F27D2">
              <w:t>]</w:t>
            </w:r>
          </w:p>
        </w:tc>
      </w:tr>
      <w:tr w:rsidR="006F27D2" w14:paraId="610C1605" w14:textId="77777777" w:rsidTr="00DD41C7">
        <w:tc>
          <w:tcPr>
            <w:tcW w:w="835" w:type="dxa"/>
          </w:tcPr>
          <w:p w14:paraId="03970130" w14:textId="77777777" w:rsidR="006F27D2" w:rsidRDefault="006F27D2" w:rsidP="0006453E">
            <w:pPr>
              <w:pStyle w:val="11aSignatureTable"/>
            </w:pPr>
            <w:r w:rsidRPr="006F27D2">
              <w:t>Par :</w:t>
            </w:r>
          </w:p>
        </w:tc>
        <w:tc>
          <w:tcPr>
            <w:tcW w:w="3953" w:type="dxa"/>
            <w:tcBorders>
              <w:bottom w:val="single" w:sz="4" w:space="0" w:color="auto"/>
            </w:tcBorders>
          </w:tcPr>
          <w:p w14:paraId="53153660" w14:textId="77777777" w:rsidR="006F27D2" w:rsidRDefault="006F27D2" w:rsidP="0006453E">
            <w:pPr>
              <w:pStyle w:val="11aSignatureTable"/>
            </w:pPr>
          </w:p>
        </w:tc>
        <w:tc>
          <w:tcPr>
            <w:tcW w:w="817" w:type="dxa"/>
          </w:tcPr>
          <w:p w14:paraId="6FD3D398" w14:textId="77777777" w:rsidR="006F27D2" w:rsidRDefault="006F27D2" w:rsidP="0006453E">
            <w:pPr>
              <w:pStyle w:val="11aSignatureTable"/>
            </w:pPr>
            <w:r w:rsidRPr="006F27D2">
              <w:t>Par :</w:t>
            </w:r>
          </w:p>
        </w:tc>
        <w:tc>
          <w:tcPr>
            <w:tcW w:w="3971" w:type="dxa"/>
            <w:tcBorders>
              <w:bottom w:val="single" w:sz="4" w:space="0" w:color="auto"/>
            </w:tcBorders>
          </w:tcPr>
          <w:p w14:paraId="2C695C71" w14:textId="77777777" w:rsidR="006F27D2" w:rsidRDefault="006F27D2" w:rsidP="0006453E">
            <w:pPr>
              <w:pStyle w:val="11aSignatureTable"/>
            </w:pPr>
          </w:p>
        </w:tc>
      </w:tr>
      <w:tr w:rsidR="006F27D2" w14:paraId="7C3FFCEF" w14:textId="77777777" w:rsidTr="00DD41C7">
        <w:tc>
          <w:tcPr>
            <w:tcW w:w="9576" w:type="dxa"/>
            <w:gridSpan w:val="4"/>
          </w:tcPr>
          <w:p w14:paraId="27B595C9" w14:textId="77777777" w:rsidR="006F27D2" w:rsidRDefault="006F27D2" w:rsidP="0006453E">
            <w:pPr>
              <w:pStyle w:val="11aSignatureTable"/>
            </w:pPr>
          </w:p>
        </w:tc>
      </w:tr>
      <w:tr w:rsidR="006F27D2" w14:paraId="3D0893DE" w14:textId="77777777" w:rsidTr="00DD41C7">
        <w:tc>
          <w:tcPr>
            <w:tcW w:w="835" w:type="dxa"/>
          </w:tcPr>
          <w:p w14:paraId="3DD75084" w14:textId="77777777" w:rsidR="006F27D2" w:rsidRDefault="006F27D2" w:rsidP="0006453E">
            <w:pPr>
              <w:pStyle w:val="11aSignatureTable"/>
            </w:pPr>
            <w:r>
              <w:t>Date</w:t>
            </w:r>
            <w:r w:rsidR="0006453E">
              <w:t> </w:t>
            </w:r>
            <w:r>
              <w:t>:</w:t>
            </w:r>
          </w:p>
        </w:tc>
        <w:tc>
          <w:tcPr>
            <w:tcW w:w="3953" w:type="dxa"/>
            <w:tcBorders>
              <w:bottom w:val="single" w:sz="4" w:space="0" w:color="auto"/>
            </w:tcBorders>
          </w:tcPr>
          <w:p w14:paraId="08389CD1" w14:textId="77777777" w:rsidR="006F27D2" w:rsidRDefault="006F27D2" w:rsidP="0006453E">
            <w:pPr>
              <w:pStyle w:val="11aSignatureTable"/>
            </w:pPr>
          </w:p>
        </w:tc>
        <w:tc>
          <w:tcPr>
            <w:tcW w:w="817" w:type="dxa"/>
          </w:tcPr>
          <w:p w14:paraId="7EE4AEA0" w14:textId="77777777" w:rsidR="006F27D2" w:rsidRDefault="006F27D2" w:rsidP="0006453E">
            <w:pPr>
              <w:pStyle w:val="11aSignatureTable"/>
            </w:pPr>
            <w:r>
              <w:t>Date</w:t>
            </w:r>
            <w:r w:rsidR="0006453E">
              <w:t> </w:t>
            </w:r>
            <w:r>
              <w:t>:</w:t>
            </w:r>
          </w:p>
        </w:tc>
        <w:tc>
          <w:tcPr>
            <w:tcW w:w="3971" w:type="dxa"/>
            <w:tcBorders>
              <w:bottom w:val="single" w:sz="4" w:space="0" w:color="auto"/>
            </w:tcBorders>
          </w:tcPr>
          <w:p w14:paraId="260C32E0" w14:textId="77777777" w:rsidR="006F27D2" w:rsidRDefault="006F27D2" w:rsidP="0006453E">
            <w:pPr>
              <w:pStyle w:val="11aSignatureTable"/>
            </w:pPr>
          </w:p>
        </w:tc>
      </w:tr>
    </w:tbl>
    <w:p w14:paraId="0D1D72FC" w14:textId="77777777" w:rsidR="006F27D2" w:rsidRPr="00955ADF" w:rsidRDefault="006F27D2" w:rsidP="006F27D2">
      <w:pPr>
        <w:spacing w:before="240" w:after="240"/>
        <w:rPr>
          <w:b/>
          <w:bCs/>
          <w:lang w:val="fr-CA"/>
        </w:rPr>
      </w:pPr>
    </w:p>
    <w:sectPr w:rsidR="006F27D2" w:rsidRPr="00955ADF" w:rsidSect="00BF0481">
      <w:headerReference w:type="even" r:id="rId7"/>
      <w:headerReference w:type="default" r:id="rId8"/>
      <w:headerReference w:type="first" r:id="rId9"/>
      <w:pgSz w:w="12240" w:h="15840" w:code="1"/>
      <w:pgMar w:top="1728"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E52FA" w14:textId="77777777" w:rsidR="008457E2" w:rsidRDefault="008457E2">
      <w:r>
        <w:separator/>
      </w:r>
    </w:p>
    <w:p w14:paraId="48D20A53" w14:textId="77777777" w:rsidR="008457E2" w:rsidRDefault="008457E2"/>
    <w:p w14:paraId="3CE2F343" w14:textId="77777777" w:rsidR="008457E2" w:rsidRDefault="008457E2"/>
    <w:p w14:paraId="699B1466" w14:textId="77777777" w:rsidR="008457E2" w:rsidRDefault="008457E2"/>
    <w:p w14:paraId="7D6A7CB2" w14:textId="77777777" w:rsidR="008457E2" w:rsidRDefault="008457E2"/>
  </w:endnote>
  <w:endnote w:type="continuationSeparator" w:id="0">
    <w:p w14:paraId="743BC5EE" w14:textId="77777777" w:rsidR="008457E2" w:rsidRDefault="008457E2">
      <w:r>
        <w:continuationSeparator/>
      </w:r>
    </w:p>
    <w:p w14:paraId="34253106" w14:textId="77777777" w:rsidR="008457E2" w:rsidRDefault="008457E2"/>
    <w:p w14:paraId="11D68CDF" w14:textId="77777777" w:rsidR="008457E2" w:rsidRDefault="008457E2"/>
    <w:p w14:paraId="6EE70ABF" w14:textId="77777777" w:rsidR="008457E2" w:rsidRDefault="008457E2"/>
    <w:p w14:paraId="30942305" w14:textId="77777777" w:rsidR="008457E2" w:rsidRDefault="0084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0BB86" w14:textId="77777777" w:rsidR="008457E2" w:rsidRDefault="008457E2">
      <w:r>
        <w:separator/>
      </w:r>
    </w:p>
    <w:p w14:paraId="0E56E1DE" w14:textId="77777777" w:rsidR="008457E2" w:rsidRDefault="008457E2"/>
    <w:p w14:paraId="3623C17D" w14:textId="77777777" w:rsidR="008457E2" w:rsidRDefault="008457E2"/>
    <w:p w14:paraId="14C2A8F6" w14:textId="77777777" w:rsidR="008457E2" w:rsidRDefault="008457E2"/>
    <w:p w14:paraId="0AD8A2F6" w14:textId="77777777" w:rsidR="008457E2" w:rsidRDefault="008457E2"/>
  </w:footnote>
  <w:footnote w:type="continuationSeparator" w:id="0">
    <w:p w14:paraId="2B05DDB5" w14:textId="77777777" w:rsidR="008457E2" w:rsidRDefault="008457E2">
      <w:r>
        <w:continuationSeparator/>
      </w:r>
    </w:p>
    <w:p w14:paraId="1B174332" w14:textId="77777777" w:rsidR="008457E2" w:rsidRDefault="008457E2"/>
    <w:p w14:paraId="667991DB" w14:textId="77777777" w:rsidR="008457E2" w:rsidRDefault="008457E2"/>
    <w:p w14:paraId="60DD5D57" w14:textId="77777777" w:rsidR="008457E2" w:rsidRDefault="008457E2"/>
    <w:p w14:paraId="2752CA31" w14:textId="77777777" w:rsidR="008457E2" w:rsidRDefault="008457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BA3EA" w14:textId="77777777" w:rsidR="008457E2" w:rsidRDefault="008457E2"/>
  <w:p w14:paraId="6C6C12B5" w14:textId="77777777" w:rsidR="008457E2" w:rsidRDefault="008457E2"/>
  <w:p w14:paraId="0916ADA2" w14:textId="77777777" w:rsidR="008457E2" w:rsidRDefault="008457E2"/>
  <w:p w14:paraId="460FC757" w14:textId="77777777" w:rsidR="008457E2" w:rsidRDefault="008457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04F52" w14:textId="77777777" w:rsidR="008457E2" w:rsidRPr="00D77A72" w:rsidRDefault="008457E2" w:rsidP="001E6609">
    <w:pPr>
      <w:pStyle w:val="Header"/>
      <w:jc w:val="center"/>
      <w:rPr>
        <w:szCs w:val="24"/>
      </w:rPr>
    </w:pPr>
    <w:r w:rsidRPr="00D77A72">
      <w:rPr>
        <w:szCs w:val="24"/>
      </w:rPr>
      <w:t xml:space="preserve">- </w:t>
    </w:r>
    <w:r w:rsidRPr="00D77A72">
      <w:rPr>
        <w:rStyle w:val="PageNumber"/>
        <w:szCs w:val="24"/>
      </w:rPr>
      <w:fldChar w:fldCharType="begin"/>
    </w:r>
    <w:r w:rsidRPr="00D77A72">
      <w:rPr>
        <w:rStyle w:val="PageNumber"/>
        <w:szCs w:val="24"/>
      </w:rPr>
      <w:instrText xml:space="preserve"> PAGE </w:instrText>
    </w:r>
    <w:r w:rsidRPr="00D77A72">
      <w:rPr>
        <w:rStyle w:val="PageNumber"/>
        <w:szCs w:val="24"/>
      </w:rPr>
      <w:fldChar w:fldCharType="separate"/>
    </w:r>
    <w:r w:rsidR="0006496E">
      <w:rPr>
        <w:rStyle w:val="PageNumber"/>
        <w:noProof/>
        <w:szCs w:val="24"/>
      </w:rPr>
      <w:t>2</w:t>
    </w:r>
    <w:r w:rsidRPr="00D77A72">
      <w:rPr>
        <w:rStyle w:val="PageNumber"/>
        <w:szCs w:val="24"/>
      </w:rPr>
      <w:fldChar w:fldCharType="end"/>
    </w:r>
    <w:r w:rsidRPr="00D77A72">
      <w:rPr>
        <w:rStyle w:val="PageNumber"/>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0073E" w14:textId="77777777" w:rsidR="008457E2" w:rsidRDefault="008457E2" w:rsidP="004E6ADA">
    <w:pPr>
      <w:pStyle w:val="Header"/>
      <w:tabs>
        <w:tab w:val="clear" w:pos="4320"/>
        <w:tab w:val="clear" w:pos="8640"/>
      </w:tabs>
      <w:spacing w:before="480" w:after="480"/>
      <w:jc w:val="right"/>
    </w:pPr>
    <w:sdt>
      <w:sdtPr>
        <w:rPr>
          <w:rFonts w:cs="Arial"/>
          <w:b/>
        </w:rPr>
        <w:alias w:val="Étiquette de sécurité"/>
        <w:tag w:val="OAG-BVG-Classification"/>
        <w:id w:val="2052195265"/>
        <w:placeholder>
          <w:docPart w:val="FF4A9C85DF6848BC800DAF9296AD40F6"/>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Pr>
            <w:rFonts w:cs="Arial"/>
            <w:b/>
          </w:rPr>
          <w:t>NON CLASSIFIÉ</w:t>
        </w:r>
      </w:sdtContent>
    </w:sdt>
    <w:r>
      <w:rPr>
        <w:noProof/>
        <w:lang w:val="en-CA" w:eastAsia="en-CA"/>
      </w:rPr>
      <w:drawing>
        <wp:anchor distT="0" distB="0" distL="114300" distR="114300" simplePos="0" relativeHeight="251659264" behindDoc="0" locked="1" layoutInCell="1" allowOverlap="0" wp14:anchorId="2FA7671A" wp14:editId="442B28C0">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939"/>
    <w:multiLevelType w:val="multilevel"/>
    <w:tmpl w:val="E77E72FC"/>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8E1C44"/>
    <w:multiLevelType w:val="multilevel"/>
    <w:tmpl w:val="F854521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82032"/>
    <w:multiLevelType w:val="hybridMultilevel"/>
    <w:tmpl w:val="56428468"/>
    <w:lvl w:ilvl="0" w:tplc="3342F79C">
      <w:start w:val="1"/>
      <w:numFmt w:val="bullet"/>
      <w:lvlText w:val=""/>
      <w:lvlJc w:val="left"/>
      <w:pPr>
        <w:tabs>
          <w:tab w:val="num" w:pos="1080"/>
        </w:tabs>
        <w:ind w:left="1080" w:firstLine="0"/>
      </w:pPr>
      <w:rPr>
        <w:rFonts w:ascii="Symbol" w:hAnsi="Symbol" w:hint="default"/>
        <w:color w:val="auto"/>
        <w:sz w:val="20"/>
        <w:szCs w:val="20"/>
      </w:rPr>
    </w:lvl>
    <w:lvl w:ilvl="1" w:tplc="F97A84C6">
      <w:start w:val="1"/>
      <w:numFmt w:val="bullet"/>
      <w:pStyle w:val="09ParaBullet2"/>
      <w:lvlText w:val=""/>
      <w:lvlJc w:val="left"/>
      <w:pPr>
        <w:tabs>
          <w:tab w:val="num" w:pos="360"/>
        </w:tabs>
        <w:ind w:left="1080" w:hanging="360"/>
      </w:pPr>
      <w:rPr>
        <w:rFonts w:ascii="Symbol" w:hAnsi="Symbol" w:hint="default"/>
        <w:color w:val="auto"/>
        <w:sz w:val="20"/>
        <w:szCs w:val="20"/>
      </w:rPr>
    </w:lvl>
    <w:lvl w:ilvl="2" w:tplc="05C22024">
      <w:start w:val="1"/>
      <w:numFmt w:val="bullet"/>
      <w:lvlText w:val=""/>
      <w:lvlJc w:val="left"/>
      <w:pPr>
        <w:tabs>
          <w:tab w:val="num" w:pos="360"/>
        </w:tabs>
        <w:ind w:left="1440" w:hanging="360"/>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1A6A"/>
    <w:multiLevelType w:val="hybridMultilevel"/>
    <w:tmpl w:val="AD8EB952"/>
    <w:lvl w:ilvl="0" w:tplc="0409000F">
      <w:start w:val="1"/>
      <w:numFmt w:val="decimal"/>
      <w:lvlText w:val="%1."/>
      <w:lvlJc w:val="left"/>
      <w:pPr>
        <w:tabs>
          <w:tab w:val="num" w:pos="1890"/>
        </w:tabs>
        <w:ind w:left="1890" w:hanging="360"/>
      </w:pPr>
    </w:lvl>
    <w:lvl w:ilvl="1" w:tplc="546AF976">
      <w:start w:val="1"/>
      <w:numFmt w:val="lowerLetter"/>
      <w:lvlText w:val="(%2)"/>
      <w:lvlJc w:val="left"/>
      <w:pPr>
        <w:tabs>
          <w:tab w:val="num" w:pos="1530"/>
        </w:tabs>
        <w:ind w:left="1530" w:hanging="360"/>
      </w:pPr>
      <w:rPr>
        <w:rFonts w:hint="default"/>
      </w:rPr>
    </w:lvl>
    <w:lvl w:ilvl="2" w:tplc="F5C4F352">
      <w:start w:val="1"/>
      <w:numFmt w:val="low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2F1448C0"/>
    <w:multiLevelType w:val="multilevel"/>
    <w:tmpl w:val="53CC4876"/>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A04DC9"/>
    <w:multiLevelType w:val="multilevel"/>
    <w:tmpl w:val="F7483F5A"/>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73C1D4E"/>
    <w:multiLevelType w:val="hybridMultilevel"/>
    <w:tmpl w:val="3E5488FA"/>
    <w:lvl w:ilvl="0" w:tplc="3342F79C">
      <w:start w:val="1"/>
      <w:numFmt w:val="bullet"/>
      <w:lvlText w:val=""/>
      <w:lvlJc w:val="left"/>
      <w:pPr>
        <w:tabs>
          <w:tab w:val="num" w:pos="1080"/>
        </w:tabs>
        <w:ind w:left="1080" w:firstLine="0"/>
      </w:pPr>
      <w:rPr>
        <w:rFonts w:ascii="Symbol" w:hAnsi="Symbol" w:hint="default"/>
        <w:color w:val="auto"/>
        <w:sz w:val="20"/>
        <w:szCs w:val="20"/>
      </w:rPr>
    </w:lvl>
    <w:lvl w:ilvl="1" w:tplc="AE3A98A6">
      <w:start w:val="1"/>
      <w:numFmt w:val="bullet"/>
      <w:lvlText w:val=""/>
      <w:lvlJc w:val="left"/>
      <w:pPr>
        <w:tabs>
          <w:tab w:val="num" w:pos="360"/>
        </w:tabs>
        <w:ind w:left="1080" w:hanging="360"/>
      </w:pPr>
      <w:rPr>
        <w:rFonts w:ascii="Symbol" w:hAnsi="Symbol" w:hint="default"/>
        <w:color w:val="auto"/>
        <w:sz w:val="20"/>
        <w:szCs w:val="20"/>
      </w:rPr>
    </w:lvl>
    <w:lvl w:ilvl="2" w:tplc="628AA5D8">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F6850"/>
    <w:multiLevelType w:val="hybridMultilevel"/>
    <w:tmpl w:val="94DA141E"/>
    <w:lvl w:ilvl="0" w:tplc="47063CC0">
      <w:start w:val="1"/>
      <w:numFmt w:val="bullet"/>
      <w:pStyle w:val="15TableBullet1"/>
      <w:lvlText w:val=""/>
      <w:lvlJc w:val="left"/>
      <w:pPr>
        <w:tabs>
          <w:tab w:val="num" w:pos="216"/>
        </w:tabs>
        <w:ind w:left="216" w:hanging="216"/>
      </w:pPr>
      <w:rPr>
        <w:rFonts w:ascii="Symbol" w:hAnsi="Symbol" w:hint="default"/>
        <w:sz w:val="20"/>
        <w:szCs w:val="20"/>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3F51B64"/>
    <w:multiLevelType w:val="hybridMultilevel"/>
    <w:tmpl w:val="4CCEE104"/>
    <w:lvl w:ilvl="0" w:tplc="28F83F4C">
      <w:start w:val="1"/>
      <w:numFmt w:val="bullet"/>
      <w:lvlText w:val=""/>
      <w:lvlJc w:val="left"/>
      <w:pPr>
        <w:tabs>
          <w:tab w:val="num" w:pos="864"/>
        </w:tabs>
        <w:ind w:left="864" w:hanging="288"/>
      </w:pPr>
      <w:rPr>
        <w:rFonts w:ascii="Symbol" w:hAnsi="Symbol" w:hint="default"/>
        <w:color w:val="auto"/>
        <w:sz w:val="22"/>
        <w:szCs w:val="22"/>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EE80630A">
      <w:start w:val="1"/>
      <w:numFmt w:val="bullet"/>
      <w:pStyle w:val="15TableBullet3"/>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6E76A8"/>
    <w:multiLevelType w:val="hybridMultilevel"/>
    <w:tmpl w:val="96C6B1F0"/>
    <w:lvl w:ilvl="0" w:tplc="FAFC4230">
      <w:start w:val="1"/>
      <w:numFmt w:val="bullet"/>
      <w:lvlText w:val=""/>
      <w:lvlJc w:val="left"/>
      <w:pPr>
        <w:tabs>
          <w:tab w:val="num" w:pos="216"/>
        </w:tabs>
        <w:ind w:left="216" w:hanging="216"/>
      </w:pPr>
      <w:rPr>
        <w:rFonts w:ascii="Symbol" w:hAnsi="Symbol" w:hint="default"/>
        <w:sz w:val="20"/>
        <w:szCs w:val="20"/>
      </w:rPr>
    </w:lvl>
    <w:lvl w:ilvl="1" w:tplc="6CF8D82A">
      <w:start w:val="1"/>
      <w:numFmt w:val="bullet"/>
      <w:pStyle w:val="15TableBullet2"/>
      <w:lvlText w:val=""/>
      <w:lvlJc w:val="left"/>
      <w:pPr>
        <w:tabs>
          <w:tab w:val="num" w:pos="576"/>
        </w:tabs>
        <w:ind w:left="576" w:hanging="288"/>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3D4A5E"/>
    <w:multiLevelType w:val="multilevel"/>
    <w:tmpl w:val="CDDE4DB8"/>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
  </w:num>
  <w:num w:numId="2">
    <w:abstractNumId w:val="7"/>
  </w:num>
  <w:num w:numId="3">
    <w:abstractNumId w:val="10"/>
  </w:num>
  <w:num w:numId="4">
    <w:abstractNumId w:val="4"/>
  </w:num>
  <w:num w:numId="5">
    <w:abstractNumId w:val="5"/>
  </w:num>
  <w:num w:numId="6">
    <w:abstractNumId w:val="11"/>
  </w:num>
  <w:num w:numId="7">
    <w:abstractNumId w:val="17"/>
  </w:num>
  <w:num w:numId="8">
    <w:abstractNumId w:val="8"/>
  </w:num>
  <w:num w:numId="9">
    <w:abstractNumId w:val="9"/>
  </w:num>
  <w:num w:numId="10">
    <w:abstractNumId w:val="12"/>
  </w:num>
  <w:num w:numId="11">
    <w:abstractNumId w:val="14"/>
  </w:num>
  <w:num w:numId="12">
    <w:abstractNumId w:val="2"/>
  </w:num>
  <w:num w:numId="13">
    <w:abstractNumId w:val="15"/>
  </w:num>
  <w:num w:numId="14">
    <w:abstractNumId w:val="3"/>
  </w:num>
  <w:num w:numId="15">
    <w:abstractNumId w:val="13"/>
  </w:num>
  <w:num w:numId="16">
    <w:abstractNumId w:val="16"/>
  </w:num>
  <w:num w:numId="17">
    <w:abstractNumId w:val="16"/>
  </w:num>
  <w:num w:numId="18">
    <w:abstractNumId w:val="0"/>
  </w:num>
  <w:num w:numId="19">
    <w:abstractNumId w:val="0"/>
  </w:num>
  <w:num w:numId="20">
    <w:abstractNumId w:val="6"/>
  </w:num>
  <w:num w:numId="21">
    <w:abstractNumId w:val="1"/>
  </w:num>
  <w:num w:numId="22">
    <w:abstractNumId w:val="1"/>
  </w:num>
  <w:num w:numId="23">
    <w:abstractNumId w:val="7"/>
  </w:num>
  <w:num w:numId="24">
    <w:abstractNumId w:val="7"/>
  </w:num>
  <w:num w:numId="25">
    <w:abstractNumId w:val="10"/>
  </w:num>
  <w:num w:numId="26">
    <w:abstractNumId w:val="10"/>
  </w:num>
  <w:num w:numId="27">
    <w:abstractNumId w:val="4"/>
  </w:num>
  <w:num w:numId="28">
    <w:abstractNumId w:val="5"/>
  </w:num>
  <w:num w:numId="29">
    <w:abstractNumId w:val="11"/>
  </w:num>
  <w:num w:numId="30">
    <w:abstractNumId w:val="17"/>
  </w:num>
  <w:num w:numId="31">
    <w:abstractNumId w:val="17"/>
  </w:num>
  <w:num w:numId="32">
    <w:abstractNumId w:val="8"/>
  </w:num>
  <w:num w:numId="33">
    <w:abstractNumId w:val="8"/>
  </w:num>
  <w:num w:numId="34">
    <w:abstractNumId w:val="9"/>
  </w:num>
  <w:num w:numId="35">
    <w:abstractNumId w:val="9"/>
  </w:num>
  <w:num w:numId="36">
    <w:abstractNumId w:val="16"/>
  </w:num>
  <w:num w:numId="37">
    <w:abstractNumId w:val="16"/>
  </w:num>
  <w:num w:numId="38">
    <w:abstractNumId w:val="0"/>
  </w:num>
  <w:num w:numId="39">
    <w:abstractNumId w:val="0"/>
  </w:num>
  <w:num w:numId="40">
    <w:abstractNumId w:val="12"/>
  </w:num>
  <w:num w:numId="41">
    <w:abstractNumId w:val="15"/>
  </w:num>
  <w:num w:numId="42">
    <w:abstractNumId w:val="14"/>
  </w:num>
  <w:num w:numId="43">
    <w:abstractNumId w:val="2"/>
  </w:num>
  <w:num w:numId="44">
    <w:abstractNumId w:val="3"/>
  </w:num>
  <w:num w:numId="45">
    <w:abstractNumId w:val="13"/>
  </w:num>
  <w:num w:numId="46">
    <w:abstractNumId w:val="2"/>
  </w:num>
  <w:num w:numId="47">
    <w:abstractNumId w:val="3"/>
  </w:num>
  <w:num w:numId="4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D2"/>
    <w:rsid w:val="000012C6"/>
    <w:rsid w:val="00001D4C"/>
    <w:rsid w:val="00003E5C"/>
    <w:rsid w:val="0000420A"/>
    <w:rsid w:val="000042DD"/>
    <w:rsid w:val="00005064"/>
    <w:rsid w:val="00022ADF"/>
    <w:rsid w:val="00032917"/>
    <w:rsid w:val="00033C36"/>
    <w:rsid w:val="00041163"/>
    <w:rsid w:val="000567A7"/>
    <w:rsid w:val="000636D4"/>
    <w:rsid w:val="0006453E"/>
    <w:rsid w:val="0006496E"/>
    <w:rsid w:val="00072B42"/>
    <w:rsid w:val="000823CD"/>
    <w:rsid w:val="000831FB"/>
    <w:rsid w:val="00097FF5"/>
    <w:rsid w:val="000A11FF"/>
    <w:rsid w:val="000B6C2D"/>
    <w:rsid w:val="000C5404"/>
    <w:rsid w:val="000E4043"/>
    <w:rsid w:val="000E56E4"/>
    <w:rsid w:val="000E765C"/>
    <w:rsid w:val="000F6D40"/>
    <w:rsid w:val="00111F91"/>
    <w:rsid w:val="00122B4B"/>
    <w:rsid w:val="00126731"/>
    <w:rsid w:val="00127938"/>
    <w:rsid w:val="00142255"/>
    <w:rsid w:val="001545BA"/>
    <w:rsid w:val="00154FDB"/>
    <w:rsid w:val="00166773"/>
    <w:rsid w:val="00171F75"/>
    <w:rsid w:val="00182527"/>
    <w:rsid w:val="00184DA8"/>
    <w:rsid w:val="00186C63"/>
    <w:rsid w:val="001A0FD9"/>
    <w:rsid w:val="001A4681"/>
    <w:rsid w:val="001B005B"/>
    <w:rsid w:val="001B182F"/>
    <w:rsid w:val="001B6469"/>
    <w:rsid w:val="001C0E87"/>
    <w:rsid w:val="001C30DE"/>
    <w:rsid w:val="001C616F"/>
    <w:rsid w:val="001D07AE"/>
    <w:rsid w:val="001E1AB3"/>
    <w:rsid w:val="001E6609"/>
    <w:rsid w:val="001F3878"/>
    <w:rsid w:val="001F6558"/>
    <w:rsid w:val="00203378"/>
    <w:rsid w:val="0021398A"/>
    <w:rsid w:val="0021530E"/>
    <w:rsid w:val="00215D22"/>
    <w:rsid w:val="00230B58"/>
    <w:rsid w:val="00245E96"/>
    <w:rsid w:val="00246597"/>
    <w:rsid w:val="002511AC"/>
    <w:rsid w:val="00251BB1"/>
    <w:rsid w:val="00252B2F"/>
    <w:rsid w:val="0026623B"/>
    <w:rsid w:val="002726F2"/>
    <w:rsid w:val="002768AC"/>
    <w:rsid w:val="00296CCF"/>
    <w:rsid w:val="002A0AEE"/>
    <w:rsid w:val="002A6D59"/>
    <w:rsid w:val="002B7103"/>
    <w:rsid w:val="002E3BC1"/>
    <w:rsid w:val="002E3CBC"/>
    <w:rsid w:val="002F652B"/>
    <w:rsid w:val="00317141"/>
    <w:rsid w:val="00336B08"/>
    <w:rsid w:val="00351D09"/>
    <w:rsid w:val="003527DF"/>
    <w:rsid w:val="00357FD0"/>
    <w:rsid w:val="003614F1"/>
    <w:rsid w:val="00361B6A"/>
    <w:rsid w:val="00376447"/>
    <w:rsid w:val="003862F6"/>
    <w:rsid w:val="00391834"/>
    <w:rsid w:val="003A18C8"/>
    <w:rsid w:val="003A671D"/>
    <w:rsid w:val="003B0AE1"/>
    <w:rsid w:val="003C006D"/>
    <w:rsid w:val="003C3915"/>
    <w:rsid w:val="003D2284"/>
    <w:rsid w:val="003E1DE7"/>
    <w:rsid w:val="003E526E"/>
    <w:rsid w:val="003E606D"/>
    <w:rsid w:val="003F59C4"/>
    <w:rsid w:val="003F68CC"/>
    <w:rsid w:val="0040023F"/>
    <w:rsid w:val="00402292"/>
    <w:rsid w:val="00403A93"/>
    <w:rsid w:val="00407C05"/>
    <w:rsid w:val="00410BEC"/>
    <w:rsid w:val="004261B5"/>
    <w:rsid w:val="004300E9"/>
    <w:rsid w:val="004347E7"/>
    <w:rsid w:val="00437228"/>
    <w:rsid w:val="00451FA9"/>
    <w:rsid w:val="00456CD5"/>
    <w:rsid w:val="004640B9"/>
    <w:rsid w:val="004664F0"/>
    <w:rsid w:val="0047165D"/>
    <w:rsid w:val="00483929"/>
    <w:rsid w:val="00493FF7"/>
    <w:rsid w:val="004964C4"/>
    <w:rsid w:val="00497980"/>
    <w:rsid w:val="00497D3E"/>
    <w:rsid w:val="004E3B88"/>
    <w:rsid w:val="004E5A09"/>
    <w:rsid w:val="004E6ADA"/>
    <w:rsid w:val="00511100"/>
    <w:rsid w:val="00516156"/>
    <w:rsid w:val="005210E1"/>
    <w:rsid w:val="005277BF"/>
    <w:rsid w:val="00530335"/>
    <w:rsid w:val="005418BD"/>
    <w:rsid w:val="00542D5A"/>
    <w:rsid w:val="005547D9"/>
    <w:rsid w:val="00573C7E"/>
    <w:rsid w:val="00581AF7"/>
    <w:rsid w:val="00583EA8"/>
    <w:rsid w:val="005859EF"/>
    <w:rsid w:val="00595EFC"/>
    <w:rsid w:val="005A63FA"/>
    <w:rsid w:val="005B0FDF"/>
    <w:rsid w:val="005C3605"/>
    <w:rsid w:val="005C6E3F"/>
    <w:rsid w:val="005C74F1"/>
    <w:rsid w:val="005D53AD"/>
    <w:rsid w:val="005D679C"/>
    <w:rsid w:val="005E1B98"/>
    <w:rsid w:val="005E3F60"/>
    <w:rsid w:val="005F37F6"/>
    <w:rsid w:val="00601684"/>
    <w:rsid w:val="00606089"/>
    <w:rsid w:val="006260EA"/>
    <w:rsid w:val="00664B52"/>
    <w:rsid w:val="00664DE0"/>
    <w:rsid w:val="006832D1"/>
    <w:rsid w:val="0068540B"/>
    <w:rsid w:val="006A59A3"/>
    <w:rsid w:val="006D1FF0"/>
    <w:rsid w:val="006D2B7E"/>
    <w:rsid w:val="006E11C6"/>
    <w:rsid w:val="006E1D27"/>
    <w:rsid w:val="006E4D30"/>
    <w:rsid w:val="006F0369"/>
    <w:rsid w:val="006F27D2"/>
    <w:rsid w:val="00703F6D"/>
    <w:rsid w:val="007103BE"/>
    <w:rsid w:val="00712AC2"/>
    <w:rsid w:val="00720913"/>
    <w:rsid w:val="00725AC7"/>
    <w:rsid w:val="00725F01"/>
    <w:rsid w:val="007346C8"/>
    <w:rsid w:val="00741546"/>
    <w:rsid w:val="00761449"/>
    <w:rsid w:val="00773835"/>
    <w:rsid w:val="00774B89"/>
    <w:rsid w:val="00781260"/>
    <w:rsid w:val="00782DAE"/>
    <w:rsid w:val="00783910"/>
    <w:rsid w:val="007B0901"/>
    <w:rsid w:val="007C1F1D"/>
    <w:rsid w:val="007C6792"/>
    <w:rsid w:val="007C75BE"/>
    <w:rsid w:val="007C79EC"/>
    <w:rsid w:val="007D1617"/>
    <w:rsid w:val="007D3B95"/>
    <w:rsid w:val="007D6235"/>
    <w:rsid w:val="007E2E02"/>
    <w:rsid w:val="007E7E77"/>
    <w:rsid w:val="0080249E"/>
    <w:rsid w:val="00806628"/>
    <w:rsid w:val="0080797C"/>
    <w:rsid w:val="00813FB1"/>
    <w:rsid w:val="00824215"/>
    <w:rsid w:val="00830B26"/>
    <w:rsid w:val="00831437"/>
    <w:rsid w:val="00840C74"/>
    <w:rsid w:val="008457E2"/>
    <w:rsid w:val="008603EF"/>
    <w:rsid w:val="0086189C"/>
    <w:rsid w:val="008724A6"/>
    <w:rsid w:val="008759A3"/>
    <w:rsid w:val="0088018B"/>
    <w:rsid w:val="00896320"/>
    <w:rsid w:val="008963DF"/>
    <w:rsid w:val="008966F8"/>
    <w:rsid w:val="0089696C"/>
    <w:rsid w:val="008A5615"/>
    <w:rsid w:val="008A5FBE"/>
    <w:rsid w:val="008A7F4A"/>
    <w:rsid w:val="008C4E18"/>
    <w:rsid w:val="008D1435"/>
    <w:rsid w:val="008D6034"/>
    <w:rsid w:val="009004A4"/>
    <w:rsid w:val="00900C6A"/>
    <w:rsid w:val="00905352"/>
    <w:rsid w:val="0091128B"/>
    <w:rsid w:val="00912138"/>
    <w:rsid w:val="00912BB4"/>
    <w:rsid w:val="009204C7"/>
    <w:rsid w:val="00923D18"/>
    <w:rsid w:val="0093331B"/>
    <w:rsid w:val="00945CB6"/>
    <w:rsid w:val="00954E45"/>
    <w:rsid w:val="00962BD4"/>
    <w:rsid w:val="0096545E"/>
    <w:rsid w:val="009709A1"/>
    <w:rsid w:val="00972B34"/>
    <w:rsid w:val="00983B41"/>
    <w:rsid w:val="00992918"/>
    <w:rsid w:val="009A7395"/>
    <w:rsid w:val="009A7EBF"/>
    <w:rsid w:val="009B1784"/>
    <w:rsid w:val="009B36C4"/>
    <w:rsid w:val="009C3522"/>
    <w:rsid w:val="009C5E09"/>
    <w:rsid w:val="009D38CB"/>
    <w:rsid w:val="009D6161"/>
    <w:rsid w:val="009D6FC4"/>
    <w:rsid w:val="009F45CF"/>
    <w:rsid w:val="009F4B5C"/>
    <w:rsid w:val="009F6174"/>
    <w:rsid w:val="00A024F8"/>
    <w:rsid w:val="00A025AD"/>
    <w:rsid w:val="00A15591"/>
    <w:rsid w:val="00A2000D"/>
    <w:rsid w:val="00A20216"/>
    <w:rsid w:val="00A213A2"/>
    <w:rsid w:val="00A25A18"/>
    <w:rsid w:val="00A35006"/>
    <w:rsid w:val="00A40BED"/>
    <w:rsid w:val="00A41A07"/>
    <w:rsid w:val="00A67F13"/>
    <w:rsid w:val="00A67F61"/>
    <w:rsid w:val="00A72A36"/>
    <w:rsid w:val="00A950E5"/>
    <w:rsid w:val="00AA34CA"/>
    <w:rsid w:val="00AA7BC8"/>
    <w:rsid w:val="00AB4430"/>
    <w:rsid w:val="00AB56D6"/>
    <w:rsid w:val="00AC03BB"/>
    <w:rsid w:val="00AD0F61"/>
    <w:rsid w:val="00AE62AF"/>
    <w:rsid w:val="00AF5E28"/>
    <w:rsid w:val="00B00E35"/>
    <w:rsid w:val="00B04C67"/>
    <w:rsid w:val="00B14586"/>
    <w:rsid w:val="00B213C9"/>
    <w:rsid w:val="00B33FC6"/>
    <w:rsid w:val="00B34512"/>
    <w:rsid w:val="00B412EF"/>
    <w:rsid w:val="00B43D58"/>
    <w:rsid w:val="00B515FD"/>
    <w:rsid w:val="00B52D78"/>
    <w:rsid w:val="00B67438"/>
    <w:rsid w:val="00B7168C"/>
    <w:rsid w:val="00B72C2D"/>
    <w:rsid w:val="00B749B7"/>
    <w:rsid w:val="00B87E96"/>
    <w:rsid w:val="00B91C03"/>
    <w:rsid w:val="00BA6B96"/>
    <w:rsid w:val="00BA79FB"/>
    <w:rsid w:val="00BB12AD"/>
    <w:rsid w:val="00BB3272"/>
    <w:rsid w:val="00BB7CBE"/>
    <w:rsid w:val="00BC27EA"/>
    <w:rsid w:val="00BC71A1"/>
    <w:rsid w:val="00BD3197"/>
    <w:rsid w:val="00BD7A03"/>
    <w:rsid w:val="00BE39FB"/>
    <w:rsid w:val="00BE7E85"/>
    <w:rsid w:val="00BF0481"/>
    <w:rsid w:val="00BF24BC"/>
    <w:rsid w:val="00C147C1"/>
    <w:rsid w:val="00C31944"/>
    <w:rsid w:val="00C42761"/>
    <w:rsid w:val="00C43976"/>
    <w:rsid w:val="00C440DA"/>
    <w:rsid w:val="00C53C79"/>
    <w:rsid w:val="00C55874"/>
    <w:rsid w:val="00C616C3"/>
    <w:rsid w:val="00C63059"/>
    <w:rsid w:val="00C731D7"/>
    <w:rsid w:val="00C74AC6"/>
    <w:rsid w:val="00C80F83"/>
    <w:rsid w:val="00CA073E"/>
    <w:rsid w:val="00CA61A6"/>
    <w:rsid w:val="00CA6493"/>
    <w:rsid w:val="00CC00C4"/>
    <w:rsid w:val="00CC12AA"/>
    <w:rsid w:val="00CC383C"/>
    <w:rsid w:val="00CD079B"/>
    <w:rsid w:val="00CE0225"/>
    <w:rsid w:val="00CE57F3"/>
    <w:rsid w:val="00D258F3"/>
    <w:rsid w:val="00D25B60"/>
    <w:rsid w:val="00D340F8"/>
    <w:rsid w:val="00D364CA"/>
    <w:rsid w:val="00D36A17"/>
    <w:rsid w:val="00D379CD"/>
    <w:rsid w:val="00D41EF5"/>
    <w:rsid w:val="00D4375F"/>
    <w:rsid w:val="00D50BE5"/>
    <w:rsid w:val="00D53713"/>
    <w:rsid w:val="00D610DC"/>
    <w:rsid w:val="00D67008"/>
    <w:rsid w:val="00D727BC"/>
    <w:rsid w:val="00D72CBD"/>
    <w:rsid w:val="00D77A72"/>
    <w:rsid w:val="00DA5D2A"/>
    <w:rsid w:val="00DA62EB"/>
    <w:rsid w:val="00DA7D08"/>
    <w:rsid w:val="00DB0B7F"/>
    <w:rsid w:val="00DB725C"/>
    <w:rsid w:val="00DC1A00"/>
    <w:rsid w:val="00DC261E"/>
    <w:rsid w:val="00DC2B93"/>
    <w:rsid w:val="00DD0DD7"/>
    <w:rsid w:val="00DD41C7"/>
    <w:rsid w:val="00DD7459"/>
    <w:rsid w:val="00DE6706"/>
    <w:rsid w:val="00DF7CAC"/>
    <w:rsid w:val="00E0155E"/>
    <w:rsid w:val="00E110A2"/>
    <w:rsid w:val="00E11C94"/>
    <w:rsid w:val="00E2626A"/>
    <w:rsid w:val="00E26A45"/>
    <w:rsid w:val="00E36C08"/>
    <w:rsid w:val="00E55C1F"/>
    <w:rsid w:val="00E57D40"/>
    <w:rsid w:val="00E60A43"/>
    <w:rsid w:val="00E6457E"/>
    <w:rsid w:val="00E64AAC"/>
    <w:rsid w:val="00E65078"/>
    <w:rsid w:val="00E65356"/>
    <w:rsid w:val="00E65385"/>
    <w:rsid w:val="00E745AB"/>
    <w:rsid w:val="00E761B1"/>
    <w:rsid w:val="00E77676"/>
    <w:rsid w:val="00E807F2"/>
    <w:rsid w:val="00E81E5B"/>
    <w:rsid w:val="00E81F12"/>
    <w:rsid w:val="00E91E0D"/>
    <w:rsid w:val="00E93E8B"/>
    <w:rsid w:val="00EC0D4D"/>
    <w:rsid w:val="00EC7476"/>
    <w:rsid w:val="00ED352D"/>
    <w:rsid w:val="00ED6AA9"/>
    <w:rsid w:val="00EF10CD"/>
    <w:rsid w:val="00EF414A"/>
    <w:rsid w:val="00EF71B7"/>
    <w:rsid w:val="00F01468"/>
    <w:rsid w:val="00F02B30"/>
    <w:rsid w:val="00F07159"/>
    <w:rsid w:val="00F11C9B"/>
    <w:rsid w:val="00F233B4"/>
    <w:rsid w:val="00F258BE"/>
    <w:rsid w:val="00F26DE0"/>
    <w:rsid w:val="00F271D8"/>
    <w:rsid w:val="00F272C4"/>
    <w:rsid w:val="00F33296"/>
    <w:rsid w:val="00F33A9A"/>
    <w:rsid w:val="00F37D0B"/>
    <w:rsid w:val="00F37ED5"/>
    <w:rsid w:val="00F43929"/>
    <w:rsid w:val="00F5348B"/>
    <w:rsid w:val="00F74511"/>
    <w:rsid w:val="00F83F16"/>
    <w:rsid w:val="00F869BA"/>
    <w:rsid w:val="00F971D2"/>
    <w:rsid w:val="00F97CFD"/>
    <w:rsid w:val="00FB0299"/>
    <w:rsid w:val="00FB2556"/>
    <w:rsid w:val="00FB3569"/>
    <w:rsid w:val="00FC2910"/>
    <w:rsid w:val="00FD0886"/>
    <w:rsid w:val="00FD216F"/>
    <w:rsid w:val="00FE2678"/>
    <w:rsid w:val="00FF5DB0"/>
    <w:rsid w:val="00FF6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2442D68"/>
  <w15:docId w15:val="{C8CC6E44-5370-44F1-8CDC-1E6D67F1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EBF"/>
    <w:rPr>
      <w:rFonts w:ascii="Arial" w:hAnsi="Arial"/>
      <w:sz w:val="22"/>
      <w:szCs w:val="22"/>
    </w:rPr>
  </w:style>
  <w:style w:type="paragraph" w:styleId="Heading1">
    <w:name w:val="heading 1"/>
    <w:basedOn w:val="09Para"/>
    <w:next w:val="Heading2"/>
    <w:qFormat/>
    <w:rsid w:val="009A7EBF"/>
    <w:pPr>
      <w:keepNext/>
      <w:keepLines/>
      <w:spacing w:before="720" w:after="600"/>
      <w:outlineLvl w:val="0"/>
    </w:pPr>
    <w:rPr>
      <w:rFonts w:cs="Arial"/>
      <w:b/>
      <w:sz w:val="32"/>
      <w:szCs w:val="32"/>
    </w:rPr>
  </w:style>
  <w:style w:type="paragraph" w:styleId="Heading2">
    <w:name w:val="heading 2"/>
    <w:basedOn w:val="Heading1"/>
    <w:next w:val="Heading3"/>
    <w:link w:val="Heading2Char"/>
    <w:qFormat/>
    <w:rsid w:val="009A7EBF"/>
    <w:pPr>
      <w:spacing w:before="480" w:after="480"/>
      <w:outlineLvl w:val="1"/>
    </w:pPr>
    <w:rPr>
      <w:sz w:val="26"/>
      <w:szCs w:val="26"/>
    </w:rPr>
  </w:style>
  <w:style w:type="paragraph" w:styleId="Heading3">
    <w:name w:val="heading 3"/>
    <w:basedOn w:val="Heading2"/>
    <w:next w:val="09Para"/>
    <w:qFormat/>
    <w:rsid w:val="009A7EBF"/>
    <w:pPr>
      <w:spacing w:before="360" w:after="240"/>
      <w:outlineLvl w:val="2"/>
    </w:pPr>
    <w:rPr>
      <w:sz w:val="22"/>
    </w:rPr>
  </w:style>
  <w:style w:type="paragraph" w:styleId="Heading4">
    <w:name w:val="heading 4"/>
    <w:basedOn w:val="Normal"/>
    <w:next w:val="Normal"/>
    <w:qFormat/>
    <w:rsid w:val="009A7EB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A7EBF"/>
    <w:pPr>
      <w:spacing w:before="240" w:after="60"/>
      <w:outlineLvl w:val="4"/>
    </w:pPr>
    <w:rPr>
      <w:b/>
      <w:bCs/>
      <w:i/>
      <w:iCs/>
      <w:sz w:val="26"/>
      <w:szCs w:val="26"/>
    </w:rPr>
  </w:style>
  <w:style w:type="paragraph" w:styleId="Heading6">
    <w:name w:val="heading 6"/>
    <w:basedOn w:val="Normal"/>
    <w:next w:val="Normal"/>
    <w:qFormat/>
    <w:rsid w:val="009A7EBF"/>
    <w:pPr>
      <w:spacing w:before="240" w:after="60"/>
      <w:outlineLvl w:val="5"/>
    </w:pPr>
    <w:rPr>
      <w:rFonts w:ascii="Times New Roman" w:hAnsi="Times New Roman"/>
      <w:b/>
      <w:bCs/>
    </w:rPr>
  </w:style>
  <w:style w:type="paragraph" w:styleId="Heading7">
    <w:name w:val="heading 7"/>
    <w:basedOn w:val="Normal"/>
    <w:next w:val="Normal"/>
    <w:qFormat/>
    <w:rsid w:val="009A7EBF"/>
    <w:pPr>
      <w:spacing w:before="240" w:after="60"/>
      <w:outlineLvl w:val="6"/>
    </w:pPr>
    <w:rPr>
      <w:rFonts w:ascii="Times New Roman" w:hAnsi="Times New Roman"/>
      <w:sz w:val="24"/>
      <w:szCs w:val="24"/>
    </w:rPr>
  </w:style>
  <w:style w:type="paragraph" w:styleId="Heading8">
    <w:name w:val="heading 8"/>
    <w:basedOn w:val="Normal"/>
    <w:next w:val="Normal"/>
    <w:qFormat/>
    <w:rsid w:val="009A7EBF"/>
    <w:pPr>
      <w:spacing w:before="240" w:after="60"/>
      <w:outlineLvl w:val="7"/>
    </w:pPr>
    <w:rPr>
      <w:rFonts w:ascii="Times New Roman" w:hAnsi="Times New Roman"/>
      <w:i/>
      <w:iCs/>
      <w:sz w:val="24"/>
      <w:szCs w:val="24"/>
    </w:rPr>
  </w:style>
  <w:style w:type="paragraph" w:styleId="Heading9">
    <w:name w:val="heading 9"/>
    <w:basedOn w:val="Normal"/>
    <w:next w:val="Normal"/>
    <w:qFormat/>
    <w:rsid w:val="009A7EB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Date">
    <w:name w:val="03_Date"/>
    <w:basedOn w:val="09Para"/>
    <w:next w:val="04Vedette"/>
    <w:rsid w:val="009A7EBF"/>
    <w:pPr>
      <w:tabs>
        <w:tab w:val="left" w:pos="5760"/>
      </w:tabs>
      <w:spacing w:before="960" w:after="480"/>
    </w:pPr>
  </w:style>
  <w:style w:type="paragraph" w:customStyle="1" w:styleId="06Rfrences">
    <w:name w:val="06_Références"/>
    <w:basedOn w:val="09Para"/>
    <w:next w:val="08Appel"/>
    <w:rsid w:val="009A7EBF"/>
    <w:pPr>
      <w:spacing w:before="360" w:after="360"/>
    </w:pPr>
  </w:style>
  <w:style w:type="paragraph" w:customStyle="1" w:styleId="02NATUREDELENVOI">
    <w:name w:val="02_NATURE DE L'ENVOI"/>
    <w:basedOn w:val="09Para"/>
    <w:next w:val="03Date"/>
    <w:rsid w:val="009A7EBF"/>
    <w:pPr>
      <w:spacing w:before="960" w:after="480"/>
    </w:pPr>
    <w:rPr>
      <w:u w:val="single"/>
    </w:rPr>
  </w:style>
  <w:style w:type="paragraph" w:customStyle="1" w:styleId="04Vedette">
    <w:name w:val="04_Vedette"/>
    <w:basedOn w:val="09Para"/>
    <w:rsid w:val="009A7EBF"/>
  </w:style>
  <w:style w:type="paragraph" w:customStyle="1" w:styleId="05Mentiondacheminement">
    <w:name w:val="05_Mention d'acheminement"/>
    <w:basedOn w:val="09Para"/>
    <w:next w:val="08Appel"/>
    <w:rsid w:val="009A7EBF"/>
    <w:pPr>
      <w:spacing w:before="360" w:after="360"/>
    </w:pPr>
    <w:rPr>
      <w:u w:val="single"/>
    </w:rPr>
  </w:style>
  <w:style w:type="paragraph" w:customStyle="1" w:styleId="07Objet">
    <w:name w:val="07_Objet"/>
    <w:basedOn w:val="09Para"/>
    <w:next w:val="08Appel"/>
    <w:rsid w:val="009A7EBF"/>
    <w:pPr>
      <w:spacing w:before="360" w:after="360"/>
    </w:pPr>
    <w:rPr>
      <w:b/>
    </w:rPr>
  </w:style>
  <w:style w:type="paragraph" w:customStyle="1" w:styleId="09Para">
    <w:name w:val="09_Para"/>
    <w:rsid w:val="009A7EBF"/>
    <w:pPr>
      <w:spacing w:before="240" w:after="240"/>
    </w:pPr>
    <w:rPr>
      <w:rFonts w:ascii="Arial" w:hAnsi="Arial"/>
      <w:sz w:val="22"/>
      <w:szCs w:val="22"/>
      <w:lang w:val="fr-CA" w:eastAsia="en-US"/>
    </w:rPr>
  </w:style>
  <w:style w:type="paragraph" w:customStyle="1" w:styleId="10Salutation">
    <w:name w:val="10_Salutation"/>
    <w:basedOn w:val="09Para"/>
    <w:next w:val="Normal"/>
    <w:rsid w:val="009A7EBF"/>
    <w:pPr>
      <w:spacing w:after="360"/>
    </w:pPr>
  </w:style>
  <w:style w:type="paragraph" w:customStyle="1" w:styleId="11Signature">
    <w:name w:val="11_Signature"/>
    <w:basedOn w:val="09Para"/>
    <w:next w:val="13Picejointe"/>
    <w:rsid w:val="009A7EBF"/>
  </w:style>
  <w:style w:type="paragraph" w:customStyle="1" w:styleId="12Initialesdidentification">
    <w:name w:val="12_Initiales d'identification"/>
    <w:basedOn w:val="09Para"/>
    <w:next w:val="13Picejointe"/>
    <w:rsid w:val="009A7EBF"/>
  </w:style>
  <w:style w:type="paragraph" w:customStyle="1" w:styleId="13Picejointe">
    <w:name w:val="13_Pièce jointe"/>
    <w:basedOn w:val="09Para"/>
    <w:next w:val="14cc"/>
    <w:rsid w:val="009A7EBF"/>
  </w:style>
  <w:style w:type="paragraph" w:customStyle="1" w:styleId="14cc">
    <w:name w:val="14_c.c."/>
    <w:basedOn w:val="09Para"/>
    <w:rsid w:val="009A7EBF"/>
    <w:pPr>
      <w:tabs>
        <w:tab w:val="left" w:pos="630"/>
      </w:tabs>
      <w:spacing w:before="600" w:after="0"/>
      <w:ind w:left="994" w:hanging="994"/>
    </w:pPr>
  </w:style>
  <w:style w:type="paragraph" w:styleId="Header">
    <w:name w:val="header"/>
    <w:rsid w:val="009A7EBF"/>
    <w:pPr>
      <w:tabs>
        <w:tab w:val="center" w:pos="4320"/>
        <w:tab w:val="right" w:pos="8640"/>
      </w:tabs>
    </w:pPr>
    <w:rPr>
      <w:rFonts w:ascii="Arial" w:hAnsi="Arial"/>
      <w:sz w:val="22"/>
      <w:szCs w:val="22"/>
      <w:lang w:val="fr-CA" w:eastAsia="en-US"/>
    </w:rPr>
  </w:style>
  <w:style w:type="paragraph" w:styleId="Footer">
    <w:name w:val="footer"/>
    <w:basedOn w:val="Header"/>
    <w:rsid w:val="009A7EBF"/>
  </w:style>
  <w:style w:type="character" w:styleId="PageNumber">
    <w:name w:val="page number"/>
    <w:basedOn w:val="DefaultParagraphFont"/>
    <w:rsid w:val="009A7EBF"/>
  </w:style>
  <w:style w:type="numbering" w:customStyle="1" w:styleId="09ParaList1a">
    <w:name w:val="09_Para List 1a"/>
    <w:semiHidden/>
    <w:rsid w:val="009A7EBF"/>
    <w:pPr>
      <w:numPr>
        <w:numId w:val="7"/>
      </w:numPr>
    </w:pPr>
  </w:style>
  <w:style w:type="paragraph" w:customStyle="1" w:styleId="09ParaBullet2">
    <w:name w:val="09_Para Bullet 2"/>
    <w:basedOn w:val="09ParaBullet1"/>
    <w:rsid w:val="009A7EBF"/>
    <w:pPr>
      <w:numPr>
        <w:ilvl w:val="1"/>
        <w:numId w:val="28"/>
      </w:numPr>
    </w:pPr>
  </w:style>
  <w:style w:type="paragraph" w:customStyle="1" w:styleId="09ParaBullet3">
    <w:name w:val="09_Para Bullet 3"/>
    <w:basedOn w:val="09ParaBullet2"/>
    <w:rsid w:val="009A7EBF"/>
    <w:pPr>
      <w:numPr>
        <w:ilvl w:val="2"/>
        <w:numId w:val="29"/>
      </w:numPr>
      <w:spacing w:before="120" w:after="120"/>
    </w:pPr>
  </w:style>
  <w:style w:type="paragraph" w:customStyle="1" w:styleId="15TableList1">
    <w:name w:val="15_TableList 1"/>
    <w:basedOn w:val="15TablePara"/>
    <w:rsid w:val="009A7EBF"/>
    <w:pPr>
      <w:numPr>
        <w:numId w:val="46"/>
      </w:numPr>
    </w:pPr>
  </w:style>
  <w:style w:type="paragraph" w:customStyle="1" w:styleId="09ParaIndent1">
    <w:name w:val="09_Para Indent 1"/>
    <w:basedOn w:val="09Para"/>
    <w:rsid w:val="009A7EBF"/>
    <w:pPr>
      <w:ind w:left="360"/>
    </w:pPr>
  </w:style>
  <w:style w:type="paragraph" w:customStyle="1" w:styleId="09ParaIndent2">
    <w:name w:val="09_Para Indent 2"/>
    <w:basedOn w:val="09ParaIndent1"/>
    <w:rsid w:val="009A7EBF"/>
    <w:pPr>
      <w:ind w:left="720"/>
    </w:pPr>
  </w:style>
  <w:style w:type="paragraph" w:customStyle="1" w:styleId="09ParaIndent3">
    <w:name w:val="09_Para Indent 3"/>
    <w:basedOn w:val="09ParaIndent2"/>
    <w:rsid w:val="009A7EBF"/>
    <w:pPr>
      <w:ind w:left="1080"/>
    </w:pPr>
  </w:style>
  <w:style w:type="paragraph" w:customStyle="1" w:styleId="09ParaBullet1">
    <w:name w:val="09_Para Bullet 1"/>
    <w:basedOn w:val="09Para"/>
    <w:rsid w:val="009A7EBF"/>
    <w:pPr>
      <w:numPr>
        <w:numId w:val="27"/>
      </w:numPr>
    </w:pPr>
  </w:style>
  <w:style w:type="numbering" w:customStyle="1" w:styleId="09ParaList2a">
    <w:name w:val="09_Para List 2a"/>
    <w:semiHidden/>
    <w:rsid w:val="009A7EBF"/>
    <w:pPr>
      <w:numPr>
        <w:numId w:val="8"/>
      </w:numPr>
    </w:pPr>
  </w:style>
  <w:style w:type="paragraph" w:customStyle="1" w:styleId="09ParaList1">
    <w:name w:val="09_Para List 1"/>
    <w:basedOn w:val="09Para"/>
    <w:rsid w:val="009A7EBF"/>
    <w:pPr>
      <w:numPr>
        <w:numId w:val="31"/>
      </w:numPr>
    </w:pPr>
  </w:style>
  <w:style w:type="numbering" w:customStyle="1" w:styleId="09ParaList3a">
    <w:name w:val="09_Para List 3a"/>
    <w:semiHidden/>
    <w:rsid w:val="009A7EBF"/>
    <w:pPr>
      <w:numPr>
        <w:numId w:val="9"/>
      </w:numPr>
    </w:pPr>
  </w:style>
  <w:style w:type="paragraph" w:customStyle="1" w:styleId="09ParaIndent4">
    <w:name w:val="09_Para Indent 4"/>
    <w:basedOn w:val="09ParaIndent3"/>
    <w:rsid w:val="009A7EBF"/>
    <w:pPr>
      <w:ind w:left="1440"/>
    </w:pPr>
  </w:style>
  <w:style w:type="paragraph" w:customStyle="1" w:styleId="15TableHeadCentred">
    <w:name w:val="15_TableHead Centred"/>
    <w:basedOn w:val="15TablePara"/>
    <w:next w:val="15TablePara"/>
    <w:rsid w:val="009A7EBF"/>
    <w:pPr>
      <w:jc w:val="center"/>
    </w:pPr>
    <w:rPr>
      <w:b/>
    </w:rPr>
  </w:style>
  <w:style w:type="numbering" w:customStyle="1" w:styleId="09ParaAlpha1a">
    <w:name w:val="09_Para Alpha 1a"/>
    <w:semiHidden/>
    <w:rsid w:val="009A7EBF"/>
    <w:pPr>
      <w:numPr>
        <w:numId w:val="1"/>
      </w:numPr>
    </w:pPr>
  </w:style>
  <w:style w:type="paragraph" w:customStyle="1" w:styleId="09ParaList2">
    <w:name w:val="09_Para List 2"/>
    <w:basedOn w:val="09ParaList1"/>
    <w:rsid w:val="009A7EBF"/>
    <w:pPr>
      <w:numPr>
        <w:numId w:val="33"/>
      </w:numPr>
    </w:pPr>
  </w:style>
  <w:style w:type="paragraph" w:customStyle="1" w:styleId="09ParaList3">
    <w:name w:val="09_Para List 3"/>
    <w:basedOn w:val="09ParaList2"/>
    <w:rsid w:val="009A7EBF"/>
    <w:pPr>
      <w:numPr>
        <w:numId w:val="35"/>
      </w:numPr>
      <w:spacing w:before="120" w:after="120"/>
    </w:pPr>
  </w:style>
  <w:style w:type="numbering" w:customStyle="1" w:styleId="09ParaAlpha2a">
    <w:name w:val="09_Para Alpha 2a"/>
    <w:semiHidden/>
    <w:rsid w:val="009A7EBF"/>
    <w:pPr>
      <w:numPr>
        <w:numId w:val="2"/>
      </w:numPr>
    </w:pPr>
  </w:style>
  <w:style w:type="paragraph" w:customStyle="1" w:styleId="09ParaAlpha1">
    <w:name w:val="09_Para Alpha 1"/>
    <w:basedOn w:val="09Para"/>
    <w:rsid w:val="009A7EBF"/>
    <w:pPr>
      <w:numPr>
        <w:numId w:val="22"/>
      </w:numPr>
    </w:pPr>
  </w:style>
  <w:style w:type="numbering" w:customStyle="1" w:styleId="09ParaAlpha3a">
    <w:name w:val="09_Para Alpha 3a"/>
    <w:semiHidden/>
    <w:rsid w:val="009A7EBF"/>
    <w:pPr>
      <w:numPr>
        <w:numId w:val="3"/>
      </w:numPr>
    </w:pPr>
  </w:style>
  <w:style w:type="table" w:styleId="TableGrid">
    <w:name w:val="Table Grid"/>
    <w:basedOn w:val="TableNormal"/>
    <w:rsid w:val="009A7EBF"/>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TableHead">
    <w:name w:val="15_TableHead"/>
    <w:basedOn w:val="15TablePara"/>
    <w:next w:val="15TablePara"/>
    <w:rsid w:val="009A7EBF"/>
    <w:rPr>
      <w:b/>
    </w:rPr>
  </w:style>
  <w:style w:type="paragraph" w:customStyle="1" w:styleId="09ParaAlpha2">
    <w:name w:val="09_Para Alpha 2"/>
    <w:basedOn w:val="09ParaAlpha1"/>
    <w:rsid w:val="009A7EBF"/>
    <w:pPr>
      <w:numPr>
        <w:numId w:val="24"/>
      </w:numPr>
    </w:pPr>
  </w:style>
  <w:style w:type="paragraph" w:customStyle="1" w:styleId="09ParaAlpha3">
    <w:name w:val="09_Para Alpha 3"/>
    <w:basedOn w:val="09ParaAlpha2"/>
    <w:rsid w:val="009A7EBF"/>
    <w:pPr>
      <w:numPr>
        <w:numId w:val="26"/>
      </w:numPr>
    </w:pPr>
  </w:style>
  <w:style w:type="paragraph" w:customStyle="1" w:styleId="15TablePara">
    <w:name w:val="15_TablePara"/>
    <w:rsid w:val="009A7EBF"/>
    <w:pPr>
      <w:spacing w:before="120" w:after="120"/>
    </w:pPr>
    <w:rPr>
      <w:rFonts w:ascii="Arial" w:hAnsi="Arial"/>
      <w:szCs w:val="22"/>
      <w:lang w:val="fr-CA" w:eastAsia="en-US"/>
    </w:rPr>
  </w:style>
  <w:style w:type="paragraph" w:customStyle="1" w:styleId="08Appel">
    <w:name w:val="08_Appel"/>
    <w:basedOn w:val="09Para"/>
    <w:next w:val="09Para"/>
    <w:rsid w:val="009A7EBF"/>
  </w:style>
  <w:style w:type="paragraph" w:customStyle="1" w:styleId="15TableBullet1">
    <w:name w:val="15_TableBullet 1"/>
    <w:basedOn w:val="15TablePara"/>
    <w:rsid w:val="009A7EBF"/>
    <w:pPr>
      <w:numPr>
        <w:numId w:val="40"/>
      </w:numPr>
    </w:pPr>
  </w:style>
  <w:style w:type="paragraph" w:customStyle="1" w:styleId="15TableBullet2">
    <w:name w:val="15_TableBullet 2"/>
    <w:basedOn w:val="15TableBullet1"/>
    <w:rsid w:val="009A7EBF"/>
    <w:pPr>
      <w:numPr>
        <w:ilvl w:val="1"/>
        <w:numId w:val="41"/>
      </w:numPr>
    </w:pPr>
  </w:style>
  <w:style w:type="character" w:customStyle="1" w:styleId="Heading2Char">
    <w:name w:val="Heading 2 Char"/>
    <w:basedOn w:val="DefaultParagraphFont"/>
    <w:link w:val="Heading2"/>
    <w:rsid w:val="006F0369"/>
    <w:rPr>
      <w:rFonts w:ascii="Arial" w:hAnsi="Arial" w:cs="Arial"/>
      <w:b/>
      <w:sz w:val="26"/>
      <w:szCs w:val="26"/>
      <w:lang w:val="fr-CA" w:eastAsia="en-US"/>
    </w:rPr>
  </w:style>
  <w:style w:type="paragraph" w:customStyle="1" w:styleId="15TableBullet3">
    <w:name w:val="15_TableBullet 3"/>
    <w:basedOn w:val="15TableBullet2"/>
    <w:rsid w:val="009A7EBF"/>
    <w:pPr>
      <w:numPr>
        <w:ilvl w:val="2"/>
        <w:numId w:val="42"/>
      </w:numPr>
      <w:spacing w:before="80" w:after="80"/>
    </w:pPr>
  </w:style>
  <w:style w:type="numbering" w:customStyle="1" w:styleId="TableList1a">
    <w:name w:val="TableList1a"/>
    <w:semiHidden/>
    <w:rsid w:val="009A7EBF"/>
    <w:pPr>
      <w:numPr>
        <w:numId w:val="12"/>
      </w:numPr>
    </w:pPr>
  </w:style>
  <w:style w:type="paragraph" w:customStyle="1" w:styleId="15TableList2">
    <w:name w:val="15_TableList 2"/>
    <w:basedOn w:val="15TableList1"/>
    <w:rsid w:val="009A7EBF"/>
    <w:pPr>
      <w:numPr>
        <w:numId w:val="47"/>
      </w:numPr>
    </w:pPr>
  </w:style>
  <w:style w:type="numbering" w:customStyle="1" w:styleId="TableList2a">
    <w:name w:val="TableList2a"/>
    <w:semiHidden/>
    <w:rsid w:val="009A7EBF"/>
    <w:pPr>
      <w:numPr>
        <w:numId w:val="14"/>
      </w:numPr>
    </w:pPr>
  </w:style>
  <w:style w:type="paragraph" w:customStyle="1" w:styleId="15TableList3">
    <w:name w:val="15_TableList 3"/>
    <w:basedOn w:val="15TableList2"/>
    <w:rsid w:val="009A7EBF"/>
    <w:pPr>
      <w:numPr>
        <w:numId w:val="48"/>
      </w:numPr>
    </w:pPr>
  </w:style>
  <w:style w:type="numbering" w:customStyle="1" w:styleId="TableList3a">
    <w:name w:val="TableList3a"/>
    <w:semiHidden/>
    <w:rsid w:val="009A7EBF"/>
    <w:pPr>
      <w:numPr>
        <w:numId w:val="15"/>
      </w:numPr>
    </w:pPr>
  </w:style>
  <w:style w:type="paragraph" w:customStyle="1" w:styleId="15TableParaIndent1">
    <w:name w:val="15_TablePara Indent 1"/>
    <w:basedOn w:val="15TablePara"/>
    <w:rsid w:val="009A7EBF"/>
    <w:pPr>
      <w:ind w:left="288"/>
    </w:pPr>
  </w:style>
  <w:style w:type="paragraph" w:customStyle="1" w:styleId="15TableParaIndent2">
    <w:name w:val="15_TableParaIndent 2"/>
    <w:basedOn w:val="15TableParaIndent1"/>
    <w:rsid w:val="009A7EBF"/>
    <w:pPr>
      <w:ind w:left="576"/>
    </w:pPr>
  </w:style>
  <w:style w:type="paragraph" w:customStyle="1" w:styleId="15TableParaIndent3">
    <w:name w:val="15_TableParaIndent 3"/>
    <w:basedOn w:val="15TableParaIndent2"/>
    <w:rsid w:val="009A7EBF"/>
    <w:pPr>
      <w:ind w:left="864"/>
    </w:pPr>
  </w:style>
  <w:style w:type="paragraph" w:customStyle="1" w:styleId="15TableAlpha1">
    <w:name w:val="15_TableAlpha 1"/>
    <w:basedOn w:val="15TablePara"/>
    <w:rsid w:val="009A7EBF"/>
    <w:pPr>
      <w:numPr>
        <w:numId w:val="37"/>
      </w:numPr>
    </w:pPr>
  </w:style>
  <w:style w:type="numbering" w:customStyle="1" w:styleId="15TableAlpha1a">
    <w:name w:val="15_TableAlpha 1a"/>
    <w:semiHidden/>
    <w:rsid w:val="009A7EBF"/>
    <w:pPr>
      <w:numPr>
        <w:numId w:val="16"/>
      </w:numPr>
    </w:pPr>
  </w:style>
  <w:style w:type="paragraph" w:customStyle="1" w:styleId="15TableAlpha2">
    <w:name w:val="15_TableAlpha 2"/>
    <w:basedOn w:val="15TableAlpha1"/>
    <w:rsid w:val="009A7EBF"/>
    <w:pPr>
      <w:numPr>
        <w:numId w:val="39"/>
      </w:numPr>
    </w:pPr>
  </w:style>
  <w:style w:type="numbering" w:customStyle="1" w:styleId="15TableAlpha2a">
    <w:name w:val="15_TableAlpha 2a"/>
    <w:semiHidden/>
    <w:rsid w:val="009A7EBF"/>
    <w:pPr>
      <w:numPr>
        <w:numId w:val="18"/>
      </w:numPr>
    </w:pPr>
  </w:style>
  <w:style w:type="paragraph" w:styleId="ListBullet">
    <w:name w:val="List Bullet"/>
    <w:basedOn w:val="Normal"/>
    <w:autoRedefine/>
    <w:rsid w:val="006F27D2"/>
    <w:pPr>
      <w:ind w:left="357"/>
    </w:pPr>
    <w:rPr>
      <w:sz w:val="20"/>
    </w:rPr>
  </w:style>
  <w:style w:type="paragraph" w:styleId="CommentText">
    <w:name w:val="annotation text"/>
    <w:basedOn w:val="Normal"/>
    <w:link w:val="CommentTextChar"/>
    <w:semiHidden/>
    <w:rsid w:val="006F27D2"/>
    <w:rPr>
      <w:sz w:val="20"/>
    </w:rPr>
  </w:style>
  <w:style w:type="paragraph" w:customStyle="1" w:styleId="10aEspacesignature">
    <w:name w:val="10a_Espace_signature"/>
    <w:basedOn w:val="09Para"/>
    <w:next w:val="11Signature"/>
    <w:qFormat/>
    <w:rsid w:val="009A7EBF"/>
    <w:pPr>
      <w:spacing w:before="600" w:after="600"/>
    </w:pPr>
  </w:style>
  <w:style w:type="paragraph" w:customStyle="1" w:styleId="11aSignatureTable">
    <w:name w:val="11a_Signature_Table"/>
    <w:basedOn w:val="11Signature"/>
    <w:qFormat/>
    <w:rsid w:val="009A7EBF"/>
    <w:pPr>
      <w:spacing w:after="120"/>
    </w:pPr>
  </w:style>
  <w:style w:type="character" w:customStyle="1" w:styleId="xdtextbox1">
    <w:name w:val="xdtextbox1"/>
    <w:basedOn w:val="DefaultParagraphFont"/>
    <w:rsid w:val="000E4043"/>
    <w:rPr>
      <w:color w:val="auto"/>
      <w:bdr w:val="single" w:sz="8" w:space="1" w:color="DCDCDC" w:frame="1"/>
      <w:shd w:val="clear" w:color="auto" w:fill="FFFFFF"/>
    </w:rPr>
  </w:style>
  <w:style w:type="paragraph" w:customStyle="1" w:styleId="OAG-BVG-Classification">
    <w:name w:val="OAG-BVG-Classification"/>
    <w:link w:val="OAG-BVG-ClassificationChar"/>
    <w:rsid w:val="00BF0481"/>
    <w:rPr>
      <w:rFonts w:ascii="Arial" w:hAnsi="Arial"/>
      <w:b/>
      <w:sz w:val="22"/>
      <w:szCs w:val="22"/>
    </w:rPr>
  </w:style>
  <w:style w:type="character" w:customStyle="1" w:styleId="OAG-BVG-ClassificationChar">
    <w:name w:val="OAG-BVG-Classification Char"/>
    <w:basedOn w:val="DefaultParagraphFont"/>
    <w:link w:val="OAG-BVG-Classification"/>
    <w:rsid w:val="00BF0481"/>
    <w:rPr>
      <w:rFonts w:ascii="Arial" w:hAnsi="Arial"/>
      <w:b/>
      <w:sz w:val="22"/>
      <w:szCs w:val="22"/>
    </w:rPr>
  </w:style>
  <w:style w:type="character" w:styleId="CommentReference">
    <w:name w:val="annotation reference"/>
    <w:basedOn w:val="DefaultParagraphFont"/>
    <w:semiHidden/>
    <w:unhideWhenUsed/>
    <w:rsid w:val="003527DF"/>
    <w:rPr>
      <w:sz w:val="16"/>
      <w:szCs w:val="16"/>
    </w:rPr>
  </w:style>
  <w:style w:type="paragraph" w:styleId="CommentSubject">
    <w:name w:val="annotation subject"/>
    <w:basedOn w:val="CommentText"/>
    <w:next w:val="CommentText"/>
    <w:link w:val="CommentSubjectChar"/>
    <w:semiHidden/>
    <w:unhideWhenUsed/>
    <w:rsid w:val="003527DF"/>
    <w:rPr>
      <w:b/>
      <w:bCs/>
      <w:szCs w:val="20"/>
    </w:rPr>
  </w:style>
  <w:style w:type="character" w:customStyle="1" w:styleId="CommentTextChar">
    <w:name w:val="Comment Text Char"/>
    <w:basedOn w:val="DefaultParagraphFont"/>
    <w:link w:val="CommentText"/>
    <w:semiHidden/>
    <w:rsid w:val="003527DF"/>
    <w:rPr>
      <w:rFonts w:ascii="Arial" w:hAnsi="Arial"/>
      <w:szCs w:val="22"/>
    </w:rPr>
  </w:style>
  <w:style w:type="character" w:customStyle="1" w:styleId="CommentSubjectChar">
    <w:name w:val="Comment Subject Char"/>
    <w:basedOn w:val="CommentTextChar"/>
    <w:link w:val="CommentSubject"/>
    <w:semiHidden/>
    <w:rsid w:val="003527DF"/>
    <w:rPr>
      <w:rFonts w:ascii="Arial" w:hAnsi="Arial"/>
      <w:b/>
      <w:bCs/>
      <w:szCs w:val="22"/>
    </w:rPr>
  </w:style>
  <w:style w:type="paragraph" w:styleId="BalloonText">
    <w:name w:val="Balloon Text"/>
    <w:basedOn w:val="Normal"/>
    <w:link w:val="BalloonTextChar"/>
    <w:semiHidden/>
    <w:unhideWhenUsed/>
    <w:rsid w:val="003527DF"/>
    <w:rPr>
      <w:rFonts w:ascii="Segoe UI" w:hAnsi="Segoe UI" w:cs="Segoe UI"/>
      <w:sz w:val="18"/>
      <w:szCs w:val="18"/>
    </w:rPr>
  </w:style>
  <w:style w:type="character" w:customStyle="1" w:styleId="BalloonTextChar">
    <w:name w:val="Balloon Text Char"/>
    <w:basedOn w:val="DefaultParagraphFont"/>
    <w:link w:val="BalloonText"/>
    <w:semiHidden/>
    <w:rsid w:val="003527DF"/>
    <w:rPr>
      <w:rFonts w:ascii="Segoe UI" w:hAnsi="Segoe UI" w:cs="Segoe UI"/>
      <w:sz w:val="18"/>
      <w:szCs w:val="18"/>
    </w:rPr>
  </w:style>
  <w:style w:type="paragraph" w:styleId="Revision">
    <w:name w:val="Revision"/>
    <w:hidden/>
    <w:uiPriority w:val="99"/>
    <w:semiHidden/>
    <w:rsid w:val="00186C6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4A9C85DF6848BC800DAF9296AD40F6"/>
        <w:category>
          <w:name w:val="General"/>
          <w:gallery w:val="placeholder"/>
        </w:category>
        <w:types>
          <w:type w:val="bbPlcHdr"/>
        </w:types>
        <w:behaviors>
          <w:behavior w:val="content"/>
        </w:behaviors>
        <w:guid w:val="{6EE87CAC-5A6F-491E-A05B-D715D737084F}"/>
      </w:docPartPr>
      <w:docPartBody>
        <w:p w:rsidR="005533C7" w:rsidRDefault="009500CC" w:rsidP="009500CC">
          <w:pPr>
            <w:pStyle w:val="FF4A9C85DF6848BC800DAF9296AD40F6"/>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EB"/>
    <w:rsid w:val="001F49EB"/>
    <w:rsid w:val="004647E4"/>
    <w:rsid w:val="005533C7"/>
    <w:rsid w:val="009500CC"/>
    <w:rsid w:val="00B06DF3"/>
    <w:rsid w:val="00D327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0CC"/>
    <w:rPr>
      <w:color w:val="808080"/>
    </w:rPr>
  </w:style>
  <w:style w:type="paragraph" w:customStyle="1" w:styleId="72D35D2074DB43D2AEC4498343A9F575">
    <w:name w:val="72D35D2074DB43D2AEC4498343A9F575"/>
    <w:rsid w:val="001F49EB"/>
  </w:style>
  <w:style w:type="paragraph" w:customStyle="1" w:styleId="313E53927B8948FC8A841A1F51C0C0DA">
    <w:name w:val="313E53927B8948FC8A841A1F51C0C0DA"/>
    <w:rsid w:val="004647E4"/>
  </w:style>
  <w:style w:type="paragraph" w:customStyle="1" w:styleId="FF4A9C85DF6848BC800DAF9296AD40F6">
    <w:name w:val="FF4A9C85DF6848BC800DAF9296AD40F6"/>
    <w:rsid w:val="00950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Protocole d'entente sur la gestion d'une relation de coauditeurs</vt:lpstr>
    </vt:vector>
  </TitlesOfParts>
  <Company>OAG-BVG</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d'entente sur la gestion d'une relation de coauditeurs</dc:title>
  <dc:subject>Protocole d'entente sur la gestion d'une relation de coauditeurs</dc:subject>
  <dc:creator>OAG-BVG</dc:creator>
  <dc:description>Template is maintained by Desktop Publishing</dc:description>
  <cp:lastModifiedBy>Martin, Anne-Marie</cp:lastModifiedBy>
  <cp:revision>3</cp:revision>
  <cp:lastPrinted>2009-02-17T14:40:00Z</cp:lastPrinted>
  <dcterms:created xsi:type="dcterms:W3CDTF">2023-05-26T16:26:00Z</dcterms:created>
  <dcterms:modified xsi:type="dcterms:W3CDTF">2023-05-26T16:27:00Z</dcterms:modified>
  <cp:category>Modèle</cp:category>
  <cp:contentStatus>15698</cp:contentStatus>
</cp:coreProperties>
</file>