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5739" w14:textId="4B3D158B" w:rsidR="001D345F" w:rsidRPr="00E83DFA" w:rsidRDefault="00BA67A6">
      <w:pPr>
        <w:shd w:val="clear" w:color="auto" w:fill="FFFFFF"/>
        <w:rPr>
          <w:rFonts w:ascii="Georgia" w:eastAsia="Georgia" w:hAnsi="Georgia" w:cs="Georgia"/>
          <w:b/>
          <w:noProof/>
          <w:color w:val="F79646"/>
          <w:sz w:val="36"/>
          <w:szCs w:val="36"/>
          <w:lang w:val="fr-CA"/>
        </w:rPr>
      </w:pPr>
      <w:r>
        <w:rPr>
          <w:rFonts w:ascii="Georgia" w:eastAsia="Georgia" w:hAnsi="Georgia" w:cs="Georgia"/>
          <w:b/>
          <w:noProof/>
          <w:color w:val="0070C0"/>
          <w:sz w:val="36"/>
          <w:szCs w:val="36"/>
          <w:lang w:val="fr-CA"/>
        </w:rPr>
        <w:t>Modèle de documentation</w:t>
      </w:r>
    </w:p>
    <w:p w14:paraId="6C8BCFE4" w14:textId="2A225F3A" w:rsidR="001D345F" w:rsidRPr="00E83DFA" w:rsidRDefault="00E768C0">
      <w:pPr>
        <w:shd w:val="clear" w:color="auto" w:fill="FFFFFF"/>
        <w:rPr>
          <w:noProof/>
          <w:sz w:val="28"/>
          <w:szCs w:val="28"/>
          <w:lang w:val="fr-CA"/>
        </w:rPr>
      </w:pPr>
      <w:r>
        <w:rPr>
          <w:noProof/>
          <w:sz w:val="28"/>
          <w:szCs w:val="28"/>
          <w:lang w:val="fr-CA"/>
        </w:rPr>
        <w:t>Observation</w:t>
      </w:r>
      <w:r w:rsidR="00E83DFA">
        <w:rPr>
          <w:noProof/>
          <w:sz w:val="28"/>
          <w:szCs w:val="28"/>
          <w:lang w:val="fr-CA"/>
        </w:rPr>
        <w:t xml:space="preserve"> </w:t>
      </w:r>
      <w:r>
        <w:rPr>
          <w:noProof/>
          <w:sz w:val="28"/>
          <w:szCs w:val="28"/>
          <w:lang w:val="fr-CA"/>
        </w:rPr>
        <w:t>virtuelle</w:t>
      </w:r>
      <w:r w:rsidR="0097427D">
        <w:rPr>
          <w:noProof/>
          <w:sz w:val="28"/>
          <w:szCs w:val="28"/>
          <w:lang w:val="fr-CA"/>
        </w:rPr>
        <w:t xml:space="preserve"> </w:t>
      </w:r>
      <w:r w:rsidR="00E83DFA">
        <w:rPr>
          <w:noProof/>
          <w:sz w:val="28"/>
          <w:szCs w:val="28"/>
          <w:lang w:val="fr-CA"/>
        </w:rPr>
        <w:t>de la prise d’inventaire</w:t>
      </w:r>
      <w:r w:rsidR="0097427D">
        <w:rPr>
          <w:noProof/>
          <w:sz w:val="28"/>
          <w:szCs w:val="28"/>
          <w:lang w:val="fr-CA"/>
        </w:rPr>
        <w:t xml:space="preserve"> </w:t>
      </w:r>
      <w:r w:rsidR="004D7145" w:rsidRPr="00E83DFA">
        <w:rPr>
          <w:noProof/>
          <w:sz w:val="28"/>
          <w:szCs w:val="28"/>
          <w:lang w:val="fr-CA"/>
        </w:rPr>
        <w:br/>
      </w:r>
      <w:r w:rsidR="00816678">
        <w:rPr>
          <w:noProof/>
          <w:sz w:val="28"/>
          <w:szCs w:val="28"/>
          <w:lang w:val="fr-CA"/>
        </w:rPr>
        <w:t>j</w:t>
      </w:r>
      <w:r w:rsidR="00E83DFA">
        <w:rPr>
          <w:noProof/>
          <w:sz w:val="28"/>
          <w:szCs w:val="28"/>
          <w:lang w:val="fr-CA"/>
        </w:rPr>
        <w:t>uin </w:t>
      </w:r>
      <w:r w:rsidR="004D7145" w:rsidRPr="00E83DFA">
        <w:rPr>
          <w:noProof/>
          <w:sz w:val="28"/>
          <w:szCs w:val="28"/>
          <w:lang w:val="fr-CA"/>
        </w:rPr>
        <w:t>2021</w:t>
      </w:r>
      <w:r w:rsidR="004D7145" w:rsidRPr="00E83DFA">
        <w:rPr>
          <w:noProof/>
          <w:sz w:val="28"/>
          <w:szCs w:val="28"/>
          <w:lang w:val="fr-CA"/>
        </w:rPr>
        <w:br/>
      </w:r>
      <w:r w:rsidR="004D7145" w:rsidRPr="00E83DFA">
        <w:rPr>
          <w:noProof/>
          <w:sz w:val="28"/>
          <w:szCs w:val="28"/>
          <w:lang w:val="fr-CA"/>
        </w:rPr>
        <w:br/>
      </w:r>
      <w:r w:rsidR="00E83DFA" w:rsidRPr="00E83DFA">
        <w:rPr>
          <w:noProof/>
          <w:sz w:val="24"/>
          <w:szCs w:val="24"/>
          <w:lang w:val="fr-CA"/>
        </w:rPr>
        <w:t>Préparé par</w:t>
      </w:r>
      <w:r w:rsidR="00E83DFA">
        <w:rPr>
          <w:noProof/>
          <w:sz w:val="24"/>
          <w:szCs w:val="24"/>
          <w:lang w:val="fr-CA"/>
        </w:rPr>
        <w:t> </w:t>
      </w:r>
      <w:r w:rsidR="004D7145" w:rsidRPr="00E83DFA">
        <w:rPr>
          <w:noProof/>
          <w:sz w:val="24"/>
          <w:szCs w:val="24"/>
          <w:lang w:val="fr-CA"/>
        </w:rPr>
        <w:t xml:space="preserve">: </w:t>
      </w:r>
      <w:r w:rsidR="00E83DFA">
        <w:rPr>
          <w:noProof/>
          <w:sz w:val="24"/>
          <w:szCs w:val="24"/>
          <w:lang w:val="fr-CA"/>
        </w:rPr>
        <w:t>Services d’audit</w:t>
      </w:r>
    </w:p>
    <w:p w14:paraId="4AB341C8" w14:textId="77777777" w:rsidR="001D345F" w:rsidRPr="00E83DFA" w:rsidRDefault="001D345F">
      <w:pPr>
        <w:shd w:val="clear" w:color="auto" w:fill="FFFFFF"/>
        <w:rPr>
          <w:noProof/>
          <w:sz w:val="28"/>
          <w:szCs w:val="28"/>
          <w:lang w:val="fr-CA"/>
        </w:rPr>
      </w:pPr>
    </w:p>
    <w:p w14:paraId="59EF7B7C" w14:textId="03ABED65" w:rsidR="001D345F" w:rsidRPr="00E83DFA" w:rsidRDefault="000B2279">
      <w:pPr>
        <w:rPr>
          <w:noProof/>
          <w:sz w:val="20"/>
          <w:szCs w:val="20"/>
          <w:lang w:val="fr-CA"/>
        </w:rPr>
      </w:pPr>
      <w:r>
        <w:rPr>
          <w:noProof/>
          <w:color w:val="FF0000"/>
          <w:lang w:val="fr-CA"/>
        </w:rPr>
        <w:t xml:space="preserve">Les équipes de mission qui prévoient </w:t>
      </w:r>
      <w:r w:rsidR="00CF0420">
        <w:rPr>
          <w:noProof/>
          <w:color w:val="FF0000"/>
          <w:lang w:val="fr-CA"/>
        </w:rPr>
        <w:t>observer</w:t>
      </w:r>
      <w:r>
        <w:rPr>
          <w:noProof/>
          <w:color w:val="FF0000"/>
          <w:lang w:val="fr-CA"/>
        </w:rPr>
        <w:t xml:space="preserve"> virtuellement </w:t>
      </w:r>
      <w:r w:rsidR="00CF0420">
        <w:rPr>
          <w:noProof/>
          <w:color w:val="FF0000"/>
          <w:lang w:val="fr-CA"/>
        </w:rPr>
        <w:t>une</w:t>
      </w:r>
      <w:r>
        <w:rPr>
          <w:noProof/>
          <w:color w:val="FF0000"/>
          <w:lang w:val="fr-CA"/>
        </w:rPr>
        <w:t xml:space="preserve"> prise d’inventaire physique d</w:t>
      </w:r>
      <w:r w:rsidR="00772E43">
        <w:rPr>
          <w:noProof/>
          <w:color w:val="FF0000"/>
          <w:lang w:val="fr-CA"/>
        </w:rPr>
        <w:t>e</w:t>
      </w:r>
      <w:r>
        <w:rPr>
          <w:noProof/>
          <w:color w:val="FF0000"/>
          <w:lang w:val="fr-CA"/>
        </w:rPr>
        <w:t>v</w:t>
      </w:r>
      <w:r w:rsidR="00772E43">
        <w:rPr>
          <w:noProof/>
          <w:color w:val="FF0000"/>
          <w:lang w:val="fr-CA"/>
        </w:rPr>
        <w:t>rai</w:t>
      </w:r>
      <w:r>
        <w:rPr>
          <w:noProof/>
          <w:color w:val="FF0000"/>
          <w:lang w:val="fr-CA"/>
        </w:rPr>
        <w:t xml:space="preserve">ent consigner leur évaluation des risques et les facteurs relatifs à la planification dans le présent modèle </w:t>
      </w:r>
      <w:r w:rsidR="0097427D">
        <w:rPr>
          <w:noProof/>
          <w:color w:val="FF0000"/>
          <w:lang w:val="fr-CA"/>
        </w:rPr>
        <w:t>qui sera inclus dans le dossier d’audit</w:t>
      </w:r>
      <w:r w:rsidR="009839F0" w:rsidRPr="00E83DFA">
        <w:rPr>
          <w:noProof/>
          <w:color w:val="FF0000"/>
          <w:lang w:val="fr-CA"/>
        </w:rPr>
        <w:t>.</w:t>
      </w:r>
    </w:p>
    <w:p w14:paraId="5361181E" w14:textId="77777777" w:rsidR="001D345F" w:rsidRPr="00E83DFA" w:rsidRDefault="001D345F">
      <w:pPr>
        <w:rPr>
          <w:noProof/>
          <w:sz w:val="20"/>
          <w:szCs w:val="20"/>
          <w:lang w:val="fr-CA"/>
        </w:rPr>
      </w:pPr>
    </w:p>
    <w:p w14:paraId="4EE70918" w14:textId="38A7F945" w:rsidR="001D345F" w:rsidRPr="00E83DFA" w:rsidRDefault="0097427D">
      <w:pPr>
        <w:rPr>
          <w:i/>
          <w:noProof/>
          <w:sz w:val="20"/>
          <w:szCs w:val="20"/>
          <w:lang w:val="fr-CA"/>
        </w:rPr>
      </w:pPr>
      <w:r>
        <w:rPr>
          <w:noProof/>
          <w:sz w:val="20"/>
          <w:szCs w:val="20"/>
          <w:lang w:val="fr-CA"/>
        </w:rPr>
        <w:t xml:space="preserve">Le présent modèle </w:t>
      </w:r>
      <w:r w:rsidR="00772E43">
        <w:rPr>
          <w:noProof/>
          <w:sz w:val="20"/>
          <w:szCs w:val="20"/>
          <w:lang w:val="fr-CA"/>
        </w:rPr>
        <w:t>est</w:t>
      </w:r>
      <w:r>
        <w:rPr>
          <w:noProof/>
          <w:sz w:val="20"/>
          <w:szCs w:val="20"/>
          <w:lang w:val="fr-CA"/>
        </w:rPr>
        <w:t xml:space="preserve"> utilisé pour consigner en dossier l’évaluation faite par l’équipe de mission pour déterminer s’il convient d’exécuter une observation virtuelle de la prise d’inventaire, y compris l’évaluation des risques pertinents et les facteurs relatifs à l’exécution</w:t>
      </w:r>
      <w:r w:rsidR="009839F0" w:rsidRPr="00E83DFA">
        <w:rPr>
          <w:noProof/>
          <w:sz w:val="20"/>
          <w:szCs w:val="20"/>
          <w:lang w:val="fr-CA"/>
        </w:rPr>
        <w:t xml:space="preserve">. </w:t>
      </w:r>
      <w:r>
        <w:rPr>
          <w:noProof/>
          <w:sz w:val="20"/>
          <w:szCs w:val="20"/>
          <w:lang w:val="fr-CA"/>
        </w:rPr>
        <w:t>Une observation vir</w:t>
      </w:r>
      <w:r w:rsidR="00CB18EA">
        <w:rPr>
          <w:noProof/>
          <w:sz w:val="20"/>
          <w:szCs w:val="20"/>
          <w:lang w:val="fr-CA"/>
        </w:rPr>
        <w:t>t</w:t>
      </w:r>
      <w:r>
        <w:rPr>
          <w:noProof/>
          <w:sz w:val="20"/>
          <w:szCs w:val="20"/>
          <w:lang w:val="fr-CA"/>
        </w:rPr>
        <w:t>uelle est seulement appropriée si les conditions suivantes sont respectées </w:t>
      </w:r>
      <w:r w:rsidR="009839F0" w:rsidRPr="00E83DFA">
        <w:rPr>
          <w:noProof/>
          <w:sz w:val="20"/>
          <w:szCs w:val="20"/>
          <w:lang w:val="fr-CA"/>
        </w:rPr>
        <w:t>:</w:t>
      </w:r>
    </w:p>
    <w:p w14:paraId="1054C187" w14:textId="242F8818" w:rsidR="001D345F" w:rsidRPr="00E83DFA" w:rsidRDefault="0097427D">
      <w:pPr>
        <w:numPr>
          <w:ilvl w:val="0"/>
          <w:numId w:val="5"/>
        </w:numPr>
        <w:rPr>
          <w:i/>
          <w:noProof/>
          <w:sz w:val="20"/>
          <w:szCs w:val="20"/>
          <w:lang w:val="fr-CA"/>
        </w:rPr>
      </w:pPr>
      <w:r>
        <w:rPr>
          <w:i/>
          <w:noProof/>
          <w:sz w:val="20"/>
          <w:szCs w:val="20"/>
          <w:lang w:val="fr-CA"/>
        </w:rPr>
        <w:t xml:space="preserve">l’auditeur a évalué le risque d’anomalies significatives </w:t>
      </w:r>
      <w:r w:rsidR="00E13D1F">
        <w:rPr>
          <w:i/>
          <w:noProof/>
          <w:sz w:val="20"/>
          <w:szCs w:val="20"/>
          <w:lang w:val="fr-CA"/>
        </w:rPr>
        <w:t>lié</w:t>
      </w:r>
      <w:r w:rsidR="00E768C0">
        <w:rPr>
          <w:i/>
          <w:noProof/>
          <w:sz w:val="20"/>
          <w:szCs w:val="20"/>
          <w:lang w:val="fr-CA"/>
        </w:rPr>
        <w:t>es</w:t>
      </w:r>
      <w:r w:rsidR="00E13D1F">
        <w:rPr>
          <w:i/>
          <w:noProof/>
          <w:sz w:val="20"/>
          <w:szCs w:val="20"/>
          <w:lang w:val="fr-CA"/>
        </w:rPr>
        <w:t xml:space="preserve"> aux quantités des stocks comme étant normal</w:t>
      </w:r>
      <w:r w:rsidR="009839F0" w:rsidRPr="00E83DFA">
        <w:rPr>
          <w:i/>
          <w:noProof/>
          <w:sz w:val="20"/>
          <w:szCs w:val="20"/>
          <w:lang w:val="fr-CA"/>
        </w:rPr>
        <w:t xml:space="preserve"> (</w:t>
      </w:r>
      <w:r w:rsidR="00E13D1F">
        <w:rPr>
          <w:i/>
          <w:noProof/>
          <w:sz w:val="20"/>
          <w:szCs w:val="20"/>
          <w:lang w:val="fr-CA"/>
        </w:rPr>
        <w:t>y compris tout risque de fraude afférent</w:t>
      </w:r>
      <w:r w:rsidR="009839F0" w:rsidRPr="00E83DFA">
        <w:rPr>
          <w:i/>
          <w:noProof/>
          <w:sz w:val="20"/>
          <w:szCs w:val="20"/>
          <w:lang w:val="fr-CA"/>
        </w:rPr>
        <w:t>)</w:t>
      </w:r>
      <w:r w:rsidR="00E13D1F">
        <w:rPr>
          <w:i/>
          <w:noProof/>
          <w:sz w:val="20"/>
          <w:szCs w:val="20"/>
          <w:lang w:val="fr-CA"/>
        </w:rPr>
        <w:t>;</w:t>
      </w:r>
    </w:p>
    <w:p w14:paraId="1E91096C" w14:textId="56DC4560" w:rsidR="001D345F" w:rsidRPr="00E83DFA" w:rsidRDefault="00E13D1F">
      <w:pPr>
        <w:numPr>
          <w:ilvl w:val="0"/>
          <w:numId w:val="5"/>
        </w:numPr>
        <w:rPr>
          <w:i/>
          <w:noProof/>
          <w:sz w:val="20"/>
          <w:szCs w:val="20"/>
          <w:lang w:val="fr-CA"/>
        </w:rPr>
      </w:pPr>
      <w:r>
        <w:rPr>
          <w:i/>
          <w:noProof/>
          <w:sz w:val="20"/>
          <w:szCs w:val="20"/>
          <w:lang w:val="fr-CA"/>
        </w:rPr>
        <w:t>par le passé</w:t>
      </w:r>
      <w:r w:rsidR="009839F0" w:rsidRPr="00E83DFA">
        <w:rPr>
          <w:i/>
          <w:noProof/>
          <w:sz w:val="20"/>
          <w:szCs w:val="20"/>
          <w:lang w:val="fr-CA"/>
        </w:rPr>
        <w:t xml:space="preserve">, </w:t>
      </w:r>
      <w:r>
        <w:rPr>
          <w:i/>
          <w:noProof/>
          <w:sz w:val="20"/>
          <w:szCs w:val="20"/>
          <w:lang w:val="fr-CA"/>
        </w:rPr>
        <w:t xml:space="preserve">les </w:t>
      </w:r>
      <w:r w:rsidR="00CF0420">
        <w:rPr>
          <w:i/>
          <w:noProof/>
          <w:sz w:val="20"/>
          <w:szCs w:val="20"/>
          <w:lang w:val="fr-CA"/>
        </w:rPr>
        <w:t>registres</w:t>
      </w:r>
      <w:r>
        <w:rPr>
          <w:i/>
          <w:noProof/>
          <w:sz w:val="20"/>
          <w:szCs w:val="20"/>
          <w:lang w:val="fr-CA"/>
        </w:rPr>
        <w:t xml:space="preserve"> d’inventaire ont été exacts;</w:t>
      </w:r>
    </w:p>
    <w:p w14:paraId="3D23429C" w14:textId="4AA4BBFE" w:rsidR="001D345F" w:rsidRPr="00E83DFA" w:rsidRDefault="00E13D1F">
      <w:pPr>
        <w:numPr>
          <w:ilvl w:val="0"/>
          <w:numId w:val="5"/>
        </w:numPr>
        <w:rPr>
          <w:i/>
          <w:noProof/>
          <w:sz w:val="20"/>
          <w:szCs w:val="20"/>
          <w:lang w:val="fr-CA"/>
        </w:rPr>
      </w:pPr>
      <w:r>
        <w:rPr>
          <w:i/>
          <w:noProof/>
          <w:sz w:val="20"/>
          <w:szCs w:val="20"/>
          <w:lang w:val="fr-CA"/>
        </w:rPr>
        <w:t xml:space="preserve">il n’y a aucune </w:t>
      </w:r>
      <w:r w:rsidR="00E768C0">
        <w:rPr>
          <w:i/>
          <w:noProof/>
          <w:sz w:val="20"/>
          <w:szCs w:val="20"/>
          <w:lang w:val="fr-CA"/>
        </w:rPr>
        <w:t>déficience des contrôles connue</w:t>
      </w:r>
      <w:r>
        <w:rPr>
          <w:i/>
          <w:noProof/>
          <w:sz w:val="20"/>
          <w:szCs w:val="20"/>
          <w:lang w:val="fr-CA"/>
        </w:rPr>
        <w:t xml:space="preserve"> </w:t>
      </w:r>
      <w:r w:rsidR="00CF0420">
        <w:rPr>
          <w:i/>
          <w:noProof/>
          <w:sz w:val="20"/>
          <w:szCs w:val="20"/>
          <w:lang w:val="fr-CA"/>
        </w:rPr>
        <w:t>et</w:t>
      </w:r>
      <w:r>
        <w:rPr>
          <w:i/>
          <w:noProof/>
          <w:sz w:val="20"/>
          <w:szCs w:val="20"/>
          <w:lang w:val="fr-CA"/>
        </w:rPr>
        <w:t xml:space="preserve"> aucun autre changement important </w:t>
      </w:r>
      <w:r w:rsidR="00CF0420">
        <w:rPr>
          <w:i/>
          <w:noProof/>
          <w:sz w:val="20"/>
          <w:szCs w:val="20"/>
          <w:lang w:val="fr-CA"/>
        </w:rPr>
        <w:t xml:space="preserve">n’a été apporté </w:t>
      </w:r>
      <w:r>
        <w:rPr>
          <w:i/>
          <w:noProof/>
          <w:sz w:val="20"/>
          <w:szCs w:val="20"/>
          <w:lang w:val="fr-CA"/>
        </w:rPr>
        <w:t xml:space="preserve">au processus de la direction qui pourrait avoir une incidence sur la qualité de l’observation virtuelle de sorte que </w:t>
      </w:r>
      <w:r w:rsidR="00E768C0">
        <w:rPr>
          <w:i/>
          <w:noProof/>
          <w:sz w:val="20"/>
          <w:szCs w:val="20"/>
          <w:lang w:val="fr-CA"/>
        </w:rPr>
        <w:t>la</w:t>
      </w:r>
      <w:r>
        <w:rPr>
          <w:i/>
          <w:noProof/>
          <w:sz w:val="20"/>
          <w:szCs w:val="20"/>
          <w:lang w:val="fr-CA"/>
        </w:rPr>
        <w:t xml:space="preserve"> présence</w:t>
      </w:r>
      <w:r w:rsidR="00E768C0">
        <w:rPr>
          <w:i/>
          <w:noProof/>
          <w:sz w:val="20"/>
          <w:szCs w:val="20"/>
          <w:lang w:val="fr-CA"/>
        </w:rPr>
        <w:t xml:space="preserve"> de l’auditeur</w:t>
      </w:r>
      <w:r>
        <w:rPr>
          <w:i/>
          <w:noProof/>
          <w:sz w:val="20"/>
          <w:szCs w:val="20"/>
          <w:lang w:val="fr-CA"/>
        </w:rPr>
        <w:t xml:space="preserve"> </w:t>
      </w:r>
      <w:r w:rsidR="00CF0420">
        <w:rPr>
          <w:i/>
          <w:noProof/>
          <w:sz w:val="20"/>
          <w:szCs w:val="20"/>
          <w:lang w:val="fr-CA"/>
        </w:rPr>
        <w:t>sur place</w:t>
      </w:r>
      <w:r>
        <w:rPr>
          <w:i/>
          <w:noProof/>
          <w:sz w:val="20"/>
          <w:szCs w:val="20"/>
          <w:lang w:val="fr-CA"/>
        </w:rPr>
        <w:t xml:space="preserve"> </w:t>
      </w:r>
      <w:r w:rsidR="00E768C0">
        <w:rPr>
          <w:i/>
          <w:noProof/>
          <w:sz w:val="20"/>
          <w:szCs w:val="20"/>
          <w:lang w:val="fr-CA"/>
        </w:rPr>
        <w:t>est</w:t>
      </w:r>
      <w:r>
        <w:rPr>
          <w:i/>
          <w:noProof/>
          <w:sz w:val="20"/>
          <w:szCs w:val="20"/>
          <w:lang w:val="fr-CA"/>
        </w:rPr>
        <w:t xml:space="preserve"> nécessaire;</w:t>
      </w:r>
    </w:p>
    <w:p w14:paraId="0CBF345D" w14:textId="1F12913A" w:rsidR="001D345F" w:rsidRPr="00E83DFA" w:rsidRDefault="00E13D1F">
      <w:pPr>
        <w:numPr>
          <w:ilvl w:val="0"/>
          <w:numId w:val="5"/>
        </w:numPr>
        <w:rPr>
          <w:i/>
          <w:noProof/>
          <w:sz w:val="20"/>
          <w:szCs w:val="20"/>
          <w:lang w:val="fr-CA"/>
        </w:rPr>
      </w:pPr>
      <w:r>
        <w:rPr>
          <w:i/>
          <w:noProof/>
          <w:sz w:val="20"/>
          <w:szCs w:val="20"/>
          <w:lang w:val="fr-CA"/>
        </w:rPr>
        <w:t>il s’agit d’un client existant et les contrôles historiques de l’entité sont exercés sur les stocks</w:t>
      </w:r>
      <w:r w:rsidR="00E768C0">
        <w:rPr>
          <w:i/>
          <w:noProof/>
          <w:sz w:val="20"/>
          <w:szCs w:val="20"/>
          <w:lang w:val="fr-CA"/>
        </w:rPr>
        <w:t>. (</w:t>
      </w:r>
      <w:proofErr w:type="gramStart"/>
      <w:r w:rsidR="00772E43" w:rsidRPr="00161E57">
        <w:rPr>
          <w:i/>
          <w:sz w:val="19"/>
          <w:szCs w:val="19"/>
          <w:lang w:val="fr-CA"/>
        </w:rPr>
        <w:t>c.-à-d.</w:t>
      </w:r>
      <w:proofErr w:type="gramEnd"/>
      <w:r w:rsidR="00772E43" w:rsidRPr="00161E57">
        <w:rPr>
          <w:i/>
          <w:sz w:val="19"/>
          <w:szCs w:val="19"/>
          <w:lang w:val="fr-CA"/>
        </w:rPr>
        <w:t xml:space="preserve"> qu’</w:t>
      </w:r>
      <w:r w:rsidR="00772E43" w:rsidRPr="00161E57">
        <w:rPr>
          <w:i/>
          <w:noProof/>
          <w:sz w:val="20"/>
          <w:szCs w:val="20"/>
          <w:lang w:val="fr-CA"/>
        </w:rPr>
        <w:t>i</w:t>
      </w:r>
      <w:r w:rsidRPr="00161E57">
        <w:rPr>
          <w:i/>
          <w:noProof/>
          <w:sz w:val="20"/>
          <w:szCs w:val="20"/>
          <w:lang w:val="fr-CA"/>
        </w:rPr>
        <w:t>l</w:t>
      </w:r>
      <w:r>
        <w:rPr>
          <w:i/>
          <w:noProof/>
          <w:sz w:val="20"/>
          <w:szCs w:val="20"/>
          <w:lang w:val="fr-CA"/>
        </w:rPr>
        <w:t xml:space="preserve"> pourrait ne pas être approprié </w:t>
      </w:r>
      <w:r w:rsidR="00CF0420">
        <w:rPr>
          <w:i/>
          <w:noProof/>
          <w:sz w:val="20"/>
          <w:szCs w:val="20"/>
          <w:lang w:val="fr-CA"/>
        </w:rPr>
        <w:t xml:space="preserve">d’observer </w:t>
      </w:r>
      <w:r w:rsidR="00E768C0">
        <w:rPr>
          <w:i/>
          <w:noProof/>
          <w:sz w:val="20"/>
          <w:szCs w:val="20"/>
          <w:lang w:val="fr-CA"/>
        </w:rPr>
        <w:t xml:space="preserve">virtuellement </w:t>
      </w:r>
      <w:r>
        <w:rPr>
          <w:i/>
          <w:noProof/>
          <w:sz w:val="20"/>
          <w:szCs w:val="20"/>
          <w:lang w:val="fr-CA"/>
        </w:rPr>
        <w:t>la prise d’inventaire physique pour de nouveaux clients ou pour des stocks d’une entité acquise par un client existant</w:t>
      </w:r>
      <w:r w:rsidR="00F71FC1">
        <w:rPr>
          <w:i/>
          <w:noProof/>
          <w:sz w:val="20"/>
          <w:szCs w:val="20"/>
          <w:lang w:val="fr-CA"/>
        </w:rPr>
        <w:t>. Le cas échéant, il fau</w:t>
      </w:r>
      <w:r w:rsidR="00772E43">
        <w:rPr>
          <w:i/>
          <w:noProof/>
          <w:sz w:val="20"/>
          <w:szCs w:val="20"/>
          <w:lang w:val="fr-CA"/>
        </w:rPr>
        <w:t>drai</w:t>
      </w:r>
      <w:r w:rsidR="00F71FC1">
        <w:rPr>
          <w:i/>
          <w:noProof/>
          <w:sz w:val="20"/>
          <w:szCs w:val="20"/>
          <w:lang w:val="fr-CA"/>
        </w:rPr>
        <w:t xml:space="preserve">t </w:t>
      </w:r>
      <w:r w:rsidR="00772E43">
        <w:rPr>
          <w:i/>
          <w:noProof/>
          <w:sz w:val="20"/>
          <w:szCs w:val="20"/>
          <w:lang w:val="fr-CA"/>
        </w:rPr>
        <w:t xml:space="preserve">considérer </w:t>
      </w:r>
      <w:r w:rsidR="00F71FC1">
        <w:rPr>
          <w:i/>
          <w:noProof/>
          <w:sz w:val="20"/>
          <w:szCs w:val="20"/>
          <w:lang w:val="fr-CA"/>
        </w:rPr>
        <w:t>consulter les Services d’audit</w:t>
      </w:r>
      <w:r w:rsidR="00E768C0">
        <w:rPr>
          <w:i/>
          <w:noProof/>
          <w:sz w:val="20"/>
          <w:szCs w:val="20"/>
          <w:lang w:val="fr-CA"/>
        </w:rPr>
        <w:t xml:space="preserve"> </w:t>
      </w:r>
      <w:r w:rsidR="00CF0420">
        <w:rPr>
          <w:i/>
          <w:noProof/>
          <w:sz w:val="20"/>
          <w:szCs w:val="20"/>
          <w:lang w:val="fr-CA"/>
        </w:rPr>
        <w:t>avant d’</w:t>
      </w:r>
      <w:r w:rsidR="00E768C0">
        <w:rPr>
          <w:i/>
          <w:noProof/>
          <w:sz w:val="20"/>
          <w:szCs w:val="20"/>
          <w:lang w:val="fr-CA"/>
        </w:rPr>
        <w:t>exécuter une observation virtuelle</w:t>
      </w:r>
      <w:r w:rsidR="00F71FC1">
        <w:rPr>
          <w:i/>
          <w:noProof/>
          <w:sz w:val="20"/>
          <w:szCs w:val="20"/>
          <w:lang w:val="fr-CA"/>
        </w:rPr>
        <w:t xml:space="preserve">. </w:t>
      </w:r>
      <w:r w:rsidR="00E768C0">
        <w:rPr>
          <w:i/>
          <w:noProof/>
          <w:sz w:val="20"/>
          <w:szCs w:val="20"/>
          <w:lang w:val="fr-CA"/>
        </w:rPr>
        <w:t>L’auditeur remplit également le</w:t>
      </w:r>
      <w:r w:rsidR="008B55E2">
        <w:rPr>
          <w:i/>
          <w:noProof/>
          <w:sz w:val="20"/>
          <w:szCs w:val="20"/>
          <w:lang w:val="fr-CA"/>
        </w:rPr>
        <w:t xml:space="preserve"> présent modèle de documentation en vue de </w:t>
      </w:r>
      <w:r w:rsidR="00CF0420">
        <w:rPr>
          <w:i/>
          <w:noProof/>
          <w:sz w:val="20"/>
          <w:szCs w:val="20"/>
          <w:lang w:val="fr-CA"/>
        </w:rPr>
        <w:t xml:space="preserve">préparer </w:t>
      </w:r>
      <w:r w:rsidR="008B55E2">
        <w:rPr>
          <w:i/>
          <w:noProof/>
          <w:sz w:val="20"/>
          <w:szCs w:val="20"/>
          <w:lang w:val="fr-CA"/>
        </w:rPr>
        <w:t>cette consultation</w:t>
      </w:r>
      <w:r w:rsidR="009839F0" w:rsidRPr="00E83DFA">
        <w:rPr>
          <w:i/>
          <w:noProof/>
          <w:sz w:val="20"/>
          <w:szCs w:val="20"/>
          <w:lang w:val="fr-CA"/>
        </w:rPr>
        <w:t xml:space="preserve">.) </w:t>
      </w:r>
    </w:p>
    <w:p w14:paraId="1E489786" w14:textId="77777777" w:rsidR="001D345F" w:rsidRPr="00E83DFA" w:rsidRDefault="001D345F">
      <w:pPr>
        <w:rPr>
          <w:noProof/>
          <w:sz w:val="20"/>
          <w:szCs w:val="20"/>
          <w:lang w:val="fr-CA"/>
        </w:rPr>
      </w:pPr>
    </w:p>
    <w:p w14:paraId="61E9AAF2" w14:textId="77777777" w:rsidR="001D345F" w:rsidRPr="00E83DFA" w:rsidRDefault="001D345F">
      <w:pPr>
        <w:rPr>
          <w:noProof/>
          <w:sz w:val="20"/>
          <w:szCs w:val="20"/>
          <w:lang w:val="fr-CA"/>
        </w:rPr>
      </w:pPr>
    </w:p>
    <w:tbl>
      <w:tblPr>
        <w:tblStyle w:val="a"/>
        <w:tblW w:w="108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4755"/>
        <w:gridCol w:w="4592"/>
      </w:tblGrid>
      <w:tr w:rsidR="001D345F" w:rsidRPr="00F4236B" w14:paraId="7B0F18BB" w14:textId="77777777"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F9C0" w14:textId="0549DFFB" w:rsidR="001D345F" w:rsidRPr="00E83DFA" w:rsidRDefault="00E83DFA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S</w:t>
            </w:r>
            <w:r w:rsidRPr="00E83DFA">
              <w:rPr>
                <w:noProof/>
                <w:sz w:val="20"/>
                <w:szCs w:val="20"/>
                <w:lang w:val="fr-CA"/>
              </w:rPr>
              <w:t>euil de signification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33EA" w14:textId="62F50C18" w:rsidR="001D345F" w:rsidRPr="00E83DFA" w:rsidRDefault="00E768C0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Indiquer le seuil de signification gobal, le seuil de signification pour les travaux et le seuil de signification de l’audit d</w:t>
            </w:r>
            <w:r w:rsidR="00CF0420">
              <w:rPr>
                <w:noProof/>
                <w:sz w:val="20"/>
                <w:szCs w:val="20"/>
                <w:lang w:val="fr-CA"/>
              </w:rPr>
              <w:t>es</w:t>
            </w:r>
            <w:r>
              <w:rPr>
                <w:noProof/>
                <w:sz w:val="20"/>
                <w:szCs w:val="20"/>
                <w:lang w:val="fr-CA"/>
              </w:rPr>
              <w:t xml:space="preserve"> composante</w:t>
            </w:r>
            <w:r w:rsidR="00CF0420">
              <w:rPr>
                <w:noProof/>
                <w:sz w:val="20"/>
                <w:szCs w:val="20"/>
                <w:lang w:val="fr-CA"/>
              </w:rPr>
              <w:t>s</w:t>
            </w:r>
            <w:r>
              <w:rPr>
                <w:noProof/>
                <w:sz w:val="20"/>
                <w:szCs w:val="20"/>
                <w:lang w:val="fr-CA"/>
              </w:rPr>
              <w:t>, s’il y a lieu</w:t>
            </w:r>
            <w:r w:rsidR="00121AB9">
              <w:rPr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4077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</w:tc>
      </w:tr>
      <w:tr w:rsidR="001D345F" w:rsidRPr="00F4236B" w14:paraId="09356AAE" w14:textId="77777777"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A650" w14:textId="7EEA4B75" w:rsidR="001D345F" w:rsidRPr="00E83DFA" w:rsidRDefault="003E1386" w:rsidP="003E1386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Solde des stocks par emplacement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FF97" w14:textId="1319412C" w:rsidR="001D345F" w:rsidRPr="00E83DFA" w:rsidRDefault="003E1386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Fournir </w:t>
            </w:r>
            <w:r w:rsidR="00CF0420">
              <w:rPr>
                <w:noProof/>
                <w:sz w:val="20"/>
                <w:szCs w:val="20"/>
                <w:lang w:val="fr-CA"/>
              </w:rPr>
              <w:t>d</w:t>
            </w:r>
            <w:r>
              <w:rPr>
                <w:noProof/>
                <w:sz w:val="20"/>
                <w:szCs w:val="20"/>
                <w:lang w:val="fr-CA"/>
              </w:rPr>
              <w:t>es informations sur le solde des stocks global attendu et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 </w:t>
            </w:r>
            <w:r>
              <w:rPr>
                <w:noProof/>
                <w:sz w:val="20"/>
                <w:szCs w:val="20"/>
                <w:lang w:val="fr-CA"/>
              </w:rPr>
              <w:t>une liste des emplacements en précisant la façon dont chaque observation de la prise d’inventaire sera exécutée (virtuellement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, </w:t>
            </w:r>
            <w:r>
              <w:rPr>
                <w:noProof/>
                <w:sz w:val="20"/>
                <w:szCs w:val="20"/>
                <w:lang w:val="fr-CA"/>
              </w:rPr>
              <w:t xml:space="preserve">en personne, </w:t>
            </w:r>
            <w:r w:rsidR="00CF0420">
              <w:rPr>
                <w:noProof/>
                <w:sz w:val="20"/>
                <w:szCs w:val="20"/>
                <w:lang w:val="fr-CA"/>
              </w:rPr>
              <w:t>fonction d’</w:t>
            </w:r>
            <w:r>
              <w:rPr>
                <w:noProof/>
                <w:sz w:val="20"/>
                <w:szCs w:val="20"/>
                <w:lang w:val="fr-CA"/>
              </w:rPr>
              <w:t>audit interne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, etc</w:t>
            </w:r>
            <w:r w:rsidR="00CB18EA">
              <w:rPr>
                <w:noProof/>
                <w:sz w:val="20"/>
                <w:szCs w:val="20"/>
                <w:lang w:val="fr-CA"/>
              </w:rPr>
              <w:t>.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).  </w:t>
            </w:r>
          </w:p>
          <w:p w14:paraId="344603FF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  <w:p w14:paraId="7D1413B1" w14:textId="70E5CA9B" w:rsidR="001D345F" w:rsidRPr="00E83DFA" w:rsidRDefault="0036668F" w:rsidP="0036668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</w:t>
            </w:r>
            <w:r w:rsidR="003E1386">
              <w:rPr>
                <w:noProof/>
                <w:sz w:val="20"/>
                <w:szCs w:val="20"/>
                <w:lang w:val="fr-CA"/>
              </w:rPr>
              <w:t>es catégories de stocks par emplacemen</w:t>
            </w:r>
            <w:r w:rsidR="00111767">
              <w:rPr>
                <w:noProof/>
                <w:sz w:val="20"/>
                <w:szCs w:val="20"/>
                <w:lang w:val="fr-CA"/>
              </w:rPr>
              <w:t>t</w:t>
            </w:r>
            <w:r>
              <w:rPr>
                <w:noProof/>
                <w:sz w:val="20"/>
                <w:szCs w:val="20"/>
                <w:lang w:val="fr-CA"/>
              </w:rPr>
              <w:t xml:space="preserve"> devraient être détaillées</w:t>
            </w:r>
            <w:r w:rsidR="003E1386">
              <w:rPr>
                <w:noProof/>
                <w:sz w:val="20"/>
                <w:szCs w:val="20"/>
                <w:lang w:val="fr-CA"/>
              </w:rPr>
              <w:t xml:space="preserve"> si cela a une incidence sur la méthode de comptage (</w:t>
            </w:r>
            <w:r w:rsidR="008920EE">
              <w:rPr>
                <w:noProof/>
                <w:sz w:val="20"/>
                <w:szCs w:val="20"/>
                <w:lang w:val="fr-CA"/>
              </w:rPr>
              <w:t>stock</w:t>
            </w:r>
            <w:r w:rsidR="003E1386">
              <w:rPr>
                <w:noProof/>
                <w:sz w:val="20"/>
                <w:szCs w:val="20"/>
                <w:lang w:val="fr-CA"/>
              </w:rPr>
              <w:t xml:space="preserve"> de matières premières</w:t>
            </w:r>
            <w:r w:rsidR="008920EE">
              <w:rPr>
                <w:noProof/>
                <w:sz w:val="20"/>
                <w:szCs w:val="20"/>
                <w:lang w:val="fr-CA"/>
              </w:rPr>
              <w:t>, stock de produits</w:t>
            </w:r>
            <w:r w:rsidR="003E1386">
              <w:rPr>
                <w:noProof/>
                <w:sz w:val="20"/>
                <w:szCs w:val="20"/>
                <w:lang w:val="fr-CA"/>
              </w:rPr>
              <w:t xml:space="preserve"> en cours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 </w:t>
            </w:r>
            <w:r w:rsidR="008920EE">
              <w:rPr>
                <w:noProof/>
                <w:sz w:val="20"/>
                <w:szCs w:val="20"/>
                <w:lang w:val="fr-CA"/>
              </w:rPr>
              <w:t>ou stock de produits finis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).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6723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</w:tc>
      </w:tr>
      <w:tr w:rsidR="001D345F" w:rsidRPr="00F4236B" w14:paraId="6ECD0DD5" w14:textId="77777777"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5B31" w14:textId="4A1C9D1A" w:rsidR="001D345F" w:rsidRPr="00E83DFA" w:rsidRDefault="009839F0" w:rsidP="000C57C5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 w:rsidRPr="00E83DFA">
              <w:rPr>
                <w:noProof/>
                <w:sz w:val="20"/>
                <w:szCs w:val="20"/>
                <w:lang w:val="fr-CA"/>
              </w:rPr>
              <w:t xml:space="preserve">Nature </w:t>
            </w:r>
            <w:r w:rsidR="000C57C5">
              <w:rPr>
                <w:noProof/>
                <w:sz w:val="20"/>
                <w:szCs w:val="20"/>
                <w:lang w:val="fr-CA"/>
              </w:rPr>
              <w:t>des stocks qui seront comptés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59AA" w14:textId="12EA0BC7" w:rsidR="001D345F" w:rsidRPr="00E83DFA" w:rsidRDefault="005B30DE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Décrire les stocks qui </w:t>
            </w:r>
            <w:r w:rsidR="00C33199">
              <w:rPr>
                <w:noProof/>
                <w:sz w:val="20"/>
                <w:szCs w:val="20"/>
                <w:lang w:val="fr-CA"/>
              </w:rPr>
              <w:t xml:space="preserve">seront comptés et </w:t>
            </w:r>
            <w:r w:rsidR="00B15719">
              <w:rPr>
                <w:noProof/>
                <w:sz w:val="20"/>
                <w:szCs w:val="20"/>
                <w:lang w:val="fr-CA"/>
              </w:rPr>
              <w:t>la nature des procédures de comptage qui seront mis</w:t>
            </w:r>
            <w:r w:rsidR="00121AB9">
              <w:rPr>
                <w:noProof/>
                <w:sz w:val="20"/>
                <w:szCs w:val="20"/>
                <w:lang w:val="fr-CA"/>
              </w:rPr>
              <w:t>es</w:t>
            </w:r>
            <w:r w:rsidR="00B15719">
              <w:rPr>
                <w:noProof/>
                <w:sz w:val="20"/>
                <w:szCs w:val="20"/>
                <w:lang w:val="fr-CA"/>
              </w:rPr>
              <w:t xml:space="preserve"> en œuvre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.</w:t>
            </w:r>
          </w:p>
          <w:p w14:paraId="2211BA0F" w14:textId="7AC9816F" w:rsidR="001D345F" w:rsidRPr="00E83DFA" w:rsidRDefault="001361C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Y a-t-il des méthodes de comptage </w:t>
            </w:r>
            <w:r w:rsidR="00CF0420">
              <w:rPr>
                <w:noProof/>
                <w:sz w:val="20"/>
                <w:szCs w:val="20"/>
                <w:lang w:val="fr-CA"/>
              </w:rPr>
              <w:t>exceptionnelles</w:t>
            </w:r>
            <w:r>
              <w:rPr>
                <w:noProof/>
                <w:sz w:val="20"/>
                <w:szCs w:val="20"/>
                <w:lang w:val="fr-CA"/>
              </w:rPr>
              <w:t xml:space="preserve"> (p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.</w:t>
            </w:r>
            <w:r>
              <w:rPr>
                <w:noProof/>
                <w:sz w:val="20"/>
                <w:szCs w:val="20"/>
                <w:lang w:val="fr-CA"/>
              </w:rPr>
              <w:t xml:space="preserve"> ex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. </w:t>
            </w:r>
            <w:r>
              <w:rPr>
                <w:noProof/>
                <w:sz w:val="20"/>
                <w:szCs w:val="20"/>
                <w:lang w:val="fr-CA"/>
              </w:rPr>
              <w:t>p</w:t>
            </w:r>
            <w:r w:rsidR="00CF0420">
              <w:rPr>
                <w:noProof/>
                <w:sz w:val="20"/>
                <w:szCs w:val="20"/>
                <w:lang w:val="fr-CA"/>
              </w:rPr>
              <w:t>esée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, </w:t>
            </w:r>
            <w:r>
              <w:rPr>
                <w:noProof/>
                <w:sz w:val="20"/>
                <w:szCs w:val="20"/>
                <w:lang w:val="fr-CA"/>
              </w:rPr>
              <w:t>mesure</w:t>
            </w:r>
            <w:r w:rsidR="00CF0420">
              <w:rPr>
                <w:noProof/>
                <w:sz w:val="20"/>
                <w:szCs w:val="20"/>
                <w:lang w:val="fr-CA"/>
              </w:rPr>
              <w:t xml:space="preserve"> de la longueur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, et</w:t>
            </w:r>
            <w:r>
              <w:rPr>
                <w:noProof/>
                <w:sz w:val="20"/>
                <w:szCs w:val="20"/>
                <w:lang w:val="fr-CA"/>
              </w:rPr>
              <w:t>c.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)</w:t>
            </w:r>
            <w:r>
              <w:rPr>
                <w:noProof/>
                <w:sz w:val="20"/>
                <w:szCs w:val="20"/>
                <w:lang w:val="fr-CA"/>
              </w:rPr>
              <w:t>?</w:t>
            </w:r>
          </w:p>
          <w:p w14:paraId="1D1B8920" w14:textId="74CC4B2E" w:rsidR="001D345F" w:rsidRPr="00E83DFA" w:rsidRDefault="00BB5F99" w:rsidP="00121AB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Les stocks sont-ils f</w:t>
            </w:r>
            <w:r w:rsidR="00121AB9">
              <w:rPr>
                <w:noProof/>
                <w:sz w:val="20"/>
                <w:szCs w:val="20"/>
                <w:lang w:val="fr-CA"/>
              </w:rPr>
              <w:t>acilement identifiables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 (</w:t>
            </w:r>
            <w:r w:rsidR="00121AB9">
              <w:rPr>
                <w:noProof/>
                <w:sz w:val="20"/>
                <w:szCs w:val="20"/>
                <w:lang w:val="fr-CA"/>
              </w:rPr>
              <w:t>ou difficilement identifiables</w:t>
            </w:r>
            <w:r>
              <w:rPr>
                <w:noProof/>
                <w:sz w:val="20"/>
                <w:szCs w:val="20"/>
                <w:lang w:val="fr-CA"/>
              </w:rPr>
              <w:t>, p. ex. de petites pièces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)?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4287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</w:tc>
      </w:tr>
      <w:tr w:rsidR="001D345F" w:rsidRPr="00F4236B" w14:paraId="181B8DF7" w14:textId="77777777"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8795" w14:textId="0FC63404" w:rsidR="001D345F" w:rsidRPr="00E83DFA" w:rsidRDefault="00BB5F99" w:rsidP="006E68F7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lastRenderedPageBreak/>
              <w:t>Exécution des procédures d’observation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 </w:t>
            </w:r>
            <w:r w:rsidR="006E68F7">
              <w:rPr>
                <w:noProof/>
                <w:sz w:val="20"/>
                <w:szCs w:val="20"/>
                <w:lang w:val="fr-CA"/>
              </w:rPr>
              <w:t>qui s’ajoutent aux comptages par sondage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4BDA" w14:textId="1F7771BE" w:rsidR="001D345F" w:rsidRPr="00E83DFA" w:rsidRDefault="006E68F7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L’observation virtuelle ne se limite pas à l’exécutio</w:t>
            </w:r>
            <w:r w:rsidR="00501D9D">
              <w:rPr>
                <w:noProof/>
                <w:sz w:val="20"/>
                <w:szCs w:val="20"/>
                <w:lang w:val="fr-CA"/>
              </w:rPr>
              <w:t>n de</w:t>
            </w:r>
            <w:r>
              <w:rPr>
                <w:noProof/>
                <w:sz w:val="20"/>
                <w:szCs w:val="20"/>
                <w:lang w:val="fr-CA"/>
              </w:rPr>
              <w:t xml:space="preserve"> comptages par sondage. </w:t>
            </w:r>
            <w:r w:rsidR="00A0732D">
              <w:rPr>
                <w:noProof/>
                <w:sz w:val="20"/>
                <w:szCs w:val="20"/>
                <w:lang w:val="fr-CA"/>
              </w:rPr>
              <w:t>Il faut d</w:t>
            </w:r>
            <w:r>
              <w:rPr>
                <w:noProof/>
                <w:sz w:val="20"/>
                <w:szCs w:val="20"/>
                <w:lang w:val="fr-CA"/>
              </w:rPr>
              <w:t>ocumenter la façon dont les autres éléments de l’observation de la prise d’inventaire physique peuvent être effectués virtuellement, y compris l’évaluation de ce qui suit 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:</w:t>
            </w:r>
          </w:p>
          <w:p w14:paraId="61E8B32C" w14:textId="05C96FF3" w:rsidR="001D345F" w:rsidRPr="00E83DFA" w:rsidRDefault="00C07E72">
            <w:pPr>
              <w:widowControl w:val="0"/>
              <w:numPr>
                <w:ilvl w:val="0"/>
                <w:numId w:val="4"/>
              </w:numPr>
              <w:spacing w:before="240"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l’état des stocks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 (</w:t>
            </w:r>
            <w:r w:rsidR="00501D9D">
              <w:rPr>
                <w:noProof/>
                <w:sz w:val="20"/>
                <w:szCs w:val="20"/>
                <w:lang w:val="fr-CA"/>
              </w:rPr>
              <w:t>l’</w:t>
            </w:r>
            <w:r w:rsidR="00531500">
              <w:rPr>
                <w:noProof/>
                <w:sz w:val="20"/>
                <w:szCs w:val="20"/>
                <w:lang w:val="fr-CA"/>
              </w:rPr>
              <w:t>assertion relative à l’évaluation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)</w:t>
            </w:r>
            <w:r w:rsidR="00501D9D">
              <w:rPr>
                <w:noProof/>
                <w:sz w:val="20"/>
                <w:szCs w:val="20"/>
                <w:lang w:val="fr-CA"/>
              </w:rPr>
              <w:t>;</w:t>
            </w:r>
          </w:p>
          <w:p w14:paraId="372E9C0A" w14:textId="1BD86BA9" w:rsidR="001D345F" w:rsidRPr="00E83DFA" w:rsidRDefault="005315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l’exactitude de la description des stocks</w:t>
            </w:r>
            <w:r w:rsidR="00501D9D">
              <w:rPr>
                <w:noProof/>
                <w:sz w:val="20"/>
                <w:szCs w:val="20"/>
                <w:lang w:val="fr-CA"/>
              </w:rPr>
              <w:t>;</w:t>
            </w:r>
          </w:p>
          <w:p w14:paraId="12250B8B" w14:textId="3F4CCE2C" w:rsidR="001D345F" w:rsidRPr="00E83DFA" w:rsidRDefault="00501D9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la qualité des instr</w:t>
            </w:r>
            <w:r w:rsidR="00531500">
              <w:rPr>
                <w:noProof/>
                <w:sz w:val="20"/>
                <w:szCs w:val="20"/>
                <w:lang w:val="fr-CA"/>
              </w:rPr>
              <w:t>u</w:t>
            </w:r>
            <w:r>
              <w:rPr>
                <w:noProof/>
                <w:sz w:val="20"/>
                <w:szCs w:val="20"/>
                <w:lang w:val="fr-CA"/>
              </w:rPr>
              <w:t>c</w:t>
            </w:r>
            <w:r w:rsidR="00531500">
              <w:rPr>
                <w:noProof/>
                <w:sz w:val="20"/>
                <w:szCs w:val="20"/>
                <w:lang w:val="fr-CA"/>
              </w:rPr>
              <w:t>tions de la société</w:t>
            </w:r>
            <w:r>
              <w:rPr>
                <w:noProof/>
                <w:sz w:val="20"/>
                <w:szCs w:val="20"/>
                <w:lang w:val="fr-CA"/>
              </w:rPr>
              <w:t>;</w:t>
            </w:r>
          </w:p>
          <w:p w14:paraId="32389A28" w14:textId="008E4E0C" w:rsidR="001D345F" w:rsidRPr="00E83DFA" w:rsidRDefault="005315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l’organisation de l’entrepôt</w:t>
            </w:r>
            <w:r w:rsidR="00501D9D">
              <w:rPr>
                <w:noProof/>
                <w:sz w:val="20"/>
                <w:szCs w:val="20"/>
                <w:lang w:val="fr-CA"/>
              </w:rPr>
              <w:t>;</w:t>
            </w:r>
          </w:p>
          <w:p w14:paraId="407EAF06" w14:textId="6E54D096" w:rsidR="001D345F" w:rsidRPr="00E83DFA" w:rsidRDefault="005315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la compétence et la supervision des personnes effectuant les comptages</w:t>
            </w:r>
            <w:r w:rsidR="00501D9D">
              <w:rPr>
                <w:noProof/>
                <w:sz w:val="20"/>
                <w:szCs w:val="20"/>
                <w:lang w:val="fr-CA"/>
              </w:rPr>
              <w:t>;</w:t>
            </w:r>
          </w:p>
          <w:p w14:paraId="570D3F63" w14:textId="46D30D78" w:rsidR="001D345F" w:rsidRPr="00E83DFA" w:rsidRDefault="005315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l’approbation des comptages</w:t>
            </w:r>
            <w:r w:rsidR="00501D9D">
              <w:rPr>
                <w:noProof/>
                <w:sz w:val="20"/>
                <w:szCs w:val="20"/>
                <w:lang w:val="fr-CA"/>
              </w:rPr>
              <w:t>;</w:t>
            </w:r>
          </w:p>
          <w:p w14:paraId="32459A5F" w14:textId="29B88717" w:rsidR="001D345F" w:rsidRPr="00E83DFA" w:rsidRDefault="005315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les procédures et contrôles de séparation des périodes</w:t>
            </w:r>
            <w:r w:rsidR="00501D9D">
              <w:rPr>
                <w:noProof/>
                <w:sz w:val="20"/>
                <w:szCs w:val="20"/>
                <w:lang w:val="fr-CA"/>
              </w:rPr>
              <w:t>;</w:t>
            </w:r>
          </w:p>
          <w:p w14:paraId="33400D72" w14:textId="272356AC" w:rsidR="001D345F" w:rsidRPr="00E83DFA" w:rsidRDefault="00D616DB">
            <w:pPr>
              <w:widowControl w:val="0"/>
              <w:numPr>
                <w:ilvl w:val="0"/>
                <w:numId w:val="4"/>
              </w:numPr>
              <w:spacing w:after="240"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l’exhaustivité des stocks comptés (p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.</w:t>
            </w:r>
            <w:r>
              <w:rPr>
                <w:noProof/>
                <w:sz w:val="20"/>
                <w:szCs w:val="20"/>
                <w:lang w:val="fr-CA"/>
              </w:rPr>
              <w:t xml:space="preserve"> ex. tests du contrôle des étiquettes ou procédures similaires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)</w:t>
            </w:r>
            <w:r w:rsidR="00501D9D">
              <w:rPr>
                <w:noProof/>
                <w:sz w:val="20"/>
                <w:szCs w:val="20"/>
                <w:lang w:val="fr-CA"/>
              </w:rPr>
              <w:t>.</w:t>
            </w:r>
          </w:p>
          <w:p w14:paraId="3B50AD93" w14:textId="3A9A9146" w:rsidR="001D345F" w:rsidRPr="00E83DFA" w:rsidRDefault="00D616DB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La documentation </w:t>
            </w:r>
            <w:r w:rsidR="00501D9D">
              <w:rPr>
                <w:noProof/>
                <w:sz w:val="20"/>
                <w:szCs w:val="20"/>
                <w:lang w:val="fr-CA"/>
              </w:rPr>
              <w:t>d</w:t>
            </w:r>
            <w:r w:rsidR="00AE7D3A">
              <w:rPr>
                <w:noProof/>
                <w:sz w:val="20"/>
                <w:szCs w:val="20"/>
                <w:lang w:val="fr-CA"/>
              </w:rPr>
              <w:t>evrait</w:t>
            </w:r>
            <w:r>
              <w:rPr>
                <w:noProof/>
                <w:sz w:val="20"/>
                <w:szCs w:val="20"/>
                <w:lang w:val="fr-CA"/>
              </w:rPr>
              <w:t xml:space="preserve"> comprendre un plan pour obtenir toute documentation supplémentaire requise 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(</w:t>
            </w:r>
            <w:r>
              <w:rPr>
                <w:noProof/>
                <w:sz w:val="20"/>
                <w:szCs w:val="20"/>
                <w:lang w:val="fr-CA"/>
              </w:rPr>
              <w:t>feuilles de comptage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, </w:t>
            </w:r>
            <w:r>
              <w:rPr>
                <w:noProof/>
                <w:sz w:val="20"/>
                <w:szCs w:val="20"/>
                <w:lang w:val="fr-CA"/>
              </w:rPr>
              <w:t>étiquettes des stocks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, </w:t>
            </w:r>
            <w:r>
              <w:rPr>
                <w:noProof/>
                <w:sz w:val="20"/>
                <w:szCs w:val="20"/>
                <w:lang w:val="fr-CA"/>
              </w:rPr>
              <w:t>copies ou rapprochements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, etc</w:t>
            </w:r>
            <w:r w:rsidR="00CB18EA">
              <w:rPr>
                <w:noProof/>
                <w:sz w:val="20"/>
                <w:szCs w:val="20"/>
                <w:lang w:val="fr-CA"/>
              </w:rPr>
              <w:t>.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).</w:t>
            </w:r>
          </w:p>
          <w:p w14:paraId="211FAE1B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  <w:p w14:paraId="57670325" w14:textId="3643FB00" w:rsidR="001D345F" w:rsidRPr="00E83DFA" w:rsidRDefault="00D616DB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On s’attend à ce que le modèle</w:t>
            </w:r>
            <w:r w:rsidR="004344BB" w:rsidRPr="00D616DB">
              <w:rPr>
                <w:noProof/>
                <w:sz w:val="20"/>
                <w:szCs w:val="20"/>
                <w:lang w:val="fr-CA"/>
              </w:rPr>
              <w:t xml:space="preserve"> </w:t>
            </w:r>
            <w:hyperlink r:id="rId7" w:history="1">
              <w:r w:rsidRPr="00D616DB">
                <w:rPr>
                  <w:rStyle w:val="Hyperlink"/>
                  <w:noProof/>
                  <w:sz w:val="20"/>
                  <w:szCs w:val="20"/>
                  <w:lang w:val="fr-CA"/>
                </w:rPr>
                <w:t>Liste de contrôle de l’observation de l’inventaire physique</w:t>
              </w:r>
            </w:hyperlink>
            <w:r w:rsidR="00364D09" w:rsidRPr="00E83DFA">
              <w:rPr>
                <w:noProof/>
                <w:sz w:val="20"/>
                <w:szCs w:val="20"/>
                <w:lang w:val="fr-CA"/>
              </w:rPr>
              <w:t xml:space="preserve"> </w:t>
            </w:r>
            <w:r>
              <w:rPr>
                <w:noProof/>
                <w:sz w:val="20"/>
                <w:szCs w:val="20"/>
                <w:lang w:val="fr-CA"/>
              </w:rPr>
              <w:t xml:space="preserve">soit rempli et </w:t>
            </w:r>
            <w:r w:rsidR="00A0732D">
              <w:rPr>
                <w:noProof/>
                <w:sz w:val="20"/>
                <w:szCs w:val="20"/>
                <w:lang w:val="fr-CA"/>
              </w:rPr>
              <w:t>passé en revue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. 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8B45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</w:tc>
      </w:tr>
      <w:tr w:rsidR="001D345F" w:rsidRPr="00F4236B" w14:paraId="57EE918F" w14:textId="77777777">
        <w:trPr>
          <w:trHeight w:val="400"/>
        </w:trPr>
        <w:tc>
          <w:tcPr>
            <w:tcW w:w="10802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0389" w14:textId="2E18C2D3" w:rsidR="001D345F" w:rsidRPr="00E83DFA" w:rsidRDefault="00501D9D" w:rsidP="00501D9D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Procédures d’évaluation des risques et facteurs relatifs à l’observation virtuelle</w:t>
            </w:r>
          </w:p>
        </w:tc>
      </w:tr>
      <w:tr w:rsidR="001D345F" w:rsidRPr="00F4236B" w14:paraId="7D496FAC" w14:textId="77777777"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FF46" w14:textId="21FBED27" w:rsidR="001D345F" w:rsidRPr="00E83DFA" w:rsidRDefault="008F16CC" w:rsidP="008F16CC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Changements apportés aux processus et aux contrôles relatifs aux stocks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28F2" w14:textId="525F433B" w:rsidR="001D345F" w:rsidRPr="00E83DFA" w:rsidRDefault="008F16CC" w:rsidP="008F16CC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Décrire tout changement app</w:t>
            </w:r>
            <w:r w:rsidR="00CB18EA">
              <w:rPr>
                <w:noProof/>
                <w:sz w:val="20"/>
                <w:szCs w:val="20"/>
                <w:lang w:val="fr-CA"/>
              </w:rPr>
              <w:t>or</w:t>
            </w:r>
            <w:r>
              <w:rPr>
                <w:noProof/>
                <w:sz w:val="20"/>
                <w:szCs w:val="20"/>
                <w:lang w:val="fr-CA"/>
              </w:rPr>
              <w:t>té aux processus du client pouvant avoir une incidence sur l</w:t>
            </w:r>
            <w:r w:rsidR="005F3D7E">
              <w:rPr>
                <w:noProof/>
                <w:sz w:val="20"/>
                <w:szCs w:val="20"/>
                <w:lang w:val="fr-CA"/>
              </w:rPr>
              <w:t>’exactitude de l</w:t>
            </w:r>
            <w:r>
              <w:rPr>
                <w:noProof/>
                <w:sz w:val="20"/>
                <w:szCs w:val="20"/>
                <w:lang w:val="fr-CA"/>
              </w:rPr>
              <w:t xml:space="preserve">a quantité physique des stocks, y compris tout changement </w:t>
            </w:r>
            <w:r w:rsidR="00A0732D">
              <w:rPr>
                <w:noProof/>
                <w:sz w:val="20"/>
                <w:szCs w:val="20"/>
                <w:lang w:val="fr-CA"/>
              </w:rPr>
              <w:t xml:space="preserve">apporté </w:t>
            </w:r>
            <w:r>
              <w:rPr>
                <w:noProof/>
                <w:sz w:val="20"/>
                <w:szCs w:val="20"/>
                <w:lang w:val="fr-CA"/>
              </w:rPr>
              <w:t>aux procédures de prise d’inventaire cyclique ou de prise d’inventaire complète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CA51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</w:tc>
      </w:tr>
      <w:tr w:rsidR="001D345F" w:rsidRPr="00F4236B" w14:paraId="4014A29C" w14:textId="77777777"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090E" w14:textId="65F0659B" w:rsidR="001D345F" w:rsidRPr="00E83DFA" w:rsidRDefault="008F16CC" w:rsidP="008F16CC">
            <w:pPr>
              <w:widowControl w:val="0"/>
              <w:spacing w:line="240" w:lineRule="auto"/>
              <w:ind w:right="-53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Capacité de vérifier l’emplacement et de comprendre la disposition des installations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2366" w14:textId="281AB2D8" w:rsidR="001D345F" w:rsidRPr="00E83DFA" w:rsidRDefault="008F16CC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Obtenir une compréhension des installations où </w:t>
            </w:r>
            <w:r w:rsidR="00791FF8">
              <w:rPr>
                <w:noProof/>
                <w:sz w:val="20"/>
                <w:szCs w:val="20"/>
                <w:lang w:val="fr-CA"/>
              </w:rPr>
              <w:t>la prise d’inventaire aura lieu. La personne effectuant le comptage pourra ainsi 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:</w:t>
            </w:r>
          </w:p>
          <w:p w14:paraId="2260B435" w14:textId="234BD041" w:rsidR="001D345F" w:rsidRPr="00E83DFA" w:rsidRDefault="00791FF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confirmer que l’emplacement de l’observation virtuelle est la bonne le jour même du comptage;</w:t>
            </w:r>
          </w:p>
          <w:p w14:paraId="72EE18E9" w14:textId="2E81018A" w:rsidR="001D345F" w:rsidRPr="00E83DFA" w:rsidRDefault="00791FF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connaître son emplacement en tout temps pendant l’observation virtuelle;</w:t>
            </w:r>
          </w:p>
          <w:p w14:paraId="333EA3AC" w14:textId="0221EAE8" w:rsidR="001D345F" w:rsidRPr="00E83DFA" w:rsidRDefault="00791FF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évaluer l’organisation et l’état de tous les stocks sur la liste détaillé</w:t>
            </w:r>
            <w:r w:rsidR="00CB18EA">
              <w:rPr>
                <w:noProof/>
                <w:sz w:val="20"/>
                <w:szCs w:val="20"/>
                <w:lang w:val="fr-CA"/>
              </w:rPr>
              <w:t>e</w:t>
            </w:r>
            <w:r>
              <w:rPr>
                <w:noProof/>
                <w:sz w:val="20"/>
                <w:szCs w:val="20"/>
                <w:lang w:val="fr-CA"/>
              </w:rPr>
              <w:t>;</w:t>
            </w:r>
          </w:p>
          <w:p w14:paraId="0519CF3C" w14:textId="01444139" w:rsidR="001D345F" w:rsidRPr="00E83DFA" w:rsidRDefault="00791FF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choisir des articles </w:t>
            </w:r>
            <w:r w:rsidR="00B3100D">
              <w:rPr>
                <w:noProof/>
                <w:sz w:val="20"/>
                <w:szCs w:val="20"/>
                <w:lang w:val="fr-CA"/>
              </w:rPr>
              <w:t xml:space="preserve">pour vérifier qu’ils sont bien inscrits sur les fiches de comptage (vérification entrepôt-fiche d’inventaire) </w:t>
            </w:r>
            <w:r>
              <w:rPr>
                <w:noProof/>
                <w:sz w:val="20"/>
                <w:szCs w:val="20"/>
                <w:lang w:val="fr-CA"/>
              </w:rPr>
              <w:t xml:space="preserve">en dirigeant de manière indépendante le client vers </w:t>
            </w:r>
            <w:r w:rsidR="00CB18EA">
              <w:rPr>
                <w:noProof/>
                <w:sz w:val="20"/>
                <w:szCs w:val="20"/>
                <w:lang w:val="fr-CA"/>
              </w:rPr>
              <w:t>un</w:t>
            </w:r>
            <w:r>
              <w:rPr>
                <w:noProof/>
                <w:sz w:val="20"/>
                <w:szCs w:val="20"/>
                <w:lang w:val="fr-CA"/>
              </w:rPr>
              <w:t xml:space="preserve"> emplacement choisi par la personne effectuant le comptage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.</w:t>
            </w:r>
          </w:p>
          <w:p w14:paraId="4A2FEACB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  <w:p w14:paraId="2B4F37DA" w14:textId="69010DA2" w:rsidR="001D345F" w:rsidRPr="00E83DFA" w:rsidRDefault="003474D3" w:rsidP="00111767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Cette compréhension peut être obtenue</w:t>
            </w:r>
            <w:r w:rsidR="00B3100D">
              <w:rPr>
                <w:noProof/>
                <w:sz w:val="20"/>
                <w:szCs w:val="20"/>
                <w:lang w:val="fr-CA"/>
              </w:rPr>
              <w:t xml:space="preserve"> grâce à des </w:t>
            </w:r>
            <w:r>
              <w:rPr>
                <w:noProof/>
                <w:sz w:val="20"/>
                <w:szCs w:val="20"/>
                <w:lang w:val="fr-CA"/>
              </w:rPr>
              <w:t>visites antérie</w:t>
            </w:r>
            <w:r w:rsidR="00CB18EA">
              <w:rPr>
                <w:noProof/>
                <w:sz w:val="20"/>
                <w:szCs w:val="20"/>
                <w:lang w:val="fr-CA"/>
              </w:rPr>
              <w:t>u</w:t>
            </w:r>
            <w:r>
              <w:rPr>
                <w:noProof/>
                <w:sz w:val="20"/>
                <w:szCs w:val="20"/>
                <w:lang w:val="fr-CA"/>
              </w:rPr>
              <w:t xml:space="preserve">res ou </w:t>
            </w:r>
            <w:r w:rsidR="00B3100D">
              <w:rPr>
                <w:noProof/>
                <w:sz w:val="20"/>
                <w:szCs w:val="20"/>
                <w:lang w:val="fr-CA"/>
              </w:rPr>
              <w:t>à l’examen d</w:t>
            </w:r>
            <w:r>
              <w:rPr>
                <w:noProof/>
                <w:sz w:val="20"/>
                <w:szCs w:val="20"/>
                <w:lang w:val="fr-CA"/>
              </w:rPr>
              <w:t>es plans du site</w:t>
            </w:r>
            <w:r w:rsidR="00111767" w:rsidRPr="00596C22">
              <w:rPr>
                <w:sz w:val="20"/>
                <w:szCs w:val="20"/>
                <w:lang w:val="fr-CA"/>
              </w:rPr>
              <w:t>/</w:t>
            </w:r>
            <w:r w:rsidR="00B3100D">
              <w:rPr>
                <w:noProof/>
                <w:sz w:val="20"/>
                <w:szCs w:val="20"/>
                <w:lang w:val="fr-CA"/>
              </w:rPr>
              <w:t>de l’aire de stockage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7253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</w:tc>
      </w:tr>
      <w:tr w:rsidR="001D345F" w:rsidRPr="00F4236B" w14:paraId="07667990" w14:textId="77777777" w:rsidTr="00334112">
        <w:trPr>
          <w:trHeight w:val="4983"/>
        </w:trPr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06F2" w14:textId="7D2949CA" w:rsidR="001D345F" w:rsidRPr="00E83DFA" w:rsidRDefault="003474D3" w:rsidP="003474D3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lastRenderedPageBreak/>
              <w:t>Capacité</w:t>
            </w:r>
            <w:r w:rsidR="00CB18EA">
              <w:rPr>
                <w:noProof/>
                <w:sz w:val="20"/>
                <w:szCs w:val="20"/>
                <w:lang w:val="fr-CA"/>
              </w:rPr>
              <w:t xml:space="preserve"> de</w:t>
            </w:r>
            <w:r>
              <w:rPr>
                <w:noProof/>
                <w:sz w:val="20"/>
                <w:szCs w:val="20"/>
                <w:lang w:val="fr-CA"/>
              </w:rPr>
              <w:t xml:space="preserve"> diffuser en continu </w:t>
            </w:r>
            <w:r w:rsidR="00B3100D">
              <w:rPr>
                <w:noProof/>
                <w:sz w:val="20"/>
                <w:szCs w:val="20"/>
                <w:lang w:val="fr-CA"/>
              </w:rPr>
              <w:t xml:space="preserve">et </w:t>
            </w:r>
            <w:r>
              <w:rPr>
                <w:noProof/>
                <w:sz w:val="20"/>
                <w:szCs w:val="20"/>
                <w:lang w:val="fr-CA"/>
              </w:rPr>
              <w:t>en direct la procédure d’observation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6EAC" w14:textId="12304BB3" w:rsidR="001D345F" w:rsidRPr="00E83DFA" w:rsidRDefault="003474D3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Consigner la technologie </w:t>
            </w:r>
            <w:r w:rsidR="001954BE">
              <w:rPr>
                <w:noProof/>
                <w:sz w:val="20"/>
                <w:szCs w:val="20"/>
                <w:lang w:val="fr-CA"/>
              </w:rPr>
              <w:t xml:space="preserve">qui sera </w:t>
            </w:r>
            <w:r>
              <w:rPr>
                <w:noProof/>
                <w:sz w:val="20"/>
                <w:szCs w:val="20"/>
                <w:lang w:val="fr-CA"/>
              </w:rPr>
              <w:t>utilisée pour exécuter l’observation virtuelle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 (</w:t>
            </w:r>
            <w:r w:rsidR="001954BE">
              <w:rPr>
                <w:noProof/>
                <w:sz w:val="20"/>
                <w:szCs w:val="20"/>
                <w:lang w:val="fr-CA"/>
              </w:rPr>
              <w:t>l’auditeur devrait utiliser des applica</w:t>
            </w:r>
            <w:r w:rsidR="00CB18EA">
              <w:rPr>
                <w:noProof/>
                <w:sz w:val="20"/>
                <w:szCs w:val="20"/>
                <w:lang w:val="fr-CA"/>
              </w:rPr>
              <w:t>ti</w:t>
            </w:r>
            <w:r w:rsidR="001954BE">
              <w:rPr>
                <w:noProof/>
                <w:sz w:val="20"/>
                <w:szCs w:val="20"/>
                <w:lang w:val="fr-CA"/>
              </w:rPr>
              <w:t>ons standards et accessibles au public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, </w:t>
            </w:r>
            <w:r w:rsidR="001954BE">
              <w:rPr>
                <w:noProof/>
                <w:sz w:val="20"/>
                <w:szCs w:val="20"/>
                <w:lang w:val="fr-CA"/>
              </w:rPr>
              <w:t>comme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 FaceTime, Zoom, Google Meet, Webex, Skype, Microsoft Teams, etc.).</w:t>
            </w:r>
          </w:p>
          <w:p w14:paraId="08648099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  <w:p w14:paraId="12A62555" w14:textId="04BE9EB7" w:rsidR="001D345F" w:rsidRPr="00E83DFA" w:rsidRDefault="00FC2DDE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Il est essentiel d’avoir </w:t>
            </w:r>
            <w:r w:rsidR="00CB18EA">
              <w:rPr>
                <w:noProof/>
                <w:sz w:val="20"/>
                <w:szCs w:val="20"/>
                <w:lang w:val="fr-CA"/>
              </w:rPr>
              <w:t xml:space="preserve">une </w:t>
            </w:r>
            <w:r>
              <w:rPr>
                <w:noProof/>
                <w:sz w:val="20"/>
                <w:szCs w:val="20"/>
                <w:lang w:val="fr-CA"/>
              </w:rPr>
              <w:t xml:space="preserve">vue </w:t>
            </w:r>
            <w:r w:rsidR="00B3100D">
              <w:rPr>
                <w:noProof/>
                <w:sz w:val="20"/>
                <w:szCs w:val="20"/>
                <w:lang w:val="fr-CA"/>
              </w:rPr>
              <w:t xml:space="preserve">constante et sans interruption </w:t>
            </w:r>
            <w:r>
              <w:rPr>
                <w:noProof/>
                <w:sz w:val="20"/>
                <w:szCs w:val="20"/>
                <w:lang w:val="fr-CA"/>
              </w:rPr>
              <w:t>sur l’observation</w:t>
            </w:r>
            <w:r w:rsidR="00334112">
              <w:rPr>
                <w:noProof/>
                <w:sz w:val="20"/>
                <w:szCs w:val="20"/>
                <w:lang w:val="fr-CA"/>
              </w:rPr>
              <w:t xml:space="preserve"> qui est</w:t>
            </w:r>
            <w:r>
              <w:rPr>
                <w:noProof/>
                <w:sz w:val="20"/>
                <w:szCs w:val="20"/>
                <w:lang w:val="fr-CA"/>
              </w:rPr>
              <w:t xml:space="preserve"> comparable à celle obtenue en personne afin de préserver l’intégrité de l’observation virtuelle.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 </w:t>
            </w:r>
            <w:r w:rsidR="00334112">
              <w:rPr>
                <w:noProof/>
                <w:sz w:val="20"/>
                <w:szCs w:val="20"/>
                <w:lang w:val="fr-CA"/>
              </w:rPr>
              <w:t>Voici des pratiques exemplaires pour maintenir le flux en direct 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:</w:t>
            </w:r>
          </w:p>
          <w:p w14:paraId="0AF2E6C1" w14:textId="682EB1AF" w:rsidR="001D345F" w:rsidRPr="00E83DFA" w:rsidRDefault="00334112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Deux membres du BVG participent au flux en direct </w:t>
            </w:r>
            <w:r w:rsidR="00E64A31">
              <w:rPr>
                <w:noProof/>
                <w:sz w:val="20"/>
                <w:szCs w:val="20"/>
                <w:lang w:val="fr-CA"/>
              </w:rPr>
              <w:t>au</w:t>
            </w:r>
            <w:r w:rsidR="00B3100D">
              <w:rPr>
                <w:noProof/>
                <w:sz w:val="20"/>
                <w:szCs w:val="20"/>
                <w:lang w:val="fr-CA"/>
              </w:rPr>
              <w:t xml:space="preserve"> </w:t>
            </w:r>
            <w:r>
              <w:rPr>
                <w:noProof/>
                <w:sz w:val="20"/>
                <w:szCs w:val="20"/>
                <w:lang w:val="fr-CA"/>
              </w:rPr>
              <w:t>cas où un</w:t>
            </w:r>
            <w:r w:rsidR="00B3100D">
              <w:rPr>
                <w:noProof/>
                <w:sz w:val="20"/>
                <w:szCs w:val="20"/>
                <w:lang w:val="fr-CA"/>
              </w:rPr>
              <w:t xml:space="preserve"> membre </w:t>
            </w:r>
            <w:r>
              <w:rPr>
                <w:noProof/>
                <w:sz w:val="20"/>
                <w:szCs w:val="20"/>
                <w:lang w:val="fr-CA"/>
              </w:rPr>
              <w:t>perd sa conne</w:t>
            </w:r>
            <w:r w:rsidR="00CB18EA">
              <w:rPr>
                <w:noProof/>
                <w:sz w:val="20"/>
                <w:szCs w:val="20"/>
                <w:lang w:val="fr-CA"/>
              </w:rPr>
              <w:t>x</w:t>
            </w:r>
            <w:r>
              <w:rPr>
                <w:noProof/>
                <w:sz w:val="20"/>
                <w:szCs w:val="20"/>
                <w:lang w:val="fr-CA"/>
              </w:rPr>
              <w:t>ion.</w:t>
            </w:r>
          </w:p>
          <w:p w14:paraId="238B286C" w14:textId="243BDBB1" w:rsidR="001D345F" w:rsidRPr="00E83DFA" w:rsidRDefault="00334112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Un membre expérimenté de l’équipe participe à l’observation virtuelle afin d’y apporter son expérience et son esprit critique et de traiter les questions en temps réel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.</w:t>
            </w:r>
          </w:p>
          <w:p w14:paraId="2C9A7474" w14:textId="3C9988C4" w:rsidR="001D345F" w:rsidRPr="00E83DFA" w:rsidRDefault="00334112" w:rsidP="00334112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Le client teste la conne</w:t>
            </w:r>
            <w:r w:rsidR="00CB18EA">
              <w:rPr>
                <w:noProof/>
                <w:sz w:val="20"/>
                <w:szCs w:val="20"/>
                <w:lang w:val="fr-CA"/>
              </w:rPr>
              <w:t>x</w:t>
            </w:r>
            <w:r>
              <w:rPr>
                <w:noProof/>
                <w:sz w:val="20"/>
                <w:szCs w:val="20"/>
                <w:lang w:val="fr-CA"/>
              </w:rPr>
              <w:t>ion en employant la technologie qui sera utilisée pendant l’observation virtuelle réelle afin de vérifier l’accès en continu à tous les emplacements des installations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48FA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</w:tc>
      </w:tr>
      <w:tr w:rsidR="001D345F" w:rsidRPr="00F4236B" w14:paraId="7DCE25A0" w14:textId="77777777"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3B85" w14:textId="61583A3C" w:rsidR="001D345F" w:rsidRPr="00E83DFA" w:rsidRDefault="00334112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 w:rsidRPr="008060E7">
              <w:rPr>
                <w:noProof/>
                <w:sz w:val="20"/>
                <w:szCs w:val="20"/>
                <w:lang w:val="fr-CA"/>
              </w:rPr>
              <w:t xml:space="preserve">Capacité de l’entité de </w:t>
            </w:r>
            <w:r w:rsidR="00B3100D" w:rsidRPr="008060E7">
              <w:rPr>
                <w:noProof/>
                <w:sz w:val="20"/>
                <w:szCs w:val="20"/>
                <w:lang w:val="fr-CA"/>
              </w:rPr>
              <w:t xml:space="preserve">faciliter </w:t>
            </w:r>
            <w:r w:rsidRPr="008060E7">
              <w:rPr>
                <w:noProof/>
                <w:sz w:val="20"/>
                <w:szCs w:val="20"/>
                <w:lang w:val="fr-CA"/>
              </w:rPr>
              <w:t>l’observation virtuelle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0541" w14:textId="3E79AF24" w:rsidR="001D345F" w:rsidRPr="00E83DFA" w:rsidRDefault="00334112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Il </w:t>
            </w:r>
            <w:r w:rsidR="00B3100D">
              <w:rPr>
                <w:noProof/>
                <w:sz w:val="20"/>
                <w:szCs w:val="20"/>
                <w:lang w:val="fr-CA"/>
              </w:rPr>
              <w:t>faudra</w:t>
            </w:r>
            <w:r>
              <w:rPr>
                <w:noProof/>
                <w:sz w:val="20"/>
                <w:szCs w:val="20"/>
                <w:lang w:val="fr-CA"/>
              </w:rPr>
              <w:t xml:space="preserve"> recourir </w:t>
            </w:r>
            <w:r w:rsidR="001E3D25">
              <w:rPr>
                <w:noProof/>
                <w:sz w:val="20"/>
                <w:szCs w:val="20"/>
                <w:lang w:val="fr-CA"/>
              </w:rPr>
              <w:t xml:space="preserve">à au moins un employé compétent </w:t>
            </w:r>
            <w:r>
              <w:rPr>
                <w:noProof/>
                <w:sz w:val="20"/>
                <w:szCs w:val="20"/>
                <w:lang w:val="fr-CA"/>
              </w:rPr>
              <w:t>de l’</w:t>
            </w:r>
            <w:r w:rsidR="001E3D25">
              <w:rPr>
                <w:noProof/>
                <w:sz w:val="20"/>
                <w:szCs w:val="20"/>
                <w:lang w:val="fr-CA"/>
              </w:rPr>
              <w:t>entité qui est indépendant</w:t>
            </w:r>
            <w:r>
              <w:rPr>
                <w:noProof/>
                <w:sz w:val="20"/>
                <w:szCs w:val="20"/>
                <w:lang w:val="fr-CA"/>
              </w:rPr>
              <w:t xml:space="preserve"> des équipes de </w:t>
            </w:r>
            <w:r w:rsidR="001E3D25">
              <w:rPr>
                <w:noProof/>
                <w:sz w:val="20"/>
                <w:szCs w:val="20"/>
                <w:lang w:val="fr-CA"/>
              </w:rPr>
              <w:t>comptage</w:t>
            </w:r>
            <w:r>
              <w:rPr>
                <w:noProof/>
                <w:sz w:val="20"/>
                <w:szCs w:val="20"/>
                <w:lang w:val="fr-CA"/>
              </w:rPr>
              <w:t xml:space="preserve"> de l’entité </w:t>
            </w:r>
            <w:r w:rsidR="001E3D25">
              <w:rPr>
                <w:noProof/>
                <w:sz w:val="20"/>
                <w:szCs w:val="20"/>
                <w:lang w:val="fr-CA"/>
              </w:rPr>
              <w:t xml:space="preserve">pour exécuter les instructions de l’équipe de mission, </w:t>
            </w:r>
            <w:r w:rsidR="00B3100D">
              <w:rPr>
                <w:noProof/>
                <w:sz w:val="20"/>
                <w:szCs w:val="20"/>
                <w:lang w:val="fr-CA"/>
              </w:rPr>
              <w:t xml:space="preserve">notamment pour ce qui est des </w:t>
            </w:r>
            <w:r w:rsidR="001E3D25">
              <w:rPr>
                <w:noProof/>
                <w:sz w:val="20"/>
                <w:szCs w:val="20"/>
                <w:lang w:val="fr-CA"/>
              </w:rPr>
              <w:t xml:space="preserve">articles à recompter et </w:t>
            </w:r>
            <w:r w:rsidR="00B3100D">
              <w:rPr>
                <w:noProof/>
                <w:sz w:val="20"/>
                <w:szCs w:val="20"/>
                <w:lang w:val="fr-CA"/>
              </w:rPr>
              <w:t>d</w:t>
            </w:r>
            <w:r w:rsidR="001E3D25">
              <w:rPr>
                <w:noProof/>
                <w:sz w:val="20"/>
                <w:szCs w:val="20"/>
                <w:lang w:val="fr-CA"/>
              </w:rPr>
              <w:t>es emplacements où il faut se rendre dans les installations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. </w:t>
            </w:r>
          </w:p>
          <w:p w14:paraId="10506157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  <w:p w14:paraId="76B2F38F" w14:textId="1E8551D1" w:rsidR="001D345F" w:rsidRPr="00E83DFA" w:rsidRDefault="00470D24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Une </w:t>
            </w:r>
            <w:r w:rsidR="001E3D25">
              <w:rPr>
                <w:noProof/>
                <w:sz w:val="20"/>
                <w:szCs w:val="20"/>
                <w:lang w:val="fr-CA"/>
              </w:rPr>
              <w:t>pratique exemplaire consiste à avoir deux</w:t>
            </w:r>
            <w:r w:rsidR="00167D50">
              <w:rPr>
                <w:noProof/>
                <w:sz w:val="20"/>
                <w:szCs w:val="20"/>
                <w:lang w:val="fr-CA"/>
              </w:rPr>
              <w:t> </w:t>
            </w:r>
            <w:r w:rsidR="001E3D25">
              <w:rPr>
                <w:noProof/>
                <w:sz w:val="20"/>
                <w:szCs w:val="20"/>
                <w:lang w:val="fr-CA"/>
              </w:rPr>
              <w:t>employés présents pour chaque équipe de comptage</w:t>
            </w:r>
            <w:r w:rsidR="006D1806">
              <w:rPr>
                <w:noProof/>
                <w:sz w:val="20"/>
                <w:szCs w:val="20"/>
                <w:lang w:val="fr-CA"/>
              </w:rPr>
              <w:t> 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: </w:t>
            </w:r>
            <w:r w:rsidR="001E3D25">
              <w:rPr>
                <w:noProof/>
                <w:sz w:val="20"/>
                <w:szCs w:val="20"/>
                <w:lang w:val="fr-CA"/>
              </w:rPr>
              <w:t xml:space="preserve">une personne qui </w:t>
            </w:r>
            <w:r>
              <w:rPr>
                <w:noProof/>
                <w:sz w:val="20"/>
                <w:szCs w:val="20"/>
                <w:lang w:val="fr-CA"/>
              </w:rPr>
              <w:t xml:space="preserve">fait le dénombrement </w:t>
            </w:r>
            <w:r w:rsidR="001E3D25">
              <w:rPr>
                <w:noProof/>
                <w:sz w:val="20"/>
                <w:szCs w:val="20"/>
                <w:lang w:val="fr-CA"/>
              </w:rPr>
              <w:t xml:space="preserve">et </w:t>
            </w:r>
            <w:r>
              <w:rPr>
                <w:noProof/>
                <w:sz w:val="20"/>
                <w:szCs w:val="20"/>
                <w:lang w:val="fr-CA"/>
              </w:rPr>
              <w:t xml:space="preserve">une autre </w:t>
            </w:r>
            <w:r w:rsidR="001E3D25">
              <w:rPr>
                <w:noProof/>
                <w:sz w:val="20"/>
                <w:szCs w:val="20"/>
                <w:lang w:val="fr-CA"/>
              </w:rPr>
              <w:t xml:space="preserve">qui tient la caméra afin de limiter les </w:t>
            </w:r>
            <w:r w:rsidR="006D1806">
              <w:rPr>
                <w:noProof/>
                <w:sz w:val="20"/>
                <w:szCs w:val="20"/>
                <w:lang w:val="fr-CA"/>
              </w:rPr>
              <w:t>interruptions de la transmission vidéo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. </w:t>
            </w:r>
          </w:p>
          <w:p w14:paraId="4A36B48D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  <w:p w14:paraId="2FB96BF3" w14:textId="7BA07878" w:rsidR="001D345F" w:rsidRPr="00E83DFA" w:rsidRDefault="006D1806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Consigner les</w:t>
            </w:r>
            <w:r w:rsidR="00167D50">
              <w:rPr>
                <w:noProof/>
                <w:sz w:val="20"/>
                <w:szCs w:val="20"/>
                <w:lang w:val="fr-CA"/>
              </w:rPr>
              <w:t xml:space="preserve"> </w:t>
            </w:r>
            <w:r>
              <w:rPr>
                <w:noProof/>
                <w:sz w:val="20"/>
                <w:szCs w:val="20"/>
                <w:lang w:val="fr-CA"/>
              </w:rPr>
              <w:t xml:space="preserve">processus que le client aura mis en place pour </w:t>
            </w:r>
            <w:r w:rsidR="00470D24">
              <w:rPr>
                <w:noProof/>
                <w:sz w:val="20"/>
                <w:szCs w:val="20"/>
                <w:lang w:val="fr-CA"/>
              </w:rPr>
              <w:t xml:space="preserve">faciliter </w:t>
            </w:r>
            <w:r>
              <w:rPr>
                <w:noProof/>
                <w:sz w:val="20"/>
                <w:szCs w:val="20"/>
                <w:lang w:val="fr-CA"/>
              </w:rPr>
              <w:t>l’observation virtuelle</w:t>
            </w:r>
            <w:r w:rsidR="00470D24">
              <w:rPr>
                <w:noProof/>
                <w:sz w:val="20"/>
                <w:szCs w:val="20"/>
                <w:lang w:val="fr-CA"/>
              </w:rPr>
              <w:t xml:space="preserve"> des auditeurs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243D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</w:tc>
      </w:tr>
      <w:tr w:rsidR="001D345F" w:rsidRPr="00F4236B" w14:paraId="03D96CDD" w14:textId="77777777"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79DC" w14:textId="40CE13C7" w:rsidR="001D345F" w:rsidRPr="00E83DFA" w:rsidRDefault="00167D50" w:rsidP="00167D50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Capacité d’observer efficacement la totalité des installations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EE2D" w14:textId="563A809D" w:rsidR="001D345F" w:rsidRPr="00E83DFA" w:rsidRDefault="00167D50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 xml:space="preserve">Une technique virtuelle </w:t>
            </w:r>
            <w:r w:rsidR="00E36366">
              <w:rPr>
                <w:noProof/>
                <w:sz w:val="20"/>
                <w:szCs w:val="20"/>
                <w:lang w:val="fr-CA"/>
              </w:rPr>
              <w:t>efficace permettrait à l’auditeur de diriger une visite des installations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, </w:t>
            </w:r>
            <w:r w:rsidR="00E36366">
              <w:rPr>
                <w:noProof/>
                <w:sz w:val="20"/>
                <w:szCs w:val="20"/>
                <w:lang w:val="fr-CA"/>
              </w:rPr>
              <w:t>y compris l’observation des contrôles</w:t>
            </w:r>
            <w:r w:rsidR="00470D24">
              <w:rPr>
                <w:noProof/>
                <w:sz w:val="20"/>
                <w:szCs w:val="20"/>
                <w:lang w:val="fr-CA"/>
              </w:rPr>
              <w:t>/</w:t>
            </w:r>
            <w:r w:rsidR="00E36366">
              <w:rPr>
                <w:noProof/>
                <w:sz w:val="20"/>
                <w:szCs w:val="20"/>
                <w:lang w:val="fr-CA"/>
              </w:rPr>
              <w:t xml:space="preserve">secteurs relatifs à la séparation des périodes ou </w:t>
            </w:r>
            <w:r w:rsidR="00470D24">
              <w:rPr>
                <w:noProof/>
                <w:sz w:val="20"/>
                <w:szCs w:val="20"/>
                <w:lang w:val="fr-CA"/>
              </w:rPr>
              <w:t xml:space="preserve">des </w:t>
            </w:r>
            <w:r w:rsidR="00E36366">
              <w:rPr>
                <w:noProof/>
                <w:sz w:val="20"/>
                <w:szCs w:val="20"/>
                <w:lang w:val="fr-CA"/>
              </w:rPr>
              <w:t>tâches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, </w:t>
            </w:r>
            <w:r w:rsidR="00E36366">
              <w:rPr>
                <w:noProof/>
                <w:sz w:val="20"/>
                <w:szCs w:val="20"/>
                <w:lang w:val="fr-CA"/>
              </w:rPr>
              <w:t>de vérifier qu’il n’y a eu aucun mouvement des stocks ou que ceux-ci étaient limités pendant l’observation virtuelle et d’effectuer un sondage pour déterminer si tous les stocks ont été comptés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. </w:t>
            </w:r>
            <w:r w:rsidR="00E36366">
              <w:rPr>
                <w:noProof/>
                <w:sz w:val="20"/>
                <w:szCs w:val="20"/>
                <w:lang w:val="fr-CA"/>
              </w:rPr>
              <w:t>La visite doit être assez exhaustive pour permettre à l’auditeur d’observer si des stocks à rotation lente ou obsolètes semblent être présents et d’évaluer l’état des stocks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 xml:space="preserve">.  </w:t>
            </w:r>
          </w:p>
          <w:p w14:paraId="6DA6F47C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  <w:p w14:paraId="38FE2578" w14:textId="0B29B33A" w:rsidR="001D345F" w:rsidRPr="00E83DFA" w:rsidRDefault="00E36366" w:rsidP="00E36366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t>Consigner les limites attendues et les procédures à mettre en œuvre en réponse aux limites</w:t>
            </w:r>
            <w:r w:rsidR="009839F0" w:rsidRPr="00E83DFA">
              <w:rPr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4024" w14:textId="77777777" w:rsidR="001D345F" w:rsidRPr="00E83DFA" w:rsidRDefault="001D345F">
            <w:pPr>
              <w:widowControl w:val="0"/>
              <w:spacing w:line="240" w:lineRule="auto"/>
              <w:rPr>
                <w:noProof/>
                <w:sz w:val="20"/>
                <w:szCs w:val="20"/>
                <w:lang w:val="fr-CA"/>
              </w:rPr>
            </w:pPr>
          </w:p>
        </w:tc>
      </w:tr>
    </w:tbl>
    <w:p w14:paraId="47320E36" w14:textId="77777777" w:rsidR="001D345F" w:rsidRPr="00E83DFA" w:rsidRDefault="001D345F">
      <w:pPr>
        <w:rPr>
          <w:noProof/>
          <w:sz w:val="28"/>
          <w:szCs w:val="28"/>
          <w:lang w:val="fr-CA"/>
        </w:rPr>
      </w:pPr>
    </w:p>
    <w:p w14:paraId="665802BC" w14:textId="77777777" w:rsidR="001D345F" w:rsidRPr="00E83DFA" w:rsidRDefault="001D345F">
      <w:pPr>
        <w:rPr>
          <w:noProof/>
          <w:sz w:val="28"/>
          <w:szCs w:val="28"/>
          <w:lang w:val="fr-CA"/>
        </w:rPr>
      </w:pPr>
    </w:p>
    <w:sectPr w:rsidR="001D345F" w:rsidRPr="00E83DF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A297" w14:textId="77777777" w:rsidR="00CB18EA" w:rsidRDefault="00CB18EA" w:rsidP="00CB18EA">
      <w:pPr>
        <w:spacing w:line="240" w:lineRule="auto"/>
      </w:pPr>
      <w:r>
        <w:separator/>
      </w:r>
    </w:p>
  </w:endnote>
  <w:endnote w:type="continuationSeparator" w:id="0">
    <w:p w14:paraId="682A6B42" w14:textId="77777777" w:rsidR="00CB18EA" w:rsidRDefault="00CB18EA" w:rsidP="00CB1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B242" w14:textId="77777777" w:rsidR="00CB18EA" w:rsidRDefault="00CB18EA" w:rsidP="00CB18EA">
      <w:pPr>
        <w:spacing w:line="240" w:lineRule="auto"/>
      </w:pPr>
      <w:r>
        <w:separator/>
      </w:r>
    </w:p>
  </w:footnote>
  <w:footnote w:type="continuationSeparator" w:id="0">
    <w:p w14:paraId="491BE95F" w14:textId="77777777" w:rsidR="00CB18EA" w:rsidRDefault="00CB18EA" w:rsidP="00CB18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C5641"/>
    <w:multiLevelType w:val="multilevel"/>
    <w:tmpl w:val="8D98A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874F57"/>
    <w:multiLevelType w:val="multilevel"/>
    <w:tmpl w:val="15246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3B7E86"/>
    <w:multiLevelType w:val="multilevel"/>
    <w:tmpl w:val="72B29E3A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49721A"/>
    <w:multiLevelType w:val="multilevel"/>
    <w:tmpl w:val="1A3CC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9E3FDE"/>
    <w:multiLevelType w:val="multilevel"/>
    <w:tmpl w:val="BB86B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1133063">
    <w:abstractNumId w:val="4"/>
  </w:num>
  <w:num w:numId="2" w16cid:durableId="1503012502">
    <w:abstractNumId w:val="0"/>
  </w:num>
  <w:num w:numId="3" w16cid:durableId="882254731">
    <w:abstractNumId w:val="2"/>
  </w:num>
  <w:num w:numId="4" w16cid:durableId="847721317">
    <w:abstractNumId w:val="1"/>
  </w:num>
  <w:num w:numId="5" w16cid:durableId="44403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5F"/>
    <w:rsid w:val="00037BC9"/>
    <w:rsid w:val="00050FAD"/>
    <w:rsid w:val="000A5B23"/>
    <w:rsid w:val="000B2279"/>
    <w:rsid w:val="000C57C5"/>
    <w:rsid w:val="000D5BE2"/>
    <w:rsid w:val="00111767"/>
    <w:rsid w:val="00121AB9"/>
    <w:rsid w:val="00131E80"/>
    <w:rsid w:val="001361CF"/>
    <w:rsid w:val="001478A7"/>
    <w:rsid w:val="00161E57"/>
    <w:rsid w:val="00167D50"/>
    <w:rsid w:val="001954BE"/>
    <w:rsid w:val="001D345F"/>
    <w:rsid w:val="001E2E0D"/>
    <w:rsid w:val="001E3D25"/>
    <w:rsid w:val="001E4BCC"/>
    <w:rsid w:val="0024662A"/>
    <w:rsid w:val="002C2C4A"/>
    <w:rsid w:val="002D63FE"/>
    <w:rsid w:val="002E6C9F"/>
    <w:rsid w:val="00302D64"/>
    <w:rsid w:val="00305E4D"/>
    <w:rsid w:val="00334112"/>
    <w:rsid w:val="003474D3"/>
    <w:rsid w:val="00364D09"/>
    <w:rsid w:val="0036668F"/>
    <w:rsid w:val="003A30F3"/>
    <w:rsid w:val="003D7D05"/>
    <w:rsid w:val="003E1386"/>
    <w:rsid w:val="00411BB9"/>
    <w:rsid w:val="004344BB"/>
    <w:rsid w:val="00470D24"/>
    <w:rsid w:val="004958A0"/>
    <w:rsid w:val="004D7145"/>
    <w:rsid w:val="00501D9D"/>
    <w:rsid w:val="005135BE"/>
    <w:rsid w:val="00531500"/>
    <w:rsid w:val="00594E6F"/>
    <w:rsid w:val="00596C22"/>
    <w:rsid w:val="005A6C31"/>
    <w:rsid w:val="005B30DE"/>
    <w:rsid w:val="005F3D7E"/>
    <w:rsid w:val="00686FFF"/>
    <w:rsid w:val="006C5352"/>
    <w:rsid w:val="006D1806"/>
    <w:rsid w:val="006D4760"/>
    <w:rsid w:val="006E68F7"/>
    <w:rsid w:val="00772E43"/>
    <w:rsid w:val="00787475"/>
    <w:rsid w:val="00787FC1"/>
    <w:rsid w:val="00791FF8"/>
    <w:rsid w:val="008060E7"/>
    <w:rsid w:val="00816678"/>
    <w:rsid w:val="008174FD"/>
    <w:rsid w:val="00850364"/>
    <w:rsid w:val="0088557D"/>
    <w:rsid w:val="008920EE"/>
    <w:rsid w:val="00892CC0"/>
    <w:rsid w:val="008B55E2"/>
    <w:rsid w:val="008F16CC"/>
    <w:rsid w:val="0097427D"/>
    <w:rsid w:val="009839F0"/>
    <w:rsid w:val="00A04ADC"/>
    <w:rsid w:val="00A0732D"/>
    <w:rsid w:val="00A9768F"/>
    <w:rsid w:val="00AE7D3A"/>
    <w:rsid w:val="00AF3412"/>
    <w:rsid w:val="00AF5190"/>
    <w:rsid w:val="00B15719"/>
    <w:rsid w:val="00B3100D"/>
    <w:rsid w:val="00BA67A6"/>
    <w:rsid w:val="00BB5F99"/>
    <w:rsid w:val="00C07E72"/>
    <w:rsid w:val="00C12416"/>
    <w:rsid w:val="00C30ADD"/>
    <w:rsid w:val="00C33199"/>
    <w:rsid w:val="00C941F0"/>
    <w:rsid w:val="00CB18EA"/>
    <w:rsid w:val="00CF0420"/>
    <w:rsid w:val="00D35324"/>
    <w:rsid w:val="00D616DB"/>
    <w:rsid w:val="00DB60EC"/>
    <w:rsid w:val="00E071D5"/>
    <w:rsid w:val="00E13D1F"/>
    <w:rsid w:val="00E36366"/>
    <w:rsid w:val="00E64A31"/>
    <w:rsid w:val="00E768C0"/>
    <w:rsid w:val="00E83DFA"/>
    <w:rsid w:val="00F4236B"/>
    <w:rsid w:val="00F71FC1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7FB6"/>
  <w15:docId w15:val="{E793794D-0B8C-49C5-A3D4-4142B7A0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31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E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4D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76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8E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EA"/>
  </w:style>
  <w:style w:type="paragraph" w:styleId="Footer">
    <w:name w:val="footer"/>
    <w:basedOn w:val="Normal"/>
    <w:link w:val="FooterChar"/>
    <w:uiPriority w:val="99"/>
    <w:unhideWhenUsed/>
    <w:rsid w:val="00CB18E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EA"/>
  </w:style>
  <w:style w:type="paragraph" w:styleId="Revision">
    <w:name w:val="Revision"/>
    <w:hidden/>
    <w:uiPriority w:val="99"/>
    <w:semiHidden/>
    <w:rsid w:val="00F423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calhost/intranet/verification-financiere/modeles/BVG-Liste_controle_observ_invent_15506F.xl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OAG-BVG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Anne-Marie</dc:creator>
  <cp:lastModifiedBy>Hussey, Anita</cp:lastModifiedBy>
  <cp:revision>2</cp:revision>
  <dcterms:created xsi:type="dcterms:W3CDTF">2024-06-27T17:21:00Z</dcterms:created>
  <dcterms:modified xsi:type="dcterms:W3CDTF">2024-06-27T17:21:00Z</dcterms:modified>
</cp:coreProperties>
</file>