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3872D" w14:textId="3F620ED4" w:rsidR="00FD1BAC" w:rsidRPr="005628AE" w:rsidRDefault="009A0A87" w:rsidP="009A0A87">
      <w:pPr>
        <w:pStyle w:val="Heading2"/>
      </w:pPr>
      <w:r w:rsidRPr="005628AE">
        <w:rPr>
          <w:noProof/>
          <w:lang w:val="en-CA" w:eastAsia="en-CA"/>
        </w:rPr>
        <mc:AlternateContent>
          <mc:Choice Requires="wps">
            <w:drawing>
              <wp:anchor distT="0" distB="0" distL="114300" distR="114300" simplePos="0" relativeHeight="251659264" behindDoc="0" locked="0" layoutInCell="1" allowOverlap="1" wp14:anchorId="54BFFC37" wp14:editId="643BA41E">
                <wp:simplePos x="0" y="0"/>
                <wp:positionH relativeFrom="column">
                  <wp:posOffset>-2540</wp:posOffset>
                </wp:positionH>
                <wp:positionV relativeFrom="paragraph">
                  <wp:posOffset>-592096</wp:posOffset>
                </wp:positionV>
                <wp:extent cx="209550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7DCB7" w14:textId="77777777" w:rsidR="00AE2CEF" w:rsidRPr="009A0A87" w:rsidRDefault="00AE2CEF" w:rsidP="009A0A87">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IFRS</w:t>
                            </w:r>
                          </w:p>
                          <w:p w14:paraId="0D1B3180" w14:textId="500FC812" w:rsidR="00AE2CEF" w:rsidRPr="009A0A87" w:rsidRDefault="00AE2CEF" w:rsidP="009A0A87">
                            <w:pPr>
                              <w:ind w:right="-720"/>
                              <w:rPr>
                                <w:rFonts w:cs="Arial"/>
                                <w:sz w:val="16"/>
                                <w:szCs w:val="16"/>
                                <w:lang w:val="fr-CA"/>
                              </w:rPr>
                            </w:pPr>
                            <w:r>
                              <w:rPr>
                                <w:rFonts w:cs="Arial"/>
                                <w:sz w:val="16"/>
                                <w:szCs w:val="16"/>
                                <w:lang w:val="fr-CA"/>
                              </w:rPr>
                              <w:t>oct.-2023</w:t>
                            </w:r>
                          </w:p>
                          <w:p w14:paraId="6746A6E2" w14:textId="4BBB32E8" w:rsidR="00AE2CEF" w:rsidRPr="009A0A87" w:rsidRDefault="00AE2CEF" w:rsidP="009A0A87">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1C7D0C76" w14:textId="0DCAAEFB" w:rsidR="00AE2CEF" w:rsidRPr="009A0A87" w:rsidRDefault="00AE2CEF" w:rsidP="009A0A87">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FFC37" id="_x0000_t202" coordsize="21600,21600" o:spt="202" path="m,l,21600r21600,l21600,xe">
                <v:stroke joinstyle="miter"/>
                <v:path gradientshapeok="t" o:connecttype="rect"/>
              </v:shapetype>
              <v:shape id="Text Box 5" o:spid="_x0000_s1026" type="#_x0000_t202" style="position:absolute;margin-left:-.2pt;margin-top:-46.6pt;width:16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" fillcolor="#f2f2f2 [3052]" stroked="f" strokeweight=".5pt">
                <v:textbox>
                  <w:txbxContent>
                    <w:p w14:paraId="2F37DCB7" w14:textId="77777777" w:rsidR="00AE2CEF" w:rsidRPr="009A0A87" w:rsidRDefault="00AE2CEF" w:rsidP="009A0A87">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IFRS</w:t>
                      </w:r>
                    </w:p>
                    <w:p w14:paraId="0D1B3180" w14:textId="500FC812" w:rsidR="00AE2CEF" w:rsidRPr="009A0A87" w:rsidRDefault="00AE2CEF" w:rsidP="009A0A87">
                      <w:pPr>
                        <w:ind w:right="-720"/>
                        <w:rPr>
                          <w:rFonts w:cs="Arial"/>
                          <w:sz w:val="16"/>
                          <w:szCs w:val="16"/>
                          <w:lang w:val="fr-CA"/>
                        </w:rPr>
                      </w:pPr>
                      <w:r>
                        <w:rPr>
                          <w:rFonts w:cs="Arial"/>
                          <w:sz w:val="16"/>
                          <w:szCs w:val="16"/>
                          <w:lang w:val="fr-CA"/>
                        </w:rPr>
                        <w:t>oct.-2023</w:t>
                      </w:r>
                    </w:p>
                    <w:p w14:paraId="6746A6E2" w14:textId="4BBB32E8" w:rsidR="00AE2CEF" w:rsidRPr="009A0A87" w:rsidRDefault="00AE2CEF" w:rsidP="009A0A87">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1C7D0C76" w14:textId="0DCAAEFB" w:rsidR="00AE2CEF" w:rsidRPr="009A0A87" w:rsidRDefault="00AE2CEF" w:rsidP="009A0A87">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Création et publication</w:t>
                      </w:r>
                    </w:p>
                  </w:txbxContent>
                </v:textbox>
              </v:shape>
            </w:pict>
          </mc:Fallback>
        </mc:AlternateContent>
      </w:r>
      <w:r w:rsidR="00F22E42" w:rsidRPr="005628AE">
        <w:t>Modèle de lettre d</w:t>
      </w:r>
      <w:r w:rsidR="00865E23" w:rsidRPr="005628AE">
        <w:t>’</w:t>
      </w:r>
      <w:r w:rsidR="00F22E42" w:rsidRPr="005628AE">
        <w:t>affirmation de la direction établie selon les NCA pour des</w:t>
      </w:r>
      <w:r w:rsidR="00941E68">
        <w:t> </w:t>
      </w:r>
      <w:r w:rsidR="00F22E42" w:rsidRPr="005628AE">
        <w:t xml:space="preserve">états financiers </w:t>
      </w:r>
      <w:r w:rsidR="00791C2F" w:rsidRPr="005628AE">
        <w:rPr>
          <w:rFonts w:eastAsia="SimSun"/>
          <w:szCs w:val="28"/>
          <w:lang w:eastAsia="zh-CN"/>
        </w:rPr>
        <w:t>[</w:t>
      </w:r>
      <w:r w:rsidR="00791C2F" w:rsidRPr="005628AE">
        <w:rPr>
          <w:rFonts w:eastAsia="SimSun"/>
          <w:color w:val="0000FF"/>
          <w:szCs w:val="28"/>
          <w:lang w:eastAsia="zh-CN"/>
        </w:rPr>
        <w:t>consolidés</w:t>
      </w:r>
      <w:r w:rsidR="00791C2F" w:rsidRPr="005628AE">
        <w:rPr>
          <w:rFonts w:eastAsia="SimSun"/>
          <w:szCs w:val="28"/>
          <w:lang w:eastAsia="zh-CN"/>
        </w:rPr>
        <w:t>]</w:t>
      </w:r>
      <w:r w:rsidR="00791C2F" w:rsidRPr="005628AE">
        <w:rPr>
          <w:rFonts w:eastAsia="SimSun"/>
          <w:szCs w:val="24"/>
          <w:lang w:eastAsia="zh-CN"/>
        </w:rPr>
        <w:t xml:space="preserve"> </w:t>
      </w:r>
      <w:r w:rsidR="00F22E42" w:rsidRPr="005628AE">
        <w:t xml:space="preserve">préparés conformément aux </w:t>
      </w:r>
      <w:r w:rsidR="00FD1BAC" w:rsidRPr="005628AE">
        <w:t>IFRS</w:t>
      </w:r>
    </w:p>
    <w:p w14:paraId="63E58AD5" w14:textId="77777777" w:rsidR="00F22E42" w:rsidRPr="005628AE" w:rsidRDefault="00F22E42" w:rsidP="007A4BBF">
      <w:pPr>
        <w:pStyle w:val="Heading2"/>
        <w:rPr>
          <w:sz w:val="32"/>
        </w:rPr>
      </w:pPr>
      <w:r w:rsidRPr="005628AE">
        <w:t>INSTRUCTIONS À L</w:t>
      </w:r>
      <w:r w:rsidR="00865E23" w:rsidRPr="005628AE">
        <w:t>’</w:t>
      </w:r>
      <w:r w:rsidRPr="005628AE">
        <w:t>INTENTION DE L</w:t>
      </w:r>
      <w:r w:rsidR="00865E23" w:rsidRPr="005628AE">
        <w:t>’</w:t>
      </w:r>
      <w:r w:rsidRPr="005628AE">
        <w:t>AUDITEUR</w:t>
      </w:r>
    </w:p>
    <w:p w14:paraId="780C0423" w14:textId="77777777" w:rsidR="00F22E42" w:rsidRPr="005628AE" w:rsidRDefault="00F22E42" w:rsidP="007A4BBF">
      <w:pPr>
        <w:pStyle w:val="Heading2"/>
        <w:rPr>
          <w:b w:val="0"/>
          <w:i/>
        </w:rPr>
      </w:pPr>
      <w:r w:rsidRPr="005628AE">
        <w:rPr>
          <w:b w:val="0"/>
          <w:i/>
          <w:color w:val="FF0000"/>
        </w:rPr>
        <w:t>Note : Cette partie introductive contient les consignes à suivre pour la rédaction de la lettre d</w:t>
      </w:r>
      <w:r w:rsidR="00865E23" w:rsidRPr="005628AE">
        <w:rPr>
          <w:b w:val="0"/>
          <w:i/>
          <w:color w:val="FF0000"/>
        </w:rPr>
        <w:t>’</w:t>
      </w:r>
      <w:r w:rsidRPr="005628AE">
        <w:rPr>
          <w:b w:val="0"/>
          <w:i/>
          <w:color w:val="FF0000"/>
        </w:rPr>
        <w:t>affirmation de la direction qui s</w:t>
      </w:r>
      <w:r w:rsidR="00865E23" w:rsidRPr="005628AE">
        <w:rPr>
          <w:b w:val="0"/>
          <w:i/>
          <w:color w:val="FF0000"/>
        </w:rPr>
        <w:t>’</w:t>
      </w:r>
      <w:r w:rsidRPr="005628AE">
        <w:rPr>
          <w:b w:val="0"/>
          <w:i/>
          <w:color w:val="FF0000"/>
        </w:rPr>
        <w:t>appliquent aux audits d</w:t>
      </w:r>
      <w:r w:rsidR="00865E23" w:rsidRPr="005628AE">
        <w:rPr>
          <w:b w:val="0"/>
          <w:i/>
          <w:color w:val="FF0000"/>
        </w:rPr>
        <w:t>’</w:t>
      </w:r>
      <w:r w:rsidRPr="005628AE">
        <w:rPr>
          <w:b w:val="0"/>
          <w:i/>
          <w:color w:val="FF0000"/>
        </w:rPr>
        <w:t xml:space="preserve">états financiers. Les </w:t>
      </w:r>
      <w:r w:rsidR="00B21986" w:rsidRPr="005628AE">
        <w:rPr>
          <w:b w:val="0"/>
          <w:i/>
          <w:color w:val="FF0000"/>
        </w:rPr>
        <w:t xml:space="preserve">présentes </w:t>
      </w:r>
      <w:r w:rsidRPr="005628AE">
        <w:rPr>
          <w:b w:val="0"/>
          <w:i/>
          <w:color w:val="FF0000"/>
        </w:rPr>
        <w:t>instructions, qui précèdent le modèle de lettre d</w:t>
      </w:r>
      <w:r w:rsidR="00865E23" w:rsidRPr="005628AE">
        <w:rPr>
          <w:b w:val="0"/>
          <w:i/>
          <w:color w:val="FF0000"/>
        </w:rPr>
        <w:t>’</w:t>
      </w:r>
      <w:r w:rsidRPr="005628AE">
        <w:rPr>
          <w:b w:val="0"/>
          <w:i/>
          <w:color w:val="FF0000"/>
        </w:rPr>
        <w:t>affirmation de la direction, ne doivent pas être communiquées à l</w:t>
      </w:r>
      <w:r w:rsidR="00865E23" w:rsidRPr="005628AE">
        <w:rPr>
          <w:b w:val="0"/>
          <w:i/>
          <w:color w:val="FF0000"/>
        </w:rPr>
        <w:t>’</w:t>
      </w:r>
      <w:r w:rsidRPr="005628AE">
        <w:rPr>
          <w:b w:val="0"/>
          <w:i/>
          <w:color w:val="FF0000"/>
        </w:rPr>
        <w:t>entité auditée.</w:t>
      </w:r>
    </w:p>
    <w:p w14:paraId="0007AF1A" w14:textId="77777777" w:rsidR="00F22E42" w:rsidRPr="005628AE" w:rsidRDefault="00F22E42" w:rsidP="00AD36A4">
      <w:pPr>
        <w:pStyle w:val="Heading4"/>
      </w:pPr>
      <w:r w:rsidRPr="005628AE">
        <w:t>Exigences des NCA</w:t>
      </w:r>
    </w:p>
    <w:p w14:paraId="41D519A4" w14:textId="77777777" w:rsidR="00F22E42" w:rsidRPr="005628AE" w:rsidRDefault="005424C7" w:rsidP="007A4BBF">
      <w:pPr>
        <w:pStyle w:val="09Para"/>
      </w:pPr>
      <w:r w:rsidRPr="005628AE">
        <w:t>Le présent modèle de l</w:t>
      </w:r>
      <w:r w:rsidR="00F22E42" w:rsidRPr="005628AE">
        <w:t>ettre d</w:t>
      </w:r>
      <w:r w:rsidR="00865E23" w:rsidRPr="005628AE">
        <w:t>’</w:t>
      </w:r>
      <w:r w:rsidR="00F22E42" w:rsidRPr="005628AE">
        <w:t>affirmation de la direction a été préparé afin de sat</w:t>
      </w:r>
      <w:r w:rsidR="00762734" w:rsidRPr="005628AE">
        <w:t>isfaire aux exigences de la NCA </w:t>
      </w:r>
      <w:r w:rsidR="00F22E42" w:rsidRPr="005628AE">
        <w:t>580, Déclarations écrites</w:t>
      </w:r>
      <w:r w:rsidRPr="005628AE">
        <w:t xml:space="preserve">, </w:t>
      </w:r>
      <w:r w:rsidR="00F22E42" w:rsidRPr="005628AE">
        <w:t>et d</w:t>
      </w:r>
      <w:r w:rsidR="00865E23" w:rsidRPr="005628AE">
        <w:t>’</w:t>
      </w:r>
      <w:r w:rsidR="00F22E42" w:rsidRPr="005628AE">
        <w:t>autres NCA qui exigent des déclarations écrites sur des points p</w:t>
      </w:r>
      <w:r w:rsidRPr="005628AE">
        <w:t>récis</w:t>
      </w:r>
      <w:r w:rsidR="00F22E42" w:rsidRPr="005628AE">
        <w:rPr>
          <w:i/>
        </w:rPr>
        <w:t>.</w:t>
      </w:r>
    </w:p>
    <w:p w14:paraId="27456DF7" w14:textId="77777777" w:rsidR="00F22E42" w:rsidRPr="005628AE" w:rsidRDefault="00F22E42" w:rsidP="007A4BBF">
      <w:pPr>
        <w:pStyle w:val="09Para"/>
      </w:pPr>
      <w:r w:rsidRPr="005628AE">
        <w:t>NCA</w:t>
      </w:r>
      <w:r w:rsidR="007A4BBF" w:rsidRPr="005628AE">
        <w:t> </w:t>
      </w:r>
      <w:r w:rsidRPr="005628AE">
        <w:t>580.3</w:t>
      </w:r>
      <w:r w:rsidR="007A4BBF" w:rsidRPr="005628AE">
        <w:t> </w:t>
      </w:r>
      <w:r w:rsidRPr="005628AE">
        <w:t xml:space="preserve">— </w:t>
      </w:r>
      <w:r w:rsidRPr="005628AE">
        <w:rPr>
          <w:i/>
        </w:rPr>
        <w:t>Les éléments probants s</w:t>
      </w:r>
      <w:r w:rsidR="00865E23" w:rsidRPr="005628AE">
        <w:rPr>
          <w:i/>
        </w:rPr>
        <w:t>’</w:t>
      </w:r>
      <w:r w:rsidRPr="005628AE">
        <w:rPr>
          <w:i/>
        </w:rPr>
        <w:t>entendent des informations sur lesquelles s</w:t>
      </w:r>
      <w:r w:rsidR="00865E23" w:rsidRPr="005628AE">
        <w:rPr>
          <w:i/>
        </w:rPr>
        <w:t>’</w:t>
      </w:r>
      <w:r w:rsidRPr="005628AE">
        <w:rPr>
          <w:i/>
        </w:rPr>
        <w:t>appuie l</w:t>
      </w:r>
      <w:r w:rsidR="00865E23" w:rsidRPr="005628AE">
        <w:rPr>
          <w:i/>
        </w:rPr>
        <w:t>’</w:t>
      </w:r>
      <w:r w:rsidRPr="005628AE">
        <w:rPr>
          <w:i/>
        </w:rPr>
        <w:t>auditeur pour parvenir aux conclusions servant de fondement à son opinion. Les déclarations écrites représentent des informations nécessaires pour l</w:t>
      </w:r>
      <w:r w:rsidR="00865E23" w:rsidRPr="005628AE">
        <w:rPr>
          <w:i/>
        </w:rPr>
        <w:t>’</w:t>
      </w:r>
      <w:r w:rsidRPr="005628AE">
        <w:rPr>
          <w:i/>
        </w:rPr>
        <w:t>auditeur dans le cadre de l</w:t>
      </w:r>
      <w:r w:rsidR="00865E23" w:rsidRPr="005628AE">
        <w:rPr>
          <w:i/>
        </w:rPr>
        <w:t>’</w:t>
      </w:r>
      <w:r w:rsidRPr="005628AE">
        <w:rPr>
          <w:i/>
        </w:rPr>
        <w:t>audit des états financiers de l</w:t>
      </w:r>
      <w:r w:rsidR="00865E23" w:rsidRPr="005628AE">
        <w:rPr>
          <w:i/>
        </w:rPr>
        <w:t>’</w:t>
      </w:r>
      <w:r w:rsidRPr="005628AE">
        <w:rPr>
          <w:i/>
        </w:rPr>
        <w:t>entité. Par conséquent, tout comme les réponses aux demandes d</w:t>
      </w:r>
      <w:r w:rsidR="00865E23" w:rsidRPr="005628AE">
        <w:rPr>
          <w:i/>
        </w:rPr>
        <w:t>’</w:t>
      </w:r>
      <w:r w:rsidRPr="005628AE">
        <w:rPr>
          <w:i/>
        </w:rPr>
        <w:t>informations, les déclarations écrites constituent des éléments probants.</w:t>
      </w:r>
    </w:p>
    <w:p w14:paraId="2D98657D" w14:textId="32E255FA" w:rsidR="00F22E42" w:rsidRPr="005628AE" w:rsidRDefault="00F22E42" w:rsidP="007A4BBF">
      <w:pPr>
        <w:pStyle w:val="09Para"/>
      </w:pPr>
      <w:r w:rsidRPr="005628AE">
        <w:t>NCA</w:t>
      </w:r>
      <w:r w:rsidR="007A4BBF" w:rsidRPr="005628AE">
        <w:t> </w:t>
      </w:r>
      <w:r w:rsidRPr="005628AE">
        <w:t>580.9</w:t>
      </w:r>
      <w:r w:rsidR="007A4BBF" w:rsidRPr="005628AE">
        <w:t> </w:t>
      </w:r>
      <w:r w:rsidRPr="005628AE">
        <w:t xml:space="preserve">— </w:t>
      </w:r>
      <w:r w:rsidRPr="005628AE">
        <w:rPr>
          <w:i/>
        </w:rPr>
        <w:t>L</w:t>
      </w:r>
      <w:r w:rsidR="00865E23" w:rsidRPr="005628AE">
        <w:rPr>
          <w:i/>
        </w:rPr>
        <w:t>’</w:t>
      </w:r>
      <w:r w:rsidRPr="005628AE">
        <w:rPr>
          <w:i/>
        </w:rPr>
        <w:t xml:space="preserve">auditeur doit demander des déclarations écrites aux membres de la direction qui sont investis de responsabilités appropriées </w:t>
      </w:r>
      <w:r w:rsidR="00762734" w:rsidRPr="005628AE">
        <w:rPr>
          <w:i/>
        </w:rPr>
        <w:t xml:space="preserve">à l’égard des </w:t>
      </w:r>
      <w:r w:rsidRPr="005628AE">
        <w:rPr>
          <w:i/>
        </w:rPr>
        <w:t>états financiers et qui sont bien au</w:t>
      </w:r>
      <w:r w:rsidR="00941E68">
        <w:rPr>
          <w:i/>
        </w:rPr>
        <w:t> </w:t>
      </w:r>
      <w:r w:rsidRPr="005628AE">
        <w:rPr>
          <w:i/>
        </w:rPr>
        <w:t>fait des questions devant faire l</w:t>
      </w:r>
      <w:r w:rsidR="00865E23" w:rsidRPr="005628AE">
        <w:rPr>
          <w:i/>
        </w:rPr>
        <w:t>’</w:t>
      </w:r>
      <w:r w:rsidRPr="005628AE">
        <w:rPr>
          <w:i/>
        </w:rPr>
        <w:t>objet des déclarations.</w:t>
      </w:r>
    </w:p>
    <w:p w14:paraId="4A7A2E32" w14:textId="77777777" w:rsidR="00F22E42" w:rsidRPr="005628AE" w:rsidRDefault="00F22E42" w:rsidP="007A4BBF">
      <w:pPr>
        <w:pStyle w:val="09Para"/>
      </w:pPr>
      <w:r w:rsidRPr="005628AE">
        <w:t>Autres NCA contenant des exigences en matière de déclarations écrites (NCA</w:t>
      </w:r>
      <w:r w:rsidR="007A4BBF" w:rsidRPr="005628AE">
        <w:t> </w:t>
      </w:r>
      <w:r w:rsidRPr="005628AE">
        <w:t>580, Annexe</w:t>
      </w:r>
      <w:r w:rsidR="005424C7" w:rsidRPr="005628AE">
        <w:t> 1</w:t>
      </w:r>
      <w:r w:rsidRPr="005628AE">
        <w:t>)</w:t>
      </w:r>
    </w:p>
    <w:p w14:paraId="4C4B206F" w14:textId="77777777" w:rsidR="00F22E42" w:rsidRPr="005628AE" w:rsidRDefault="007A4BBF" w:rsidP="000E4CFF">
      <w:pPr>
        <w:pStyle w:val="09ParaBullet1"/>
      </w:pPr>
      <w:r w:rsidRPr="005628AE">
        <w:t>NCA </w:t>
      </w:r>
      <w:r w:rsidR="00F22E42" w:rsidRPr="005628AE">
        <w:t>240, Responsabilités de l</w:t>
      </w:r>
      <w:r w:rsidR="00865E23" w:rsidRPr="005628AE">
        <w:t>’</w:t>
      </w:r>
      <w:r w:rsidR="00F22E42" w:rsidRPr="005628AE">
        <w:t>auditeur concernant les fraudes lors d</w:t>
      </w:r>
      <w:r w:rsidR="00865E23" w:rsidRPr="005628AE">
        <w:t>’</w:t>
      </w:r>
      <w:r w:rsidR="00F22E42" w:rsidRPr="005628AE">
        <w:t>un audit d</w:t>
      </w:r>
      <w:r w:rsidR="00865E23" w:rsidRPr="005628AE">
        <w:t>’</w:t>
      </w:r>
      <w:r w:rsidR="00A06D6F" w:rsidRPr="005628AE">
        <w:t>états financiers, paragraphe 40</w:t>
      </w:r>
    </w:p>
    <w:p w14:paraId="79282E38" w14:textId="77777777" w:rsidR="00F22E42" w:rsidRPr="005628AE" w:rsidRDefault="007A4BBF" w:rsidP="000E4CFF">
      <w:pPr>
        <w:pStyle w:val="09ParaBullet1"/>
      </w:pPr>
      <w:r w:rsidRPr="005628AE">
        <w:t>NCA 2</w:t>
      </w:r>
      <w:r w:rsidR="00F22E42" w:rsidRPr="005628AE">
        <w:t>50, Prise en compte des textes légaux et réglementaires dans un audit d</w:t>
      </w:r>
      <w:r w:rsidR="00865E23" w:rsidRPr="005628AE">
        <w:t>’</w:t>
      </w:r>
      <w:r w:rsidR="00F22E42" w:rsidRPr="005628AE">
        <w:t>états financiers, paragraphe 16</w:t>
      </w:r>
    </w:p>
    <w:p w14:paraId="158209C4" w14:textId="77777777" w:rsidR="00F22E42" w:rsidRPr="005628AE" w:rsidRDefault="00F22E42" w:rsidP="000E4CFF">
      <w:pPr>
        <w:pStyle w:val="09ParaBullet1"/>
      </w:pPr>
      <w:r w:rsidRPr="005628AE">
        <w:t>NCA</w:t>
      </w:r>
      <w:r w:rsidR="007A4BBF" w:rsidRPr="005628AE">
        <w:t> </w:t>
      </w:r>
      <w:r w:rsidRPr="005628AE">
        <w:t>450, Évaluation des anomalies détectées au cours de l</w:t>
      </w:r>
      <w:r w:rsidR="00865E23" w:rsidRPr="005628AE">
        <w:t>’</w:t>
      </w:r>
      <w:r w:rsidRPr="005628AE">
        <w:t>audit, paragraphe 14</w:t>
      </w:r>
    </w:p>
    <w:p w14:paraId="38BD5B93" w14:textId="77777777" w:rsidR="00F22E42" w:rsidRPr="005628AE" w:rsidRDefault="00F22E42" w:rsidP="000E4CFF">
      <w:pPr>
        <w:pStyle w:val="09ParaBullet1"/>
      </w:pPr>
      <w:r w:rsidRPr="005628AE">
        <w:t>NCA</w:t>
      </w:r>
      <w:r w:rsidR="007A4BBF" w:rsidRPr="005628AE">
        <w:t> </w:t>
      </w:r>
      <w:r w:rsidRPr="005628AE">
        <w:t>501, Éléments probants</w:t>
      </w:r>
      <w:r w:rsidRPr="005628AE">
        <w:rPr>
          <w:i/>
        </w:rPr>
        <w:t xml:space="preserve"> — </w:t>
      </w:r>
      <w:r w:rsidRPr="005628AE">
        <w:t>Considérations particulières concernant certains points, paragraphe 12</w:t>
      </w:r>
    </w:p>
    <w:p w14:paraId="536EF928" w14:textId="56F3850C" w:rsidR="00F22E42" w:rsidRPr="005628AE" w:rsidRDefault="00F22E42" w:rsidP="000E4CFF">
      <w:pPr>
        <w:pStyle w:val="09ParaBullet1"/>
      </w:pPr>
      <w:r w:rsidRPr="005628AE">
        <w:t>NCA</w:t>
      </w:r>
      <w:r w:rsidR="007A4BBF" w:rsidRPr="005628AE">
        <w:t> </w:t>
      </w:r>
      <w:r w:rsidRPr="005628AE">
        <w:t>540, Audit des estimations comptables et des informations y afférentes, paragraphe </w:t>
      </w:r>
      <w:r w:rsidR="00A5379B">
        <w:t>37</w:t>
      </w:r>
    </w:p>
    <w:p w14:paraId="63595CCE" w14:textId="77777777" w:rsidR="00F22E42" w:rsidRPr="005628AE" w:rsidRDefault="00F22E42" w:rsidP="000E4CFF">
      <w:pPr>
        <w:pStyle w:val="09ParaBullet1"/>
      </w:pPr>
      <w:r w:rsidRPr="005628AE">
        <w:t>NCA</w:t>
      </w:r>
      <w:r w:rsidR="007A4BBF" w:rsidRPr="005628AE">
        <w:t> </w:t>
      </w:r>
      <w:r w:rsidRPr="005628AE">
        <w:t>550, Parties liées, paragraphe 26</w:t>
      </w:r>
    </w:p>
    <w:p w14:paraId="764A2C8A" w14:textId="77777777" w:rsidR="00F22E42" w:rsidRPr="005628AE" w:rsidRDefault="00F22E42" w:rsidP="000E4CFF">
      <w:pPr>
        <w:pStyle w:val="09ParaBullet1"/>
      </w:pPr>
      <w:r w:rsidRPr="005628AE">
        <w:t>NCA</w:t>
      </w:r>
      <w:r w:rsidR="007A4BBF" w:rsidRPr="005628AE">
        <w:t> </w:t>
      </w:r>
      <w:r w:rsidRPr="005628AE">
        <w:t xml:space="preserve">560, Événements postérieurs à la date de clôture, </w:t>
      </w:r>
      <w:r w:rsidR="00D026CC" w:rsidRPr="005628AE">
        <w:t>paragraphe </w:t>
      </w:r>
      <w:r w:rsidRPr="005628AE">
        <w:t>9</w:t>
      </w:r>
    </w:p>
    <w:p w14:paraId="169BA4F1" w14:textId="77777777" w:rsidR="00F22E42" w:rsidRPr="005628AE" w:rsidRDefault="00F22E42" w:rsidP="000E4CFF">
      <w:pPr>
        <w:pStyle w:val="09ParaBullet1"/>
      </w:pPr>
      <w:r w:rsidRPr="005628AE">
        <w:lastRenderedPageBreak/>
        <w:t>NCA</w:t>
      </w:r>
      <w:r w:rsidR="007A4BBF" w:rsidRPr="005628AE">
        <w:t> </w:t>
      </w:r>
      <w:r w:rsidRPr="005628AE">
        <w:t>570</w:t>
      </w:r>
      <w:r w:rsidRPr="005628AE">
        <w:rPr>
          <w:i/>
        </w:rPr>
        <w:t xml:space="preserve">, </w:t>
      </w:r>
      <w:r w:rsidRPr="005628AE">
        <w:t>Continuité de l</w:t>
      </w:r>
      <w:r w:rsidR="00865E23" w:rsidRPr="005628AE">
        <w:t>’</w:t>
      </w:r>
      <w:r w:rsidRPr="005628AE">
        <w:t xml:space="preserve">exploitation, </w:t>
      </w:r>
      <w:r w:rsidR="00D026CC" w:rsidRPr="005628AE">
        <w:t>alinéa </w:t>
      </w:r>
      <w:r w:rsidRPr="005628AE">
        <w:t>16</w:t>
      </w:r>
      <w:r w:rsidR="00F87B99" w:rsidRPr="005628AE">
        <w:t> </w:t>
      </w:r>
      <w:r w:rsidRPr="005628AE">
        <w:t>e)</w:t>
      </w:r>
    </w:p>
    <w:p w14:paraId="6C13804C" w14:textId="77777777" w:rsidR="00F22E42" w:rsidRPr="005628AE" w:rsidRDefault="00F22E42" w:rsidP="000E4CFF">
      <w:pPr>
        <w:pStyle w:val="09ParaBullet1"/>
      </w:pPr>
      <w:r w:rsidRPr="005628AE">
        <w:t>NCA</w:t>
      </w:r>
      <w:r w:rsidR="007A4BBF" w:rsidRPr="005628AE">
        <w:t> </w:t>
      </w:r>
      <w:r w:rsidRPr="005628AE">
        <w:t>710, Informations comparatives — Chiffres correspondants et états financiers compa</w:t>
      </w:r>
      <w:r w:rsidR="00762734" w:rsidRPr="005628AE">
        <w:t>ratifs, paragraphe 9</w:t>
      </w:r>
    </w:p>
    <w:p w14:paraId="432DE024" w14:textId="4804C7B4" w:rsidR="00762734" w:rsidRPr="005628AE" w:rsidRDefault="00C55C35" w:rsidP="000E4CFF">
      <w:pPr>
        <w:pStyle w:val="09ParaBullet1"/>
      </w:pPr>
      <w:r>
        <w:t>NCA </w:t>
      </w:r>
      <w:r w:rsidR="00762734" w:rsidRPr="005628AE">
        <w:t>720, Responsabilités de l'auditeur concernant les</w:t>
      </w:r>
      <w:r>
        <w:t xml:space="preserve"> autres informations, alinéa 13 </w:t>
      </w:r>
      <w:r w:rsidR="00762734" w:rsidRPr="005628AE">
        <w:t>c)</w:t>
      </w:r>
    </w:p>
    <w:p w14:paraId="51FC9AB8" w14:textId="77777777" w:rsidR="00F22E42" w:rsidRPr="005628AE" w:rsidRDefault="00F22E42" w:rsidP="007A4BBF">
      <w:pPr>
        <w:pStyle w:val="09Para"/>
      </w:pPr>
      <w:r w:rsidRPr="005628AE">
        <w:t xml:space="preserve">Les </w:t>
      </w:r>
      <w:r w:rsidR="002C0BCD" w:rsidRPr="005628AE">
        <w:t xml:space="preserve">équipes de mission </w:t>
      </w:r>
      <w:r w:rsidRPr="005628AE">
        <w:t xml:space="preserve">doivent consulter la NCA 580 et </w:t>
      </w:r>
      <w:r w:rsidR="00F0266B" w:rsidRPr="005628AE">
        <w:t xml:space="preserve">toutes </w:t>
      </w:r>
      <w:r w:rsidRPr="005628AE">
        <w:t>les autres NCA applicables pour obtenir des indications supplémentaires en matière de déclarations écrites, au besoin.</w:t>
      </w:r>
    </w:p>
    <w:p w14:paraId="62C87649" w14:textId="77777777" w:rsidR="00F22E42" w:rsidRPr="005628AE" w:rsidRDefault="00F22E42" w:rsidP="00AD36A4">
      <w:pPr>
        <w:pStyle w:val="Heading4"/>
        <w:rPr>
          <w:rFonts w:ascii="Georgia" w:hAnsi="Georgia" w:cs="Arial"/>
        </w:rPr>
      </w:pPr>
      <w:r w:rsidRPr="005628AE">
        <w:t>Questions et réponses</w:t>
      </w:r>
    </w:p>
    <w:p w14:paraId="3F6EA882" w14:textId="77777777" w:rsidR="00F22E42" w:rsidRPr="005628AE" w:rsidRDefault="00F22E42" w:rsidP="00AD36A4">
      <w:pPr>
        <w:pStyle w:val="Heading3"/>
      </w:pPr>
      <w:r w:rsidRPr="005628AE">
        <w:t>À qui doit-on adresser la lettre d</w:t>
      </w:r>
      <w:r w:rsidR="00865E23" w:rsidRPr="005628AE">
        <w:t>’</w:t>
      </w:r>
      <w:r w:rsidRPr="005628AE">
        <w:t>affirmation de la direction et quelle doit être la date des déclarations écrites qu</w:t>
      </w:r>
      <w:r w:rsidR="00865E23" w:rsidRPr="005628AE">
        <w:t>’</w:t>
      </w:r>
      <w:r w:rsidRPr="005628AE">
        <w:t>elle contient?</w:t>
      </w:r>
    </w:p>
    <w:p w14:paraId="134362D7" w14:textId="77777777" w:rsidR="00F22E42" w:rsidRPr="005628AE" w:rsidRDefault="00F22E42" w:rsidP="00AD36A4">
      <w:pPr>
        <w:pStyle w:val="09Para"/>
      </w:pPr>
      <w:r w:rsidRPr="005628AE">
        <w:t>La lettre d</w:t>
      </w:r>
      <w:r w:rsidR="00865E23" w:rsidRPr="005628AE">
        <w:t>’</w:t>
      </w:r>
      <w:r w:rsidRPr="005628AE">
        <w:t>affirmation de la direction doit être adressée à l</w:t>
      </w:r>
      <w:r w:rsidR="00865E23" w:rsidRPr="005628AE">
        <w:t>’</w:t>
      </w:r>
      <w:r w:rsidRPr="005628AE">
        <w:t>auditeur, normalement le responsable de la mission, et sa date doit être aussi rapprochée que possible de la date du rapport de l</w:t>
      </w:r>
      <w:r w:rsidR="00865E23" w:rsidRPr="005628AE">
        <w:t>’</w:t>
      </w:r>
      <w:r w:rsidRPr="005628AE">
        <w:t xml:space="preserve">auditeur sur les états financiers, </w:t>
      </w:r>
      <w:r w:rsidRPr="005628AE">
        <w:rPr>
          <w:b/>
        </w:rPr>
        <w:t>mais ne doit pas être postérieure à celle-ci</w:t>
      </w:r>
      <w:r w:rsidRPr="005628AE">
        <w:t xml:space="preserve">. Consulter le paragraphe 14 de la NCA 580 pour </w:t>
      </w:r>
      <w:r w:rsidR="00041411" w:rsidRPr="005628AE">
        <w:t>obtenir</w:t>
      </w:r>
      <w:r w:rsidRPr="005628AE">
        <w:t xml:space="preserve"> les directives et les exigences supplémentaires relatives à la date de la lettre d</w:t>
      </w:r>
      <w:r w:rsidR="00865E23" w:rsidRPr="005628AE">
        <w:t>’</w:t>
      </w:r>
      <w:r w:rsidRPr="005628AE">
        <w:t>affirmation.</w:t>
      </w:r>
    </w:p>
    <w:p w14:paraId="1B337CE4" w14:textId="77777777" w:rsidR="00F22E42" w:rsidRPr="005628AE" w:rsidRDefault="00F22E42" w:rsidP="00AD36A4">
      <w:pPr>
        <w:pStyle w:val="Heading3"/>
      </w:pPr>
      <w:r w:rsidRPr="005628AE">
        <w:t>Qui doit signer la lettre d</w:t>
      </w:r>
      <w:r w:rsidR="00865E23" w:rsidRPr="005628AE">
        <w:t>’</w:t>
      </w:r>
      <w:r w:rsidRPr="005628AE">
        <w:t>affirmation au nom de l</w:t>
      </w:r>
      <w:r w:rsidR="00865E23" w:rsidRPr="005628AE">
        <w:t>’</w:t>
      </w:r>
      <w:r w:rsidRPr="005628AE">
        <w:t>entité pour confirmer les déclarations écrites?</w:t>
      </w:r>
    </w:p>
    <w:p w14:paraId="214B05CE" w14:textId="42976C6B" w:rsidR="00F22E42" w:rsidRPr="005628AE" w:rsidRDefault="00F22E42" w:rsidP="00AD36A4">
      <w:pPr>
        <w:pStyle w:val="09Para"/>
      </w:pPr>
      <w:r w:rsidRPr="005628AE">
        <w:t>Les déclarations écrites devraient être obtenues des personnes responsables de la préparation des états financiers qui peuvent fournir des « déclarations éclairées ». Il s</w:t>
      </w:r>
      <w:r w:rsidR="00865E23" w:rsidRPr="005628AE">
        <w:t>’</w:t>
      </w:r>
      <w:r w:rsidRPr="005628AE">
        <w:t>agit généralement du</w:t>
      </w:r>
      <w:r w:rsidR="00941E68">
        <w:t> </w:t>
      </w:r>
      <w:r w:rsidR="005424C7" w:rsidRPr="005628AE">
        <w:t xml:space="preserve">directeur général ou du </w:t>
      </w:r>
      <w:r w:rsidR="006F742B" w:rsidRPr="005628AE">
        <w:t xml:space="preserve">directeur </w:t>
      </w:r>
      <w:r w:rsidRPr="005628AE">
        <w:t>financier de l</w:t>
      </w:r>
      <w:r w:rsidR="00865E23" w:rsidRPr="005628AE">
        <w:t>’</w:t>
      </w:r>
      <w:r w:rsidRPr="005628AE">
        <w:t>entité, ou, dans le cas des entités où ces titres</w:t>
      </w:r>
      <w:r w:rsidR="00941E68">
        <w:t> </w:t>
      </w:r>
      <w:r w:rsidRPr="005628AE">
        <w:t>ne sont pas utilisés, des personnes occupant des postes équivalents. Dans certaines circonstances, les responsables de la gouvernance peuvent également être chargés de la préparation des états financiers. Consulter les paragraphes</w:t>
      </w:r>
      <w:r w:rsidR="00BB402E" w:rsidRPr="005628AE">
        <w:t> </w:t>
      </w:r>
      <w:r w:rsidRPr="005628AE">
        <w:t>A2 à A6 de la NCA</w:t>
      </w:r>
      <w:r w:rsidR="00BB402E" w:rsidRPr="005628AE">
        <w:t> </w:t>
      </w:r>
      <w:r w:rsidRPr="005628AE">
        <w:t>580 pour obtenir des indications supplémentaires à ce sujet.</w:t>
      </w:r>
    </w:p>
    <w:p w14:paraId="562A748B" w14:textId="16839D6A" w:rsidR="00F22E42" w:rsidRPr="005628AE" w:rsidRDefault="00F22E42" w:rsidP="00AD36A4">
      <w:pPr>
        <w:pStyle w:val="09Para"/>
      </w:pPr>
      <w:r w:rsidRPr="005628AE">
        <w:t>En outre, dans certains cas, l</w:t>
      </w:r>
      <w:r w:rsidR="00865E23" w:rsidRPr="005628AE">
        <w:t>’</w:t>
      </w:r>
      <w:r w:rsidRPr="005628AE">
        <w:t>auditeur souhaitera peut-être obtenir des déclarations écrites provenant d</w:t>
      </w:r>
      <w:r w:rsidR="00865E23" w:rsidRPr="005628AE">
        <w:t>’</w:t>
      </w:r>
      <w:r w:rsidRPr="005628AE">
        <w:t>autres membres de la direction. L</w:t>
      </w:r>
      <w:r w:rsidR="00865E23" w:rsidRPr="005628AE">
        <w:t>’</w:t>
      </w:r>
      <w:r w:rsidRPr="005628AE">
        <w:t xml:space="preserve">auditeur pourrait notamment demander une déclaration écrite </w:t>
      </w:r>
      <w:r w:rsidR="00041411" w:rsidRPr="005628AE">
        <w:t xml:space="preserve">au conseiller juridique interne </w:t>
      </w:r>
      <w:r w:rsidRPr="005628AE">
        <w:t>de l</w:t>
      </w:r>
      <w:r w:rsidR="00865E23" w:rsidRPr="005628AE">
        <w:t>’</w:t>
      </w:r>
      <w:r w:rsidRPr="005628AE">
        <w:t>entité concernant l</w:t>
      </w:r>
      <w:r w:rsidR="00865E23" w:rsidRPr="005628AE">
        <w:t>’</w:t>
      </w:r>
      <w:r w:rsidRPr="005628AE">
        <w:t>estimation d</w:t>
      </w:r>
      <w:r w:rsidR="00865E23" w:rsidRPr="005628AE">
        <w:t>’</w:t>
      </w:r>
      <w:r w:rsidRPr="005628AE">
        <w:t>un</w:t>
      </w:r>
      <w:r w:rsidR="004D7DB2" w:rsidRPr="005628AE">
        <w:t>e provision pour litiges</w:t>
      </w:r>
      <w:r w:rsidRPr="005628AE">
        <w:t xml:space="preserve"> importante ou encore </w:t>
      </w:r>
      <w:r w:rsidR="004D7DB2" w:rsidRPr="005628AE">
        <w:t>au secrétaire des réunions du conseil d’administration et des comités importants concernant</w:t>
      </w:r>
      <w:r w:rsidRPr="005628AE">
        <w:t xml:space="preserve"> l</w:t>
      </w:r>
      <w:r w:rsidR="00865E23" w:rsidRPr="005628AE">
        <w:t>’</w:t>
      </w:r>
      <w:r w:rsidRPr="005628AE">
        <w:t>exhaustivité des procès</w:t>
      </w:r>
      <w:r w:rsidR="00BB402E" w:rsidRPr="005628AE">
        <w:noBreakHyphen/>
      </w:r>
      <w:r w:rsidRPr="005628AE">
        <w:t>verbaux</w:t>
      </w:r>
      <w:r w:rsidR="004D7DB2" w:rsidRPr="005628AE">
        <w:t xml:space="preserve"> de</w:t>
      </w:r>
      <w:r w:rsidR="00941E68">
        <w:t> </w:t>
      </w:r>
      <w:r w:rsidR="004D7DB2" w:rsidRPr="005628AE">
        <w:t>ces</w:t>
      </w:r>
      <w:r w:rsidR="00941E68">
        <w:t> </w:t>
      </w:r>
      <w:r w:rsidR="004D7DB2" w:rsidRPr="005628AE">
        <w:t>réunions</w:t>
      </w:r>
      <w:r w:rsidRPr="005628AE">
        <w:t>. (NCA 580.13)</w:t>
      </w:r>
    </w:p>
    <w:p w14:paraId="35C5E7FE" w14:textId="3189D1D6" w:rsidR="00F22E42" w:rsidRPr="005628AE" w:rsidRDefault="00F22E42" w:rsidP="00AD36A4">
      <w:pPr>
        <w:pStyle w:val="09Para"/>
      </w:pPr>
      <w:r w:rsidRPr="005628AE">
        <w:t>S</w:t>
      </w:r>
      <w:r w:rsidR="00865E23" w:rsidRPr="005628AE">
        <w:t>’</w:t>
      </w:r>
      <w:r w:rsidRPr="005628AE">
        <w:t>il y a des changements au sein de la direction de l</w:t>
      </w:r>
      <w:r w:rsidR="00865E23" w:rsidRPr="005628AE">
        <w:t>’</w:t>
      </w:r>
      <w:r w:rsidRPr="005628AE">
        <w:t>entité (</w:t>
      </w:r>
      <w:r w:rsidR="00266562" w:rsidRPr="005628AE">
        <w:t xml:space="preserve">soit </w:t>
      </w:r>
      <w:r w:rsidR="00D60CBC" w:rsidRPr="005628AE">
        <w:t>les</w:t>
      </w:r>
      <w:r w:rsidRPr="005628AE">
        <w:t xml:space="preserve"> responsables de la préparation des états financiers) au cours de la période, cela n</w:t>
      </w:r>
      <w:r w:rsidR="00865E23" w:rsidRPr="005628AE">
        <w:t>’</w:t>
      </w:r>
      <w:r w:rsidRPr="005628AE">
        <w:t>atténue en rien les responsabilités de la direction à l</w:t>
      </w:r>
      <w:r w:rsidR="00865E23" w:rsidRPr="005628AE">
        <w:t>’</w:t>
      </w:r>
      <w:r w:rsidRPr="005628AE">
        <w:t>égard des états financiers pris dans leur ensemble. Par conséquent, l</w:t>
      </w:r>
      <w:r w:rsidR="00865E23" w:rsidRPr="005628AE">
        <w:t>’</w:t>
      </w:r>
      <w:r w:rsidRPr="005628AE">
        <w:t>auditeur doit toujours obtenir des déclarations écrites de la part de la direction qui</w:t>
      </w:r>
      <w:r w:rsidR="00941E68">
        <w:t> </w:t>
      </w:r>
      <w:r w:rsidRPr="005628AE">
        <w:t>portent sur la totalité de la ou des périodes considérées.</w:t>
      </w:r>
    </w:p>
    <w:p w14:paraId="0461B98B" w14:textId="77777777" w:rsidR="00F22E42" w:rsidRPr="005628AE" w:rsidRDefault="00F22E42" w:rsidP="00AD36A4">
      <w:pPr>
        <w:pStyle w:val="Heading3"/>
      </w:pPr>
      <w:r w:rsidRPr="005628AE">
        <w:t>Que doit faire l</w:t>
      </w:r>
      <w:r w:rsidR="00865E23" w:rsidRPr="005628AE">
        <w:t>’</w:t>
      </w:r>
      <w:r w:rsidRPr="005628AE">
        <w:t xml:space="preserve">équipe de mission dans les </w:t>
      </w:r>
      <w:r w:rsidR="009A4414" w:rsidRPr="005628AE">
        <w:t xml:space="preserve">situations </w:t>
      </w:r>
      <w:r w:rsidRPr="005628AE">
        <w:t>suivantes :</w:t>
      </w:r>
    </w:p>
    <w:p w14:paraId="3417BACD" w14:textId="77777777" w:rsidR="00F22E42" w:rsidRPr="005628AE" w:rsidRDefault="00F22E42" w:rsidP="00AD36A4">
      <w:pPr>
        <w:pStyle w:val="09ParaAlpha1"/>
      </w:pPr>
      <w:r w:rsidRPr="005628AE">
        <w:rPr>
          <w:b/>
        </w:rPr>
        <w:t>L</w:t>
      </w:r>
      <w:r w:rsidR="00865E23" w:rsidRPr="005628AE">
        <w:rPr>
          <w:b/>
        </w:rPr>
        <w:t>’</w:t>
      </w:r>
      <w:r w:rsidRPr="005628AE">
        <w:rPr>
          <w:b/>
        </w:rPr>
        <w:t>équipe de mission estime nécessaire d</w:t>
      </w:r>
      <w:r w:rsidR="00865E23" w:rsidRPr="005628AE">
        <w:rPr>
          <w:b/>
        </w:rPr>
        <w:t>’</w:t>
      </w:r>
      <w:r w:rsidRPr="005628AE">
        <w:rPr>
          <w:b/>
        </w:rPr>
        <w:t xml:space="preserve">obtenir des déclarations écrites </w:t>
      </w:r>
      <w:r w:rsidR="009A4414" w:rsidRPr="005628AE">
        <w:rPr>
          <w:b/>
        </w:rPr>
        <w:t>supplémentaires</w:t>
      </w:r>
      <w:r w:rsidR="00D60CBC" w:rsidRPr="005628AE">
        <w:rPr>
          <w:b/>
        </w:rPr>
        <w:t xml:space="preserve"> </w:t>
      </w:r>
      <w:r w:rsidRPr="005628AE">
        <w:rPr>
          <w:b/>
        </w:rPr>
        <w:t>concernant les états financiers.</w:t>
      </w:r>
    </w:p>
    <w:p w14:paraId="0D6611E2" w14:textId="157DD65E" w:rsidR="00F22E42" w:rsidRPr="00B33AA4" w:rsidRDefault="00347138" w:rsidP="00AD36A4">
      <w:pPr>
        <w:pStyle w:val="09ParaIndent2"/>
      </w:pPr>
      <w:r w:rsidRPr="005628AE">
        <w:rPr>
          <w:rFonts w:cs="Arial"/>
        </w:rPr>
        <w:lastRenderedPageBreak/>
        <w:t xml:space="preserve">La lettre d’affirmation </w:t>
      </w:r>
      <w:r w:rsidR="009A7D11">
        <w:rPr>
          <w:rFonts w:cs="Arial"/>
        </w:rPr>
        <w:t>doit</w:t>
      </w:r>
      <w:r w:rsidRPr="005628AE">
        <w:rPr>
          <w:rFonts w:cs="Arial"/>
        </w:rPr>
        <w:t xml:space="preserve"> être adaptée pour inclure toute déclaration supplémentaire de</w:t>
      </w:r>
      <w:r w:rsidR="00941E68">
        <w:rPr>
          <w:rFonts w:cs="Arial"/>
        </w:rPr>
        <w:t> </w:t>
      </w:r>
      <w:r w:rsidRPr="005628AE">
        <w:rPr>
          <w:rFonts w:cs="Arial"/>
        </w:rPr>
        <w:t>la direction</w:t>
      </w:r>
      <w:r w:rsidR="002A0338" w:rsidRPr="00B33AA4">
        <w:rPr>
          <w:rFonts w:cs="Arial"/>
        </w:rPr>
        <w:t xml:space="preserve"> qui est approprié</w:t>
      </w:r>
      <w:r w:rsidR="009A7D11">
        <w:rPr>
          <w:rFonts w:cs="Arial"/>
        </w:rPr>
        <w:t>e</w:t>
      </w:r>
      <w:r w:rsidRPr="00B33AA4">
        <w:rPr>
          <w:rFonts w:cs="Arial"/>
        </w:rPr>
        <w:t>. Il peut s’agir notamment d’obtenir des déclarations sur</w:t>
      </w:r>
      <w:r w:rsidR="00941E68">
        <w:rPr>
          <w:rFonts w:cs="Arial"/>
        </w:rPr>
        <w:t> </w:t>
      </w:r>
      <w:r w:rsidRPr="00B33AA4">
        <w:rPr>
          <w:rFonts w:cs="Arial"/>
        </w:rPr>
        <w:t>des questions propres aux activités ou au secteur d’activité</w:t>
      </w:r>
      <w:r w:rsidR="009A7D11">
        <w:rPr>
          <w:rFonts w:cs="Arial"/>
        </w:rPr>
        <w:t xml:space="preserve"> de l’entité</w:t>
      </w:r>
      <w:r w:rsidR="000855D4">
        <w:rPr>
          <w:rFonts w:cs="Arial"/>
        </w:rPr>
        <w:t xml:space="preserve">, </w:t>
      </w:r>
      <w:r w:rsidRPr="00B33AA4">
        <w:rPr>
          <w:rFonts w:cs="Arial"/>
        </w:rPr>
        <w:t>sur des assertions particulières contenues dans les états financiers, ou des déclarations qui corroborent d’autres éléments probants concernant les états financiers</w:t>
      </w:r>
      <w:r w:rsidR="00F22E42" w:rsidRPr="00B33AA4">
        <w:t>.</w:t>
      </w:r>
    </w:p>
    <w:p w14:paraId="1FC8C28D" w14:textId="77777777" w:rsidR="00F22E42" w:rsidRPr="00B33AA4" w:rsidRDefault="00F22E42" w:rsidP="00AD36A4">
      <w:pPr>
        <w:pStyle w:val="09ParaIndent2"/>
      </w:pPr>
      <w:r w:rsidRPr="00B33AA4">
        <w:t>L</w:t>
      </w:r>
      <w:r w:rsidR="00865E23" w:rsidRPr="00B33AA4">
        <w:t>’</w:t>
      </w:r>
      <w:r w:rsidR="00210EB7" w:rsidRPr="00B33AA4">
        <w:t>a</w:t>
      </w:r>
      <w:r w:rsidR="00D026CC" w:rsidRPr="00B33AA4">
        <w:t>nnexe </w:t>
      </w:r>
      <w:r w:rsidRPr="00B33AA4">
        <w:t>1 du modèle de lettre d</w:t>
      </w:r>
      <w:r w:rsidR="00865E23" w:rsidRPr="00B33AA4">
        <w:t>’</w:t>
      </w:r>
      <w:r w:rsidRPr="00B33AA4">
        <w:t>affirmation de la direction présente des exemples de déclarations supplémentaires qui peuvent être appropriées pour des états financiers préparés</w:t>
      </w:r>
      <w:r w:rsidR="00132EAF" w:rsidRPr="00B33AA4">
        <w:t xml:space="preserve"> selon </w:t>
      </w:r>
      <w:r w:rsidRPr="00B33AA4">
        <w:t xml:space="preserve">les IFRS. </w:t>
      </w:r>
    </w:p>
    <w:p w14:paraId="73DC5E95" w14:textId="77777777" w:rsidR="00F22E42" w:rsidRPr="00B33AA4" w:rsidRDefault="00F22E42" w:rsidP="00AD36A4">
      <w:pPr>
        <w:pStyle w:val="09ParaIndent2"/>
      </w:pPr>
      <w:r w:rsidRPr="00B33AA4">
        <w:t>L</w:t>
      </w:r>
      <w:r w:rsidR="00865E23" w:rsidRPr="00B33AA4">
        <w:t>’</w:t>
      </w:r>
      <w:r w:rsidRPr="00B33AA4">
        <w:t xml:space="preserve">équipe de mission doit </w:t>
      </w:r>
      <w:r w:rsidR="009A4414" w:rsidRPr="00B33AA4">
        <w:t>faire une évaluation critique d</w:t>
      </w:r>
      <w:r w:rsidRPr="00B33AA4">
        <w:t xml:space="preserve">es déclarations supplémentaires </w:t>
      </w:r>
      <w:r w:rsidR="009A4414" w:rsidRPr="00B33AA4">
        <w:t xml:space="preserve">et les modifier, au besoin, </w:t>
      </w:r>
      <w:r w:rsidRPr="00B33AA4">
        <w:t>en tenant compte des circonstances propres à l</w:t>
      </w:r>
      <w:r w:rsidR="00865E23" w:rsidRPr="00B33AA4">
        <w:t>’</w:t>
      </w:r>
      <w:r w:rsidRPr="00B33AA4">
        <w:t xml:space="preserve">entité, des risques, estimations </w:t>
      </w:r>
      <w:r w:rsidR="00F0266B" w:rsidRPr="00B33AA4">
        <w:t xml:space="preserve">et jugements </w:t>
      </w:r>
      <w:r w:rsidRPr="00B33AA4">
        <w:t xml:space="preserve">importants, des circonstances inhabituelles ou complexes et du seuil de signification. </w:t>
      </w:r>
    </w:p>
    <w:p w14:paraId="68255F48" w14:textId="77777777" w:rsidR="00F22E42" w:rsidRPr="00B33AA4" w:rsidRDefault="00F22E42" w:rsidP="00AD36A4">
      <w:pPr>
        <w:pStyle w:val="09ParaAlpha1"/>
        <w:rPr>
          <w:b/>
        </w:rPr>
      </w:pPr>
      <w:r w:rsidRPr="00B33AA4">
        <w:rPr>
          <w:b/>
        </w:rPr>
        <w:t>La direction modifie une déclaration écrite par rapport à celle demandée par l</w:t>
      </w:r>
      <w:r w:rsidR="00865E23" w:rsidRPr="00B33AA4">
        <w:rPr>
          <w:b/>
        </w:rPr>
        <w:t>’</w:t>
      </w:r>
      <w:r w:rsidRPr="00B33AA4">
        <w:rPr>
          <w:b/>
        </w:rPr>
        <w:t>auditeur.</w:t>
      </w:r>
    </w:p>
    <w:p w14:paraId="7CC52F62" w14:textId="77777777" w:rsidR="00F22E42" w:rsidRPr="00B33AA4" w:rsidRDefault="00F22E42" w:rsidP="00AD36A4">
      <w:pPr>
        <w:pStyle w:val="09ParaIndent2"/>
      </w:pPr>
      <w:r w:rsidRPr="00B33AA4">
        <w:t>Consulter les paragraphes</w:t>
      </w:r>
      <w:r w:rsidR="00BB402E" w:rsidRPr="00B33AA4">
        <w:t> </w:t>
      </w:r>
      <w:r w:rsidRPr="00B33AA4">
        <w:t>A26 et</w:t>
      </w:r>
      <w:r w:rsidR="00F87B99" w:rsidRPr="00B33AA4">
        <w:t> </w:t>
      </w:r>
      <w:r w:rsidRPr="00B33AA4">
        <w:t>A27 de la NCA</w:t>
      </w:r>
      <w:r w:rsidR="00BB402E" w:rsidRPr="00B33AA4">
        <w:t> </w:t>
      </w:r>
      <w:r w:rsidRPr="00B33AA4">
        <w:t xml:space="preserve">580 pour </w:t>
      </w:r>
      <w:r w:rsidR="009E5FD8" w:rsidRPr="00B33AA4">
        <w:t xml:space="preserve">obtenir </w:t>
      </w:r>
      <w:r w:rsidR="00132EAF" w:rsidRPr="00B33AA4">
        <w:t>l</w:t>
      </w:r>
      <w:r w:rsidRPr="00B33AA4">
        <w:t>es indications et exigences supplémentaires</w:t>
      </w:r>
      <w:r w:rsidR="00132EAF" w:rsidRPr="00B33AA4">
        <w:t xml:space="preserve"> applicables</w:t>
      </w:r>
      <w:r w:rsidRPr="00B33AA4">
        <w:t>.</w:t>
      </w:r>
    </w:p>
    <w:p w14:paraId="33B7C7D3" w14:textId="5D672378" w:rsidR="00F22E42" w:rsidRPr="00B33AA4" w:rsidRDefault="00F22E42" w:rsidP="00AD36A4">
      <w:pPr>
        <w:pStyle w:val="09ParaAlpha1"/>
        <w:rPr>
          <w:b/>
        </w:rPr>
      </w:pPr>
      <w:r w:rsidRPr="00B33AA4">
        <w:rPr>
          <w:b/>
        </w:rPr>
        <w:t>L</w:t>
      </w:r>
      <w:r w:rsidR="00865E23" w:rsidRPr="00B33AA4">
        <w:rPr>
          <w:b/>
        </w:rPr>
        <w:t>’</w:t>
      </w:r>
      <w:r w:rsidRPr="00B33AA4">
        <w:rPr>
          <w:b/>
        </w:rPr>
        <w:t>équipe de mission a des doutes sur la compétence, l</w:t>
      </w:r>
      <w:r w:rsidR="00865E23" w:rsidRPr="00B33AA4">
        <w:rPr>
          <w:b/>
        </w:rPr>
        <w:t>’</w:t>
      </w:r>
      <w:r w:rsidRPr="00B33AA4">
        <w:rPr>
          <w:b/>
        </w:rPr>
        <w:t>intégrité, les valeurs éthiques ou la diligence de la direction, ou sur l</w:t>
      </w:r>
      <w:r w:rsidR="00865E23" w:rsidRPr="00B33AA4">
        <w:rPr>
          <w:b/>
        </w:rPr>
        <w:t>’</w:t>
      </w:r>
      <w:r w:rsidRPr="00B33AA4">
        <w:rPr>
          <w:b/>
        </w:rPr>
        <w:t>importance qu</w:t>
      </w:r>
      <w:r w:rsidR="00865E23" w:rsidRPr="00B33AA4">
        <w:rPr>
          <w:b/>
        </w:rPr>
        <w:t>’</w:t>
      </w:r>
      <w:r w:rsidRPr="00B33AA4">
        <w:rPr>
          <w:b/>
        </w:rPr>
        <w:t>elle attache à ces</w:t>
      </w:r>
      <w:r w:rsidR="00941E68">
        <w:rPr>
          <w:b/>
        </w:rPr>
        <w:t> </w:t>
      </w:r>
      <w:r w:rsidRPr="00B33AA4">
        <w:rPr>
          <w:b/>
        </w:rPr>
        <w:t>valeurs ou à leur respect.</w:t>
      </w:r>
    </w:p>
    <w:p w14:paraId="2C79C1FF" w14:textId="77777777" w:rsidR="00F22E42" w:rsidRPr="00B33AA4" w:rsidRDefault="00F22E42" w:rsidP="00AD36A4">
      <w:pPr>
        <w:pStyle w:val="09ParaIndent2"/>
      </w:pPr>
      <w:r w:rsidRPr="00B33AA4">
        <w:t>Consulter les paragraphes</w:t>
      </w:r>
      <w:r w:rsidR="00BB402E" w:rsidRPr="00B33AA4">
        <w:t> </w:t>
      </w:r>
      <w:r w:rsidRPr="00B33AA4">
        <w:t>16, 20</w:t>
      </w:r>
      <w:r w:rsidR="00BB402E" w:rsidRPr="00B33AA4">
        <w:t> </w:t>
      </w:r>
      <w:r w:rsidRPr="00B33AA4">
        <w:t>a), A24 et A25 de la NCA</w:t>
      </w:r>
      <w:r w:rsidR="00BB402E" w:rsidRPr="00B33AA4">
        <w:t> </w:t>
      </w:r>
      <w:r w:rsidRPr="00B33AA4">
        <w:t xml:space="preserve">580 pour obtenir </w:t>
      </w:r>
      <w:r w:rsidR="009E5FD8" w:rsidRPr="00B33AA4">
        <w:t>l</w:t>
      </w:r>
      <w:r w:rsidRPr="00B33AA4">
        <w:t xml:space="preserve">es indications et </w:t>
      </w:r>
      <w:r w:rsidR="009E5FD8" w:rsidRPr="00B33AA4">
        <w:t>l</w:t>
      </w:r>
      <w:r w:rsidRPr="00B33AA4">
        <w:t>es exigences supplémentaires</w:t>
      </w:r>
      <w:r w:rsidR="009E5FD8" w:rsidRPr="00B33AA4">
        <w:t xml:space="preserve"> applicables</w:t>
      </w:r>
      <w:r w:rsidRPr="00B33AA4">
        <w:t>.</w:t>
      </w:r>
    </w:p>
    <w:p w14:paraId="56140D08" w14:textId="23B72DDB" w:rsidR="00F22E42" w:rsidRPr="00B33AA4" w:rsidRDefault="00F22E42" w:rsidP="00AD36A4">
      <w:pPr>
        <w:pStyle w:val="09ParaAlpha1"/>
        <w:rPr>
          <w:b/>
        </w:rPr>
      </w:pPr>
      <w:r w:rsidRPr="00B33AA4">
        <w:rPr>
          <w:b/>
        </w:rPr>
        <w:t>L</w:t>
      </w:r>
      <w:r w:rsidR="00865E23" w:rsidRPr="00B33AA4">
        <w:rPr>
          <w:b/>
        </w:rPr>
        <w:t>’</w:t>
      </w:r>
      <w:r w:rsidRPr="00B33AA4">
        <w:rPr>
          <w:b/>
        </w:rPr>
        <w:t>équipe de mission a relevé des déclarations écrites qui sont incompatibles</w:t>
      </w:r>
      <w:r w:rsidR="009001F5" w:rsidRPr="00B33AA4">
        <w:rPr>
          <w:b/>
        </w:rPr>
        <w:t xml:space="preserve"> entre</w:t>
      </w:r>
      <w:r w:rsidR="00941E68">
        <w:rPr>
          <w:b/>
        </w:rPr>
        <w:t> </w:t>
      </w:r>
      <w:r w:rsidR="009001F5" w:rsidRPr="00B33AA4">
        <w:rPr>
          <w:b/>
        </w:rPr>
        <w:t>elles et</w:t>
      </w:r>
      <w:r w:rsidRPr="00B33AA4">
        <w:rPr>
          <w:b/>
        </w:rPr>
        <w:t xml:space="preserve"> avec des éléments probants obtenus d</w:t>
      </w:r>
      <w:r w:rsidR="00865E23" w:rsidRPr="00B33AA4">
        <w:rPr>
          <w:b/>
        </w:rPr>
        <w:t>’</w:t>
      </w:r>
      <w:r w:rsidRPr="00B33AA4">
        <w:rPr>
          <w:b/>
        </w:rPr>
        <w:t>une autre source.</w:t>
      </w:r>
    </w:p>
    <w:p w14:paraId="5A44CAFD" w14:textId="19FE674D" w:rsidR="00F22E42" w:rsidRPr="00B33AA4" w:rsidRDefault="00F22E42" w:rsidP="00AD36A4">
      <w:pPr>
        <w:pStyle w:val="09ParaIndent2"/>
      </w:pPr>
      <w:r w:rsidRPr="00B33AA4">
        <w:t xml:space="preserve">Consulter les </w:t>
      </w:r>
      <w:r w:rsidR="00D026CC" w:rsidRPr="00B33AA4">
        <w:t>paragraphes</w:t>
      </w:r>
      <w:r w:rsidR="00BB402E" w:rsidRPr="00B33AA4">
        <w:t> </w:t>
      </w:r>
      <w:r w:rsidRPr="00B33AA4">
        <w:t>17 et A23 de la NCA</w:t>
      </w:r>
      <w:r w:rsidR="00BB402E" w:rsidRPr="00B33AA4">
        <w:t> </w:t>
      </w:r>
      <w:r w:rsidRPr="00B33AA4">
        <w:t xml:space="preserve">580 </w:t>
      </w:r>
      <w:r w:rsidR="00132EAF" w:rsidRPr="00B33AA4">
        <w:t xml:space="preserve">pour </w:t>
      </w:r>
      <w:r w:rsidR="009E5FD8" w:rsidRPr="00B33AA4">
        <w:t xml:space="preserve">obtenir </w:t>
      </w:r>
      <w:r w:rsidR="00132EAF" w:rsidRPr="00B33AA4">
        <w:t xml:space="preserve">les indications et </w:t>
      </w:r>
      <w:r w:rsidR="00F0266B" w:rsidRPr="00B33AA4">
        <w:t>les</w:t>
      </w:r>
      <w:r w:rsidR="00941E68">
        <w:t> </w:t>
      </w:r>
      <w:r w:rsidR="00132EAF" w:rsidRPr="00B33AA4">
        <w:t>exigences supplémentaires applicables.</w:t>
      </w:r>
    </w:p>
    <w:p w14:paraId="1C2C3902" w14:textId="77777777" w:rsidR="00F22E42" w:rsidRPr="00B33AA4" w:rsidRDefault="00F22E42" w:rsidP="00B60ACB">
      <w:pPr>
        <w:pStyle w:val="09ParaAlpha1"/>
        <w:keepNext/>
        <w:ind w:left="648"/>
        <w:rPr>
          <w:b/>
        </w:rPr>
      </w:pPr>
      <w:r w:rsidRPr="00B33AA4">
        <w:rPr>
          <w:b/>
        </w:rPr>
        <w:t>La direction ne fournit pas une ou plusieurs des déclarations écrites demandées.</w:t>
      </w:r>
    </w:p>
    <w:p w14:paraId="6793C72F" w14:textId="77777777" w:rsidR="00F22E42" w:rsidRPr="00B33AA4" w:rsidRDefault="00F22E42" w:rsidP="00AD36A4">
      <w:pPr>
        <w:pStyle w:val="09ParaIndent2"/>
      </w:pPr>
      <w:r w:rsidRPr="00B33AA4">
        <w:t>Consulter les paragraphes</w:t>
      </w:r>
      <w:r w:rsidR="00BB402E" w:rsidRPr="00B33AA4">
        <w:t> </w:t>
      </w:r>
      <w:r w:rsidRPr="00B33AA4">
        <w:t>19 et 20</w:t>
      </w:r>
      <w:r w:rsidR="00BB402E" w:rsidRPr="00B33AA4">
        <w:t> </w:t>
      </w:r>
      <w:r w:rsidRPr="00B33AA4">
        <w:t xml:space="preserve">b) de la NCA 580 </w:t>
      </w:r>
      <w:r w:rsidR="00132EAF" w:rsidRPr="00B33AA4">
        <w:t xml:space="preserve">pour </w:t>
      </w:r>
      <w:r w:rsidR="009E5FD8" w:rsidRPr="00B33AA4">
        <w:t xml:space="preserve">obtenir </w:t>
      </w:r>
      <w:r w:rsidR="00132EAF" w:rsidRPr="00B33AA4">
        <w:t xml:space="preserve">les indications et </w:t>
      </w:r>
      <w:r w:rsidR="00F0266B" w:rsidRPr="00B33AA4">
        <w:t xml:space="preserve">les </w:t>
      </w:r>
      <w:r w:rsidR="00132EAF" w:rsidRPr="00B33AA4">
        <w:t>exigences supplémentaires applicables.</w:t>
      </w:r>
    </w:p>
    <w:p w14:paraId="2B4D3E87" w14:textId="77777777" w:rsidR="00F22E42" w:rsidRPr="00B33AA4" w:rsidRDefault="00F22E42" w:rsidP="00AD36A4">
      <w:pPr>
        <w:pStyle w:val="Heading3"/>
      </w:pPr>
      <w:r w:rsidRPr="00B33AA4">
        <w:t>Que peut faire la direction si elle n</w:t>
      </w:r>
      <w:r w:rsidR="00865E23" w:rsidRPr="00B33AA4">
        <w:t>’</w:t>
      </w:r>
      <w:r w:rsidRPr="00B33AA4">
        <w:t>est pas d</w:t>
      </w:r>
      <w:r w:rsidR="00865E23" w:rsidRPr="00B33AA4">
        <w:t>’</w:t>
      </w:r>
      <w:r w:rsidRPr="00B33AA4">
        <w:t>accord avec les anomalies non corrigées dans les états financiers qui sont inscrites dans la lettre d</w:t>
      </w:r>
      <w:r w:rsidR="00865E23" w:rsidRPr="00B33AA4">
        <w:t>’</w:t>
      </w:r>
      <w:r w:rsidRPr="00B33AA4">
        <w:t>affirmation?</w:t>
      </w:r>
    </w:p>
    <w:p w14:paraId="4D647C76" w14:textId="220E7B12" w:rsidR="00F22E42" w:rsidRPr="00B33AA4" w:rsidRDefault="00F22E42" w:rsidP="00AD36A4">
      <w:pPr>
        <w:pStyle w:val="09Para"/>
      </w:pPr>
      <w:r w:rsidRPr="00B33AA4">
        <w:t>Si la direction est d</w:t>
      </w:r>
      <w:r w:rsidR="00865E23" w:rsidRPr="00B33AA4">
        <w:t>’</w:t>
      </w:r>
      <w:r w:rsidRPr="00B33AA4">
        <w:t>avis que certains des éléments mentionnés ne sont pas des anomalies, elle</w:t>
      </w:r>
      <w:r w:rsidR="00941E68">
        <w:t> </w:t>
      </w:r>
      <w:r w:rsidRPr="00B33AA4">
        <w:t>peut l</w:t>
      </w:r>
      <w:r w:rsidR="00865E23" w:rsidRPr="00B33AA4">
        <w:t>’</w:t>
      </w:r>
      <w:r w:rsidRPr="00B33AA4">
        <w:t>indiquer en ajoutant à la déclaration écrite une mention telle que : « À notre avis, les éléments</w:t>
      </w:r>
      <w:r w:rsidR="00F87B99" w:rsidRPr="00B33AA4">
        <w:t> </w:t>
      </w:r>
      <w:r w:rsidRPr="00B33AA4">
        <w:t>XX et</w:t>
      </w:r>
      <w:r w:rsidR="00F87B99" w:rsidRPr="00B33AA4">
        <w:t> </w:t>
      </w:r>
      <w:r w:rsidRPr="00B33AA4">
        <w:t xml:space="preserve">XX ne constituent pas des anomalies parce que </w:t>
      </w:r>
      <w:r w:rsidR="00791C2F" w:rsidRPr="00B33AA4">
        <w:rPr>
          <w:rFonts w:eastAsia="SimSun"/>
          <w:szCs w:val="24"/>
          <w:lang w:eastAsia="zh-CN"/>
        </w:rPr>
        <w:t>[</w:t>
      </w:r>
      <w:r w:rsidR="00EA42DD" w:rsidRPr="00B33AA4">
        <w:rPr>
          <w:rFonts w:eastAsia="SimSun"/>
          <w:color w:val="0000FF"/>
          <w:szCs w:val="24"/>
          <w:lang w:eastAsia="zh-CN"/>
        </w:rPr>
        <w:t>description des raisons</w:t>
      </w:r>
      <w:r w:rsidR="00EA42DD" w:rsidRPr="00B33AA4">
        <w:rPr>
          <w:rFonts w:eastAsia="SimSun"/>
          <w:szCs w:val="24"/>
          <w:lang w:eastAsia="zh-CN"/>
        </w:rPr>
        <w:t>]</w:t>
      </w:r>
      <w:r w:rsidRPr="00B33AA4">
        <w:t> ». Consulter les paragraphes</w:t>
      </w:r>
      <w:r w:rsidR="00BB402E" w:rsidRPr="00B33AA4">
        <w:t> </w:t>
      </w:r>
      <w:r w:rsidR="00762734" w:rsidRPr="00B33AA4">
        <w:t>14 et A29</w:t>
      </w:r>
      <w:r w:rsidRPr="00B33AA4">
        <w:t xml:space="preserve"> de la NCA</w:t>
      </w:r>
      <w:r w:rsidR="00BB402E" w:rsidRPr="00B33AA4">
        <w:t> </w:t>
      </w:r>
      <w:r w:rsidRPr="00B33AA4">
        <w:t>450 pour obtenir des indications supplémentaires.</w:t>
      </w:r>
    </w:p>
    <w:p w14:paraId="23079648" w14:textId="77777777" w:rsidR="00F22E42" w:rsidRPr="00B33AA4" w:rsidRDefault="00F22E42" w:rsidP="00AD36A4">
      <w:pPr>
        <w:pStyle w:val="Heading3"/>
      </w:pPr>
      <w:r w:rsidRPr="00B33AA4">
        <w:lastRenderedPageBreak/>
        <w:t>La lettre d</w:t>
      </w:r>
      <w:r w:rsidR="00865E23" w:rsidRPr="00B33AA4">
        <w:t>’</w:t>
      </w:r>
      <w:r w:rsidRPr="00B33AA4">
        <w:t xml:space="preserve">affirmation de la direction </w:t>
      </w:r>
      <w:proofErr w:type="spellStart"/>
      <w:r w:rsidRPr="00B33AA4">
        <w:t>doit-elle</w:t>
      </w:r>
      <w:proofErr w:type="spellEnd"/>
      <w:r w:rsidRPr="00B33AA4">
        <w:t xml:space="preserve"> être établie dans les deux</w:t>
      </w:r>
      <w:r w:rsidR="00F87B99" w:rsidRPr="00B33AA4">
        <w:t> </w:t>
      </w:r>
      <w:r w:rsidRPr="00B33AA4">
        <w:t>langues officielles?</w:t>
      </w:r>
    </w:p>
    <w:p w14:paraId="751D12B5" w14:textId="77777777" w:rsidR="00F22E42" w:rsidRPr="00B33AA4" w:rsidRDefault="00F22E42" w:rsidP="00AD36A4">
      <w:pPr>
        <w:pStyle w:val="09Para"/>
      </w:pPr>
      <w:r w:rsidRPr="00B33AA4">
        <w:t>Étant donné qu</w:t>
      </w:r>
      <w:r w:rsidR="00865E23" w:rsidRPr="00B33AA4">
        <w:t>’</w:t>
      </w:r>
      <w:r w:rsidRPr="00B33AA4">
        <w:t>il s</w:t>
      </w:r>
      <w:r w:rsidR="00865E23" w:rsidRPr="00B33AA4">
        <w:t>’</w:t>
      </w:r>
      <w:r w:rsidRPr="00B33AA4">
        <w:t>agit d</w:t>
      </w:r>
      <w:r w:rsidR="00865E23" w:rsidRPr="00B33AA4">
        <w:t>’</w:t>
      </w:r>
      <w:r w:rsidRPr="00B33AA4">
        <w:t>une communication de l</w:t>
      </w:r>
      <w:r w:rsidR="00865E23" w:rsidRPr="00B33AA4">
        <w:t>’</w:t>
      </w:r>
      <w:r w:rsidRPr="00B33AA4">
        <w:t>entité, la direction doit respecter les politiques internes de l</w:t>
      </w:r>
      <w:r w:rsidR="00865E23" w:rsidRPr="00B33AA4">
        <w:t>’</w:t>
      </w:r>
      <w:r w:rsidRPr="00B33AA4">
        <w:t>entité sur les langues officielles.</w:t>
      </w:r>
    </w:p>
    <w:p w14:paraId="77639FB0" w14:textId="77777777" w:rsidR="00F22E42" w:rsidRPr="00B33AA4" w:rsidRDefault="00F22E42" w:rsidP="00AD36A4">
      <w:pPr>
        <w:pStyle w:val="Heading3"/>
      </w:pPr>
      <w:r w:rsidRPr="00B33AA4">
        <w:t>Qu</w:t>
      </w:r>
      <w:r w:rsidR="00865E23" w:rsidRPr="00B33AA4">
        <w:t>’</w:t>
      </w:r>
      <w:r w:rsidRPr="00B33AA4">
        <w:t>en est-il des lettres d</w:t>
      </w:r>
      <w:r w:rsidR="00865E23" w:rsidRPr="00B33AA4">
        <w:t>’</w:t>
      </w:r>
      <w:r w:rsidRPr="00B33AA4">
        <w:t>affirmation de la direction pour les audits de groupes ou de composantes?</w:t>
      </w:r>
    </w:p>
    <w:p w14:paraId="43F21F8B" w14:textId="77777777" w:rsidR="00F22E42" w:rsidRPr="00B33AA4" w:rsidRDefault="00F22E42" w:rsidP="00AD36A4">
      <w:pPr>
        <w:pStyle w:val="09Para"/>
      </w:pPr>
      <w:r w:rsidRPr="00B33AA4">
        <w:t>Pour obtenir des indications sur les lettres d</w:t>
      </w:r>
      <w:r w:rsidR="00865E23" w:rsidRPr="00B33AA4">
        <w:t>’</w:t>
      </w:r>
      <w:r w:rsidRPr="00B33AA4">
        <w:t>affirmation dans le cadre d</w:t>
      </w:r>
      <w:r w:rsidR="00865E23" w:rsidRPr="00B33AA4">
        <w:t>’</w:t>
      </w:r>
      <w:r w:rsidRPr="00B33AA4">
        <w:t>audits de groupes ou de composantes, consulter</w:t>
      </w:r>
      <w:r w:rsidR="009001F5" w:rsidRPr="00B33AA4">
        <w:t xml:space="preserve"> la section</w:t>
      </w:r>
      <w:r w:rsidRPr="00B33AA4">
        <w:t xml:space="preserve"> BVG</w:t>
      </w:r>
      <w:r w:rsidR="00F87B99" w:rsidRPr="00B33AA4">
        <w:t> </w:t>
      </w:r>
      <w:r w:rsidRPr="00B33AA4">
        <w:t>Audit</w:t>
      </w:r>
      <w:r w:rsidR="00BB402E" w:rsidRPr="00B33AA4">
        <w:t> </w:t>
      </w:r>
      <w:r w:rsidRPr="00B33AA4">
        <w:t>2343.</w:t>
      </w:r>
    </w:p>
    <w:p w14:paraId="3AB0F408" w14:textId="77777777" w:rsidR="00F22E42" w:rsidRPr="00B33AA4" w:rsidRDefault="00F22E42" w:rsidP="00AD36A4">
      <w:pPr>
        <w:pStyle w:val="09Para"/>
        <w:rPr>
          <w:i/>
        </w:rPr>
      </w:pPr>
      <w:r w:rsidRPr="00B33AA4">
        <w:rPr>
          <w:i/>
        </w:rPr>
        <w:t>Note : Les auditeurs des composantes des comptes publics du Canada doivent aussi consulter les instructions d</w:t>
      </w:r>
      <w:r w:rsidR="00865E23" w:rsidRPr="00B33AA4">
        <w:rPr>
          <w:i/>
        </w:rPr>
        <w:t>’</w:t>
      </w:r>
      <w:r w:rsidRPr="00B33AA4">
        <w:rPr>
          <w:i/>
        </w:rPr>
        <w:t>audit transmises par l</w:t>
      </w:r>
      <w:r w:rsidR="00865E23" w:rsidRPr="00B33AA4">
        <w:rPr>
          <w:i/>
        </w:rPr>
        <w:t>’</w:t>
      </w:r>
      <w:r w:rsidRPr="00B33AA4">
        <w:rPr>
          <w:i/>
        </w:rPr>
        <w:t>équipe chargée des comptes publics.</w:t>
      </w:r>
    </w:p>
    <w:p w14:paraId="318EBD42" w14:textId="6A1B9C02" w:rsidR="00F22E42" w:rsidRPr="00B33AA4" w:rsidRDefault="00F22E42" w:rsidP="00AD36A4">
      <w:pPr>
        <w:pStyle w:val="Heading3"/>
      </w:pPr>
      <w:r w:rsidRPr="00B33AA4">
        <w:t xml:space="preserve">Comment les équipes de mission doivent-elles gérer </w:t>
      </w:r>
      <w:r w:rsidR="00F0266B" w:rsidRPr="00B33AA4">
        <w:t xml:space="preserve">le passage à </w:t>
      </w:r>
      <w:r w:rsidRPr="00B33AA4">
        <w:t>un nouveau référentiel d</w:t>
      </w:r>
      <w:r w:rsidR="00865E23" w:rsidRPr="00B33AA4">
        <w:t>’</w:t>
      </w:r>
      <w:r w:rsidRPr="00B33AA4">
        <w:t>information financière?</w:t>
      </w:r>
    </w:p>
    <w:p w14:paraId="4BFF6B76" w14:textId="29DC7767" w:rsidR="00417BE1" w:rsidRPr="00B33AA4" w:rsidRDefault="00417BE1" w:rsidP="00AD36A4">
      <w:pPr>
        <w:pStyle w:val="09Para"/>
      </w:pPr>
      <w:r w:rsidRPr="00B33AA4">
        <w:t>Lorsqu’il s’agit d’auditer les états financiers de la première période complète d’adoption du nouveau référentiel d’information financière, il faut s’assurer que les périodes mentionnées dans</w:t>
      </w:r>
      <w:r w:rsidR="00B60ACB">
        <w:t> </w:t>
      </w:r>
      <w:r w:rsidRPr="00B33AA4">
        <w:t>le premier paragraphe de la lettre d’affirmation de la direction correspondent à toutes les périodes dont il est question dans le rapport de l’auditeur, c’est-à-dire la date de l’état de la situation financière d’ouverture pour la première année de transition et la période présentée à</w:t>
      </w:r>
      <w:r w:rsidR="00941E68">
        <w:t> </w:t>
      </w:r>
      <w:r w:rsidRPr="00B33AA4">
        <w:t>titre comparatif sur lesquelles porte l’opinion (paragraphes</w:t>
      </w:r>
      <w:r w:rsidR="00BB402E" w:rsidRPr="00B33AA4">
        <w:t> </w:t>
      </w:r>
      <w:r w:rsidR="00F87B99" w:rsidRPr="00B33AA4">
        <w:t>9 et </w:t>
      </w:r>
      <w:r w:rsidRPr="00B33AA4">
        <w:t>A1 de la NCA</w:t>
      </w:r>
      <w:r w:rsidR="00BB402E" w:rsidRPr="00B33AA4">
        <w:t> </w:t>
      </w:r>
      <w:r w:rsidRPr="00B33AA4">
        <w:t>710).</w:t>
      </w:r>
    </w:p>
    <w:p w14:paraId="20CA6995" w14:textId="77777777" w:rsidR="00417BE1" w:rsidRPr="00B33AA4" w:rsidRDefault="00417BE1" w:rsidP="00AD36A4">
      <w:pPr>
        <w:pStyle w:val="09Para"/>
      </w:pPr>
      <w:r w:rsidRPr="00B33AA4">
        <w:t>De plus, si un montant pour un élément précis est inscrit (p.</w:t>
      </w:r>
      <w:r w:rsidR="00BB402E" w:rsidRPr="00B33AA4">
        <w:t> </w:t>
      </w:r>
      <w:r w:rsidRPr="00B33AA4">
        <w:t>ex.</w:t>
      </w:r>
      <w:r w:rsidR="00F87B99" w:rsidRPr="00B33AA4">
        <w:t> </w:t>
      </w:r>
      <w:r w:rsidRPr="00B33AA4">
        <w:t xml:space="preserve">les stocks), il faut s’assurer d’inclure également </w:t>
      </w:r>
      <w:r w:rsidR="0002150D" w:rsidRPr="00B33AA4">
        <w:t>le montant comparatif</w:t>
      </w:r>
      <w:r w:rsidRPr="00B33AA4">
        <w:t xml:space="preserve"> et l’exercice comparatif.</w:t>
      </w:r>
    </w:p>
    <w:p w14:paraId="10413932" w14:textId="37EBA27A" w:rsidR="00417BE1" w:rsidRPr="00B33AA4" w:rsidRDefault="00417BE1" w:rsidP="00AD36A4">
      <w:pPr>
        <w:pStyle w:val="09Para"/>
      </w:pPr>
      <w:r w:rsidRPr="00B33AA4">
        <w:t xml:space="preserve">Les équipes de mission doivent également consulter les indications ou les </w:t>
      </w:r>
      <w:r w:rsidR="000D2FB8">
        <w:t>instructions envoyées par les Services d’audit</w:t>
      </w:r>
      <w:r w:rsidRPr="00B33AA4">
        <w:t xml:space="preserve"> </w:t>
      </w:r>
      <w:r w:rsidR="008D5F1D" w:rsidRPr="00B33AA4">
        <w:t>concernant</w:t>
      </w:r>
      <w:r w:rsidRPr="00B33AA4">
        <w:t xml:space="preserve"> le passage à un nouveau référentiel d’information financière.</w:t>
      </w:r>
    </w:p>
    <w:p w14:paraId="313BF241" w14:textId="77777777" w:rsidR="00F22E42" w:rsidRPr="00B33AA4" w:rsidRDefault="00F22E42" w:rsidP="00AD36A4">
      <w:pPr>
        <w:pStyle w:val="Heading4"/>
      </w:pPr>
      <w:r w:rsidRPr="00B33AA4">
        <w:t>Préparation de l</w:t>
      </w:r>
      <w:r w:rsidR="00865E23" w:rsidRPr="00B33AA4">
        <w:t>’</w:t>
      </w:r>
      <w:r w:rsidRPr="00B33AA4">
        <w:t>ébauche de la lettre d</w:t>
      </w:r>
      <w:r w:rsidR="00865E23" w:rsidRPr="00B33AA4">
        <w:t>’</w:t>
      </w:r>
      <w:r w:rsidR="00F87B99" w:rsidRPr="00B33AA4">
        <w:t>affirmation de la direction</w:t>
      </w:r>
    </w:p>
    <w:p w14:paraId="63C97F34" w14:textId="77777777" w:rsidR="00F22E42" w:rsidRPr="00B33AA4" w:rsidRDefault="00F22E42" w:rsidP="000E4CFF">
      <w:pPr>
        <w:pStyle w:val="09ParaBullet1"/>
        <w:rPr>
          <w:b/>
        </w:rPr>
      </w:pPr>
      <w:r w:rsidRPr="00B33AA4">
        <w:t>La lettre d</w:t>
      </w:r>
      <w:r w:rsidR="00865E23" w:rsidRPr="00B33AA4">
        <w:t>’</w:t>
      </w:r>
      <w:r w:rsidRPr="00B33AA4">
        <w:t>affirmation de la direction doit être imprimée sur le papier à en-tête de l</w:t>
      </w:r>
      <w:r w:rsidR="00865E23" w:rsidRPr="00B33AA4">
        <w:t>’</w:t>
      </w:r>
      <w:r w:rsidRPr="00B33AA4">
        <w:t>entité.</w:t>
      </w:r>
    </w:p>
    <w:p w14:paraId="4421D4B1" w14:textId="291CAC76" w:rsidR="00F22E42" w:rsidRPr="009D3150" w:rsidRDefault="00F22E42" w:rsidP="000E4CFF">
      <w:pPr>
        <w:pStyle w:val="09ParaBullet1"/>
      </w:pPr>
      <w:r w:rsidRPr="00B33AA4">
        <w:t xml:space="preserve">Le texte en </w:t>
      </w:r>
      <w:r w:rsidRPr="00B33AA4">
        <w:rPr>
          <w:color w:val="0000FF"/>
        </w:rPr>
        <w:t xml:space="preserve">bleu </w:t>
      </w:r>
      <w:r w:rsidRPr="00B33AA4">
        <w:t>doit être adapté ou supprimé</w:t>
      </w:r>
      <w:r w:rsidR="009001F5" w:rsidRPr="00B33AA4">
        <w:t>,</w:t>
      </w:r>
      <w:r w:rsidRPr="00B33AA4">
        <w:t xml:space="preserve"> s</w:t>
      </w:r>
      <w:r w:rsidR="00865E23" w:rsidRPr="00B33AA4">
        <w:t>’</w:t>
      </w:r>
      <w:r w:rsidRPr="00B33AA4">
        <w:t>il y a lieu</w:t>
      </w:r>
      <w:r w:rsidR="009001F5" w:rsidRPr="00B33AA4">
        <w:t>,</w:t>
      </w:r>
      <w:r w:rsidRPr="00B33AA4">
        <w:t xml:space="preserve"> et le texte en noir doit être modifié seulement selon les instructions données (les instructions sont en </w:t>
      </w:r>
      <w:r w:rsidRPr="00B33AA4">
        <w:rPr>
          <w:i/>
          <w:color w:val="0000FF"/>
        </w:rPr>
        <w:t>bleu et en</w:t>
      </w:r>
      <w:r w:rsidR="00941E68">
        <w:rPr>
          <w:i/>
          <w:color w:val="0000FF"/>
        </w:rPr>
        <w:t> </w:t>
      </w:r>
      <w:r w:rsidRPr="00B33AA4">
        <w:rPr>
          <w:i/>
          <w:color w:val="0000FF"/>
        </w:rPr>
        <w:t>italique</w:t>
      </w:r>
      <w:r w:rsidRPr="00B33AA4">
        <w:t>).</w:t>
      </w:r>
    </w:p>
    <w:p w14:paraId="60E96C3B" w14:textId="044804D1" w:rsidR="00F22E42" w:rsidRPr="00B33AA4" w:rsidRDefault="00F22E42" w:rsidP="000E4CFF">
      <w:pPr>
        <w:pStyle w:val="09ParaBullet1"/>
        <w:rPr>
          <w:b/>
        </w:rPr>
      </w:pPr>
      <w:r w:rsidRPr="00B33AA4">
        <w:t>Chercher (</w:t>
      </w:r>
      <w:proofErr w:type="spellStart"/>
      <w:r w:rsidRPr="00B33AA4">
        <w:t>Ctrl+H</w:t>
      </w:r>
      <w:proofErr w:type="spellEnd"/>
      <w:r w:rsidRPr="00B33AA4">
        <w:t>) le terme [</w:t>
      </w:r>
      <w:r w:rsidRPr="00B33AA4">
        <w:rPr>
          <w:color w:val="3333FF"/>
        </w:rPr>
        <w:t>Entité</w:t>
      </w:r>
      <w:r w:rsidRPr="00B33AA4">
        <w:t>] et le remplacer par la dénomination abrégée de l</w:t>
      </w:r>
      <w:r w:rsidR="00865E23" w:rsidRPr="00B33AA4">
        <w:t>’</w:t>
      </w:r>
      <w:r w:rsidRPr="00B33AA4">
        <w:t>entité qui figure au premier paragraphe de la lettre d</w:t>
      </w:r>
      <w:r w:rsidR="00865E23" w:rsidRPr="00B33AA4">
        <w:t>’</w:t>
      </w:r>
      <w:r w:rsidR="009D3150">
        <w:t>affirmation.</w:t>
      </w:r>
    </w:p>
    <w:p w14:paraId="75E9FCC8" w14:textId="0E8173AF" w:rsidR="00F22E42" w:rsidRPr="00B33AA4" w:rsidRDefault="00F22E42" w:rsidP="000E4CFF">
      <w:pPr>
        <w:pStyle w:val="09ParaBullet1"/>
      </w:pPr>
      <w:r w:rsidRPr="00B33AA4">
        <w:t>Si l</w:t>
      </w:r>
      <w:r w:rsidR="00865E23" w:rsidRPr="00B33AA4">
        <w:t>’</w:t>
      </w:r>
      <w:r w:rsidRPr="00B33AA4">
        <w:t>équipe d</w:t>
      </w:r>
      <w:r w:rsidR="00865E23" w:rsidRPr="00B33AA4">
        <w:t>’</w:t>
      </w:r>
      <w:r w:rsidRPr="00B33AA4">
        <w:t>audit estime nécessaire d</w:t>
      </w:r>
      <w:r w:rsidR="00865E23" w:rsidRPr="00B33AA4">
        <w:t>’</w:t>
      </w:r>
      <w:r w:rsidRPr="00B33AA4">
        <w:t>obtenir d</w:t>
      </w:r>
      <w:r w:rsidR="00865E23" w:rsidRPr="00B33AA4">
        <w:t>’</w:t>
      </w:r>
      <w:r w:rsidRPr="00B33AA4">
        <w:t>« </w:t>
      </w:r>
      <w:r w:rsidRPr="00B33AA4">
        <w:rPr>
          <w:b/>
        </w:rPr>
        <w:t>autres déclarations écrites</w:t>
      </w:r>
      <w:r w:rsidRPr="00B33AA4">
        <w:t> » pour étayer d</w:t>
      </w:r>
      <w:r w:rsidR="00865E23" w:rsidRPr="00B33AA4">
        <w:t>’</w:t>
      </w:r>
      <w:r w:rsidRPr="00B33AA4">
        <w:t>autres éléments probants obtenus (NCA</w:t>
      </w:r>
      <w:r w:rsidR="007A02E7" w:rsidRPr="00B33AA4">
        <w:t> </w:t>
      </w:r>
      <w:r w:rsidRPr="00B33AA4">
        <w:t xml:space="preserve">580.13), elle devrait </w:t>
      </w:r>
      <w:r w:rsidR="009001F5" w:rsidRPr="00B33AA4">
        <w:t xml:space="preserve">en </w:t>
      </w:r>
      <w:r w:rsidRPr="00B33AA4">
        <w:t>discuter avec le responsable de la mission. Si celui</w:t>
      </w:r>
      <w:r w:rsidR="007A02E7" w:rsidRPr="00B33AA4">
        <w:noBreakHyphen/>
      </w:r>
      <w:r w:rsidRPr="00B33AA4">
        <w:t>ci juge</w:t>
      </w:r>
      <w:r w:rsidR="009001F5" w:rsidRPr="00B33AA4">
        <w:t xml:space="preserve"> lui</w:t>
      </w:r>
      <w:r w:rsidRPr="00B33AA4">
        <w:t xml:space="preserve"> aussi que d</w:t>
      </w:r>
      <w:r w:rsidR="00865E23" w:rsidRPr="00B33AA4">
        <w:t>’</w:t>
      </w:r>
      <w:r w:rsidRPr="00B33AA4">
        <w:t>« </w:t>
      </w:r>
      <w:r w:rsidRPr="00B33AA4">
        <w:rPr>
          <w:b/>
        </w:rPr>
        <w:t>autres déclarations écrites</w:t>
      </w:r>
      <w:r w:rsidRPr="00B33AA4">
        <w:t> » sont nécessaires, les auditeurs peuvent se reporter à l</w:t>
      </w:r>
      <w:r w:rsidR="00865E23" w:rsidRPr="00B33AA4">
        <w:t>’</w:t>
      </w:r>
      <w:r w:rsidR="00210EB7" w:rsidRPr="00B33AA4">
        <w:t>a</w:t>
      </w:r>
      <w:r w:rsidR="00D026CC" w:rsidRPr="00B33AA4">
        <w:t>nnexe</w:t>
      </w:r>
      <w:r w:rsidR="007A02E7" w:rsidRPr="00B33AA4">
        <w:t> </w:t>
      </w:r>
      <w:r w:rsidRPr="00B33AA4">
        <w:t xml:space="preserve">1 du présent </w:t>
      </w:r>
      <w:r w:rsidRPr="00B33AA4">
        <w:lastRenderedPageBreak/>
        <w:t>modèle pour consulter le libellé proposé de la lettre d</w:t>
      </w:r>
      <w:r w:rsidR="00865E23" w:rsidRPr="00B33AA4">
        <w:t>’</w:t>
      </w:r>
      <w:r w:rsidRPr="00B33AA4">
        <w:t xml:space="preserve">affirmation. </w:t>
      </w:r>
      <w:r w:rsidRPr="00B33AA4">
        <w:rPr>
          <w:b/>
        </w:rPr>
        <w:t>N</w:t>
      </w:r>
      <w:r w:rsidR="009001F5" w:rsidRPr="00B33AA4">
        <w:rPr>
          <w:b/>
        </w:rPr>
        <w:t>ote</w:t>
      </w:r>
      <w:r w:rsidRPr="00B33AA4">
        <w:rPr>
          <w:b/>
        </w:rPr>
        <w:t> :</w:t>
      </w:r>
      <w:r w:rsidRPr="00B33AA4">
        <w:t xml:space="preserve"> L</w:t>
      </w:r>
      <w:r w:rsidR="00865E23" w:rsidRPr="00B33AA4">
        <w:t>’</w:t>
      </w:r>
      <w:r w:rsidR="00210EB7" w:rsidRPr="00B33AA4">
        <w:t>a</w:t>
      </w:r>
      <w:r w:rsidR="00D026CC" w:rsidRPr="00B33AA4">
        <w:t>nnexe</w:t>
      </w:r>
      <w:r w:rsidR="007A02E7" w:rsidRPr="00B33AA4">
        <w:t> </w:t>
      </w:r>
      <w:r w:rsidRPr="00B33AA4">
        <w:t>1 ne</w:t>
      </w:r>
      <w:r w:rsidR="00B60ACB">
        <w:t> </w:t>
      </w:r>
      <w:r w:rsidRPr="00B33AA4">
        <w:t>doit pas servir de liste de contrôle pour l</w:t>
      </w:r>
      <w:r w:rsidR="00865E23" w:rsidRPr="00B33AA4">
        <w:t>’</w:t>
      </w:r>
      <w:r w:rsidRPr="00B33AA4">
        <w:t>intégration de toutes les déclarations pertinentes possibles.</w:t>
      </w:r>
    </w:p>
    <w:p w14:paraId="2C936D55" w14:textId="400EB20B" w:rsidR="00F22E42" w:rsidRPr="00B33AA4" w:rsidRDefault="00F22E42" w:rsidP="000E4CFF">
      <w:pPr>
        <w:pStyle w:val="09ParaBullet1"/>
        <w:rPr>
          <w:b/>
        </w:rPr>
      </w:pPr>
      <w:r w:rsidRPr="00B33AA4">
        <w:t>L</w:t>
      </w:r>
      <w:r w:rsidR="00865E23" w:rsidRPr="00B33AA4">
        <w:t>’</w:t>
      </w:r>
      <w:r w:rsidRPr="00B33AA4">
        <w:t>équipe de mission doit adapter la section portant sur le destinataire et la signature de</w:t>
      </w:r>
      <w:r w:rsidR="00941E68">
        <w:t> </w:t>
      </w:r>
      <w:r w:rsidRPr="00B33AA4">
        <w:t>la lettre d</w:t>
      </w:r>
      <w:r w:rsidR="00865E23" w:rsidRPr="00B33AA4">
        <w:t>’</w:t>
      </w:r>
      <w:r w:rsidRPr="00B33AA4">
        <w:t>affirmation en fonction des caractéristiques de la mission.</w:t>
      </w:r>
    </w:p>
    <w:p w14:paraId="2ED62647" w14:textId="77777777" w:rsidR="00F22E42" w:rsidRPr="00B33AA4" w:rsidRDefault="00F22E42" w:rsidP="000E4CFF">
      <w:pPr>
        <w:pStyle w:val="09ParaBullet1"/>
        <w:rPr>
          <w:b/>
        </w:rPr>
      </w:pPr>
      <w:r w:rsidRPr="00B33AA4">
        <w:t>Remplir le Sommaire des anomalies non corrigées (SANC) à l</w:t>
      </w:r>
      <w:r w:rsidR="00865E23" w:rsidRPr="00B33AA4">
        <w:t>’</w:t>
      </w:r>
      <w:r w:rsidR="006C2513" w:rsidRPr="00B33AA4">
        <w:t>a</w:t>
      </w:r>
      <w:r w:rsidRPr="00B33AA4">
        <w:t>nnexe</w:t>
      </w:r>
      <w:r w:rsidR="007A02E7" w:rsidRPr="00B33AA4">
        <w:t> </w:t>
      </w:r>
      <w:r w:rsidRPr="00B33AA4">
        <w:t>A du présent modèle de lettre d</w:t>
      </w:r>
      <w:r w:rsidR="00865E23" w:rsidRPr="00B33AA4">
        <w:t>’</w:t>
      </w:r>
      <w:r w:rsidRPr="00B33AA4">
        <w:t>affirmation. L</w:t>
      </w:r>
      <w:r w:rsidR="00865E23" w:rsidRPr="00B33AA4">
        <w:t>’</w:t>
      </w:r>
      <w:r w:rsidRPr="00B33AA4">
        <w:t>équipe d</w:t>
      </w:r>
      <w:r w:rsidR="00865E23" w:rsidRPr="00B33AA4">
        <w:t>’</w:t>
      </w:r>
      <w:r w:rsidRPr="00B33AA4">
        <w:t>audit peut aussi remplir le Sommaire des anomalies corrigées (SAC) à l</w:t>
      </w:r>
      <w:r w:rsidR="00865E23" w:rsidRPr="00B33AA4">
        <w:t>’</w:t>
      </w:r>
      <w:r w:rsidR="006C2513" w:rsidRPr="00B33AA4">
        <w:t>a</w:t>
      </w:r>
      <w:r w:rsidRPr="00B33AA4">
        <w:t>nnexe</w:t>
      </w:r>
      <w:r w:rsidR="007A02E7" w:rsidRPr="00B33AA4">
        <w:t> </w:t>
      </w:r>
      <w:r w:rsidRPr="00B33AA4">
        <w:t>B</w:t>
      </w:r>
      <w:r w:rsidR="00762734" w:rsidRPr="00B33AA4">
        <w:t>.</w:t>
      </w:r>
    </w:p>
    <w:p w14:paraId="688747CF" w14:textId="77777777" w:rsidR="00F22E42" w:rsidRPr="009D3150" w:rsidRDefault="00F22E42" w:rsidP="000E4CFF">
      <w:pPr>
        <w:pStyle w:val="09ParaBullet1"/>
      </w:pPr>
      <w:r w:rsidRPr="00B33AA4">
        <w:t>Le document ne contient aucun saut de page obligatoire. Au besoin, insérer des sauts de page après avoir adapté la lettre.</w:t>
      </w:r>
    </w:p>
    <w:p w14:paraId="28DABE1F" w14:textId="77777777" w:rsidR="00F22E42" w:rsidRPr="009D3150" w:rsidRDefault="00F22E42" w:rsidP="000E4CFF">
      <w:pPr>
        <w:pStyle w:val="09ParaBullet1"/>
      </w:pPr>
      <w:r w:rsidRPr="00B33AA4">
        <w:t>Les paragraphes ne sont pas numérotés dans le modèle. Les équipes de mission peuvent décider de les numéroter.</w:t>
      </w:r>
    </w:p>
    <w:p w14:paraId="6ABC70A5" w14:textId="77777777" w:rsidR="00F22E42" w:rsidRPr="009D3150" w:rsidRDefault="00F22E42" w:rsidP="000E4CFF">
      <w:pPr>
        <w:pStyle w:val="09ParaBullet1"/>
      </w:pPr>
      <w:r w:rsidRPr="00B33AA4">
        <w:t>S</w:t>
      </w:r>
      <w:r w:rsidR="00865E23" w:rsidRPr="00B33AA4">
        <w:t>’</w:t>
      </w:r>
      <w:r w:rsidRPr="00B33AA4">
        <w:t>assurer d</w:t>
      </w:r>
      <w:r w:rsidR="00865E23" w:rsidRPr="00B33AA4">
        <w:t>’</w:t>
      </w:r>
      <w:r w:rsidRPr="00B33AA4">
        <w:t>enlever les éléments suivants avant de transmettre l</w:t>
      </w:r>
      <w:r w:rsidR="00865E23" w:rsidRPr="00B33AA4">
        <w:t>’</w:t>
      </w:r>
      <w:r w:rsidRPr="00B33AA4">
        <w:t>ébauche finale à l</w:t>
      </w:r>
      <w:r w:rsidR="00865E23" w:rsidRPr="00B33AA4">
        <w:t>’</w:t>
      </w:r>
      <w:r w:rsidRPr="00B33AA4">
        <w:t>entité :</w:t>
      </w:r>
    </w:p>
    <w:p w14:paraId="5A3A4B6C" w14:textId="01588EFF" w:rsidR="00F22E42" w:rsidRPr="009D3150" w:rsidRDefault="00F22E42" w:rsidP="00700075">
      <w:pPr>
        <w:numPr>
          <w:ilvl w:val="0"/>
          <w:numId w:val="1"/>
        </w:numPr>
        <w:spacing w:after="120" w:line="120" w:lineRule="atLeast"/>
        <w:rPr>
          <w:szCs w:val="24"/>
          <w:lang w:val="fr-CA"/>
        </w:rPr>
      </w:pPr>
      <w:r w:rsidRPr="00B33AA4">
        <w:rPr>
          <w:szCs w:val="24"/>
          <w:lang w:val="fr-CA"/>
        </w:rPr>
        <w:t xml:space="preserve">les instructions qui précèdent la </w:t>
      </w:r>
      <w:r w:rsidR="00D026CC" w:rsidRPr="00B33AA4">
        <w:rPr>
          <w:szCs w:val="24"/>
          <w:lang w:val="fr-CA"/>
        </w:rPr>
        <w:t>page</w:t>
      </w:r>
      <w:r w:rsidR="007A02E7" w:rsidRPr="00B33AA4">
        <w:rPr>
          <w:szCs w:val="24"/>
          <w:lang w:val="fr-CA"/>
        </w:rPr>
        <w:t> </w:t>
      </w:r>
      <w:r w:rsidRPr="00B33AA4">
        <w:rPr>
          <w:szCs w:val="24"/>
          <w:lang w:val="fr-CA"/>
        </w:rPr>
        <w:t>1 de la lettre d</w:t>
      </w:r>
      <w:r w:rsidR="00865E23" w:rsidRPr="00B33AA4">
        <w:rPr>
          <w:szCs w:val="24"/>
          <w:lang w:val="fr-CA"/>
        </w:rPr>
        <w:t>’</w:t>
      </w:r>
      <w:r w:rsidRPr="00B33AA4">
        <w:rPr>
          <w:szCs w:val="24"/>
          <w:lang w:val="fr-CA"/>
        </w:rPr>
        <w:t>affirmation, y compris la section</w:t>
      </w:r>
      <w:r w:rsidR="00B60ACB">
        <w:rPr>
          <w:szCs w:val="24"/>
          <w:lang w:val="fr-CA"/>
        </w:rPr>
        <w:t> </w:t>
      </w:r>
      <w:r w:rsidRPr="00B33AA4">
        <w:rPr>
          <w:szCs w:val="24"/>
          <w:lang w:val="fr-CA"/>
        </w:rPr>
        <w:t>Questions et réponses;</w:t>
      </w:r>
    </w:p>
    <w:p w14:paraId="096C5424" w14:textId="77777777" w:rsidR="00F22E42" w:rsidRPr="009D3150" w:rsidRDefault="00F22E42" w:rsidP="00700075">
      <w:pPr>
        <w:numPr>
          <w:ilvl w:val="0"/>
          <w:numId w:val="1"/>
        </w:numPr>
        <w:spacing w:after="120" w:line="120" w:lineRule="atLeast"/>
        <w:rPr>
          <w:szCs w:val="24"/>
          <w:lang w:val="fr-CA"/>
        </w:rPr>
      </w:pPr>
      <w:r w:rsidRPr="00B33AA4">
        <w:rPr>
          <w:szCs w:val="24"/>
          <w:lang w:val="fr-CA"/>
        </w:rPr>
        <w:t xml:space="preserve">le texte entre </w:t>
      </w:r>
      <w:r w:rsidR="00EA42DD" w:rsidRPr="00B33AA4">
        <w:rPr>
          <w:lang w:val="fr-CA"/>
        </w:rPr>
        <w:t>[</w:t>
      </w:r>
      <w:r w:rsidR="00EA42DD" w:rsidRPr="00B33AA4">
        <w:rPr>
          <w:color w:val="0000FF"/>
          <w:lang w:val="fr-CA"/>
        </w:rPr>
        <w:t>c</w:t>
      </w:r>
      <w:r w:rsidRPr="00B33AA4">
        <w:rPr>
          <w:color w:val="0000FF"/>
          <w:lang w:val="fr-CA"/>
        </w:rPr>
        <w:t>rochet</w:t>
      </w:r>
      <w:r w:rsidR="00EA42DD" w:rsidRPr="00B33AA4">
        <w:rPr>
          <w:color w:val="0000FF"/>
          <w:lang w:val="fr-CA"/>
        </w:rPr>
        <w:t>s</w:t>
      </w:r>
      <w:r w:rsidR="00EA42DD" w:rsidRPr="00B33AA4">
        <w:rPr>
          <w:lang w:val="fr-CA"/>
        </w:rPr>
        <w:t>]</w:t>
      </w:r>
      <w:r w:rsidRPr="00B33AA4">
        <w:rPr>
          <w:szCs w:val="24"/>
          <w:lang w:val="fr-CA"/>
        </w:rPr>
        <w:t>;</w:t>
      </w:r>
    </w:p>
    <w:p w14:paraId="1BE49DC1" w14:textId="77777777" w:rsidR="00F22E42" w:rsidRPr="009D3150" w:rsidRDefault="00F22E42" w:rsidP="00700075">
      <w:pPr>
        <w:numPr>
          <w:ilvl w:val="0"/>
          <w:numId w:val="1"/>
        </w:numPr>
        <w:spacing w:after="120" w:line="120" w:lineRule="atLeast"/>
        <w:rPr>
          <w:szCs w:val="24"/>
          <w:lang w:val="fr-CA"/>
        </w:rPr>
      </w:pPr>
      <w:r w:rsidRPr="00B33AA4">
        <w:rPr>
          <w:color w:val="0000FF"/>
          <w:szCs w:val="24"/>
          <w:lang w:val="fr-CA"/>
        </w:rPr>
        <w:t xml:space="preserve">le texte en </w:t>
      </w:r>
      <w:r w:rsidRPr="00B33AA4">
        <w:rPr>
          <w:color w:val="0000FF"/>
          <w:lang w:val="fr-CA"/>
        </w:rPr>
        <w:t>bleu</w:t>
      </w:r>
      <w:r w:rsidRPr="00B33AA4">
        <w:rPr>
          <w:szCs w:val="24"/>
          <w:lang w:val="fr-CA"/>
        </w:rPr>
        <w:t>;</w:t>
      </w:r>
    </w:p>
    <w:p w14:paraId="2C84C331" w14:textId="77777777" w:rsidR="00F22E42" w:rsidRPr="009D3150" w:rsidRDefault="00F22E42" w:rsidP="00700075">
      <w:pPr>
        <w:numPr>
          <w:ilvl w:val="0"/>
          <w:numId w:val="1"/>
        </w:numPr>
        <w:spacing w:after="120" w:line="120" w:lineRule="atLeast"/>
        <w:rPr>
          <w:szCs w:val="24"/>
          <w:lang w:val="fr-CA"/>
        </w:rPr>
      </w:pPr>
      <w:r w:rsidRPr="00B33AA4">
        <w:rPr>
          <w:lang w:val="fr-CA"/>
        </w:rPr>
        <w:t>les notes de bas de page;</w:t>
      </w:r>
    </w:p>
    <w:p w14:paraId="7C40EC9D" w14:textId="77777777" w:rsidR="00F22E42" w:rsidRPr="009D3150" w:rsidRDefault="00F22E42" w:rsidP="00700075">
      <w:pPr>
        <w:numPr>
          <w:ilvl w:val="0"/>
          <w:numId w:val="1"/>
        </w:numPr>
        <w:spacing w:after="120" w:line="120" w:lineRule="atLeast"/>
        <w:rPr>
          <w:szCs w:val="24"/>
          <w:lang w:val="fr-CA"/>
        </w:rPr>
      </w:pPr>
      <w:r w:rsidRPr="00B33AA4">
        <w:rPr>
          <w:szCs w:val="24"/>
          <w:lang w:val="fr-CA"/>
        </w:rPr>
        <w:t>l</w:t>
      </w:r>
      <w:r w:rsidR="00865E23" w:rsidRPr="00B33AA4">
        <w:rPr>
          <w:szCs w:val="24"/>
          <w:lang w:val="fr-CA"/>
        </w:rPr>
        <w:t>’</w:t>
      </w:r>
      <w:r w:rsidR="00210EB7" w:rsidRPr="00B33AA4">
        <w:rPr>
          <w:szCs w:val="24"/>
          <w:lang w:val="fr-CA"/>
        </w:rPr>
        <w:t>a</w:t>
      </w:r>
      <w:r w:rsidR="00D026CC" w:rsidRPr="00B33AA4">
        <w:rPr>
          <w:szCs w:val="24"/>
          <w:lang w:val="fr-CA"/>
        </w:rPr>
        <w:t>nnexe</w:t>
      </w:r>
      <w:r w:rsidR="007A02E7" w:rsidRPr="00B33AA4">
        <w:rPr>
          <w:szCs w:val="24"/>
          <w:lang w:val="fr-CA"/>
        </w:rPr>
        <w:t> </w:t>
      </w:r>
      <w:r w:rsidRPr="00B33AA4">
        <w:rPr>
          <w:szCs w:val="24"/>
          <w:lang w:val="fr-CA"/>
        </w:rPr>
        <w:t>1.</w:t>
      </w:r>
    </w:p>
    <w:p w14:paraId="61C23D9E" w14:textId="77777777" w:rsidR="00F22E42" w:rsidRPr="00B33AA4" w:rsidRDefault="00F20FE3" w:rsidP="00F20FE3">
      <w:pPr>
        <w:pStyle w:val="Heading4"/>
      </w:pPr>
      <w:r w:rsidRPr="00B33AA4">
        <w:t>Autres instructions</w:t>
      </w:r>
    </w:p>
    <w:p w14:paraId="73C2B687" w14:textId="77777777" w:rsidR="00F22E42" w:rsidRPr="00B33AA4" w:rsidRDefault="00F22E42" w:rsidP="00F20FE3">
      <w:pPr>
        <w:pStyle w:val="09Para"/>
      </w:pPr>
      <w:r w:rsidRPr="00B33AA4">
        <w:t>L</w:t>
      </w:r>
      <w:r w:rsidR="00A33603" w:rsidRPr="00B33AA4">
        <w:t>e sous</w:t>
      </w:r>
      <w:r w:rsidR="00A33603" w:rsidRPr="00B33AA4">
        <w:noBreakHyphen/>
      </w:r>
      <w:r w:rsidRPr="00B33AA4">
        <w:t>alinéa</w:t>
      </w:r>
      <w:r w:rsidR="007A02E7" w:rsidRPr="00B33AA4">
        <w:t> </w:t>
      </w:r>
      <w:r w:rsidRPr="00B33AA4">
        <w:t>16</w:t>
      </w:r>
      <w:r w:rsidR="007A02E7" w:rsidRPr="00B33AA4">
        <w:t> </w:t>
      </w:r>
      <w:r w:rsidRPr="00B33AA4">
        <w:t>c)ii) de la NCA</w:t>
      </w:r>
      <w:r w:rsidR="007A02E7" w:rsidRPr="00B33AA4">
        <w:t> </w:t>
      </w:r>
      <w:r w:rsidRPr="00B33AA4">
        <w:t>260 exige que l</w:t>
      </w:r>
      <w:r w:rsidR="00865E23" w:rsidRPr="00B33AA4">
        <w:t>’</w:t>
      </w:r>
      <w:r w:rsidRPr="00B33AA4">
        <w:t>auditeur communique aux responsables de la gouvernance les déclarations écrites qu</w:t>
      </w:r>
      <w:r w:rsidR="00865E23" w:rsidRPr="00B33AA4">
        <w:t>’</w:t>
      </w:r>
      <w:r w:rsidRPr="00B33AA4">
        <w:t>il a demandé à la direction de lui fournir. Une copie (de l</w:t>
      </w:r>
      <w:r w:rsidR="00865E23" w:rsidRPr="00B33AA4">
        <w:t>’</w:t>
      </w:r>
      <w:r w:rsidRPr="00B33AA4">
        <w:t xml:space="preserve">ébauche ou de la version définitive) de la lettre doit donc être jointe au </w:t>
      </w:r>
      <w:r w:rsidRPr="00B33AA4">
        <w:rPr>
          <w:i/>
        </w:rPr>
        <w:t>Rapport au Comité de vérification – Résultats de l</w:t>
      </w:r>
      <w:r w:rsidR="00865E23" w:rsidRPr="00B33AA4">
        <w:rPr>
          <w:i/>
        </w:rPr>
        <w:t>’</w:t>
      </w:r>
      <w:r w:rsidRPr="00B33AA4">
        <w:rPr>
          <w:i/>
        </w:rPr>
        <w:t>audit annuel</w:t>
      </w:r>
      <w:r w:rsidRPr="00B33AA4">
        <w:t>.</w:t>
      </w:r>
    </w:p>
    <w:p w14:paraId="0FE15AF9" w14:textId="77777777" w:rsidR="00F20FE3" w:rsidRPr="00B33AA4" w:rsidRDefault="00F20FE3" w:rsidP="00F20FE3">
      <w:pPr>
        <w:pStyle w:val="09Para"/>
      </w:pPr>
    </w:p>
    <w:p w14:paraId="536BB4BC" w14:textId="77777777" w:rsidR="00B06A8A" w:rsidRPr="00B33AA4" w:rsidRDefault="00B06A8A" w:rsidP="00B06A8A">
      <w:pPr>
        <w:rPr>
          <w:rFonts w:ascii="Georgia" w:hAnsi="Georgia" w:cs="Arial"/>
          <w:color w:val="FF0000"/>
          <w:lang w:val="fr-CA"/>
        </w:rPr>
        <w:sectPr w:rsidR="00B06A8A" w:rsidRPr="00B33AA4" w:rsidSect="007E40B4">
          <w:headerReference w:type="default" r:id="rId8"/>
          <w:footerReference w:type="even" r:id="rId9"/>
          <w:footerReference w:type="default" r:id="rId10"/>
          <w:headerReference w:type="first" r:id="rId11"/>
          <w:footerReference w:type="first" r:id="rId12"/>
          <w:pgSz w:w="12240" w:h="15840" w:code="1"/>
          <w:pgMar w:top="1440" w:right="1440" w:bottom="1152" w:left="1440" w:header="562" w:footer="677" w:gutter="0"/>
          <w:cols w:space="720"/>
          <w:titlePg/>
          <w:docGrid w:linePitch="360"/>
        </w:sectPr>
      </w:pPr>
    </w:p>
    <w:p w14:paraId="66016590" w14:textId="77777777" w:rsidR="00341C65" w:rsidRPr="00B33AA4" w:rsidRDefault="00F20FE3" w:rsidP="00F20FE3">
      <w:pPr>
        <w:pStyle w:val="Heading2"/>
      </w:pPr>
      <w:r w:rsidRPr="00B33AA4">
        <w:rPr>
          <w:noProof/>
          <w:lang w:val="en-CA" w:eastAsia="en-CA"/>
        </w:rPr>
        <w:lastRenderedPageBreak/>
        <mc:AlternateContent>
          <mc:Choice Requires="wps">
            <w:drawing>
              <wp:anchor distT="0" distB="0" distL="114300" distR="114300" simplePos="0" relativeHeight="251661312" behindDoc="0" locked="0" layoutInCell="1" allowOverlap="1" wp14:anchorId="5F140071" wp14:editId="1D61DE52">
                <wp:simplePos x="0" y="0"/>
                <wp:positionH relativeFrom="column">
                  <wp:posOffset>-2540</wp:posOffset>
                </wp:positionH>
                <wp:positionV relativeFrom="paragraph">
                  <wp:posOffset>-512307</wp:posOffset>
                </wp:positionV>
                <wp:extent cx="20955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E2096" w14:textId="77777777" w:rsidR="00AE2CEF" w:rsidRPr="009A0A87" w:rsidRDefault="00AE2CEF" w:rsidP="00F20FE3">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IFRS</w:t>
                            </w:r>
                          </w:p>
                          <w:p w14:paraId="61D4E2F2" w14:textId="1D37E466" w:rsidR="00AE2CEF" w:rsidRPr="009A0A87" w:rsidRDefault="00AE2CEF" w:rsidP="00F20FE3">
                            <w:pPr>
                              <w:ind w:right="-720"/>
                              <w:rPr>
                                <w:rFonts w:cs="Arial"/>
                                <w:sz w:val="16"/>
                                <w:szCs w:val="16"/>
                                <w:lang w:val="fr-CA"/>
                              </w:rPr>
                            </w:pPr>
                            <w:r>
                              <w:rPr>
                                <w:rFonts w:cs="Arial"/>
                                <w:sz w:val="16"/>
                                <w:szCs w:val="16"/>
                                <w:lang w:val="fr-CA"/>
                              </w:rPr>
                              <w:t>oct.-2023</w:t>
                            </w:r>
                          </w:p>
                          <w:p w14:paraId="3F13508E" w14:textId="71D3AAE0" w:rsidR="00AE2CEF" w:rsidRPr="009A0A87" w:rsidRDefault="00AE2CEF" w:rsidP="00F20FE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63062DFA" w14:textId="6B885D3D" w:rsidR="00AE2CEF" w:rsidRPr="009A0A87" w:rsidRDefault="00AE2CEF" w:rsidP="00F20FE3">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Éditique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0071" id="Text Box 1" o:spid="_x0000_s1027" type="#_x0000_t202" style="position:absolute;margin-left:-.2pt;margin-top:-40.35pt;width:16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" fillcolor="#f2f2f2 [3052]" stroked="f" strokeweight=".5pt">
                <v:textbox>
                  <w:txbxContent>
                    <w:p w14:paraId="1F1E2096" w14:textId="77777777" w:rsidR="00AE2CEF" w:rsidRPr="009A0A87" w:rsidRDefault="00AE2CEF" w:rsidP="00F20FE3">
                      <w:pPr>
                        <w:tabs>
                          <w:tab w:val="left" w:pos="5860"/>
                        </w:tabs>
                        <w:ind w:right="-720"/>
                        <w:rPr>
                          <w:rFonts w:cs="Arial"/>
                          <w:sz w:val="16"/>
                          <w:szCs w:val="16"/>
                          <w:lang w:val="fr-CA"/>
                        </w:rPr>
                      </w:pPr>
                      <w:r w:rsidRPr="009A0A87">
                        <w:rPr>
                          <w:rFonts w:cs="Arial"/>
                          <w:sz w:val="16"/>
                          <w:szCs w:val="16"/>
                          <w:lang w:val="fr-CA"/>
                        </w:rPr>
                        <w:t>Lettre d’affirmation de la direction</w:t>
                      </w:r>
                      <w:r>
                        <w:rPr>
                          <w:rFonts w:cs="Arial"/>
                          <w:sz w:val="16"/>
                          <w:szCs w:val="16"/>
                          <w:lang w:val="fr-CA"/>
                        </w:rPr>
                        <w:t xml:space="preserve"> — IFRS</w:t>
                      </w:r>
                    </w:p>
                    <w:p w14:paraId="61D4E2F2" w14:textId="1D37E466" w:rsidR="00AE2CEF" w:rsidRPr="009A0A87" w:rsidRDefault="00AE2CEF" w:rsidP="00F20FE3">
                      <w:pPr>
                        <w:ind w:right="-720"/>
                        <w:rPr>
                          <w:rFonts w:cs="Arial"/>
                          <w:sz w:val="16"/>
                          <w:szCs w:val="16"/>
                          <w:lang w:val="fr-CA"/>
                        </w:rPr>
                      </w:pPr>
                      <w:r>
                        <w:rPr>
                          <w:rFonts w:cs="Arial"/>
                          <w:sz w:val="16"/>
                          <w:szCs w:val="16"/>
                          <w:lang w:val="fr-CA"/>
                        </w:rPr>
                        <w:t>oct.-2023</w:t>
                      </w:r>
                    </w:p>
                    <w:p w14:paraId="3F13508E" w14:textId="71D3AAE0" w:rsidR="00AE2CEF" w:rsidRPr="009A0A87" w:rsidRDefault="00AE2CEF" w:rsidP="00F20FE3">
                      <w:pPr>
                        <w:ind w:right="-720"/>
                        <w:rPr>
                          <w:rFonts w:cs="Arial"/>
                          <w:sz w:val="16"/>
                          <w:szCs w:val="16"/>
                          <w:lang w:val="fr-CA"/>
                        </w:rPr>
                      </w:pPr>
                      <w:r w:rsidRPr="009A0A87">
                        <w:rPr>
                          <w:rFonts w:cs="Arial"/>
                          <w:sz w:val="16"/>
                          <w:szCs w:val="16"/>
                          <w:lang w:val="fr-CA"/>
                        </w:rPr>
                        <w:t xml:space="preserve">Propriétaire du modèle : </w:t>
                      </w:r>
                      <w:r>
                        <w:rPr>
                          <w:rFonts w:cs="Arial"/>
                          <w:sz w:val="16"/>
                          <w:szCs w:val="16"/>
                          <w:lang w:val="fr-CA"/>
                        </w:rPr>
                        <w:t>Services d’audit</w:t>
                      </w:r>
                    </w:p>
                    <w:p w14:paraId="63062DFA" w14:textId="6B885D3D" w:rsidR="00AE2CEF" w:rsidRPr="009A0A87" w:rsidRDefault="00AE2CEF" w:rsidP="00F20FE3">
                      <w:pPr>
                        <w:ind w:right="-720"/>
                        <w:rPr>
                          <w:rFonts w:cs="Arial"/>
                          <w:sz w:val="16"/>
                          <w:szCs w:val="16"/>
                          <w:lang w:val="fr-CA"/>
                        </w:rPr>
                      </w:pPr>
                      <w:r w:rsidRPr="00C34579">
                        <w:rPr>
                          <w:rFonts w:cs="Arial"/>
                          <w:sz w:val="16"/>
                          <w:szCs w:val="16"/>
                          <w:lang w:val="fr-CA"/>
                        </w:rPr>
                        <w:t>Mis en page</w:t>
                      </w:r>
                      <w:r w:rsidRPr="009A0A87">
                        <w:rPr>
                          <w:rFonts w:cs="Arial"/>
                          <w:sz w:val="16"/>
                          <w:szCs w:val="16"/>
                          <w:lang w:val="fr-CA"/>
                        </w:rPr>
                        <w:t xml:space="preserve"> par : </w:t>
                      </w:r>
                      <w:r>
                        <w:rPr>
                          <w:rFonts w:cs="Arial"/>
                          <w:sz w:val="16"/>
                          <w:szCs w:val="16"/>
                          <w:lang w:val="fr-CA"/>
                        </w:rPr>
                        <w:t>Éditique</w:t>
                      </w:r>
                    </w:p>
                  </w:txbxContent>
                </v:textbox>
              </v:shape>
            </w:pict>
          </mc:Fallback>
        </mc:AlternateContent>
      </w:r>
      <w:r w:rsidR="009001F5" w:rsidRPr="00B33AA4">
        <w:t>[</w:t>
      </w:r>
      <w:r w:rsidR="00341C65" w:rsidRPr="00B33AA4">
        <w:rPr>
          <w:color w:val="0000FF"/>
        </w:rPr>
        <w:t>Papier à en-tête de l</w:t>
      </w:r>
      <w:r w:rsidR="00865E23" w:rsidRPr="00B33AA4">
        <w:rPr>
          <w:color w:val="0000FF"/>
        </w:rPr>
        <w:t>’</w:t>
      </w:r>
      <w:r w:rsidR="00341C65" w:rsidRPr="00B33AA4">
        <w:rPr>
          <w:color w:val="0000FF"/>
        </w:rPr>
        <w:t>entité</w:t>
      </w:r>
      <w:r w:rsidR="00341C65" w:rsidRPr="00B33AA4">
        <w:t>]</w:t>
      </w:r>
    </w:p>
    <w:p w14:paraId="5EA23A46" w14:textId="77777777" w:rsidR="00341C65" w:rsidRPr="00B33AA4" w:rsidRDefault="00341C65" w:rsidP="00F20FE3">
      <w:pPr>
        <w:pStyle w:val="03Date"/>
      </w:pPr>
      <w:r w:rsidRPr="00B33AA4">
        <w:t>[</w:t>
      </w:r>
      <w:r w:rsidRPr="00B33AA4">
        <w:rPr>
          <w:color w:val="0000FF"/>
        </w:rPr>
        <w:t>Date</w:t>
      </w:r>
      <w:r w:rsidRPr="00B33AA4">
        <w:t>]</w:t>
      </w:r>
      <w:r w:rsidRPr="00B33AA4">
        <w:rPr>
          <w:color w:val="0000FF"/>
          <w:vertAlign w:val="superscript"/>
        </w:rPr>
        <w:footnoteReference w:id="1"/>
      </w:r>
    </w:p>
    <w:p w14:paraId="10A27E07" w14:textId="77777777" w:rsidR="00B06A8A" w:rsidRPr="009D3150" w:rsidRDefault="00341C65" w:rsidP="00F20FE3">
      <w:pPr>
        <w:pStyle w:val="04Vedette"/>
        <w:rPr>
          <w:rFonts w:cs="Arial"/>
          <w:sz w:val="24"/>
          <w:szCs w:val="24"/>
        </w:rPr>
      </w:pPr>
      <w:r w:rsidRPr="00B33AA4">
        <w:t>[</w:t>
      </w:r>
      <w:r w:rsidRPr="00B33AA4">
        <w:rPr>
          <w:color w:val="0000FF"/>
        </w:rPr>
        <w:t>Nom du responsable de mission</w:t>
      </w:r>
      <w:r w:rsidRPr="00B33AA4">
        <w:t>]</w:t>
      </w:r>
      <w:r w:rsidR="00F20FE3" w:rsidRPr="00B33AA4">
        <w:br/>
      </w:r>
      <w:r w:rsidRPr="00B33AA4">
        <w:t>Bureau du vérificateur général du Canada</w:t>
      </w:r>
      <w:r w:rsidR="00F20FE3" w:rsidRPr="00B33AA4">
        <w:br/>
      </w:r>
      <w:r w:rsidRPr="00B33AA4">
        <w:t>240, rue Sparks</w:t>
      </w:r>
      <w:r w:rsidR="00F20FE3" w:rsidRPr="00B33AA4">
        <w:br/>
      </w:r>
      <w:r w:rsidRPr="00B33AA4">
        <w:t>Ottawa (Ontario)</w:t>
      </w:r>
      <w:r w:rsidR="00F20FE3" w:rsidRPr="00B33AA4">
        <w:t>  </w:t>
      </w:r>
      <w:r w:rsidR="00D026CC" w:rsidRPr="00B33AA4">
        <w:t>K1A 0G6</w:t>
      </w:r>
      <w:r w:rsidR="00F20FE3" w:rsidRPr="00B33AA4">
        <w:br/>
      </w:r>
      <w:r w:rsidRPr="00B33AA4">
        <w:t>[</w:t>
      </w:r>
      <w:r w:rsidR="009D77B9" w:rsidRPr="00B33AA4">
        <w:rPr>
          <w:color w:val="0000FF"/>
        </w:rPr>
        <w:t>ou</w:t>
      </w:r>
      <w:r w:rsidRPr="00B33AA4">
        <w:rPr>
          <w:color w:val="0000FF"/>
        </w:rPr>
        <w:t xml:space="preserve"> adresse du bureau régional</w:t>
      </w:r>
      <w:r w:rsidRPr="00B33AA4">
        <w:t>]</w:t>
      </w:r>
    </w:p>
    <w:p w14:paraId="44C989EA" w14:textId="17F53A04" w:rsidR="00AA4392" w:rsidRPr="00B33AA4" w:rsidRDefault="002B43CB" w:rsidP="00F20FE3">
      <w:pPr>
        <w:pStyle w:val="09Para"/>
      </w:pPr>
      <w:r w:rsidRPr="00B33AA4">
        <w:rPr>
          <w:rFonts w:eastAsia="SimSun"/>
        </w:rPr>
        <w:t>La présente lettre vous est fournie relativement à votre audit des états financiers [</w:t>
      </w:r>
      <w:r w:rsidRPr="00B33AA4">
        <w:rPr>
          <w:rFonts w:eastAsia="SimSun"/>
          <w:color w:val="0000FF"/>
        </w:rPr>
        <w:t>consolidés</w:t>
      </w:r>
      <w:r w:rsidRPr="00B33AA4">
        <w:rPr>
          <w:rFonts w:eastAsia="SimSun"/>
        </w:rPr>
        <w:t>] de [</w:t>
      </w:r>
      <w:r w:rsidRPr="00B33AA4">
        <w:rPr>
          <w:rFonts w:eastAsia="SimSun"/>
          <w:i/>
          <w:color w:val="0000FF"/>
        </w:rPr>
        <w:t>indiquer le nom complet de l</w:t>
      </w:r>
      <w:r w:rsidR="00865E23" w:rsidRPr="00B33AA4">
        <w:rPr>
          <w:rFonts w:eastAsia="SimSun"/>
          <w:i/>
          <w:color w:val="0000FF"/>
        </w:rPr>
        <w:t>’</w:t>
      </w:r>
      <w:r w:rsidRPr="00B33AA4">
        <w:rPr>
          <w:rFonts w:eastAsia="SimSun"/>
          <w:i/>
          <w:color w:val="0000FF"/>
        </w:rPr>
        <w:t>entité, suivi de sa dénomination abrégée entre parenthèses. Cette dernière remplacera le terme</w:t>
      </w:r>
      <w:r w:rsidRPr="00B33AA4">
        <w:rPr>
          <w:rFonts w:eastAsia="SimSun"/>
        </w:rPr>
        <w:t xml:space="preserve"> [</w:t>
      </w:r>
      <w:r w:rsidRPr="00B33AA4">
        <w:rPr>
          <w:rFonts w:eastAsia="SimSun"/>
          <w:i/>
          <w:color w:val="0000FF"/>
        </w:rPr>
        <w:t>Entité</w:t>
      </w:r>
      <w:r w:rsidRPr="00B33AA4">
        <w:rPr>
          <w:rFonts w:eastAsia="SimSun"/>
        </w:rPr>
        <w:t xml:space="preserve">] </w:t>
      </w:r>
      <w:r w:rsidRPr="00B33AA4">
        <w:rPr>
          <w:rFonts w:eastAsia="SimSun"/>
          <w:i/>
          <w:color w:val="0000FF"/>
        </w:rPr>
        <w:t>partout où il apparaît dans le présent modèle</w:t>
      </w:r>
      <w:r w:rsidRPr="00B33AA4">
        <w:rPr>
          <w:rFonts w:eastAsia="SimSun"/>
        </w:rPr>
        <w:t>] [</w:t>
      </w:r>
      <w:r w:rsidRPr="00B33AA4">
        <w:rPr>
          <w:rFonts w:eastAsia="SimSun"/>
          <w:color w:val="0000FF"/>
        </w:rPr>
        <w:t xml:space="preserve">et </w:t>
      </w:r>
      <w:r w:rsidR="009001F5" w:rsidRPr="00B33AA4">
        <w:rPr>
          <w:rFonts w:eastAsia="SimSun"/>
          <w:color w:val="0000FF"/>
        </w:rPr>
        <w:t xml:space="preserve">de </w:t>
      </w:r>
      <w:r w:rsidRPr="00B33AA4">
        <w:rPr>
          <w:rFonts w:eastAsia="SimSun"/>
          <w:color w:val="0000FF"/>
        </w:rPr>
        <w:t>ses filiales</w:t>
      </w:r>
      <w:r w:rsidRPr="00B33AA4">
        <w:rPr>
          <w:rFonts w:eastAsia="SimSun"/>
        </w:rPr>
        <w:t xml:space="preserve"> [</w:t>
      </w:r>
      <w:r w:rsidRPr="00B33AA4">
        <w:rPr>
          <w:rFonts w:eastAsia="SimSun"/>
          <w:color w:val="0000FF"/>
        </w:rPr>
        <w:t>Entité</w:t>
      </w:r>
      <w:r w:rsidRPr="00B33AA4">
        <w:rPr>
          <w:rFonts w:eastAsia="SimSun"/>
        </w:rPr>
        <w:t>],] au [</w:t>
      </w:r>
      <w:r w:rsidRPr="00B33AA4">
        <w:rPr>
          <w:rFonts w:eastAsia="SimSun"/>
          <w:color w:val="0000FF"/>
        </w:rPr>
        <w:t>date</w:t>
      </w:r>
      <w:r w:rsidR="00A06D6F" w:rsidRPr="00B33AA4">
        <w:rPr>
          <w:rFonts w:eastAsia="SimSun"/>
          <w:color w:val="0000FF"/>
        </w:rPr>
        <w:t xml:space="preserve"> de l’état de la situation financière</w:t>
      </w:r>
      <w:r w:rsidRPr="00B33AA4">
        <w:rPr>
          <w:rFonts w:eastAsia="SimSun"/>
        </w:rPr>
        <w:t>] et pour l</w:t>
      </w:r>
      <w:r w:rsidR="00865E23" w:rsidRPr="00B33AA4">
        <w:rPr>
          <w:rFonts w:eastAsia="SimSun"/>
        </w:rPr>
        <w:t>’</w:t>
      </w:r>
      <w:r w:rsidRPr="00B33AA4">
        <w:rPr>
          <w:rFonts w:eastAsia="SimSun"/>
        </w:rPr>
        <w:t>exercice clos à cette date aux fins de l</w:t>
      </w:r>
      <w:r w:rsidR="00865E23" w:rsidRPr="00B33AA4">
        <w:rPr>
          <w:rFonts w:eastAsia="SimSun"/>
        </w:rPr>
        <w:t>’</w:t>
      </w:r>
      <w:r w:rsidRPr="00B33AA4">
        <w:rPr>
          <w:rFonts w:eastAsia="SimSun"/>
        </w:rPr>
        <w:t>expression d</w:t>
      </w:r>
      <w:r w:rsidR="00865E23" w:rsidRPr="00B33AA4">
        <w:rPr>
          <w:rFonts w:eastAsia="SimSun"/>
        </w:rPr>
        <w:t>’</w:t>
      </w:r>
      <w:r w:rsidRPr="00B33AA4">
        <w:rPr>
          <w:rFonts w:eastAsia="SimSun"/>
        </w:rPr>
        <w:t>une opinion indiquant si les états financiers [</w:t>
      </w:r>
      <w:r w:rsidRPr="00B33AA4">
        <w:rPr>
          <w:rFonts w:eastAsia="SimSun"/>
          <w:color w:val="0000FF"/>
        </w:rPr>
        <w:t>consolidés</w:t>
      </w:r>
      <w:r w:rsidRPr="00B33AA4">
        <w:rPr>
          <w:rFonts w:eastAsia="SimSun"/>
        </w:rPr>
        <w:t>] donnent, dans tous leurs aspects significatifs, une image fidèle de la situation financière</w:t>
      </w:r>
      <w:r w:rsidR="001E569C" w:rsidRPr="00B33AA4">
        <w:rPr>
          <w:rFonts w:eastAsia="SimSun"/>
        </w:rPr>
        <w:t xml:space="preserve"> [</w:t>
      </w:r>
      <w:r w:rsidR="001E569C" w:rsidRPr="00B33AA4">
        <w:rPr>
          <w:rFonts w:eastAsia="SimSun"/>
          <w:color w:val="0000FF"/>
        </w:rPr>
        <w:t>consolidée</w:t>
      </w:r>
      <w:r w:rsidR="001E569C" w:rsidRPr="00B33AA4">
        <w:rPr>
          <w:rFonts w:eastAsia="SimSun"/>
        </w:rPr>
        <w:t>] de</w:t>
      </w:r>
      <w:r w:rsidR="00D508C6">
        <w:rPr>
          <w:rFonts w:eastAsia="SimSun"/>
        </w:rPr>
        <w:t> </w:t>
      </w:r>
      <w:r w:rsidR="001E569C" w:rsidRPr="00B33AA4">
        <w:rPr>
          <w:rFonts w:eastAsia="SimSun"/>
        </w:rPr>
        <w:t>[</w:t>
      </w:r>
      <w:r w:rsidR="001E569C" w:rsidRPr="00B33AA4">
        <w:rPr>
          <w:rFonts w:eastAsia="SimSun"/>
          <w:color w:val="0000FF"/>
        </w:rPr>
        <w:t>Entité</w:t>
      </w:r>
      <w:r w:rsidR="001E569C" w:rsidRPr="00B33AA4">
        <w:rPr>
          <w:rFonts w:eastAsia="SimSun"/>
        </w:rPr>
        <w:t>]</w:t>
      </w:r>
      <w:r w:rsidR="003124C3">
        <w:rPr>
          <w:rFonts w:eastAsia="SimSun"/>
        </w:rPr>
        <w:t>,</w:t>
      </w:r>
      <w:r w:rsidR="002A0338" w:rsidRPr="00B33AA4">
        <w:rPr>
          <w:rFonts w:eastAsia="SimSun"/>
        </w:rPr>
        <w:t xml:space="preserve"> </w:t>
      </w:r>
      <w:r w:rsidR="003124C3">
        <w:rPr>
          <w:rFonts w:eastAsia="SimSun"/>
        </w:rPr>
        <w:t>ainsi que</w:t>
      </w:r>
      <w:r w:rsidR="001E569C" w:rsidRPr="00B33AA4">
        <w:rPr>
          <w:rFonts w:eastAsia="SimSun"/>
        </w:rPr>
        <w:t xml:space="preserve"> </w:t>
      </w:r>
      <w:r w:rsidRPr="00B33AA4">
        <w:rPr>
          <w:rFonts w:eastAsia="SimSun"/>
        </w:rPr>
        <w:t xml:space="preserve">de </w:t>
      </w:r>
      <w:r w:rsidR="001E569C" w:rsidRPr="00B33AA4">
        <w:rPr>
          <w:rFonts w:eastAsia="SimSun"/>
        </w:rPr>
        <w:t>s</w:t>
      </w:r>
      <w:r w:rsidRPr="00B33AA4">
        <w:rPr>
          <w:rFonts w:eastAsia="SimSun"/>
        </w:rPr>
        <w:t xml:space="preserve">a performance financière </w:t>
      </w:r>
      <w:r w:rsidR="001E569C" w:rsidRPr="00B33AA4">
        <w:rPr>
          <w:rFonts w:eastAsia="SimSun"/>
        </w:rPr>
        <w:t>[</w:t>
      </w:r>
      <w:r w:rsidR="001E569C" w:rsidRPr="00B33AA4">
        <w:rPr>
          <w:rFonts w:eastAsia="SimSun"/>
          <w:color w:val="0000FF"/>
        </w:rPr>
        <w:t>consolidée</w:t>
      </w:r>
      <w:r w:rsidR="001E569C" w:rsidRPr="00B33AA4">
        <w:rPr>
          <w:rFonts w:eastAsia="SimSun"/>
        </w:rPr>
        <w:t xml:space="preserve">] </w:t>
      </w:r>
      <w:r w:rsidRPr="00B33AA4">
        <w:rPr>
          <w:rFonts w:eastAsia="SimSun"/>
        </w:rPr>
        <w:t>et de</w:t>
      </w:r>
      <w:r w:rsidR="001E569C" w:rsidRPr="00B33AA4">
        <w:rPr>
          <w:rFonts w:eastAsia="SimSun"/>
        </w:rPr>
        <w:t xml:space="preserve"> se</w:t>
      </w:r>
      <w:r w:rsidRPr="00B33AA4">
        <w:rPr>
          <w:rFonts w:eastAsia="SimSun"/>
        </w:rPr>
        <w:t>s flux de trésorerie</w:t>
      </w:r>
      <w:r w:rsidR="001E569C" w:rsidRPr="00B33AA4">
        <w:rPr>
          <w:rFonts w:eastAsia="SimSun"/>
        </w:rPr>
        <w:t xml:space="preserve"> [</w:t>
      </w:r>
      <w:r w:rsidR="001E569C" w:rsidRPr="00B33AA4">
        <w:rPr>
          <w:rFonts w:eastAsia="SimSun"/>
          <w:color w:val="0000FF"/>
        </w:rPr>
        <w:t>consolidés</w:t>
      </w:r>
      <w:r w:rsidR="001E569C" w:rsidRPr="00B33AA4">
        <w:rPr>
          <w:rFonts w:eastAsia="SimSun"/>
        </w:rPr>
        <w:t xml:space="preserve">] </w:t>
      </w:r>
      <w:r w:rsidRPr="00B33AA4">
        <w:rPr>
          <w:rFonts w:eastAsia="SimSun"/>
        </w:rPr>
        <w:t>conformément aux Normes internationales d</w:t>
      </w:r>
      <w:r w:rsidR="00865E23" w:rsidRPr="00B33AA4">
        <w:rPr>
          <w:rFonts w:eastAsia="SimSun"/>
        </w:rPr>
        <w:t>’</w:t>
      </w:r>
      <w:r w:rsidRPr="00B33AA4">
        <w:rPr>
          <w:rFonts w:eastAsia="SimSun"/>
        </w:rPr>
        <w:t xml:space="preserve">information </w:t>
      </w:r>
      <w:r w:rsidR="00BB4ADA" w:rsidRPr="00B33AA4">
        <w:rPr>
          <w:rFonts w:eastAsia="SimSun"/>
        </w:rPr>
        <w:t xml:space="preserve">financière </w:t>
      </w:r>
      <w:r w:rsidR="00AA4392" w:rsidRPr="00B33AA4">
        <w:t>(IFRS)</w:t>
      </w:r>
      <w:r w:rsidR="001E569C" w:rsidRPr="00B33AA4">
        <w:t xml:space="preserve"> </w:t>
      </w:r>
      <w:r w:rsidR="001E569C" w:rsidRPr="00B33AA4">
        <w:rPr>
          <w:rFonts w:cs="Arial"/>
        </w:rPr>
        <w:t>(les états financiers [</w:t>
      </w:r>
      <w:r w:rsidR="001E569C" w:rsidRPr="00B33AA4">
        <w:rPr>
          <w:rFonts w:cs="Arial"/>
          <w:color w:val="0000FF"/>
        </w:rPr>
        <w:t>consolidés</w:t>
      </w:r>
      <w:r w:rsidR="001E569C" w:rsidRPr="00B33AA4">
        <w:rPr>
          <w:rFonts w:cs="Arial"/>
        </w:rPr>
        <w:t>])</w:t>
      </w:r>
      <w:r w:rsidR="001E569C" w:rsidRPr="00B33AA4">
        <w:rPr>
          <w:rFonts w:eastAsia="SimSun"/>
        </w:rPr>
        <w:t>.</w:t>
      </w:r>
    </w:p>
    <w:p w14:paraId="7C700C3E" w14:textId="0A6199DC" w:rsidR="00E6179A" w:rsidRDefault="00651E69" w:rsidP="00C55C35">
      <w:pPr>
        <w:pStyle w:val="09Para"/>
      </w:pPr>
      <w:r w:rsidRPr="00B33AA4">
        <w:t>Nous nous sommes acquittés de nos responsabilités</w:t>
      </w:r>
      <w:r w:rsidRPr="00B33AA4">
        <w:rPr>
          <w:color w:val="0000FF"/>
          <w:vertAlign w:val="superscript"/>
        </w:rPr>
        <w:footnoteReference w:id="2"/>
      </w:r>
      <w:r w:rsidRPr="00B33AA4">
        <w:t>, telles que définies dans les termes et</w:t>
      </w:r>
      <w:r w:rsidR="00D508C6">
        <w:t> </w:t>
      </w:r>
      <w:r w:rsidRPr="00B33AA4">
        <w:t>conditions de la lettre de mission portant la date du [</w:t>
      </w:r>
      <w:r w:rsidRPr="00B33AA4">
        <w:rPr>
          <w:color w:val="0000FF"/>
        </w:rPr>
        <w:t>date</w:t>
      </w:r>
      <w:r w:rsidRPr="00B33AA4">
        <w:t>]</w:t>
      </w:r>
      <w:r w:rsidR="00A5379B">
        <w:t>.</w:t>
      </w:r>
    </w:p>
    <w:p w14:paraId="007D8D97" w14:textId="6E2669DD" w:rsidR="00A5379B" w:rsidRPr="00850CE6" w:rsidRDefault="00A5379B" w:rsidP="00C55C35">
      <w:pPr>
        <w:pStyle w:val="09Para"/>
      </w:pPr>
      <w:r>
        <w:t xml:space="preserve">Nous confirmons les déclarations </w:t>
      </w:r>
      <w:r w:rsidRPr="00850CE6">
        <w:t xml:space="preserve">suivantes : </w:t>
      </w:r>
    </w:p>
    <w:p w14:paraId="719291F8" w14:textId="03D00DE5" w:rsidR="00AA4392" w:rsidRPr="00850CE6" w:rsidRDefault="002741CD" w:rsidP="000E4CFF">
      <w:pPr>
        <w:pStyle w:val="09ParaBullet1"/>
      </w:pPr>
      <w:r w:rsidRPr="00850CE6">
        <w:t>Nous avons préparé des états financiers [</w:t>
      </w:r>
      <w:r w:rsidRPr="00850CE6">
        <w:rPr>
          <w:color w:val="0000FF"/>
        </w:rPr>
        <w:t>consolidés</w:t>
      </w:r>
      <w:r w:rsidRPr="00850CE6">
        <w:t>] conformes aux IFRS</w:t>
      </w:r>
      <w:r>
        <w:t>;</w:t>
      </w:r>
      <w:r w:rsidRPr="00850CE6">
        <w:t xml:space="preserve"> </w:t>
      </w:r>
      <w:r>
        <w:t xml:space="preserve">en particulier, les états financiers </w:t>
      </w:r>
      <w:r w:rsidRPr="00850CE6">
        <w:t>[</w:t>
      </w:r>
      <w:r w:rsidRPr="00850CE6">
        <w:rPr>
          <w:color w:val="0000FF"/>
        </w:rPr>
        <w:t>consolidés</w:t>
      </w:r>
      <w:r w:rsidRPr="00850CE6">
        <w:t>]</w:t>
      </w:r>
      <w:r>
        <w:t xml:space="preserve">, </w:t>
      </w:r>
      <w:r w:rsidRPr="00850CE6">
        <w:t>notamment les informations à fournir et les</w:t>
      </w:r>
      <w:r>
        <w:t> </w:t>
      </w:r>
      <w:r w:rsidRPr="00850CE6">
        <w:t>autres informations mentionnées ci-après</w:t>
      </w:r>
      <w:r>
        <w:t>, donnent une image fidèle conformément à ces normes</w:t>
      </w:r>
      <w:r w:rsidRPr="00C55C35">
        <w:t>.</w:t>
      </w:r>
    </w:p>
    <w:p w14:paraId="1EF6C338" w14:textId="43529D70" w:rsidR="001E569C" w:rsidRPr="00B33AA4" w:rsidRDefault="007D75A6" w:rsidP="000E4CFF">
      <w:pPr>
        <w:pStyle w:val="09ParaBullet1"/>
      </w:pPr>
      <w:r>
        <w:lastRenderedPageBreak/>
        <w:t>N</w:t>
      </w:r>
      <w:r w:rsidR="006A3791">
        <w:t xml:space="preserve">ous avons </w:t>
      </w:r>
      <w:r w:rsidR="009C1A1E">
        <w:t>conçu</w:t>
      </w:r>
      <w:r w:rsidR="00651E69" w:rsidRPr="00B33AA4">
        <w:t>, mis en place et maint</w:t>
      </w:r>
      <w:r w:rsidR="009C1A1E">
        <w:t>enu</w:t>
      </w:r>
      <w:r w:rsidR="00651E69" w:rsidRPr="00B33AA4">
        <w:t xml:space="preserve"> un système efficace de contrôle interne </w:t>
      </w:r>
      <w:r w:rsidR="009C1A1E">
        <w:t>à l’égard de</w:t>
      </w:r>
      <w:r w:rsidR="009C1A1E" w:rsidRPr="00B33AA4">
        <w:t xml:space="preserve"> </w:t>
      </w:r>
      <w:r w:rsidR="00651E69" w:rsidRPr="00B33AA4">
        <w:t>l</w:t>
      </w:r>
      <w:r w:rsidR="00865E23" w:rsidRPr="00B33AA4">
        <w:t>’</w:t>
      </w:r>
      <w:r w:rsidR="00651E69" w:rsidRPr="00B33AA4">
        <w:t>information financière aux fins de la préparation et de la présentation fidèle d</w:t>
      </w:r>
      <w:r w:rsidR="00865E23" w:rsidRPr="00B33AA4">
        <w:t>’</w:t>
      </w:r>
      <w:r w:rsidR="00651E69" w:rsidRPr="00B33AA4">
        <w:t>états financiers [</w:t>
      </w:r>
      <w:r w:rsidR="00651E69" w:rsidRPr="00B33AA4">
        <w:rPr>
          <w:color w:val="0000FF"/>
        </w:rPr>
        <w:t>consolidés</w:t>
      </w:r>
      <w:r w:rsidR="00651E69" w:rsidRPr="00B33AA4">
        <w:t>] qui sont exempts d</w:t>
      </w:r>
      <w:r w:rsidR="00865E23" w:rsidRPr="00B33AA4">
        <w:t>’</w:t>
      </w:r>
      <w:r w:rsidR="00651E69" w:rsidRPr="00B33AA4">
        <w:t>anomalies significatives, que celles</w:t>
      </w:r>
      <w:r w:rsidR="002741CD">
        <w:noBreakHyphen/>
      </w:r>
      <w:r w:rsidR="00651E69" w:rsidRPr="00B33AA4">
        <w:t>ci résultent de fraudes ou d</w:t>
      </w:r>
      <w:r w:rsidR="00865E23" w:rsidRPr="00B33AA4">
        <w:t>’</w:t>
      </w:r>
      <w:r w:rsidR="00651E69" w:rsidRPr="00B33AA4">
        <w:t>erreurs</w:t>
      </w:r>
      <w:r w:rsidR="009C1A1E">
        <w:t>.</w:t>
      </w:r>
    </w:p>
    <w:p w14:paraId="7BABF303" w14:textId="6712C00F" w:rsidR="00AA4392" w:rsidRPr="00B33AA4" w:rsidRDefault="009C1A1E" w:rsidP="000E4CFF">
      <w:pPr>
        <w:pStyle w:val="09ParaBullet1"/>
      </w:pPr>
      <w:r>
        <w:t>N</w:t>
      </w:r>
      <w:r w:rsidR="006A3791">
        <w:t xml:space="preserve">ous avons </w:t>
      </w:r>
      <w:r>
        <w:t>effectué</w:t>
      </w:r>
      <w:r w:rsidRPr="00B33AA4">
        <w:t xml:space="preserve"> </w:t>
      </w:r>
      <w:r w:rsidR="001E569C" w:rsidRPr="00B33AA4">
        <w:t>la conception, la mise en place et le maintien d’un système efficace de contrôle interne pour prévenir et détecter la fraude</w:t>
      </w:r>
      <w:r>
        <w:t>.</w:t>
      </w:r>
    </w:p>
    <w:p w14:paraId="0E96B8B9" w14:textId="038341D0" w:rsidR="00E6179A" w:rsidRPr="00B33AA4" w:rsidRDefault="009C1A1E" w:rsidP="000E4CFF">
      <w:pPr>
        <w:pStyle w:val="09ParaBullet1"/>
      </w:pPr>
      <w:r>
        <w:t>N</w:t>
      </w:r>
      <w:r w:rsidR="006A3791">
        <w:t xml:space="preserve">ous avons </w:t>
      </w:r>
      <w:r w:rsidR="001E569C" w:rsidRPr="00B33AA4">
        <w:t>assur</w:t>
      </w:r>
      <w:r w:rsidR="006A3791">
        <w:t>é</w:t>
      </w:r>
      <w:r w:rsidR="001E569C" w:rsidRPr="00B33AA4">
        <w:t xml:space="preserve"> la </w:t>
      </w:r>
      <w:r w:rsidR="00651E69" w:rsidRPr="00B33AA4">
        <w:t>conform</w:t>
      </w:r>
      <w:r w:rsidR="001E569C" w:rsidRPr="00B33AA4">
        <w:t>ité</w:t>
      </w:r>
      <w:r w:rsidR="00651E69" w:rsidRPr="00B33AA4">
        <w:t xml:space="preserve"> aux autorisations législatives et autres autorisations qui gouvernent [Entité], notamment [</w:t>
      </w:r>
      <w:r w:rsidR="009001F5" w:rsidRPr="00B33AA4">
        <w:t xml:space="preserve">indiquer </w:t>
      </w:r>
      <w:r w:rsidR="00651E69" w:rsidRPr="00B33AA4">
        <w:t>les autorisations législatives importantes mentionnées dans la lettre de mission et/ou dans le rapport de l</w:t>
      </w:r>
      <w:r w:rsidR="00865E23" w:rsidRPr="00B33AA4">
        <w:t>’</w:t>
      </w:r>
      <w:r w:rsidR="00651E69" w:rsidRPr="00B33AA4">
        <w:t>auditeur indépendant</w:t>
      </w:r>
      <w:r w:rsidR="00E6179A" w:rsidRPr="00B33AA4">
        <w:t>]</w:t>
      </w:r>
      <w:r>
        <w:t>.</w:t>
      </w:r>
    </w:p>
    <w:p w14:paraId="473943C9" w14:textId="249E2ED7" w:rsidR="00AA4392" w:rsidRPr="00B33AA4" w:rsidRDefault="009C1A1E" w:rsidP="000E4CFF">
      <w:pPr>
        <w:pStyle w:val="09ParaBullet1"/>
      </w:pPr>
      <w:r>
        <w:t>N</w:t>
      </w:r>
      <w:r w:rsidR="006A3791">
        <w:t xml:space="preserve">ous </w:t>
      </w:r>
      <w:r w:rsidR="00A14F94">
        <w:t xml:space="preserve">vous </w:t>
      </w:r>
      <w:r w:rsidR="006A3791">
        <w:t xml:space="preserve">avons </w:t>
      </w:r>
      <w:r w:rsidR="00651E69" w:rsidRPr="00B33AA4">
        <w:t>fourni toutes les informations et tous les accès pertinents, tel qu</w:t>
      </w:r>
      <w:r w:rsidR="00865E23" w:rsidRPr="00B33AA4">
        <w:t>’</w:t>
      </w:r>
      <w:r w:rsidR="00651E69" w:rsidRPr="00B33AA4">
        <w:t>il est convenu dans les termes et conditions de la mission d</w:t>
      </w:r>
      <w:r w:rsidR="00865E23" w:rsidRPr="00B33AA4">
        <w:t>’</w:t>
      </w:r>
      <w:r w:rsidR="00651E69" w:rsidRPr="00B33AA4">
        <w:t>audit</w:t>
      </w:r>
      <w:r>
        <w:t>.</w:t>
      </w:r>
    </w:p>
    <w:p w14:paraId="07C4B698" w14:textId="6BBA299B" w:rsidR="00061948" w:rsidRPr="00B33AA4" w:rsidRDefault="009C1A1E" w:rsidP="000E4CFF">
      <w:pPr>
        <w:pStyle w:val="09ParaBullet1"/>
      </w:pPr>
      <w:r>
        <w:t>N</w:t>
      </w:r>
      <w:r w:rsidR="006A3791">
        <w:t xml:space="preserve">ous avons </w:t>
      </w:r>
      <w:r w:rsidR="001E569C" w:rsidRPr="00B33AA4">
        <w:t>veill</w:t>
      </w:r>
      <w:r w:rsidR="006A3791">
        <w:t>é</w:t>
      </w:r>
      <w:r w:rsidR="001E569C" w:rsidRPr="00B33AA4">
        <w:t xml:space="preserve"> à ce que t</w:t>
      </w:r>
      <w:r w:rsidR="00651E69" w:rsidRPr="00B33AA4">
        <w:t xml:space="preserve">outes les opérations </w:t>
      </w:r>
      <w:r w:rsidR="001E569C" w:rsidRPr="00B33AA4">
        <w:t xml:space="preserve">soient </w:t>
      </w:r>
      <w:r w:rsidR="00651E69" w:rsidRPr="00B33AA4">
        <w:t>comptabilisées dans les documents comptables et reflétées dans les états financiers [</w:t>
      </w:r>
      <w:r w:rsidR="00651E69" w:rsidRPr="00B33AA4">
        <w:rPr>
          <w:color w:val="0000FF"/>
        </w:rPr>
        <w:t>consolidés</w:t>
      </w:r>
      <w:r w:rsidR="00651E69" w:rsidRPr="00B33AA4">
        <w:t>]</w:t>
      </w:r>
      <w:r w:rsidR="00AA4392" w:rsidRPr="00B33AA4">
        <w:t>.</w:t>
      </w:r>
      <w:r w:rsidR="006A3791" w:rsidRPr="00B33AA4" w:rsidDel="006A3791">
        <w:t xml:space="preserve"> </w:t>
      </w:r>
    </w:p>
    <w:p w14:paraId="209D88A9" w14:textId="77777777" w:rsidR="00AA4392" w:rsidRPr="00B33AA4" w:rsidRDefault="00651E69" w:rsidP="00F66B87">
      <w:pPr>
        <w:pStyle w:val="Heading3"/>
      </w:pPr>
      <w:r w:rsidRPr="00B33AA4">
        <w:t>Préparation des états financiers [</w:t>
      </w:r>
      <w:r w:rsidRPr="00B33AA4">
        <w:rPr>
          <w:color w:val="0000FF"/>
        </w:rPr>
        <w:t>consolidés</w:t>
      </w:r>
      <w:r w:rsidRPr="00B33AA4">
        <w:t>]</w:t>
      </w:r>
    </w:p>
    <w:p w14:paraId="56909203" w14:textId="29D9A402" w:rsidR="00AA4392" w:rsidRPr="00B33AA4" w:rsidRDefault="00651E69" w:rsidP="00F66B87">
      <w:pPr>
        <w:pStyle w:val="09Para"/>
      </w:pPr>
      <w:r w:rsidRPr="00B33AA4">
        <w:t>Les états financiers [</w:t>
      </w:r>
      <w:r w:rsidRPr="00B33AA4">
        <w:rPr>
          <w:color w:val="0000FF"/>
        </w:rPr>
        <w:t>consolidés</w:t>
      </w:r>
      <w:r w:rsidRPr="00B33AA4">
        <w:t xml:space="preserve">] </w:t>
      </w:r>
      <w:r w:rsidR="00CD4977" w:rsidRPr="00B33AA4">
        <w:t xml:space="preserve">donnent une image fidèle selon les IFRS et </w:t>
      </w:r>
      <w:r w:rsidRPr="00B33AA4">
        <w:t>fournissent toutes</w:t>
      </w:r>
      <w:r w:rsidR="00D508C6">
        <w:t> </w:t>
      </w:r>
      <w:r w:rsidRPr="00B33AA4">
        <w:t>les informations nécessaires à une présentation fidèle ainsi que toutes les informations autrement requises en vertu des textes légaux et réglementaires auxquels [</w:t>
      </w:r>
      <w:r w:rsidRPr="00B33AA4">
        <w:rPr>
          <w:color w:val="0000FF"/>
        </w:rPr>
        <w:t>Entité</w:t>
      </w:r>
      <w:r w:rsidRPr="00B33AA4">
        <w:t>] est assujetti</w:t>
      </w:r>
      <w:r w:rsidR="00D64E8A" w:rsidRPr="00B33AA4">
        <w:t>[</w:t>
      </w:r>
      <w:r w:rsidRPr="00B33AA4">
        <w:rPr>
          <w:color w:val="0000FF"/>
        </w:rPr>
        <w:t>e</w:t>
      </w:r>
      <w:r w:rsidR="00D64E8A" w:rsidRPr="00B33AA4">
        <w:t>]</w:t>
      </w:r>
      <w:r w:rsidRPr="00B33AA4">
        <w:t xml:space="preserve">. </w:t>
      </w:r>
      <w:r w:rsidR="00CD4977" w:rsidRPr="00B33AA4">
        <w:t>Nous avons préparé les états financiers [</w:t>
      </w:r>
      <w:r w:rsidR="00CD4977" w:rsidRPr="00B33AA4">
        <w:rPr>
          <w:color w:val="0000FF"/>
        </w:rPr>
        <w:t>consolidés</w:t>
      </w:r>
      <w:r w:rsidR="00CD4977" w:rsidRPr="00B33AA4">
        <w:t>] de [</w:t>
      </w:r>
      <w:r w:rsidR="00CD4977" w:rsidRPr="00B33AA4">
        <w:rPr>
          <w:color w:val="0000FF"/>
        </w:rPr>
        <w:t>Entité</w:t>
      </w:r>
      <w:r w:rsidR="00CD4977" w:rsidRPr="00B33AA4">
        <w:t>] en prenant pour hypothèse que [</w:t>
      </w:r>
      <w:r w:rsidR="00CD4977" w:rsidRPr="00B33AA4">
        <w:rPr>
          <w:color w:val="0000FF"/>
        </w:rPr>
        <w:t>Entité</w:t>
      </w:r>
      <w:r w:rsidR="00CD4977" w:rsidRPr="00B33AA4">
        <w:t xml:space="preserve">] était en mesure de poursuivre son exploitation. </w:t>
      </w:r>
      <w:r w:rsidRPr="00B33AA4">
        <w:t>De plus, les états financiers [</w:t>
      </w:r>
      <w:r w:rsidRPr="00B33AA4">
        <w:rPr>
          <w:color w:val="0000FF"/>
        </w:rPr>
        <w:t>consolidés</w:t>
      </w:r>
      <w:r w:rsidRPr="00B33AA4">
        <w:t xml:space="preserve">] ont été préparés de la même manière </w:t>
      </w:r>
      <w:r w:rsidR="00CE5E43" w:rsidRPr="00B33AA4">
        <w:t xml:space="preserve">qu’au cours de </w:t>
      </w:r>
      <w:r w:rsidRPr="00B33AA4">
        <w:t>l</w:t>
      </w:r>
      <w:r w:rsidR="00865E23" w:rsidRPr="00B33AA4">
        <w:t>’</w:t>
      </w:r>
      <w:r w:rsidRPr="00B33AA4">
        <w:t xml:space="preserve">exercice </w:t>
      </w:r>
      <w:proofErr w:type="gramStart"/>
      <w:r w:rsidRPr="00B33AA4">
        <w:t>précédent</w:t>
      </w:r>
      <w:r w:rsidR="006A3791" w:rsidRPr="00F96EBA">
        <w:rPr>
          <w:rFonts w:cs="Arial"/>
        </w:rPr>
        <w:t>[</w:t>
      </w:r>
      <w:proofErr w:type="gramEnd"/>
      <w:r w:rsidR="006A3791" w:rsidRPr="0069296F">
        <w:rPr>
          <w:rFonts w:cs="Arial"/>
          <w:color w:val="0000FF"/>
        </w:rPr>
        <w:t xml:space="preserve">, </w:t>
      </w:r>
      <w:r w:rsidR="006A3791">
        <w:rPr>
          <w:rFonts w:cs="Arial"/>
          <w:color w:val="0000FF"/>
        </w:rPr>
        <w:t>à l’</w:t>
      </w:r>
      <w:r w:rsidR="006A3791" w:rsidRPr="0069296F">
        <w:rPr>
          <w:rFonts w:cs="Arial"/>
          <w:color w:val="0000FF"/>
        </w:rPr>
        <w:t>except</w:t>
      </w:r>
      <w:r w:rsidR="006A3791">
        <w:rPr>
          <w:rFonts w:cs="Arial"/>
          <w:color w:val="0000FF"/>
        </w:rPr>
        <w:t>ion du changement apporté à la méthode de comptabilisation de</w:t>
      </w:r>
      <w:r w:rsidR="006A3791" w:rsidRPr="0069296F">
        <w:rPr>
          <w:rFonts w:cs="Arial"/>
          <w:color w:val="0000FF"/>
        </w:rPr>
        <w:t xml:space="preserve"> </w:t>
      </w:r>
      <w:r w:rsidR="00F96EBA" w:rsidRPr="00F96EBA">
        <w:rPr>
          <w:rFonts w:cs="Arial"/>
        </w:rPr>
        <w:t>[</w:t>
      </w:r>
      <w:r w:rsidR="006A3791">
        <w:rPr>
          <w:rFonts w:cs="Arial"/>
          <w:color w:val="0000FF"/>
        </w:rPr>
        <w:t>élément</w:t>
      </w:r>
      <w:r w:rsidR="00D508C6">
        <w:rPr>
          <w:rFonts w:cs="Arial"/>
          <w:color w:val="0000FF"/>
        </w:rPr>
        <w:t> </w:t>
      </w:r>
      <w:r w:rsidR="006A3791">
        <w:rPr>
          <w:rFonts w:cs="Arial"/>
          <w:color w:val="0000FF"/>
        </w:rPr>
        <w:t>concerné</w:t>
      </w:r>
      <w:r w:rsidR="00F96EBA" w:rsidRPr="00F96EBA">
        <w:rPr>
          <w:rFonts w:cs="Arial"/>
        </w:rPr>
        <w:t>]</w:t>
      </w:r>
      <w:r w:rsidR="006A3791">
        <w:rPr>
          <w:rFonts w:cs="Arial"/>
          <w:color w:val="0000FF"/>
        </w:rPr>
        <w:t xml:space="preserve"> expliqué dans la section intitulée </w:t>
      </w:r>
      <w:r w:rsidR="006A3791">
        <w:rPr>
          <w:rFonts w:cs="Arial"/>
          <w:i/>
          <w:color w:val="0000FF"/>
        </w:rPr>
        <w:t>Méthodes comptables</w:t>
      </w:r>
      <w:r w:rsidR="006A3791" w:rsidRPr="00FE1B79">
        <w:rPr>
          <w:rFonts w:cs="Arial"/>
          <w:i/>
          <w:color w:val="0000FF"/>
        </w:rPr>
        <w:t xml:space="preserve"> </w:t>
      </w:r>
      <w:r w:rsidR="006A3791">
        <w:rPr>
          <w:rFonts w:cs="Arial"/>
          <w:color w:val="0000FF"/>
        </w:rPr>
        <w:t>ci-après</w:t>
      </w:r>
      <w:r w:rsidR="006A3791" w:rsidRPr="00F96EBA">
        <w:rPr>
          <w:rFonts w:cs="Arial"/>
        </w:rPr>
        <w:t>]</w:t>
      </w:r>
      <w:r w:rsidR="006A3791" w:rsidRPr="0088764B">
        <w:rPr>
          <w:rFonts w:cs="Arial"/>
        </w:rPr>
        <w:t>.</w:t>
      </w:r>
    </w:p>
    <w:p w14:paraId="033E5609" w14:textId="77777777" w:rsidR="00AA4392" w:rsidRPr="00B33AA4" w:rsidRDefault="00651E69" w:rsidP="00F66B87">
      <w:pPr>
        <w:pStyle w:val="09Para"/>
      </w:pPr>
      <w:r w:rsidRPr="00B33AA4">
        <w:t>Nous avons effectué un rapprochement approprié entre nos livres et documents comptables (par exemple, les comptes du grand livre général) sous</w:t>
      </w:r>
      <w:r w:rsidR="007A02E7" w:rsidRPr="00B33AA4">
        <w:noBreakHyphen/>
      </w:r>
      <w:r w:rsidRPr="00B33AA4">
        <w:t>jacents aux états financiers [</w:t>
      </w:r>
      <w:r w:rsidRPr="00B33AA4">
        <w:rPr>
          <w:color w:val="0000FF"/>
        </w:rPr>
        <w:t>consolidés</w:t>
      </w:r>
      <w:r w:rsidRPr="00B33AA4">
        <w:t>] et les</w:t>
      </w:r>
      <w:r w:rsidR="009001F5" w:rsidRPr="00B33AA4">
        <w:t xml:space="preserve"> pièces</w:t>
      </w:r>
      <w:r w:rsidRPr="00B33AA4">
        <w:t xml:space="preserve"> justificati</w:t>
      </w:r>
      <w:r w:rsidR="009001F5" w:rsidRPr="00B33AA4">
        <w:t>ve</w:t>
      </w:r>
      <w:r w:rsidRPr="00B33AA4">
        <w:t xml:space="preserve">s connexes (par exemple, grand livre auxiliaire ou données de tiers). Tous les éléments de rapprochement considérés comme significatifs ont été identifiés et inclus dans les rapprochements, et ils ont </w:t>
      </w:r>
      <w:r w:rsidR="00C71FC0" w:rsidRPr="00B33AA4">
        <w:t xml:space="preserve">été ajustés de manière appropriée </w:t>
      </w:r>
      <w:r w:rsidRPr="00B33AA4">
        <w:t>dans les états financiers [</w:t>
      </w:r>
      <w:r w:rsidRPr="00B33AA4">
        <w:rPr>
          <w:color w:val="0000FF"/>
        </w:rPr>
        <w:t>consolidés</w:t>
      </w:r>
      <w:r w:rsidRPr="00B33AA4">
        <w:t>]. Il n</w:t>
      </w:r>
      <w:r w:rsidR="00865E23" w:rsidRPr="00B33AA4">
        <w:t>’</w:t>
      </w:r>
      <w:r w:rsidRPr="00B33AA4">
        <w:t xml:space="preserve">y a eu aucune différence non </w:t>
      </w:r>
      <w:r w:rsidR="00C71FC0" w:rsidRPr="00B33AA4">
        <w:t xml:space="preserve">expliquée </w:t>
      </w:r>
      <w:r w:rsidRPr="00B33AA4">
        <w:t xml:space="preserve">significative ni aucun élément </w:t>
      </w:r>
      <w:r w:rsidR="00C71FC0" w:rsidRPr="00B33AA4">
        <w:t xml:space="preserve">important dans les comptes </w:t>
      </w:r>
      <w:r w:rsidRPr="00B33AA4">
        <w:t>d</w:t>
      </w:r>
      <w:r w:rsidR="00865E23" w:rsidRPr="00B33AA4">
        <w:t>’</w:t>
      </w:r>
      <w:r w:rsidRPr="00B33AA4">
        <w:t xml:space="preserve">attente du grand livre général qui aurait dû être ajusté ou reclassé dans un autre compte. Aucun élément </w:t>
      </w:r>
      <w:r w:rsidR="00C71FC0" w:rsidRPr="00B33AA4">
        <w:t xml:space="preserve">important </w:t>
      </w:r>
      <w:r w:rsidRPr="00B33AA4">
        <w:t>d</w:t>
      </w:r>
      <w:r w:rsidR="00C71FC0" w:rsidRPr="00B33AA4">
        <w:t xml:space="preserve">ans les </w:t>
      </w:r>
      <w:r w:rsidRPr="00B33AA4">
        <w:t>compte</w:t>
      </w:r>
      <w:r w:rsidR="00C71FC0" w:rsidRPr="00B33AA4">
        <w:t>s</w:t>
      </w:r>
      <w:r w:rsidRPr="00B33AA4">
        <w:t xml:space="preserve"> d</w:t>
      </w:r>
      <w:r w:rsidR="00865E23" w:rsidRPr="00B33AA4">
        <w:t>’</w:t>
      </w:r>
      <w:r w:rsidRPr="00B33AA4">
        <w:t>attente du grand livre général n</w:t>
      </w:r>
      <w:r w:rsidR="00865E23" w:rsidRPr="00B33AA4">
        <w:t>’</w:t>
      </w:r>
      <w:r w:rsidRPr="00B33AA4">
        <w:t>a été porté à un compte de l</w:t>
      </w:r>
      <w:r w:rsidR="00865E23" w:rsidRPr="00B33AA4">
        <w:t>’</w:t>
      </w:r>
      <w:r w:rsidRPr="00B33AA4">
        <w:t>état de la situation financière alors qu</w:t>
      </w:r>
      <w:r w:rsidR="00865E23" w:rsidRPr="00B33AA4">
        <w:t>’</w:t>
      </w:r>
      <w:r w:rsidRPr="00B33AA4">
        <w:t xml:space="preserve">il aurait dû être porté à un compte de résultat. De même, aucun élément </w:t>
      </w:r>
      <w:r w:rsidR="00C71FC0" w:rsidRPr="00B33AA4">
        <w:t xml:space="preserve">important dans les </w:t>
      </w:r>
      <w:r w:rsidRPr="00B33AA4">
        <w:t>compte</w:t>
      </w:r>
      <w:r w:rsidR="00C71FC0" w:rsidRPr="00B33AA4">
        <w:t>s</w:t>
      </w:r>
      <w:r w:rsidRPr="00B33AA4">
        <w:t xml:space="preserve"> d</w:t>
      </w:r>
      <w:r w:rsidR="00865E23" w:rsidRPr="00B33AA4">
        <w:t>’</w:t>
      </w:r>
      <w:r w:rsidRPr="00B33AA4">
        <w:t>attente du grand livre général n</w:t>
      </w:r>
      <w:r w:rsidR="00865E23" w:rsidRPr="00B33AA4">
        <w:t>’</w:t>
      </w:r>
      <w:r w:rsidRPr="00B33AA4">
        <w:t>a été porté à un compte de résultat alors qu</w:t>
      </w:r>
      <w:r w:rsidR="00865E23" w:rsidRPr="00B33AA4">
        <w:t>’</w:t>
      </w:r>
      <w:r w:rsidRPr="00B33AA4">
        <w:t>il aurait dû être porté à un compte de l</w:t>
      </w:r>
      <w:r w:rsidR="00865E23" w:rsidRPr="00B33AA4">
        <w:t>’</w:t>
      </w:r>
      <w:r w:rsidRPr="00B33AA4">
        <w:t>état de la situation financière. [</w:t>
      </w:r>
      <w:r w:rsidRPr="00B33AA4">
        <w:rPr>
          <w:color w:val="0000FF"/>
        </w:rPr>
        <w:t>Toutes les écritures de consolidation ont été enregistrées de façon appropriée.</w:t>
      </w:r>
      <w:r w:rsidRPr="00B33AA4">
        <w:t xml:space="preserve">] Tous les comptes </w:t>
      </w:r>
      <w:r w:rsidR="005B77D8" w:rsidRPr="00B33AA4">
        <w:t>intra-entité</w:t>
      </w:r>
      <w:r w:rsidRPr="00B33AA4">
        <w:t xml:space="preserve"> [</w:t>
      </w:r>
      <w:r w:rsidRPr="00B33AA4">
        <w:rPr>
          <w:color w:val="0000FF"/>
        </w:rPr>
        <w:t xml:space="preserve">et </w:t>
      </w:r>
      <w:r w:rsidR="00975921" w:rsidRPr="00B33AA4">
        <w:rPr>
          <w:color w:val="0000FF"/>
        </w:rPr>
        <w:t xml:space="preserve">les comptes entre les </w:t>
      </w:r>
      <w:r w:rsidR="005B77D8" w:rsidRPr="00B33AA4">
        <w:rPr>
          <w:color w:val="0000FF"/>
        </w:rPr>
        <w:t>entités</w:t>
      </w:r>
      <w:r w:rsidRPr="00B33AA4">
        <w:t>] ont été éliminés ou évalués de façon appropriée</w:t>
      </w:r>
      <w:r w:rsidRPr="00B33AA4" w:rsidDel="007519D7">
        <w:t xml:space="preserve"> </w:t>
      </w:r>
      <w:r w:rsidRPr="00B33AA4">
        <w:t xml:space="preserve">et pris en compte aux fins de leur </w:t>
      </w:r>
      <w:r w:rsidR="00975921" w:rsidRPr="00B33AA4">
        <w:t>présentation d</w:t>
      </w:r>
      <w:r w:rsidRPr="00B33AA4">
        <w:t>ans les états financiers [</w:t>
      </w:r>
      <w:r w:rsidRPr="00B33AA4">
        <w:rPr>
          <w:color w:val="0000FF"/>
        </w:rPr>
        <w:t>consolidés</w:t>
      </w:r>
      <w:r w:rsidRPr="00B33AA4">
        <w:t>]</w:t>
      </w:r>
      <w:r w:rsidR="00AA4392" w:rsidRPr="00B33AA4">
        <w:t>.</w:t>
      </w:r>
    </w:p>
    <w:p w14:paraId="09773BB0" w14:textId="77777777" w:rsidR="00CD4977" w:rsidRPr="00B33AA4" w:rsidRDefault="00CD4977" w:rsidP="00CD4977">
      <w:pPr>
        <w:pStyle w:val="Heading3"/>
      </w:pPr>
      <w:r w:rsidRPr="00B33AA4">
        <w:t>Autres informations</w:t>
      </w:r>
    </w:p>
    <w:p w14:paraId="3E398D0E" w14:textId="6924955E" w:rsidR="00CD4977" w:rsidRPr="00B33AA4" w:rsidRDefault="00CD4977" w:rsidP="00CD4977">
      <w:pPr>
        <w:pStyle w:val="09Para"/>
      </w:pPr>
      <w:r w:rsidRPr="00B33AA4">
        <w:t>Nous vous avons communiqué</w:t>
      </w:r>
      <w:r w:rsidR="00AF7805" w:rsidRPr="00B33AA4">
        <w:t xml:space="preserve">, dans le tableau ci-dessous, </w:t>
      </w:r>
      <w:r w:rsidRPr="00B33AA4">
        <w:t>tous les documents que nous prévoyons publier ou que nous devons publier du fait de textes légaux ou réglementaires ou de</w:t>
      </w:r>
      <w:r w:rsidR="004A7C66">
        <w:t> </w:t>
      </w:r>
      <w:r w:rsidRPr="00FF245C">
        <w:t>la coutume</w:t>
      </w:r>
      <w:r w:rsidRPr="00B33AA4">
        <w:t xml:space="preserve"> qui contiendront ou accompagneront les états financiers [</w:t>
      </w:r>
      <w:r w:rsidRPr="00B33AA4">
        <w:rPr>
          <w:color w:val="0000FF"/>
        </w:rPr>
        <w:t>consolidés</w:t>
      </w:r>
      <w:r w:rsidRPr="00B33AA4">
        <w:t xml:space="preserve">] et le rapport de </w:t>
      </w:r>
      <w:r w:rsidRPr="00B33AA4">
        <w:lastRenderedPageBreak/>
        <w:t>l’auditeur</w:t>
      </w:r>
      <w:r w:rsidR="00A14F94">
        <w:t>,</w:t>
      </w:r>
      <w:r w:rsidRPr="00B33AA4">
        <w:t xml:space="preserve"> et qui </w:t>
      </w:r>
      <w:r w:rsidR="002E6A78" w:rsidRPr="00B33AA4">
        <w:t xml:space="preserve">présenteront </w:t>
      </w:r>
      <w:r w:rsidRPr="00B33AA4">
        <w:t>des informations sur les activités de [</w:t>
      </w:r>
      <w:r w:rsidRPr="00B33AA4">
        <w:rPr>
          <w:color w:val="0000FF"/>
        </w:rPr>
        <w:t>Entité</w:t>
      </w:r>
      <w:r w:rsidRPr="00B33AA4">
        <w:t>] ainsi que sur ses résultats financiers et sa situation financière, tels qu’ils sont présentés dans les états financiers [</w:t>
      </w:r>
      <w:r w:rsidRPr="00B33AA4">
        <w:rPr>
          <w:color w:val="0000FF"/>
        </w:rPr>
        <w:t>consolidés</w:t>
      </w:r>
      <w:r w:rsidRPr="00B33AA4">
        <w:t xml:space="preserve">]. </w:t>
      </w:r>
    </w:p>
    <w:tbl>
      <w:tblPr>
        <w:tblStyle w:val="TableGrid"/>
        <w:tblW w:w="0" w:type="auto"/>
        <w:tblLook w:val="04A0" w:firstRow="1" w:lastRow="0" w:firstColumn="1" w:lastColumn="0" w:noHBand="0" w:noVBand="1"/>
      </w:tblPr>
      <w:tblGrid>
        <w:gridCol w:w="4675"/>
        <w:gridCol w:w="4675"/>
      </w:tblGrid>
      <w:tr w:rsidR="00CD4977" w:rsidRPr="00C40213" w14:paraId="75892FB5" w14:textId="77777777" w:rsidTr="00CD4977">
        <w:tc>
          <w:tcPr>
            <w:tcW w:w="4675" w:type="dxa"/>
          </w:tcPr>
          <w:p w14:paraId="40E532CF" w14:textId="333751A5" w:rsidR="00CD4977" w:rsidRPr="00D17C6D" w:rsidRDefault="00CD4977" w:rsidP="002741CD">
            <w:pPr>
              <w:spacing w:before="120" w:after="120"/>
              <w:rPr>
                <w:rFonts w:cs="Arial"/>
                <w:b/>
                <w:lang w:val="fr-CA"/>
              </w:rPr>
            </w:pPr>
            <w:r w:rsidRPr="00D17C6D">
              <w:rPr>
                <w:rFonts w:cs="Arial"/>
                <w:b/>
                <w:lang w:val="fr-CA"/>
              </w:rPr>
              <w:t>Titre du/des document(s) fourni</w:t>
            </w:r>
            <w:r w:rsidR="00F82DD6">
              <w:rPr>
                <w:rFonts w:cs="Arial"/>
                <w:b/>
                <w:lang w:val="fr-CA"/>
              </w:rPr>
              <w:t>(</w:t>
            </w:r>
            <w:r w:rsidRPr="00D17C6D">
              <w:rPr>
                <w:rFonts w:cs="Arial"/>
                <w:b/>
                <w:lang w:val="fr-CA"/>
              </w:rPr>
              <w:t>s</w:t>
            </w:r>
            <w:r w:rsidR="00F82DD6">
              <w:rPr>
                <w:rFonts w:cs="Arial"/>
                <w:b/>
                <w:lang w:val="fr-CA"/>
              </w:rPr>
              <w:t>)</w:t>
            </w:r>
            <w:r w:rsidRPr="00D17C6D">
              <w:rPr>
                <w:rFonts w:cs="Arial"/>
                <w:b/>
                <w:lang w:val="fr-CA"/>
              </w:rPr>
              <w:t xml:space="preserve"> avant la date du rapport de l’auditeur qui </w:t>
            </w:r>
            <w:proofErr w:type="gramStart"/>
            <w:r w:rsidRPr="00D17C6D">
              <w:rPr>
                <w:rFonts w:cs="Arial"/>
                <w:b/>
                <w:lang w:val="fr-CA"/>
              </w:rPr>
              <w:t>contiendr</w:t>
            </w:r>
            <w:r w:rsidR="00F82DD6">
              <w:rPr>
                <w:rFonts w:cs="Arial"/>
                <w:b/>
                <w:lang w:val="fr-CA"/>
              </w:rPr>
              <w:t>a(</w:t>
            </w:r>
            <w:proofErr w:type="gramEnd"/>
            <w:r w:rsidRPr="00D17C6D">
              <w:rPr>
                <w:rFonts w:cs="Arial"/>
                <w:b/>
                <w:lang w:val="fr-CA"/>
              </w:rPr>
              <w:t>ont</w:t>
            </w:r>
            <w:r w:rsidR="00F82DD6">
              <w:rPr>
                <w:rFonts w:cs="Arial"/>
                <w:b/>
                <w:lang w:val="fr-CA"/>
              </w:rPr>
              <w:t>)</w:t>
            </w:r>
            <w:r w:rsidRPr="00D17C6D">
              <w:rPr>
                <w:rFonts w:cs="Arial"/>
                <w:b/>
                <w:lang w:val="fr-CA"/>
              </w:rPr>
              <w:t xml:space="preserve"> ou accompagner</w:t>
            </w:r>
            <w:r w:rsidR="00F82DD6">
              <w:rPr>
                <w:rFonts w:cs="Arial"/>
                <w:b/>
                <w:lang w:val="fr-CA"/>
              </w:rPr>
              <w:t>a(</w:t>
            </w:r>
            <w:r w:rsidRPr="00D17C6D">
              <w:rPr>
                <w:rFonts w:cs="Arial"/>
                <w:b/>
                <w:lang w:val="fr-CA"/>
              </w:rPr>
              <w:t>ont</w:t>
            </w:r>
            <w:r w:rsidR="00F82DD6">
              <w:rPr>
                <w:rFonts w:cs="Arial"/>
                <w:b/>
                <w:lang w:val="fr-CA"/>
              </w:rPr>
              <w:t>)</w:t>
            </w:r>
            <w:r w:rsidRPr="00D17C6D">
              <w:rPr>
                <w:rFonts w:cs="Arial"/>
                <w:b/>
                <w:lang w:val="fr-CA"/>
              </w:rPr>
              <w:t xml:space="preserve"> les</w:t>
            </w:r>
            <w:r w:rsidR="004A7C66">
              <w:rPr>
                <w:rFonts w:cs="Arial"/>
                <w:b/>
                <w:lang w:val="fr-CA"/>
              </w:rPr>
              <w:t> </w:t>
            </w:r>
            <w:r w:rsidRPr="00D17C6D">
              <w:rPr>
                <w:rFonts w:cs="Arial"/>
                <w:b/>
                <w:lang w:val="fr-CA"/>
              </w:rPr>
              <w:t>états financiers [</w:t>
            </w:r>
            <w:r w:rsidRPr="00D17C6D">
              <w:rPr>
                <w:rStyle w:val="BlueText"/>
                <w:rFonts w:cs="Arial"/>
                <w:b/>
                <w:lang w:val="fr-CA"/>
              </w:rPr>
              <w:t>consolidés</w:t>
            </w:r>
            <w:r w:rsidRPr="00D17C6D">
              <w:rPr>
                <w:rFonts w:cs="Arial"/>
                <w:b/>
                <w:lang w:val="fr-CA"/>
              </w:rPr>
              <w:t xml:space="preserve">] </w:t>
            </w:r>
          </w:p>
        </w:tc>
        <w:tc>
          <w:tcPr>
            <w:tcW w:w="4675" w:type="dxa"/>
          </w:tcPr>
          <w:p w14:paraId="33DB0CDC" w14:textId="07159362" w:rsidR="00CD4977" w:rsidRPr="00D17C6D" w:rsidRDefault="00CD4977" w:rsidP="002741CD">
            <w:pPr>
              <w:spacing w:before="120" w:after="120"/>
              <w:rPr>
                <w:b/>
                <w:lang w:val="fr-CA"/>
              </w:rPr>
            </w:pPr>
            <w:r w:rsidRPr="00D17C6D">
              <w:rPr>
                <w:rFonts w:cs="Arial"/>
                <w:b/>
                <w:lang w:val="fr-CA"/>
              </w:rPr>
              <w:t xml:space="preserve">Titre du/des document(s) qui </w:t>
            </w:r>
            <w:r w:rsidR="0029715E" w:rsidRPr="00442220">
              <w:rPr>
                <w:rFonts w:cs="Arial"/>
                <w:b/>
                <w:lang w:val="fr-CA"/>
              </w:rPr>
              <w:t xml:space="preserve">ne </w:t>
            </w:r>
            <w:proofErr w:type="gramStart"/>
            <w:r w:rsidR="0029715E" w:rsidRPr="00442220">
              <w:rPr>
                <w:rFonts w:cs="Arial"/>
                <w:b/>
                <w:lang w:val="fr-CA"/>
              </w:rPr>
              <w:t>ser</w:t>
            </w:r>
            <w:r w:rsidR="00F82DD6">
              <w:rPr>
                <w:rFonts w:cs="Arial"/>
                <w:b/>
                <w:lang w:val="fr-CA"/>
              </w:rPr>
              <w:t>a(</w:t>
            </w:r>
            <w:proofErr w:type="gramEnd"/>
            <w:r w:rsidR="0029715E" w:rsidRPr="00442220">
              <w:rPr>
                <w:rFonts w:cs="Arial"/>
                <w:b/>
                <w:lang w:val="fr-CA"/>
              </w:rPr>
              <w:t>ont</w:t>
            </w:r>
            <w:r w:rsidR="00F82DD6">
              <w:rPr>
                <w:rFonts w:cs="Arial"/>
                <w:b/>
                <w:lang w:val="fr-CA"/>
              </w:rPr>
              <w:t>)</w:t>
            </w:r>
            <w:r w:rsidR="0029715E" w:rsidRPr="00442220">
              <w:rPr>
                <w:rFonts w:cs="Arial"/>
                <w:b/>
                <w:lang w:val="fr-CA"/>
              </w:rPr>
              <w:t xml:space="preserve"> pas fourni</w:t>
            </w:r>
            <w:r w:rsidR="00F82DD6">
              <w:rPr>
                <w:rFonts w:cs="Arial"/>
                <w:b/>
                <w:lang w:val="fr-CA"/>
              </w:rPr>
              <w:t>(</w:t>
            </w:r>
            <w:r w:rsidR="0029715E" w:rsidRPr="00442220">
              <w:rPr>
                <w:rFonts w:cs="Arial"/>
                <w:b/>
                <w:lang w:val="fr-CA"/>
              </w:rPr>
              <w:t>s</w:t>
            </w:r>
            <w:r w:rsidR="00F82DD6">
              <w:rPr>
                <w:rFonts w:cs="Arial"/>
                <w:b/>
                <w:lang w:val="fr-CA"/>
              </w:rPr>
              <w:t>)</w:t>
            </w:r>
            <w:r w:rsidR="0029715E" w:rsidRPr="00442220">
              <w:rPr>
                <w:rFonts w:cs="Arial"/>
                <w:b/>
                <w:lang w:val="fr-CA"/>
              </w:rPr>
              <w:t xml:space="preserve"> avant la date du rapport de</w:t>
            </w:r>
            <w:r w:rsidR="004A7C66">
              <w:rPr>
                <w:rFonts w:cs="Arial"/>
                <w:b/>
                <w:lang w:val="fr-CA"/>
              </w:rPr>
              <w:t> </w:t>
            </w:r>
            <w:r w:rsidR="0029715E" w:rsidRPr="00442220">
              <w:rPr>
                <w:rFonts w:cs="Arial"/>
                <w:b/>
                <w:lang w:val="fr-CA"/>
              </w:rPr>
              <w:t xml:space="preserve">l’auditeur </w:t>
            </w:r>
            <w:r w:rsidR="0029715E">
              <w:rPr>
                <w:rFonts w:cs="Arial"/>
                <w:b/>
                <w:lang w:val="fr-CA"/>
              </w:rPr>
              <w:t xml:space="preserve">et </w:t>
            </w:r>
            <w:r w:rsidRPr="00D17C6D">
              <w:rPr>
                <w:rFonts w:cs="Arial"/>
                <w:b/>
                <w:lang w:val="fr-CA"/>
              </w:rPr>
              <w:t>contiendr</w:t>
            </w:r>
            <w:r w:rsidR="00F82DD6">
              <w:rPr>
                <w:rFonts w:cs="Arial"/>
                <w:b/>
                <w:lang w:val="fr-CA"/>
              </w:rPr>
              <w:t>a(</w:t>
            </w:r>
            <w:r w:rsidRPr="00D17C6D">
              <w:rPr>
                <w:rFonts w:cs="Arial"/>
                <w:b/>
                <w:lang w:val="fr-CA"/>
              </w:rPr>
              <w:t>ont</w:t>
            </w:r>
            <w:r w:rsidR="00F82DD6">
              <w:rPr>
                <w:rFonts w:cs="Arial"/>
                <w:b/>
                <w:lang w:val="fr-CA"/>
              </w:rPr>
              <w:t>)</w:t>
            </w:r>
            <w:r w:rsidRPr="00D17C6D">
              <w:rPr>
                <w:rFonts w:cs="Arial"/>
                <w:b/>
                <w:lang w:val="fr-CA"/>
              </w:rPr>
              <w:t xml:space="preserve"> ou accompagner</w:t>
            </w:r>
            <w:r w:rsidR="00F82DD6">
              <w:rPr>
                <w:rFonts w:cs="Arial"/>
                <w:b/>
                <w:lang w:val="fr-CA"/>
              </w:rPr>
              <w:t>a(</w:t>
            </w:r>
            <w:r w:rsidRPr="00D17C6D">
              <w:rPr>
                <w:rFonts w:cs="Arial"/>
                <w:b/>
                <w:lang w:val="fr-CA"/>
              </w:rPr>
              <w:t>ont</w:t>
            </w:r>
            <w:r w:rsidR="00F82DD6">
              <w:rPr>
                <w:rFonts w:cs="Arial"/>
                <w:b/>
                <w:lang w:val="fr-CA"/>
              </w:rPr>
              <w:t>)</w:t>
            </w:r>
            <w:r w:rsidRPr="00D17C6D">
              <w:rPr>
                <w:rFonts w:cs="Arial"/>
                <w:b/>
                <w:lang w:val="fr-CA"/>
              </w:rPr>
              <w:t xml:space="preserve"> les états financiers [</w:t>
            </w:r>
            <w:r w:rsidRPr="00D17C6D">
              <w:rPr>
                <w:rStyle w:val="BlueText"/>
                <w:rFonts w:cs="Arial"/>
                <w:b/>
                <w:lang w:val="fr-CA"/>
              </w:rPr>
              <w:t>consolidés</w:t>
            </w:r>
            <w:r w:rsidRPr="00D17C6D">
              <w:rPr>
                <w:rFonts w:cs="Arial"/>
                <w:b/>
                <w:lang w:val="fr-CA"/>
              </w:rPr>
              <w:t>]</w:t>
            </w:r>
          </w:p>
        </w:tc>
      </w:tr>
      <w:tr w:rsidR="00CD4977" w:rsidRPr="005628AE" w14:paraId="61900FB8" w14:textId="77777777" w:rsidTr="00CD4977">
        <w:tc>
          <w:tcPr>
            <w:tcW w:w="4675" w:type="dxa"/>
          </w:tcPr>
          <w:p w14:paraId="2AF82027" w14:textId="77777777" w:rsidR="00CD4977" w:rsidRPr="00B33AA4" w:rsidRDefault="00CD4977" w:rsidP="002741CD">
            <w:pPr>
              <w:pStyle w:val="09Para"/>
              <w:spacing w:before="120" w:after="120"/>
            </w:pPr>
            <w:r w:rsidRPr="00B33AA4">
              <w:t>[</w:t>
            </w:r>
            <w:r w:rsidRPr="00B33AA4">
              <w:rPr>
                <w:rStyle w:val="BlueItalText"/>
                <w:rFonts w:cs="Arial"/>
              </w:rPr>
              <w:t xml:space="preserve">Indiquer les autres informations qui ont été fournies avant la date du rapport de l’auditeur </w:t>
            </w:r>
          </w:p>
          <w:p w14:paraId="0BF63324" w14:textId="77777777" w:rsidR="00CD4977" w:rsidRPr="00B33AA4" w:rsidRDefault="00CD4977" w:rsidP="004C5215">
            <w:pPr>
              <w:pStyle w:val="09Para"/>
              <w:numPr>
                <w:ilvl w:val="0"/>
                <w:numId w:val="20"/>
              </w:numPr>
              <w:spacing w:before="0" w:after="0"/>
              <w:rPr>
                <w:rStyle w:val="BlueText"/>
                <w:rFonts w:cs="Arial"/>
              </w:rPr>
            </w:pPr>
            <w:r w:rsidRPr="00B33AA4">
              <w:rPr>
                <w:rStyle w:val="BlueText"/>
                <w:rFonts w:cs="Arial"/>
              </w:rPr>
              <w:t xml:space="preserve">Rapport de gestion </w:t>
            </w:r>
          </w:p>
          <w:p w14:paraId="7F149DAD" w14:textId="77777777" w:rsidR="00CD4977" w:rsidRPr="00B33AA4" w:rsidRDefault="00CD4977" w:rsidP="004C5215">
            <w:pPr>
              <w:pStyle w:val="09Para"/>
              <w:numPr>
                <w:ilvl w:val="0"/>
                <w:numId w:val="20"/>
              </w:numPr>
              <w:spacing w:before="0" w:after="0"/>
              <w:rPr>
                <w:rStyle w:val="BlueText"/>
                <w:rFonts w:cs="Arial"/>
              </w:rPr>
            </w:pPr>
            <w:r w:rsidRPr="00B33AA4">
              <w:rPr>
                <w:rStyle w:val="BlueText"/>
                <w:rFonts w:cs="Arial"/>
              </w:rPr>
              <w:t xml:space="preserve">Rapport annuel </w:t>
            </w:r>
          </w:p>
          <w:p w14:paraId="54F1FF7D" w14:textId="77777777" w:rsidR="00CD4977" w:rsidRPr="00B33AA4" w:rsidRDefault="00CD4977" w:rsidP="004C5215">
            <w:pPr>
              <w:pStyle w:val="09Para"/>
              <w:numPr>
                <w:ilvl w:val="0"/>
                <w:numId w:val="20"/>
              </w:numPr>
              <w:spacing w:before="0" w:after="0"/>
              <w:rPr>
                <w:rStyle w:val="BlueText"/>
                <w:rFonts w:cs="Arial"/>
              </w:rPr>
            </w:pPr>
            <w:r w:rsidRPr="00B33AA4">
              <w:rPr>
                <w:rStyle w:val="BlueText"/>
                <w:rFonts w:cs="Arial"/>
              </w:rPr>
              <w:t>Commentaires et analyse des états financiers</w:t>
            </w:r>
          </w:p>
          <w:p w14:paraId="62E3522C" w14:textId="71ACAAE2" w:rsidR="00CD4977" w:rsidRPr="00B33AA4" w:rsidRDefault="00205A7C" w:rsidP="004C5215">
            <w:pPr>
              <w:pStyle w:val="09Para"/>
              <w:numPr>
                <w:ilvl w:val="0"/>
                <w:numId w:val="20"/>
              </w:numPr>
              <w:spacing w:before="0" w:after="120"/>
              <w:rPr>
                <w:rFonts w:cs="Arial"/>
                <w:color w:val="0000FF"/>
              </w:rPr>
            </w:pPr>
            <w:r>
              <w:rPr>
                <w:rStyle w:val="BlueText"/>
                <w:rFonts w:cs="Arial"/>
              </w:rPr>
              <w:t>Autre</w:t>
            </w:r>
            <w:r w:rsidR="00CD4977" w:rsidRPr="00B571A2">
              <w:rPr>
                <w:rStyle w:val="BlueText"/>
                <w:rFonts w:cs="Arial"/>
                <w:color w:val="auto"/>
              </w:rPr>
              <w:t>]</w:t>
            </w:r>
          </w:p>
        </w:tc>
        <w:tc>
          <w:tcPr>
            <w:tcW w:w="4675" w:type="dxa"/>
          </w:tcPr>
          <w:p w14:paraId="45D4542D" w14:textId="0CDD42B7" w:rsidR="00CD4977" w:rsidRPr="00B33AA4" w:rsidRDefault="00CD4977" w:rsidP="002741CD">
            <w:pPr>
              <w:pStyle w:val="09Para"/>
              <w:spacing w:before="120" w:after="120"/>
            </w:pPr>
            <w:r w:rsidRPr="00B33AA4">
              <w:t>[</w:t>
            </w:r>
            <w:r w:rsidRPr="00B33AA4">
              <w:rPr>
                <w:rStyle w:val="BlueItalText"/>
                <w:rFonts w:cs="Arial"/>
              </w:rPr>
              <w:t>Indiquer les autres informations qui n’ont pas</w:t>
            </w:r>
            <w:r w:rsidR="004A7C66">
              <w:rPr>
                <w:rStyle w:val="BlueItalText"/>
                <w:rFonts w:cs="Arial"/>
              </w:rPr>
              <w:t> </w:t>
            </w:r>
            <w:r w:rsidRPr="00B33AA4">
              <w:rPr>
                <w:rStyle w:val="BlueItalText"/>
                <w:rFonts w:cs="Arial"/>
              </w:rPr>
              <w:t>été fournies avant la date du rapport de</w:t>
            </w:r>
            <w:r w:rsidR="004A7C66">
              <w:rPr>
                <w:rStyle w:val="BlueItalText"/>
                <w:rFonts w:cs="Arial"/>
              </w:rPr>
              <w:t> </w:t>
            </w:r>
            <w:r w:rsidRPr="00B33AA4">
              <w:rPr>
                <w:rStyle w:val="BlueItalText"/>
                <w:rFonts w:cs="Arial"/>
              </w:rPr>
              <w:t>l’auditeur</w:t>
            </w:r>
          </w:p>
          <w:p w14:paraId="7DAE154A" w14:textId="77777777" w:rsidR="00CD4977" w:rsidRPr="00B33AA4" w:rsidRDefault="00CD4977" w:rsidP="004C5215">
            <w:pPr>
              <w:pStyle w:val="09Para"/>
              <w:numPr>
                <w:ilvl w:val="0"/>
                <w:numId w:val="21"/>
              </w:numPr>
              <w:spacing w:before="0" w:after="0"/>
              <w:rPr>
                <w:rStyle w:val="BlueText"/>
                <w:rFonts w:cs="Arial"/>
              </w:rPr>
            </w:pPr>
            <w:r w:rsidRPr="00B33AA4">
              <w:rPr>
                <w:rStyle w:val="BlueText"/>
                <w:rFonts w:cs="Arial"/>
              </w:rPr>
              <w:t xml:space="preserve">Rapport de gestion </w:t>
            </w:r>
          </w:p>
          <w:p w14:paraId="1A73BB03" w14:textId="77777777" w:rsidR="00CD4977" w:rsidRPr="00B33AA4" w:rsidRDefault="00CD4977" w:rsidP="004C5215">
            <w:pPr>
              <w:pStyle w:val="09Para"/>
              <w:numPr>
                <w:ilvl w:val="0"/>
                <w:numId w:val="21"/>
              </w:numPr>
              <w:spacing w:before="0" w:after="0"/>
              <w:rPr>
                <w:rStyle w:val="BlueText"/>
                <w:rFonts w:cs="Arial"/>
              </w:rPr>
            </w:pPr>
            <w:r w:rsidRPr="00B33AA4">
              <w:rPr>
                <w:rStyle w:val="BlueText"/>
                <w:rFonts w:cs="Arial"/>
              </w:rPr>
              <w:t xml:space="preserve">Rapport annuel </w:t>
            </w:r>
          </w:p>
          <w:p w14:paraId="64DA10C5" w14:textId="77777777" w:rsidR="00CD4977" w:rsidRPr="00B33AA4" w:rsidRDefault="00CD4977" w:rsidP="004C5215">
            <w:pPr>
              <w:pStyle w:val="09Para"/>
              <w:numPr>
                <w:ilvl w:val="0"/>
                <w:numId w:val="21"/>
              </w:numPr>
              <w:spacing w:before="0" w:after="0"/>
              <w:rPr>
                <w:rStyle w:val="BlueText"/>
                <w:rFonts w:cs="Arial"/>
              </w:rPr>
            </w:pPr>
            <w:r w:rsidRPr="00B33AA4">
              <w:rPr>
                <w:rStyle w:val="BlueText"/>
                <w:rFonts w:cs="Arial"/>
              </w:rPr>
              <w:t>Commentaires et analyse des états financiers</w:t>
            </w:r>
          </w:p>
          <w:p w14:paraId="1CC235A0" w14:textId="08249046" w:rsidR="00CD4977" w:rsidRPr="00B33AA4" w:rsidRDefault="00205A7C" w:rsidP="004C5215">
            <w:pPr>
              <w:pStyle w:val="09Para"/>
              <w:numPr>
                <w:ilvl w:val="0"/>
                <w:numId w:val="21"/>
              </w:numPr>
              <w:spacing w:before="0" w:after="120"/>
              <w:rPr>
                <w:rFonts w:cs="Arial"/>
                <w:color w:val="0000FF"/>
              </w:rPr>
            </w:pPr>
            <w:r>
              <w:rPr>
                <w:rStyle w:val="BlueText"/>
                <w:rFonts w:cs="Arial"/>
              </w:rPr>
              <w:t>Autre</w:t>
            </w:r>
            <w:r w:rsidR="00CD4977" w:rsidRPr="00B571A2">
              <w:rPr>
                <w:rStyle w:val="BlueText"/>
                <w:rFonts w:cs="Arial"/>
                <w:color w:val="auto"/>
              </w:rPr>
              <w:t>]</w:t>
            </w:r>
          </w:p>
        </w:tc>
      </w:tr>
    </w:tbl>
    <w:p w14:paraId="6EB7E274" w14:textId="0062327F" w:rsidR="00CD4977" w:rsidRPr="00B33AA4" w:rsidRDefault="00CD4977" w:rsidP="00CD4977">
      <w:pPr>
        <w:pStyle w:val="09Para"/>
      </w:pPr>
      <w:r w:rsidRPr="00B33AA4">
        <w:t xml:space="preserve">Nous vous avons remis </w:t>
      </w:r>
      <w:r w:rsidR="008B49B0">
        <w:t>(</w:t>
      </w:r>
      <w:r w:rsidRPr="00B33AA4">
        <w:t>tous</w:t>
      </w:r>
      <w:r w:rsidR="008B49B0">
        <w:t>)</w:t>
      </w:r>
      <w:r w:rsidRPr="00B33AA4">
        <w:t xml:space="preserve"> le</w:t>
      </w:r>
      <w:r w:rsidR="008B49B0">
        <w:t>(</w:t>
      </w:r>
      <w:r w:rsidR="00CC2B01" w:rsidRPr="00B33AA4">
        <w:rPr>
          <w:rStyle w:val="BlueText"/>
          <w:rFonts w:cs="Arial"/>
        </w:rPr>
        <w:t>s</w:t>
      </w:r>
      <w:r w:rsidR="008B49B0">
        <w:t>)</w:t>
      </w:r>
      <w:r w:rsidRPr="00B33AA4">
        <w:t xml:space="preserve"> document</w:t>
      </w:r>
      <w:r w:rsidR="008B49B0">
        <w:t>(</w:t>
      </w:r>
      <w:r w:rsidR="00CC2B01" w:rsidRPr="00B33AA4">
        <w:rPr>
          <w:rStyle w:val="BlueText"/>
          <w:rFonts w:cs="Arial"/>
        </w:rPr>
        <w:t>s</w:t>
      </w:r>
      <w:r w:rsidR="008B49B0">
        <w:t>)</w:t>
      </w:r>
      <w:r w:rsidRPr="00B33AA4">
        <w:t xml:space="preserve"> ci-haut. Les états financiers </w:t>
      </w:r>
      <w:r w:rsidRPr="00B33AA4">
        <w:rPr>
          <w:rFonts w:cs="Arial"/>
        </w:rPr>
        <w:t>[</w:t>
      </w:r>
      <w:r w:rsidRPr="00B33AA4">
        <w:rPr>
          <w:rStyle w:val="BlueText"/>
          <w:rFonts w:cs="Arial"/>
        </w:rPr>
        <w:t>consolidés</w:t>
      </w:r>
      <w:r w:rsidRPr="00B33AA4">
        <w:rPr>
          <w:rFonts w:cs="Arial"/>
        </w:rPr>
        <w:t>]</w:t>
      </w:r>
      <w:r w:rsidRPr="00B33AA4">
        <w:t xml:space="preserve"> et les autres informations contenues dans ce(</w:t>
      </w:r>
      <w:r w:rsidR="006A3791" w:rsidRPr="00B33AA4">
        <w:rPr>
          <w:rStyle w:val="BlueText"/>
          <w:rFonts w:cs="Arial"/>
        </w:rPr>
        <w:t>s</w:t>
      </w:r>
      <w:r w:rsidRPr="00B33AA4">
        <w:t>) document(</w:t>
      </w:r>
      <w:r w:rsidR="006A3791" w:rsidRPr="00B33AA4">
        <w:rPr>
          <w:rStyle w:val="BlueText"/>
          <w:rFonts w:cs="Arial"/>
        </w:rPr>
        <w:t>s</w:t>
      </w:r>
      <w:r w:rsidRPr="00B33AA4">
        <w:t>) sont cohérents entre eux et les autres informations sont exempt</w:t>
      </w:r>
      <w:r w:rsidR="00D17C6D">
        <w:t>es d’anomalies significatives.</w:t>
      </w:r>
    </w:p>
    <w:p w14:paraId="4315AE4E" w14:textId="3AC26841" w:rsidR="00CD4977" w:rsidRPr="00B33AA4" w:rsidRDefault="00CD4977" w:rsidP="00F66B87">
      <w:pPr>
        <w:pStyle w:val="09Para"/>
      </w:pPr>
      <w:r w:rsidRPr="00B33AA4">
        <w:t>[</w:t>
      </w:r>
      <w:r w:rsidRPr="00B33AA4">
        <w:rPr>
          <w:i/>
          <w:color w:val="0000FF"/>
        </w:rPr>
        <w:t xml:space="preserve">Ajouter le paragraphe suivant si l’entité n’a pas fourni les autres informations qui contiendront ou accompagneront les états financiers </w:t>
      </w:r>
      <w:r w:rsidRPr="00F96EBA">
        <w:rPr>
          <w:i/>
        </w:rPr>
        <w:t>[</w:t>
      </w:r>
      <w:r w:rsidRPr="00B33AA4">
        <w:rPr>
          <w:i/>
          <w:color w:val="0000FF"/>
        </w:rPr>
        <w:t>consolidés</w:t>
      </w:r>
      <w:r w:rsidRPr="00F96EBA">
        <w:rPr>
          <w:i/>
        </w:rPr>
        <w:t>]</w:t>
      </w:r>
      <w:r w:rsidRPr="00B33AA4">
        <w:rPr>
          <w:i/>
          <w:color w:val="0000FF"/>
        </w:rPr>
        <w:t>.</w:t>
      </w:r>
      <w:r w:rsidRPr="00B33AA4">
        <w:t>]</w:t>
      </w:r>
      <w:r w:rsidRPr="00B33AA4">
        <w:rPr>
          <w:i/>
        </w:rPr>
        <w:t xml:space="preserve"> </w:t>
      </w:r>
      <w:r w:rsidRPr="00B33AA4">
        <w:t>En ce qui a trait au(x) document(s) qui ne</w:t>
      </w:r>
      <w:r w:rsidR="003F05AE">
        <w:t> </w:t>
      </w:r>
      <w:r w:rsidRPr="00B33AA4">
        <w:t xml:space="preserve">vous </w:t>
      </w:r>
      <w:r w:rsidR="002E6A78" w:rsidRPr="00B33AA4">
        <w:t>[a/</w:t>
      </w:r>
      <w:r w:rsidRPr="00B33AA4">
        <w:t>ont</w:t>
      </w:r>
      <w:r w:rsidR="002E6A78" w:rsidRPr="00B33AA4">
        <w:t>]</w:t>
      </w:r>
      <w:r w:rsidRPr="00B33AA4">
        <w:t xml:space="preserve"> pas été encore fourni</w:t>
      </w:r>
      <w:r w:rsidR="002E6A78" w:rsidRPr="00B33AA4">
        <w:t>(</w:t>
      </w:r>
      <w:r w:rsidRPr="00B33AA4">
        <w:t>s</w:t>
      </w:r>
      <w:r w:rsidR="002E6A78" w:rsidRPr="00B33AA4">
        <w:t>)</w:t>
      </w:r>
      <w:r w:rsidRPr="00B33AA4">
        <w:t xml:space="preserve">, nous prévoyons préparer ce(s) document(s) et vous le(s) fournir avant de le(s) publier, afin que vous puissiez parachever la mise en </w:t>
      </w:r>
      <w:r w:rsidR="008B49B0">
        <w:t xml:space="preserve">œuvre </w:t>
      </w:r>
      <w:r w:rsidRPr="00B33AA4">
        <w:t>des procédures, conf</w:t>
      </w:r>
      <w:r w:rsidR="009D3150">
        <w:t>ormément à vos responsabilités.</w:t>
      </w:r>
    </w:p>
    <w:p w14:paraId="31CCC964" w14:textId="03BF33F8" w:rsidR="00625EC0" w:rsidRPr="00B33AA4" w:rsidRDefault="009D3150" w:rsidP="00F66B87">
      <w:pPr>
        <w:pStyle w:val="Heading3"/>
      </w:pPr>
      <w:r>
        <w:t>Méthodes comptables</w:t>
      </w:r>
    </w:p>
    <w:p w14:paraId="1856E01D" w14:textId="5D2345BE" w:rsidR="00AA4392" w:rsidRPr="00B33AA4" w:rsidRDefault="00625EC0" w:rsidP="00F66B87">
      <w:pPr>
        <w:pStyle w:val="09Para"/>
      </w:pPr>
      <w:r w:rsidRPr="00B33AA4">
        <w:t>Nous confirmons que nous avons examiné les méthodes comptables de [</w:t>
      </w:r>
      <w:r w:rsidRPr="00B33AA4">
        <w:rPr>
          <w:color w:val="0000FF"/>
        </w:rPr>
        <w:t>Entité</w:t>
      </w:r>
      <w:r w:rsidRPr="00B33AA4">
        <w:t>] et que</w:t>
      </w:r>
      <w:r w:rsidR="00EC09EE" w:rsidRPr="00B33AA4">
        <w:t xml:space="preserve">, compte tenu des autres </w:t>
      </w:r>
      <w:r w:rsidRPr="00B33AA4">
        <w:t xml:space="preserve">méthodes </w:t>
      </w:r>
      <w:r w:rsidR="00EC09EE" w:rsidRPr="00B33AA4">
        <w:t xml:space="preserve">comptables </w:t>
      </w:r>
      <w:r w:rsidRPr="00B33AA4">
        <w:t xml:space="preserve">possibles, les méthodes comptables et </w:t>
      </w:r>
      <w:r w:rsidR="00EC09EE" w:rsidRPr="00B33AA4">
        <w:t xml:space="preserve">les </w:t>
      </w:r>
      <w:r w:rsidRPr="00B33AA4">
        <w:t xml:space="preserve">techniques </w:t>
      </w:r>
      <w:r w:rsidR="00F738BE" w:rsidRPr="00B33AA4">
        <w:t xml:space="preserve">pour établir les </w:t>
      </w:r>
      <w:r w:rsidRPr="00B33AA4">
        <w:t>estimation</w:t>
      </w:r>
      <w:r w:rsidR="00F738BE" w:rsidRPr="00B33AA4">
        <w:t>s</w:t>
      </w:r>
      <w:r w:rsidRPr="00B33AA4">
        <w:t xml:space="preserve"> que nous avons sélectionnées et appliquées aux fins de la préparation et de la présentation des états financiers </w:t>
      </w:r>
      <w:r w:rsidR="002E6A78" w:rsidRPr="00B33AA4">
        <w:t>[</w:t>
      </w:r>
      <w:r w:rsidR="002E6A78" w:rsidRPr="00B33AA4">
        <w:rPr>
          <w:color w:val="0000FF"/>
        </w:rPr>
        <w:t>consolidés</w:t>
      </w:r>
      <w:r w:rsidRPr="00B33AA4">
        <w:t>] sont appropriées aux circonstances propres à [</w:t>
      </w:r>
      <w:r w:rsidRPr="00B33AA4">
        <w:rPr>
          <w:color w:val="0000FF"/>
        </w:rPr>
        <w:t>Entité</w:t>
      </w:r>
      <w:r w:rsidRPr="00B33AA4">
        <w:t>].</w:t>
      </w:r>
    </w:p>
    <w:p w14:paraId="57E089C2" w14:textId="1E0F4F33" w:rsidR="001327A9" w:rsidRPr="00B33AA4" w:rsidRDefault="00432778" w:rsidP="00F66B87">
      <w:pPr>
        <w:pStyle w:val="09Para"/>
      </w:pPr>
      <w:r w:rsidRPr="00B33AA4">
        <w:t>[</w:t>
      </w:r>
      <w:r w:rsidRPr="00B33AA4">
        <w:rPr>
          <w:i/>
          <w:color w:val="0000FF"/>
        </w:rPr>
        <w:t>Ajouter le paragraphe suivant si l</w:t>
      </w:r>
      <w:r w:rsidR="00865E23" w:rsidRPr="00B33AA4">
        <w:rPr>
          <w:i/>
          <w:color w:val="0000FF"/>
        </w:rPr>
        <w:t>’</w:t>
      </w:r>
      <w:r w:rsidRPr="00B33AA4">
        <w:rPr>
          <w:i/>
          <w:color w:val="0000FF"/>
        </w:rPr>
        <w:t>entité a apporté des changements à ses méthodes comptables. Sinon, effacer le paragraphe au complet.</w:t>
      </w:r>
      <w:r w:rsidRPr="00B33AA4">
        <w:t>] Tout changement de méthode comptable adopté volontairement par [</w:t>
      </w:r>
      <w:r w:rsidRPr="00B33AA4">
        <w:rPr>
          <w:color w:val="0000FF"/>
        </w:rPr>
        <w:t>Entité</w:t>
      </w:r>
      <w:r w:rsidRPr="00B33AA4">
        <w:t>] pour l</w:t>
      </w:r>
      <w:r w:rsidR="00865E23" w:rsidRPr="00B33AA4">
        <w:t>’</w:t>
      </w:r>
      <w:r w:rsidRPr="00B33AA4">
        <w:t>exercice clos le [</w:t>
      </w:r>
      <w:r w:rsidRPr="00B33AA4">
        <w:rPr>
          <w:color w:val="0000FF"/>
        </w:rPr>
        <w:t>date de l</w:t>
      </w:r>
      <w:r w:rsidR="00865E23" w:rsidRPr="00B33AA4">
        <w:rPr>
          <w:color w:val="0000FF"/>
        </w:rPr>
        <w:t>’</w:t>
      </w:r>
      <w:r w:rsidRPr="00B33AA4">
        <w:rPr>
          <w:color w:val="0000FF"/>
        </w:rPr>
        <w:t>état de la situation financière</w:t>
      </w:r>
      <w:r w:rsidRPr="00B33AA4">
        <w:t>]</w:t>
      </w:r>
      <w:r w:rsidR="00F738BE" w:rsidRPr="00B33AA4">
        <w:t xml:space="preserve"> a pour effet de fournir </w:t>
      </w:r>
      <w:r w:rsidRPr="00B33AA4">
        <w:t>des informations fiables et plus pertinentes sur les effets des opérations,</w:t>
      </w:r>
      <w:r w:rsidRPr="00B33AA4" w:rsidDel="00983D7D">
        <w:t xml:space="preserve"> </w:t>
      </w:r>
      <w:r w:rsidR="00992EE7" w:rsidRPr="00B33AA4">
        <w:t>d’</w:t>
      </w:r>
      <w:r w:rsidRPr="00B33AA4">
        <w:t>autres événements ou conditions sur la situation financière, l</w:t>
      </w:r>
      <w:r w:rsidR="00BE6C23" w:rsidRPr="00B33AA4">
        <w:t xml:space="preserve">a performance financière </w:t>
      </w:r>
      <w:r w:rsidRPr="00B33AA4">
        <w:t>ou les</w:t>
      </w:r>
      <w:r w:rsidR="003F05AE">
        <w:t> </w:t>
      </w:r>
      <w:r w:rsidRPr="00B33AA4">
        <w:t>flux de trésorerie de [</w:t>
      </w:r>
      <w:r w:rsidRPr="00B33AA4">
        <w:rPr>
          <w:color w:val="0000FF"/>
        </w:rPr>
        <w:t>Entité</w:t>
      </w:r>
      <w:r w:rsidRPr="00B33AA4">
        <w:t xml:space="preserve">]. </w:t>
      </w:r>
      <w:r w:rsidRPr="00B33AA4">
        <w:rPr>
          <w:i/>
          <w:color w:val="0000FF"/>
        </w:rPr>
        <w:t>Choisir une des phrases suivantes :</w:t>
      </w:r>
      <w:r w:rsidRPr="00B33AA4">
        <w:t xml:space="preserve"> </w:t>
      </w:r>
      <w:r w:rsidR="002E6A78" w:rsidRPr="00B33AA4">
        <w:t>[</w:t>
      </w:r>
      <w:r w:rsidRPr="00B33AA4">
        <w:t>L</w:t>
      </w:r>
      <w:r w:rsidR="00EC09EE" w:rsidRPr="00B33AA4">
        <w:t xml:space="preserve">es </w:t>
      </w:r>
      <w:r w:rsidRPr="00B33AA4">
        <w:t>information</w:t>
      </w:r>
      <w:r w:rsidR="00EC09EE" w:rsidRPr="00B33AA4">
        <w:t>s</w:t>
      </w:r>
      <w:r w:rsidRPr="00B33AA4">
        <w:t xml:space="preserve"> comparative</w:t>
      </w:r>
      <w:r w:rsidR="00EC09EE" w:rsidRPr="00B33AA4">
        <w:t>s</w:t>
      </w:r>
      <w:r w:rsidRPr="00B33AA4">
        <w:t xml:space="preserve"> révisée</w:t>
      </w:r>
      <w:r w:rsidR="00EC09EE" w:rsidRPr="00B33AA4">
        <w:t>s</w:t>
      </w:r>
      <w:r w:rsidRPr="00B33AA4">
        <w:t xml:space="preserve"> découlant de l</w:t>
      </w:r>
      <w:r w:rsidR="00865E23" w:rsidRPr="00B33AA4">
        <w:t>’</w:t>
      </w:r>
      <w:r w:rsidRPr="00B33AA4">
        <w:t xml:space="preserve">application </w:t>
      </w:r>
      <w:r w:rsidR="00F738BE" w:rsidRPr="00B33AA4">
        <w:t xml:space="preserve">rétrospective </w:t>
      </w:r>
      <w:r w:rsidRPr="00B33AA4">
        <w:t>d</w:t>
      </w:r>
      <w:r w:rsidR="00865E23" w:rsidRPr="00B33AA4">
        <w:t>’</w:t>
      </w:r>
      <w:r w:rsidR="00992EE7" w:rsidRPr="00B33AA4">
        <w:t>un changement</w:t>
      </w:r>
      <w:r w:rsidR="00B33AA4">
        <w:t xml:space="preserve"> </w:t>
      </w:r>
      <w:r w:rsidR="00992EE7" w:rsidRPr="00B33AA4">
        <w:t xml:space="preserve">de </w:t>
      </w:r>
      <w:r w:rsidRPr="00B33AA4">
        <w:t>méthode comptable</w:t>
      </w:r>
      <w:r w:rsidR="00F738BE" w:rsidRPr="00B33AA4">
        <w:t xml:space="preserve"> </w:t>
      </w:r>
      <w:r w:rsidR="00EC09EE" w:rsidRPr="00B33AA4">
        <w:t xml:space="preserve">sont </w:t>
      </w:r>
      <w:r w:rsidRPr="00B33AA4">
        <w:t>complète</w:t>
      </w:r>
      <w:r w:rsidR="00EC09EE" w:rsidRPr="00B33AA4">
        <w:t>s</w:t>
      </w:r>
      <w:r w:rsidRPr="00B33AA4">
        <w:t xml:space="preserve"> et exacte</w:t>
      </w:r>
      <w:r w:rsidR="00EC09EE" w:rsidRPr="00B33AA4">
        <w:t>s</w:t>
      </w:r>
      <w:r w:rsidRPr="00B33AA4">
        <w:t>.</w:t>
      </w:r>
      <w:r w:rsidR="002E6A78" w:rsidRPr="00B33AA4">
        <w:t>]</w:t>
      </w:r>
      <w:r w:rsidRPr="00B33AA4">
        <w:t xml:space="preserve"> </w:t>
      </w:r>
      <w:r w:rsidRPr="00B33AA4">
        <w:rPr>
          <w:i/>
          <w:color w:val="0000FF"/>
        </w:rPr>
        <w:t>OU</w:t>
      </w:r>
      <w:r w:rsidRPr="00B33AA4">
        <w:t xml:space="preserve"> </w:t>
      </w:r>
      <w:r w:rsidR="002E6A78" w:rsidRPr="00B33AA4">
        <w:t>[</w:t>
      </w:r>
      <w:r w:rsidRPr="00B33AA4">
        <w:t>La direction a déterminé qu</w:t>
      </w:r>
      <w:r w:rsidR="00865E23" w:rsidRPr="00B33AA4">
        <w:t>’</w:t>
      </w:r>
      <w:r w:rsidRPr="00B33AA4">
        <w:t>il était impossible d</w:t>
      </w:r>
      <w:r w:rsidR="00865E23" w:rsidRPr="00B33AA4">
        <w:t>’</w:t>
      </w:r>
      <w:r w:rsidRPr="00B33AA4">
        <w:t>appliquer rétrospectivement l</w:t>
      </w:r>
      <w:r w:rsidR="00992EE7" w:rsidRPr="00B33AA4">
        <w:t xml:space="preserve">e changement de </w:t>
      </w:r>
      <w:r w:rsidRPr="00B33AA4">
        <w:t xml:space="preserve">méthode comptable, car </w:t>
      </w:r>
      <w:r w:rsidR="00992EE7" w:rsidRPr="00B33AA4">
        <w:t>(</w:t>
      </w:r>
      <w:r w:rsidRPr="00B33AA4">
        <w:rPr>
          <w:i/>
          <w:color w:val="0000FF"/>
        </w:rPr>
        <w:t>fournir les motifs, par</w:t>
      </w:r>
      <w:r w:rsidR="003F05AE">
        <w:rPr>
          <w:i/>
          <w:color w:val="0000FF"/>
        </w:rPr>
        <w:t> </w:t>
      </w:r>
      <w:r w:rsidRPr="00B33AA4">
        <w:rPr>
          <w:i/>
          <w:color w:val="0000FF"/>
        </w:rPr>
        <w:t>exemple</w:t>
      </w:r>
      <w:r w:rsidR="004E38E1" w:rsidRPr="00B33AA4">
        <w:rPr>
          <w:i/>
          <w:color w:val="0000FF"/>
        </w:rPr>
        <w:t> :</w:t>
      </w:r>
      <w:r w:rsidR="00992EE7" w:rsidRPr="00B33AA4">
        <w:rPr>
          <w:i/>
          <w:color w:val="0000FF"/>
        </w:rPr>
        <w:t xml:space="preserve"> </w:t>
      </w:r>
      <w:r w:rsidRPr="00B33AA4">
        <w:rPr>
          <w:i/>
          <w:color w:val="0000FF"/>
        </w:rPr>
        <w:t>aucune information n</w:t>
      </w:r>
      <w:r w:rsidR="00865E23" w:rsidRPr="00B33AA4">
        <w:rPr>
          <w:i/>
          <w:color w:val="0000FF"/>
        </w:rPr>
        <w:t>’</w:t>
      </w:r>
      <w:r w:rsidRPr="00B33AA4">
        <w:rPr>
          <w:i/>
          <w:color w:val="0000FF"/>
        </w:rPr>
        <w:t>est disponible; cela nécessiterait des hypothèses sur l</w:t>
      </w:r>
      <w:r w:rsidR="00865E23" w:rsidRPr="00B33AA4">
        <w:rPr>
          <w:i/>
          <w:color w:val="0000FF"/>
        </w:rPr>
        <w:t>’</w:t>
      </w:r>
      <w:r w:rsidRPr="00B33AA4">
        <w:rPr>
          <w:i/>
          <w:color w:val="0000FF"/>
        </w:rPr>
        <w:t>intention de la direction; cela nécessiterait des estimations importantes</w:t>
      </w:r>
      <w:r w:rsidR="00A854B3" w:rsidRPr="00B33AA4">
        <w:t>)</w:t>
      </w:r>
      <w:r w:rsidRPr="00B33AA4">
        <w:t>.</w:t>
      </w:r>
      <w:r w:rsidR="002E6A78" w:rsidRPr="00B33AA4">
        <w:t>]</w:t>
      </w:r>
      <w:r w:rsidRPr="00B33AA4">
        <w:t xml:space="preserve"> Cette position et les</w:t>
      </w:r>
      <w:r w:rsidR="003F05AE">
        <w:t> </w:t>
      </w:r>
      <w:r w:rsidRPr="00B33AA4">
        <w:t>circonstances qui ont mené à l</w:t>
      </w:r>
      <w:r w:rsidR="00865E23" w:rsidRPr="00B33AA4">
        <w:t>’</w:t>
      </w:r>
      <w:r w:rsidRPr="00B33AA4">
        <w:t>existence de cette situation, ainsi qu</w:t>
      </w:r>
      <w:r w:rsidR="00865E23" w:rsidRPr="00B33AA4">
        <w:t>’</w:t>
      </w:r>
      <w:r w:rsidRPr="00B33AA4">
        <w:t xml:space="preserve">une description de la </w:t>
      </w:r>
      <w:r w:rsidRPr="00B33AA4">
        <w:lastRenderedPageBreak/>
        <w:t xml:space="preserve">manière dont le changement de méthode comptable a été </w:t>
      </w:r>
      <w:r w:rsidR="00EC09EE" w:rsidRPr="00B33AA4">
        <w:t xml:space="preserve">appliqué </w:t>
      </w:r>
      <w:r w:rsidRPr="00B33AA4">
        <w:t>et du moment à partir duquel l</w:t>
      </w:r>
      <w:r w:rsidR="00992EE7" w:rsidRPr="00B33AA4">
        <w:t xml:space="preserve">e changement de </w:t>
      </w:r>
      <w:r w:rsidRPr="00B33AA4">
        <w:t>méthode a été appliqué</w:t>
      </w:r>
      <w:r w:rsidR="00E02790" w:rsidRPr="00B33AA4">
        <w:t>,</w:t>
      </w:r>
      <w:r w:rsidRPr="00B33AA4">
        <w:t xml:space="preserve"> ont été communiquées dans les notes </w:t>
      </w:r>
      <w:r w:rsidR="00EC09EE" w:rsidRPr="00B33AA4">
        <w:t xml:space="preserve">afférentes </w:t>
      </w:r>
      <w:r w:rsidRPr="00B33AA4">
        <w:t>aux états financiers [</w:t>
      </w:r>
      <w:r w:rsidRPr="00B33AA4">
        <w:rPr>
          <w:color w:val="0000FF"/>
        </w:rPr>
        <w:t>consolidés</w:t>
      </w:r>
      <w:r w:rsidRPr="00B33AA4">
        <w:t xml:space="preserve">]. Toutes les informations à fournir sur le changement de méthode comptable qui sont exigées </w:t>
      </w:r>
      <w:r w:rsidR="00F738BE" w:rsidRPr="00B33AA4">
        <w:t>par</w:t>
      </w:r>
      <w:r w:rsidRPr="00B33AA4">
        <w:t xml:space="preserve"> les </w:t>
      </w:r>
      <w:r w:rsidR="00BE6C23" w:rsidRPr="00B33AA4">
        <w:t>IFRS</w:t>
      </w:r>
      <w:r w:rsidRPr="00B33AA4">
        <w:t xml:space="preserve"> ont été communiquées par [</w:t>
      </w:r>
      <w:r w:rsidRPr="00B33AA4">
        <w:rPr>
          <w:color w:val="0000FF"/>
        </w:rPr>
        <w:t>Entité</w:t>
      </w:r>
      <w:r w:rsidRPr="00B33AA4">
        <w:t>] et sont complètes et exactes</w:t>
      </w:r>
      <w:r w:rsidR="001327A9" w:rsidRPr="00B33AA4">
        <w:t>.</w:t>
      </w:r>
    </w:p>
    <w:p w14:paraId="5C11AD6B" w14:textId="77777777" w:rsidR="00D46552" w:rsidRPr="00B33AA4" w:rsidRDefault="00D46552" w:rsidP="00F66B87">
      <w:pPr>
        <w:pStyle w:val="Heading3"/>
      </w:pPr>
      <w:r w:rsidRPr="00B33AA4">
        <w:t xml:space="preserve">Contrôle interne </w:t>
      </w:r>
      <w:r w:rsidR="00D62219" w:rsidRPr="00B33AA4">
        <w:t xml:space="preserve">sur </w:t>
      </w:r>
      <w:r w:rsidRPr="00B33AA4">
        <w:t>l</w:t>
      </w:r>
      <w:r w:rsidR="00865E23" w:rsidRPr="00B33AA4">
        <w:t>’</w:t>
      </w:r>
      <w:r w:rsidR="00C9394F" w:rsidRPr="00B33AA4">
        <w:t>information financière</w:t>
      </w:r>
    </w:p>
    <w:p w14:paraId="2D36C8D3" w14:textId="193AB9D4" w:rsidR="00D46552" w:rsidRPr="00B33AA4" w:rsidRDefault="00D46552" w:rsidP="00F66B87">
      <w:pPr>
        <w:pStyle w:val="09Para"/>
      </w:pPr>
      <w:r w:rsidRPr="00B33AA4">
        <w:t xml:space="preserve">Nous avons conçu des contrôles et des procédures </w:t>
      </w:r>
      <w:r w:rsidR="00EC09EE" w:rsidRPr="00B33AA4">
        <w:t xml:space="preserve">relatives aux </w:t>
      </w:r>
      <w:r w:rsidRPr="00B33AA4">
        <w:t>information</w:t>
      </w:r>
      <w:r w:rsidR="00EC09EE" w:rsidRPr="00B33AA4">
        <w:t>s à fournir</w:t>
      </w:r>
      <w:r w:rsidRPr="00B33AA4">
        <w:t xml:space="preserve"> </w:t>
      </w:r>
      <w:r w:rsidR="00EC09EE" w:rsidRPr="00B33AA4">
        <w:t xml:space="preserve">qui donnent </w:t>
      </w:r>
      <w:r w:rsidRPr="00B33AA4">
        <w:t>l</w:t>
      </w:r>
      <w:r w:rsidR="00865E23" w:rsidRPr="00B33AA4">
        <w:t>’</w:t>
      </w:r>
      <w:r w:rsidRPr="00B33AA4">
        <w:t>assurance que l</w:t>
      </w:r>
      <w:r w:rsidR="00D62219" w:rsidRPr="00B33AA4">
        <w:t xml:space="preserve">es </w:t>
      </w:r>
      <w:r w:rsidRPr="00B33AA4">
        <w:t>information</w:t>
      </w:r>
      <w:r w:rsidR="00D62219" w:rsidRPr="00B33AA4">
        <w:t xml:space="preserve">s </w:t>
      </w:r>
      <w:r w:rsidR="00EC09EE" w:rsidRPr="00B33AA4">
        <w:t xml:space="preserve">importantes </w:t>
      </w:r>
      <w:r w:rsidRPr="00B33AA4">
        <w:t>concernant [</w:t>
      </w:r>
      <w:r w:rsidRPr="00B33AA4">
        <w:rPr>
          <w:color w:val="0000FF"/>
        </w:rPr>
        <w:t>Entité</w:t>
      </w:r>
      <w:r w:rsidRPr="00B33AA4">
        <w:t>] [</w:t>
      </w:r>
      <w:r w:rsidRPr="00B33AA4">
        <w:rPr>
          <w:color w:val="0000FF"/>
        </w:rPr>
        <w:t>, y compris ses filiales consolidées,</w:t>
      </w:r>
      <w:r w:rsidRPr="00B33AA4">
        <w:t xml:space="preserve">] nous </w:t>
      </w:r>
      <w:r w:rsidR="00F738BE" w:rsidRPr="00B33AA4">
        <w:t xml:space="preserve">soient </w:t>
      </w:r>
      <w:r w:rsidR="006F742B" w:rsidRPr="00B33AA4">
        <w:t>communiquées</w:t>
      </w:r>
      <w:r w:rsidRPr="00B33AA4">
        <w:t xml:space="preserve"> par d</w:t>
      </w:r>
      <w:r w:rsidR="00865E23" w:rsidRPr="00B33AA4">
        <w:t>’</w:t>
      </w:r>
      <w:r w:rsidRPr="00B33AA4">
        <w:t>autres parties</w:t>
      </w:r>
      <w:r w:rsidR="00CC2B01">
        <w:t xml:space="preserve"> au sein de</w:t>
      </w:r>
      <w:r w:rsidRPr="00B33AA4">
        <w:t xml:space="preserve"> [</w:t>
      </w:r>
      <w:r w:rsidR="005535D1">
        <w:rPr>
          <w:color w:val="0000FF"/>
        </w:rPr>
        <w:t>E</w:t>
      </w:r>
      <w:r w:rsidRPr="00B33AA4">
        <w:rPr>
          <w:color w:val="0000FF"/>
        </w:rPr>
        <w:t>ntité</w:t>
      </w:r>
      <w:r w:rsidRPr="00B33AA4">
        <w:t>]</w:t>
      </w:r>
      <w:r w:rsidR="00B571A2">
        <w:t xml:space="preserve"> </w:t>
      </w:r>
      <w:r w:rsidR="00CC2B01" w:rsidRPr="00B33AA4">
        <w:t>[</w:t>
      </w:r>
      <w:r w:rsidR="00CC2B01">
        <w:rPr>
          <w:color w:val="0000FF"/>
        </w:rPr>
        <w:t>et de</w:t>
      </w:r>
      <w:r w:rsidR="00942893">
        <w:rPr>
          <w:color w:val="0000FF"/>
        </w:rPr>
        <w:t> </w:t>
      </w:r>
      <w:r w:rsidR="00CC2B01">
        <w:rPr>
          <w:color w:val="0000FF"/>
        </w:rPr>
        <w:t>ses</w:t>
      </w:r>
      <w:r w:rsidR="00CC2B01" w:rsidRPr="00B33AA4">
        <w:rPr>
          <w:color w:val="0000FF"/>
        </w:rPr>
        <w:t xml:space="preserve"> filiales consolidées</w:t>
      </w:r>
      <w:r w:rsidR="00F96EBA" w:rsidRPr="00F96EBA">
        <w:t>]</w:t>
      </w:r>
      <w:r w:rsidRPr="00B33AA4">
        <w:t>.</w:t>
      </w:r>
    </w:p>
    <w:p w14:paraId="29C31029" w14:textId="65E8C628" w:rsidR="00AA4392" w:rsidRPr="00B33AA4" w:rsidRDefault="00D46552" w:rsidP="00F66B87">
      <w:pPr>
        <w:pStyle w:val="09Para"/>
      </w:pPr>
      <w:r w:rsidRPr="00B33AA4">
        <w:t xml:space="preserve">Nous avons conçu </w:t>
      </w:r>
      <w:r w:rsidR="00EC09EE" w:rsidRPr="00B33AA4">
        <w:t>un</w:t>
      </w:r>
      <w:r w:rsidRPr="00B33AA4">
        <w:t xml:space="preserve"> contrôle interne </w:t>
      </w:r>
      <w:r w:rsidR="00380777" w:rsidRPr="00B33AA4">
        <w:t>à l’égard de</w:t>
      </w:r>
      <w:r w:rsidR="00D62219" w:rsidRPr="00B33AA4">
        <w:t xml:space="preserve"> </w:t>
      </w:r>
      <w:r w:rsidRPr="00B33AA4">
        <w:t>l</w:t>
      </w:r>
      <w:r w:rsidR="00865E23" w:rsidRPr="00B33AA4">
        <w:t>’</w:t>
      </w:r>
      <w:r w:rsidRPr="00B33AA4">
        <w:t xml:space="preserve">information financière </w:t>
      </w:r>
      <w:r w:rsidR="003D0A2D" w:rsidRPr="00B33AA4">
        <w:t xml:space="preserve">qui </w:t>
      </w:r>
      <w:r w:rsidRPr="00B33AA4">
        <w:t>fourni</w:t>
      </w:r>
      <w:r w:rsidR="003D0A2D" w:rsidRPr="00B33AA4">
        <w:t>t</w:t>
      </w:r>
      <w:r w:rsidRPr="00B33AA4">
        <w:t xml:space="preserve"> une assurance raisonnable que l</w:t>
      </w:r>
      <w:r w:rsidR="00865E23" w:rsidRPr="00B33AA4">
        <w:t>’</w:t>
      </w:r>
      <w:r w:rsidRPr="00B33AA4">
        <w:t>information financière est fiable et que les états financiers [</w:t>
      </w:r>
      <w:r w:rsidR="00CC2B01" w:rsidRPr="00B33AA4">
        <w:rPr>
          <w:color w:val="0000FF"/>
        </w:rPr>
        <w:t>consolidés</w:t>
      </w:r>
      <w:r w:rsidRPr="00B33AA4">
        <w:t>] ont été établis, aux fins de la publication de l</w:t>
      </w:r>
      <w:r w:rsidR="00865E23" w:rsidRPr="00B33AA4">
        <w:t>’</w:t>
      </w:r>
      <w:r w:rsidRPr="00B33AA4">
        <w:t xml:space="preserve">information financière, conformément aux </w:t>
      </w:r>
      <w:r w:rsidR="00AA4392" w:rsidRPr="00B33AA4">
        <w:t>IFRS.</w:t>
      </w:r>
    </w:p>
    <w:p w14:paraId="3B4FAFA4" w14:textId="77777777" w:rsidR="002E6A78" w:rsidRDefault="002E6A78" w:rsidP="00F66B87">
      <w:pPr>
        <w:pStyle w:val="09Para"/>
      </w:pPr>
      <w:r w:rsidRPr="00B33AA4">
        <w:t>Nous avons mis en place et maintenu des contrôles internes efficaces à l’égard de l’information financière.</w:t>
      </w:r>
    </w:p>
    <w:p w14:paraId="44039EB6" w14:textId="454BC67F" w:rsidR="00CC2B01" w:rsidRPr="00B33AA4" w:rsidRDefault="00CC2B01" w:rsidP="00F66B87">
      <w:pPr>
        <w:pStyle w:val="09Para"/>
      </w:pPr>
      <w:r w:rsidRPr="004D3F89">
        <w:rPr>
          <w:rFonts w:cs="Arial"/>
          <w:szCs w:val="24"/>
        </w:rPr>
        <w:t>Nous vous avons communiqué tous les changements apportés à la conception et à la mise</w:t>
      </w:r>
      <w:r w:rsidRPr="008510BA">
        <w:rPr>
          <w:rFonts w:cs="Arial"/>
          <w:szCs w:val="24"/>
        </w:rPr>
        <w:t xml:space="preserve"> en</w:t>
      </w:r>
      <w:r w:rsidR="00942893">
        <w:rPr>
          <w:rFonts w:cs="Arial"/>
          <w:szCs w:val="24"/>
        </w:rPr>
        <w:t> </w:t>
      </w:r>
      <w:r w:rsidRPr="008510BA">
        <w:rPr>
          <w:rFonts w:cs="Arial"/>
          <w:szCs w:val="24"/>
        </w:rPr>
        <w:t xml:space="preserve">œuvre ou </w:t>
      </w:r>
      <w:r w:rsidR="005535D1">
        <w:rPr>
          <w:rFonts w:cs="Arial"/>
          <w:szCs w:val="24"/>
        </w:rPr>
        <w:t xml:space="preserve">au maintien </w:t>
      </w:r>
      <w:r w:rsidRPr="008510BA">
        <w:rPr>
          <w:rFonts w:cs="Arial"/>
          <w:szCs w:val="24"/>
        </w:rPr>
        <w:t>du contr</w:t>
      </w:r>
      <w:r w:rsidRPr="004D3F89">
        <w:rPr>
          <w:rFonts w:cs="Arial"/>
          <w:szCs w:val="24"/>
        </w:rPr>
        <w:t xml:space="preserve">ôle interne </w:t>
      </w:r>
      <w:r w:rsidR="00850CE6">
        <w:rPr>
          <w:rFonts w:cs="Arial"/>
          <w:szCs w:val="24"/>
        </w:rPr>
        <w:t>à l’égard de</w:t>
      </w:r>
      <w:r w:rsidRPr="004D3F89">
        <w:rPr>
          <w:rFonts w:cs="Arial"/>
          <w:szCs w:val="24"/>
        </w:rPr>
        <w:t xml:space="preserve"> l’information financière pendant la période </w:t>
      </w:r>
      <w:r w:rsidR="00C55C35">
        <w:rPr>
          <w:rFonts w:cs="Arial"/>
          <w:szCs w:val="24"/>
        </w:rPr>
        <w:t xml:space="preserve">de </w:t>
      </w:r>
      <w:r w:rsidR="00990A57">
        <w:rPr>
          <w:rFonts w:cs="Arial"/>
          <w:szCs w:val="24"/>
        </w:rPr>
        <w:t>[</w:t>
      </w:r>
      <w:r w:rsidR="00990A57" w:rsidRPr="0073586F">
        <w:rPr>
          <w:color w:val="0000FF"/>
        </w:rPr>
        <w:t>date de clôture des états financiers de l’exercice</w:t>
      </w:r>
      <w:r w:rsidR="00DB5557" w:rsidRPr="0073586F">
        <w:rPr>
          <w:color w:val="0000FF"/>
        </w:rPr>
        <w:t xml:space="preserve"> antérieur</w:t>
      </w:r>
      <w:r w:rsidR="00990A57">
        <w:rPr>
          <w:rFonts w:cs="Arial"/>
          <w:szCs w:val="24"/>
        </w:rPr>
        <w:t>]</w:t>
      </w:r>
      <w:r w:rsidRPr="004D3F89">
        <w:rPr>
          <w:rFonts w:cs="Arial"/>
          <w:szCs w:val="24"/>
        </w:rPr>
        <w:t xml:space="preserve"> à la date de la présente lettre, dont nous avons eu connaissance. Nous estimons que</w:t>
      </w:r>
      <w:r w:rsidR="00B845B3" w:rsidRPr="004D3F89">
        <w:rPr>
          <w:rFonts w:cs="Arial"/>
          <w:szCs w:val="24"/>
        </w:rPr>
        <w:t xml:space="preserve"> le fonctionnement de</w:t>
      </w:r>
      <w:r w:rsidRPr="004D3F89">
        <w:rPr>
          <w:rFonts w:cs="Arial"/>
          <w:szCs w:val="24"/>
        </w:rPr>
        <w:t xml:space="preserve"> notre contrôle interne</w:t>
      </w:r>
      <w:r w:rsidR="00B845B3" w:rsidRPr="004D3F89">
        <w:rPr>
          <w:rFonts w:cs="Arial"/>
          <w:szCs w:val="24"/>
        </w:rPr>
        <w:t xml:space="preserve"> est </w:t>
      </w:r>
      <w:r w:rsidR="005535D1">
        <w:rPr>
          <w:rFonts w:cs="Arial"/>
          <w:szCs w:val="24"/>
        </w:rPr>
        <w:t xml:space="preserve">resté </w:t>
      </w:r>
      <w:r w:rsidR="00B845B3" w:rsidRPr="004D3F89">
        <w:rPr>
          <w:rFonts w:cs="Arial"/>
          <w:szCs w:val="24"/>
        </w:rPr>
        <w:t xml:space="preserve">efficace pendant </w:t>
      </w:r>
      <w:r w:rsidR="00205A7C">
        <w:rPr>
          <w:rFonts w:cs="Arial"/>
          <w:szCs w:val="24"/>
        </w:rPr>
        <w:t xml:space="preserve">cette </w:t>
      </w:r>
      <w:r w:rsidR="00B845B3" w:rsidRPr="004D3F89">
        <w:rPr>
          <w:rFonts w:cs="Arial"/>
          <w:szCs w:val="24"/>
        </w:rPr>
        <w:t>période</w:t>
      </w:r>
      <w:r w:rsidR="006F643E">
        <w:rPr>
          <w:rFonts w:cs="Arial"/>
          <w:szCs w:val="24"/>
        </w:rPr>
        <w:t>.</w:t>
      </w:r>
    </w:p>
    <w:p w14:paraId="793D01DB" w14:textId="77777777" w:rsidR="00722DED" w:rsidRPr="00B33AA4" w:rsidRDefault="00722DED" w:rsidP="003F05AE">
      <w:pPr>
        <w:pStyle w:val="09Para"/>
        <w:keepNext/>
      </w:pPr>
      <w:r w:rsidRPr="00B33AA4">
        <w:rPr>
          <w:i/>
          <w:color w:val="0000FF"/>
        </w:rPr>
        <w:t>Cho</w:t>
      </w:r>
      <w:r w:rsidR="00D46552" w:rsidRPr="00B33AA4">
        <w:rPr>
          <w:i/>
          <w:color w:val="0000FF"/>
        </w:rPr>
        <w:t>isir l</w:t>
      </w:r>
      <w:r w:rsidR="00865E23" w:rsidRPr="00B33AA4">
        <w:rPr>
          <w:i/>
          <w:color w:val="0000FF"/>
        </w:rPr>
        <w:t>’</w:t>
      </w:r>
      <w:r w:rsidR="00D46552" w:rsidRPr="00B33AA4">
        <w:rPr>
          <w:i/>
          <w:color w:val="0000FF"/>
        </w:rPr>
        <w:t>une ou l</w:t>
      </w:r>
      <w:r w:rsidR="00865E23" w:rsidRPr="00B33AA4">
        <w:rPr>
          <w:i/>
          <w:color w:val="0000FF"/>
        </w:rPr>
        <w:t>’</w:t>
      </w:r>
      <w:r w:rsidR="00D46552" w:rsidRPr="00B33AA4">
        <w:rPr>
          <w:i/>
          <w:color w:val="0000FF"/>
        </w:rPr>
        <w:t>autre des phrases suivantes :</w:t>
      </w:r>
    </w:p>
    <w:p w14:paraId="347D2146" w14:textId="734ACA61" w:rsidR="00D46552" w:rsidRPr="00B33AA4" w:rsidRDefault="00D7108F" w:rsidP="00F66B87">
      <w:pPr>
        <w:pStyle w:val="09Para"/>
      </w:pPr>
      <w:r w:rsidRPr="00B33AA4">
        <w:t xml:space="preserve">[Nous vous avons signalé toutes les déficiences </w:t>
      </w:r>
      <w:r w:rsidR="00205A7C">
        <w:t xml:space="preserve">dont nous avons connaissance </w:t>
      </w:r>
      <w:r w:rsidRPr="00B33AA4">
        <w:t>dans la conception ou le fonctionnement des contrôles et des procédures de [</w:t>
      </w:r>
      <w:r w:rsidRPr="00B33AA4">
        <w:rPr>
          <w:color w:val="0000FF"/>
        </w:rPr>
        <w:t>Entité</w:t>
      </w:r>
      <w:r w:rsidRPr="00B33AA4">
        <w:t>] relatifs aux informations financières à fournir ainsi que du contrôle interne à l’égard de l’information financière.</w:t>
      </w:r>
      <w:r w:rsidR="009A27C2" w:rsidRPr="00B33AA4">
        <w:t>]</w:t>
      </w:r>
    </w:p>
    <w:p w14:paraId="3F7257DE" w14:textId="77777777" w:rsidR="00D46552" w:rsidRPr="00B33AA4" w:rsidRDefault="00D46552" w:rsidP="00F66B87">
      <w:pPr>
        <w:pStyle w:val="09Para"/>
        <w:rPr>
          <w:i/>
        </w:rPr>
      </w:pPr>
      <w:r w:rsidRPr="00B33AA4">
        <w:rPr>
          <w:i/>
          <w:color w:val="0000FF"/>
        </w:rPr>
        <w:t>OU</w:t>
      </w:r>
    </w:p>
    <w:p w14:paraId="20A1A688" w14:textId="20476D90" w:rsidR="00D46552" w:rsidRPr="00B33AA4" w:rsidRDefault="005B77D8" w:rsidP="00F66B87">
      <w:pPr>
        <w:pStyle w:val="09Para"/>
      </w:pPr>
      <w:r w:rsidRPr="00B33AA4">
        <w:t>[Nous n’avons relevé aucune déficience dans la conception ou le fonctionnement des contrôles et des procédures de [</w:t>
      </w:r>
      <w:r w:rsidRPr="00B33AA4">
        <w:rPr>
          <w:color w:val="0000FF"/>
        </w:rPr>
        <w:t>Entité</w:t>
      </w:r>
      <w:r w:rsidRPr="00B33AA4">
        <w:t>] relatifs aux informations financières à fournir ainsi que du contrôle interne à l’égard de l’information financière.</w:t>
      </w:r>
      <w:r w:rsidR="009A27C2" w:rsidRPr="00B33AA4">
        <w:t>]</w:t>
      </w:r>
    </w:p>
    <w:p w14:paraId="747E82CC" w14:textId="77777777" w:rsidR="002E6A78" w:rsidRPr="00B33AA4" w:rsidRDefault="002E6A78" w:rsidP="002E6A78">
      <w:pPr>
        <w:pStyle w:val="Heading3"/>
      </w:pPr>
      <w:bookmarkStart w:id="0" w:name="eXC_Paragraph_120"/>
      <w:r w:rsidRPr="00B33AA4">
        <w:t>Procès-verbaux</w:t>
      </w:r>
      <w:bookmarkEnd w:id="0"/>
    </w:p>
    <w:p w14:paraId="346CD2AE" w14:textId="686B7D8C" w:rsidR="002E6A78" w:rsidRPr="00B33AA4" w:rsidRDefault="002E6A78" w:rsidP="002E6A78">
      <w:pPr>
        <w:pStyle w:val="09Para"/>
      </w:pPr>
      <w:r w:rsidRPr="00B33AA4">
        <w:rPr>
          <w:rFonts w:cs="Arial"/>
        </w:rPr>
        <w:t>Toutes les questions devant être communiquées au [</w:t>
      </w:r>
      <w:r w:rsidRPr="00B33AA4">
        <w:rPr>
          <w:rStyle w:val="BlueText"/>
        </w:rPr>
        <w:t>conseil d’administration ou l’équivalent</w:t>
      </w:r>
      <w:r w:rsidRPr="00B33AA4">
        <w:rPr>
          <w:rFonts w:cs="Arial"/>
        </w:rPr>
        <w:t>] ou</w:t>
      </w:r>
      <w:r w:rsidR="003614BC">
        <w:rPr>
          <w:rFonts w:cs="Arial"/>
        </w:rPr>
        <w:t> </w:t>
      </w:r>
      <w:r w:rsidRPr="00B33AA4">
        <w:rPr>
          <w:rFonts w:cs="Arial"/>
        </w:rPr>
        <w:t>être approuvées par le [</w:t>
      </w:r>
      <w:r w:rsidRPr="00B33AA4">
        <w:rPr>
          <w:rStyle w:val="BlueText"/>
        </w:rPr>
        <w:t>conseil d’administration ou l’équivalent</w:t>
      </w:r>
      <w:r w:rsidRPr="00B33AA4">
        <w:rPr>
          <w:rFonts w:cs="Arial"/>
        </w:rPr>
        <w:t>] ont été portées à l’attention de [</w:t>
      </w:r>
      <w:r w:rsidRPr="00B33AA4">
        <w:rPr>
          <w:rStyle w:val="BlueText"/>
        </w:rPr>
        <w:t>celui-ci</w:t>
      </w:r>
      <w:r w:rsidRPr="00B33AA4">
        <w:rPr>
          <w:rFonts w:cs="Arial"/>
        </w:rPr>
        <w:t xml:space="preserve">] lors des réunions appropriées et sont </w:t>
      </w:r>
      <w:r w:rsidR="008B49B0">
        <w:rPr>
          <w:rFonts w:cs="Arial"/>
        </w:rPr>
        <w:t>consignées</w:t>
      </w:r>
      <w:r w:rsidRPr="00B33AA4">
        <w:rPr>
          <w:rFonts w:cs="Arial"/>
        </w:rPr>
        <w:t xml:space="preserve"> dans les procès-verbaux.</w:t>
      </w:r>
    </w:p>
    <w:p w14:paraId="4DDB3FBE" w14:textId="77777777" w:rsidR="00AA4392" w:rsidRPr="00B33AA4" w:rsidRDefault="003D0A2D" w:rsidP="00F66B87">
      <w:pPr>
        <w:pStyle w:val="Heading3"/>
      </w:pPr>
      <w:r w:rsidRPr="00B33AA4">
        <w:lastRenderedPageBreak/>
        <w:t>I</w:t>
      </w:r>
      <w:r w:rsidR="00AA4392" w:rsidRPr="00B33AA4">
        <w:t>nformation</w:t>
      </w:r>
      <w:r w:rsidRPr="00B33AA4">
        <w:t>s à fournir</w:t>
      </w:r>
    </w:p>
    <w:p w14:paraId="6F293064" w14:textId="77777777" w:rsidR="009160DF" w:rsidRPr="00B33AA4" w:rsidRDefault="009160DF" w:rsidP="00D71184">
      <w:pPr>
        <w:pStyle w:val="09Para"/>
        <w:keepNext/>
        <w:keepLines/>
      </w:pPr>
      <w:r w:rsidRPr="00B33AA4">
        <w:t>Nous vous avons fourni :</w:t>
      </w:r>
    </w:p>
    <w:p w14:paraId="1A325A67" w14:textId="77777777" w:rsidR="009160DF" w:rsidRDefault="009160DF" w:rsidP="00E434FB">
      <w:pPr>
        <w:pStyle w:val="09ParaBullet1"/>
      </w:pPr>
      <w:r w:rsidRPr="00B33AA4">
        <w:t>un accès à toutes les informations dont nous avons connaissance et qui sont pertinentes pour la préparation des états financiers [</w:t>
      </w:r>
      <w:r w:rsidRPr="00B33AA4">
        <w:rPr>
          <w:color w:val="0000FF"/>
        </w:rPr>
        <w:t>consolidés</w:t>
      </w:r>
      <w:r w:rsidRPr="00B33AA4">
        <w:t>], notamment les documents comptables, les pièces justificatives et d</w:t>
      </w:r>
      <w:r w:rsidR="00865E23" w:rsidRPr="00B33AA4">
        <w:t>’</w:t>
      </w:r>
      <w:r w:rsidRPr="00B33AA4">
        <w:t>autres éléments d</w:t>
      </w:r>
      <w:r w:rsidR="00865E23" w:rsidRPr="00B33AA4">
        <w:t>’</w:t>
      </w:r>
      <w:r w:rsidRPr="00B33AA4">
        <w:t>information, y compris :</w:t>
      </w:r>
    </w:p>
    <w:p w14:paraId="18C2CE74" w14:textId="76A7952B" w:rsidR="009160DF" w:rsidRPr="00B33AA4" w:rsidRDefault="00884E52" w:rsidP="00E434FB">
      <w:pPr>
        <w:pStyle w:val="09ParaBullet2"/>
      </w:pPr>
      <w:r>
        <w:t xml:space="preserve">tous </w:t>
      </w:r>
      <w:r w:rsidR="009160DF" w:rsidRPr="00B33AA4">
        <w:t xml:space="preserve">les </w:t>
      </w:r>
      <w:r>
        <w:t xml:space="preserve">documents </w:t>
      </w:r>
      <w:r w:rsidR="000053A7">
        <w:t>comptables</w:t>
      </w:r>
      <w:r w:rsidR="00080BD0">
        <w:t xml:space="preserve"> </w:t>
      </w:r>
      <w:r w:rsidR="009160DF" w:rsidRPr="00B33AA4">
        <w:t xml:space="preserve">et </w:t>
      </w:r>
      <w:r w:rsidR="00080BD0">
        <w:t xml:space="preserve">les </w:t>
      </w:r>
      <w:r w:rsidR="009160DF" w:rsidRPr="00B33AA4">
        <w:t xml:space="preserve">données </w:t>
      </w:r>
      <w:r w:rsidR="003D0A2D" w:rsidRPr="00B33AA4">
        <w:t>connexes</w:t>
      </w:r>
      <w:r w:rsidR="009160DF" w:rsidRPr="00B33AA4">
        <w:t>;</w:t>
      </w:r>
    </w:p>
    <w:p w14:paraId="0476F1FD" w14:textId="77777777" w:rsidR="009160DF" w:rsidRPr="00B33AA4" w:rsidRDefault="00CA3304" w:rsidP="00E434FB">
      <w:pPr>
        <w:pStyle w:val="09ParaBullet2"/>
      </w:pPr>
      <w:r w:rsidRPr="00B33AA4">
        <w:t>des renseignements sur les opérations et les accords importants qui ne s’inscrivent pas dans le cours normal des activités</w:t>
      </w:r>
      <w:r w:rsidR="009160DF" w:rsidRPr="00B33AA4">
        <w:t>;</w:t>
      </w:r>
    </w:p>
    <w:p w14:paraId="622E3313" w14:textId="5E142059" w:rsidR="009160DF" w:rsidRPr="00B33AA4" w:rsidRDefault="009160DF" w:rsidP="00E434FB">
      <w:pPr>
        <w:pStyle w:val="09ParaBullet2"/>
      </w:pPr>
      <w:r w:rsidRPr="00B33AA4">
        <w:t>les procès</w:t>
      </w:r>
      <w:r w:rsidR="00E02790" w:rsidRPr="00B33AA4">
        <w:noBreakHyphen/>
      </w:r>
      <w:r w:rsidRPr="00B33AA4">
        <w:t>verbaux des réunions du conseil</w:t>
      </w:r>
      <w:r w:rsidR="00CA3304" w:rsidRPr="00B33AA4">
        <w:t xml:space="preserve"> </w:t>
      </w:r>
      <w:r w:rsidRPr="00B33AA4">
        <w:t>d</w:t>
      </w:r>
      <w:r w:rsidR="00865E23" w:rsidRPr="00B33AA4">
        <w:t>’</w:t>
      </w:r>
      <w:r w:rsidRPr="00B33AA4">
        <w:t>administration, des comités relevant du</w:t>
      </w:r>
      <w:r w:rsidR="00942893">
        <w:t> </w:t>
      </w:r>
      <w:r w:rsidRPr="00B33AA4">
        <w:t>conseil d</w:t>
      </w:r>
      <w:r w:rsidR="00865E23" w:rsidRPr="00B33AA4">
        <w:t>’</w:t>
      </w:r>
      <w:r w:rsidRPr="00B33AA4">
        <w:t>administration et de la direction [</w:t>
      </w:r>
      <w:r w:rsidRPr="00983100">
        <w:rPr>
          <w:i/>
          <w:color w:val="0000FF"/>
        </w:rPr>
        <w:t>modifier le nom des comités, si nécessaire</w:t>
      </w:r>
      <w:r w:rsidRPr="00B33AA4">
        <w:t>]. Les dernières réunions ont été tenues [</w:t>
      </w:r>
      <w:r w:rsidRPr="00983100">
        <w:rPr>
          <w:i/>
          <w:color w:val="0000FF"/>
        </w:rPr>
        <w:t xml:space="preserve">indiquer les dates </w:t>
      </w:r>
      <w:r w:rsidR="003D0A2D" w:rsidRPr="00983100">
        <w:rPr>
          <w:i/>
          <w:color w:val="0000FF"/>
        </w:rPr>
        <w:t xml:space="preserve">des </w:t>
      </w:r>
      <w:r w:rsidRPr="00983100">
        <w:rPr>
          <w:i/>
          <w:color w:val="0000FF"/>
        </w:rPr>
        <w:t>réunion</w:t>
      </w:r>
      <w:r w:rsidR="003D0A2D" w:rsidRPr="00983100">
        <w:rPr>
          <w:i/>
          <w:color w:val="0000FF"/>
        </w:rPr>
        <w:t>s</w:t>
      </w:r>
      <w:r w:rsidR="00942893">
        <w:rPr>
          <w:i/>
          <w:color w:val="0000FF"/>
        </w:rPr>
        <w:t> </w:t>
      </w:r>
      <w:r w:rsidR="003D0A2D" w:rsidRPr="00983100">
        <w:rPr>
          <w:i/>
          <w:color w:val="0000FF"/>
        </w:rPr>
        <w:t>par groupe</w:t>
      </w:r>
      <w:r w:rsidRPr="00B33AA4">
        <w:t>]</w:t>
      </w:r>
      <w:r w:rsidR="003124C3" w:rsidRPr="003124C3">
        <w:t>.</w:t>
      </w:r>
    </w:p>
    <w:p w14:paraId="216A5AA3" w14:textId="77777777" w:rsidR="009160DF" w:rsidRPr="00B33AA4" w:rsidRDefault="009160DF" w:rsidP="004C5215">
      <w:pPr>
        <w:pStyle w:val="09ParaBullet1"/>
        <w:numPr>
          <w:ilvl w:val="0"/>
          <w:numId w:val="24"/>
        </w:numPr>
      </w:pPr>
      <w:r w:rsidRPr="00B33AA4">
        <w:t>les informations additionnelles que vous nous avez demandées aux fins de l</w:t>
      </w:r>
      <w:r w:rsidR="00865E23" w:rsidRPr="00B33AA4">
        <w:t>’</w:t>
      </w:r>
      <w:r w:rsidRPr="00B33AA4">
        <w:t xml:space="preserve">audit; </w:t>
      </w:r>
    </w:p>
    <w:p w14:paraId="0823E6ED" w14:textId="2F64AD77" w:rsidR="009160DF" w:rsidRPr="00B33AA4" w:rsidRDefault="009160DF" w:rsidP="004C5215">
      <w:pPr>
        <w:pStyle w:val="09ParaBullet1"/>
        <w:numPr>
          <w:ilvl w:val="0"/>
          <w:numId w:val="24"/>
        </w:numPr>
      </w:pPr>
      <w:r w:rsidRPr="00B33AA4">
        <w:t>un accès sans restriction aux personnes, au sein de</w:t>
      </w:r>
      <w:r w:rsidR="00B845B3">
        <w:t xml:space="preserve"> </w:t>
      </w:r>
      <w:r w:rsidR="00B845B3" w:rsidRPr="00871F3A">
        <w:t>[Entité]</w:t>
      </w:r>
      <w:r w:rsidRPr="00B33AA4">
        <w:t>, auprès de qui il fallait, selon vous, obtenir des éléments probants.</w:t>
      </w:r>
    </w:p>
    <w:p w14:paraId="645EBF0E" w14:textId="5A189DF9" w:rsidR="009160DF" w:rsidRPr="00B33AA4" w:rsidRDefault="009D3150" w:rsidP="00F66B87">
      <w:pPr>
        <w:pStyle w:val="Heading3"/>
      </w:pPr>
      <w:r>
        <w:t>Exhaustivité des opérations</w:t>
      </w:r>
    </w:p>
    <w:p w14:paraId="21D45554" w14:textId="54799924" w:rsidR="00AA4392" w:rsidRPr="00B33AA4" w:rsidRDefault="009160DF" w:rsidP="00F66B87">
      <w:pPr>
        <w:pStyle w:val="09Para"/>
      </w:pPr>
      <w:r w:rsidRPr="00B33AA4">
        <w:t xml:space="preserve">Tous les </w:t>
      </w:r>
      <w:r w:rsidR="00691B90" w:rsidRPr="00B33AA4">
        <w:t xml:space="preserve">accords </w:t>
      </w:r>
      <w:r w:rsidRPr="00B33AA4">
        <w:t>contractuels conclus par [</w:t>
      </w:r>
      <w:r w:rsidRPr="00B33AA4">
        <w:rPr>
          <w:color w:val="0000FF"/>
        </w:rPr>
        <w:t>Entité</w:t>
      </w:r>
      <w:r w:rsidRPr="00B33AA4">
        <w:t xml:space="preserve">] avec des tiers ont été </w:t>
      </w:r>
      <w:r w:rsidR="00691B90" w:rsidRPr="00B33AA4">
        <w:t xml:space="preserve">présentés </w:t>
      </w:r>
      <w:r w:rsidRPr="00B33AA4">
        <w:t>de façon appropriée dans les documents comptables et, le cas échéant, nous vous avons communiqué les</w:t>
      </w:r>
      <w:r w:rsidR="00691B90" w:rsidRPr="00B33AA4">
        <w:t xml:space="preserve"> accords </w:t>
      </w:r>
      <w:r w:rsidRPr="00B33AA4">
        <w:t>contractuels importants (ou susceptibles d</w:t>
      </w:r>
      <w:r w:rsidR="00865E23" w:rsidRPr="00B33AA4">
        <w:t>’</w:t>
      </w:r>
      <w:r w:rsidRPr="00B33AA4">
        <w:t>être</w:t>
      </w:r>
      <w:r w:rsidR="000E15AC" w:rsidRPr="00B33AA4">
        <w:t xml:space="preserve"> importants</w:t>
      </w:r>
      <w:r w:rsidRPr="00B33AA4">
        <w:t>) par rapport aux états financiers [</w:t>
      </w:r>
      <w:r w:rsidRPr="00B33AA4">
        <w:rPr>
          <w:color w:val="0000FF"/>
        </w:rPr>
        <w:t>consolidés</w:t>
      </w:r>
      <w:r w:rsidRPr="00B33AA4">
        <w:t xml:space="preserve">]. </w:t>
      </w:r>
      <w:r w:rsidR="002E6A78" w:rsidRPr="00B33AA4">
        <w:t>[</w:t>
      </w:r>
      <w:r w:rsidR="002E6A78" w:rsidRPr="00B33AA4">
        <w:rPr>
          <w:color w:val="0000FF"/>
        </w:rPr>
        <w:t>Entité</w:t>
      </w:r>
      <w:r w:rsidR="002E6A78" w:rsidRPr="00B33AA4">
        <w:t xml:space="preserve">] </w:t>
      </w:r>
      <w:r w:rsidR="00691B90" w:rsidRPr="00B33AA4">
        <w:t xml:space="preserve">a respecté </w:t>
      </w:r>
      <w:r w:rsidR="00C030AE" w:rsidRPr="00B33AA4">
        <w:t xml:space="preserve">toutes </w:t>
      </w:r>
      <w:r w:rsidR="00691B90" w:rsidRPr="00B33AA4">
        <w:t xml:space="preserve">les clauses des accords </w:t>
      </w:r>
      <w:r w:rsidRPr="00B33AA4">
        <w:t>contractuels</w:t>
      </w:r>
      <w:r w:rsidR="00691B90" w:rsidRPr="00B33AA4">
        <w:t xml:space="preserve"> dont le</w:t>
      </w:r>
      <w:r w:rsidR="00942893">
        <w:t> </w:t>
      </w:r>
      <w:r w:rsidR="00691B90" w:rsidRPr="00B33AA4">
        <w:t>non</w:t>
      </w:r>
      <w:r w:rsidR="00E02790" w:rsidRPr="00B33AA4">
        <w:noBreakHyphen/>
      </w:r>
      <w:r w:rsidR="00691B90" w:rsidRPr="00B33AA4">
        <w:t xml:space="preserve">respect pourrait </w:t>
      </w:r>
      <w:r w:rsidRPr="00B33AA4">
        <w:t>avoir une incidence significative sur</w:t>
      </w:r>
      <w:r w:rsidR="006D653B" w:rsidRPr="00B33AA4">
        <w:t xml:space="preserve"> </w:t>
      </w:r>
      <w:r w:rsidRPr="00B33AA4">
        <w:t>les états financiers [</w:t>
      </w:r>
      <w:r w:rsidRPr="00B33AA4">
        <w:rPr>
          <w:color w:val="0000FF"/>
        </w:rPr>
        <w:t>consolidés</w:t>
      </w:r>
      <w:r w:rsidRPr="00B33AA4">
        <w:t>]</w:t>
      </w:r>
      <w:r w:rsidR="00AA4392" w:rsidRPr="00B33AA4">
        <w:t xml:space="preserve">. </w:t>
      </w:r>
      <w:r w:rsidR="002E6A78" w:rsidRPr="00B33AA4">
        <w:t>Toutes les conventions accessoires et autres ententes (qu’elles soient écrites ou verbales) vous</w:t>
      </w:r>
      <w:r w:rsidR="00942893">
        <w:t> </w:t>
      </w:r>
      <w:r w:rsidR="002E6A78" w:rsidRPr="00B33AA4">
        <w:t>ont été communiquées, le cas échéant.</w:t>
      </w:r>
    </w:p>
    <w:p w14:paraId="69DA37CD" w14:textId="77777777" w:rsidR="00AA4392" w:rsidRPr="00B33AA4" w:rsidRDefault="00AA4392" w:rsidP="00F66B87">
      <w:pPr>
        <w:pStyle w:val="Heading3"/>
      </w:pPr>
      <w:r w:rsidRPr="00B33AA4">
        <w:t>Fraud</w:t>
      </w:r>
      <w:r w:rsidR="009160DF" w:rsidRPr="00B33AA4">
        <w:t>e</w:t>
      </w:r>
    </w:p>
    <w:p w14:paraId="739BADD4" w14:textId="77777777" w:rsidR="009160DF" w:rsidRPr="00B33AA4" w:rsidRDefault="009160DF" w:rsidP="00D71184">
      <w:pPr>
        <w:pStyle w:val="09Para"/>
        <w:keepNext/>
        <w:keepLines/>
      </w:pPr>
      <w:r w:rsidRPr="00B33AA4">
        <w:t>Nous vous avons communiqué :</w:t>
      </w:r>
    </w:p>
    <w:p w14:paraId="36688F9C" w14:textId="77777777" w:rsidR="009160DF" w:rsidRPr="00B33AA4" w:rsidRDefault="009160DF" w:rsidP="000E4CFF">
      <w:pPr>
        <w:pStyle w:val="09ParaBullet1"/>
      </w:pPr>
      <w:r w:rsidRPr="00B33AA4">
        <w:t>les résultats de notre évaluation du risque que les états financiers [</w:t>
      </w:r>
      <w:r w:rsidRPr="00B33AA4">
        <w:rPr>
          <w:color w:val="0000FF"/>
        </w:rPr>
        <w:t>consolidés</w:t>
      </w:r>
      <w:r w:rsidRPr="00B33AA4">
        <w:t>] puissent contenir des anomalies significatives résultant de fraudes;</w:t>
      </w:r>
    </w:p>
    <w:p w14:paraId="645A153B" w14:textId="61265F13" w:rsidR="009160DF" w:rsidRPr="00B33AA4" w:rsidRDefault="009160DF" w:rsidP="000E4CFF">
      <w:pPr>
        <w:pStyle w:val="09ParaBullet1"/>
      </w:pPr>
      <w:r w:rsidRPr="00B33AA4">
        <w:t>toutes les informations sur les fraudes avérées ou suspectées dont nous avons connaissance concernant [</w:t>
      </w:r>
      <w:r w:rsidRPr="00B33AA4">
        <w:rPr>
          <w:color w:val="0000FF"/>
        </w:rPr>
        <w:t>Entité</w:t>
      </w:r>
      <w:r w:rsidRPr="00B33AA4">
        <w:t xml:space="preserve">] et impliquant la </w:t>
      </w:r>
      <w:r w:rsidR="00080BD0">
        <w:t xml:space="preserve">haute </w:t>
      </w:r>
      <w:r w:rsidRPr="00B33AA4">
        <w:t xml:space="preserve">direction, </w:t>
      </w:r>
      <w:r w:rsidR="00080BD0">
        <w:t xml:space="preserve">la direction, </w:t>
      </w:r>
      <w:r w:rsidRPr="00B33AA4">
        <w:t>des employés ayant un rôle important dans le contrôle interne ou d</w:t>
      </w:r>
      <w:r w:rsidR="00865E23" w:rsidRPr="00B33AA4">
        <w:t>’</w:t>
      </w:r>
      <w:r w:rsidRPr="00B33AA4">
        <w:t>autres personnes dès lors que la fraude pourrait avoir un effet significatif sur les états financiers [</w:t>
      </w:r>
      <w:r w:rsidRPr="00B33AA4">
        <w:rPr>
          <w:color w:val="0000FF"/>
        </w:rPr>
        <w:t>consolidés</w:t>
      </w:r>
      <w:r w:rsidR="009D3150">
        <w:t>];</w:t>
      </w:r>
    </w:p>
    <w:p w14:paraId="6EED7629" w14:textId="77777777" w:rsidR="009160DF" w:rsidRPr="00B33AA4" w:rsidRDefault="009160DF" w:rsidP="000E4CFF">
      <w:pPr>
        <w:pStyle w:val="09ParaBullet1"/>
      </w:pPr>
      <w:r w:rsidRPr="00B33AA4">
        <w:t xml:space="preserve">toutes les informations relatives aux allégations </w:t>
      </w:r>
      <w:r w:rsidR="00010512" w:rsidRPr="00B33AA4">
        <w:t xml:space="preserve">ou aux soupçons </w:t>
      </w:r>
      <w:r w:rsidR="00AB799E" w:rsidRPr="00B33AA4">
        <w:t xml:space="preserve">de fraudes </w:t>
      </w:r>
      <w:r w:rsidRPr="00B33AA4">
        <w:t>ayant une incidence sur les états financiers [</w:t>
      </w:r>
      <w:r w:rsidRPr="00B33AA4">
        <w:rPr>
          <w:color w:val="0000FF"/>
        </w:rPr>
        <w:t>consolidés</w:t>
      </w:r>
      <w:r w:rsidRPr="00B33AA4">
        <w:t>] de [</w:t>
      </w:r>
      <w:r w:rsidRPr="00B33AA4">
        <w:rPr>
          <w:color w:val="0000FF"/>
        </w:rPr>
        <w:t>Entité</w:t>
      </w:r>
      <w:r w:rsidRPr="00B33AA4">
        <w:t>] qui ont été porté</w:t>
      </w:r>
      <w:r w:rsidR="00AB799E" w:rsidRPr="00B33AA4">
        <w:t>e</w:t>
      </w:r>
      <w:r w:rsidRPr="00B33AA4">
        <w:t>s à notre connaissance par des employés, d</w:t>
      </w:r>
      <w:r w:rsidR="00865E23" w:rsidRPr="00B33AA4">
        <w:t>’</w:t>
      </w:r>
      <w:r w:rsidRPr="00B33AA4">
        <w:t>anciens employés, des analystes, des autorités de réglementation</w:t>
      </w:r>
      <w:r w:rsidR="002E6A78" w:rsidRPr="00B33AA4">
        <w:t>, des investisseurs</w:t>
      </w:r>
      <w:r w:rsidRPr="00B33AA4">
        <w:t xml:space="preserve"> ou d</w:t>
      </w:r>
      <w:r w:rsidR="00865E23" w:rsidRPr="00B33AA4">
        <w:t>’</w:t>
      </w:r>
      <w:r w:rsidRPr="00B33AA4">
        <w:t>autres personnes.</w:t>
      </w:r>
    </w:p>
    <w:p w14:paraId="26DAFB28" w14:textId="77777777" w:rsidR="009160DF" w:rsidRPr="00B33AA4" w:rsidRDefault="009160DF" w:rsidP="00F66B87">
      <w:pPr>
        <w:pStyle w:val="Heading3"/>
      </w:pPr>
      <w:r w:rsidRPr="00B33AA4">
        <w:lastRenderedPageBreak/>
        <w:t>Conformité aux textes légaux et réglementaires</w:t>
      </w:r>
    </w:p>
    <w:p w14:paraId="39E1F58A" w14:textId="77777777" w:rsidR="009160DF" w:rsidRPr="00B33AA4" w:rsidRDefault="009160DF" w:rsidP="00F66B87">
      <w:pPr>
        <w:pStyle w:val="09Para"/>
      </w:pPr>
      <w:r w:rsidRPr="00B33AA4">
        <w:t xml:space="preserve">Nous vous avons </w:t>
      </w:r>
      <w:r w:rsidR="003F497F" w:rsidRPr="00B33AA4">
        <w:t xml:space="preserve">signalé </w:t>
      </w:r>
      <w:r w:rsidRPr="00B33AA4">
        <w:t xml:space="preserve">tous les aspects des textes légaux et réglementaires et des </w:t>
      </w:r>
      <w:r w:rsidR="00AB799E" w:rsidRPr="00B33AA4">
        <w:t xml:space="preserve">accords </w:t>
      </w:r>
      <w:r w:rsidRPr="00B33AA4">
        <w:t>contractuels susceptibles d</w:t>
      </w:r>
      <w:r w:rsidR="00865E23" w:rsidRPr="00B33AA4">
        <w:t>’</w:t>
      </w:r>
      <w:r w:rsidRPr="00B33AA4">
        <w:t>avoir une incidence sur les états financiers [</w:t>
      </w:r>
      <w:r w:rsidRPr="00B33AA4">
        <w:rPr>
          <w:color w:val="0000FF"/>
        </w:rPr>
        <w:t>consolidés</w:t>
      </w:r>
      <w:r w:rsidRPr="00B33AA4">
        <w:t xml:space="preserve">], y compris </w:t>
      </w:r>
      <w:r w:rsidR="00725003" w:rsidRPr="00B33AA4">
        <w:t xml:space="preserve">tous </w:t>
      </w:r>
      <w:r w:rsidRPr="00B33AA4">
        <w:t>les cas</w:t>
      </w:r>
      <w:r w:rsidR="00EC0D3B" w:rsidRPr="00B33AA4">
        <w:t xml:space="preserve"> avérés </w:t>
      </w:r>
      <w:r w:rsidRPr="00B33AA4">
        <w:t xml:space="preserve">ou </w:t>
      </w:r>
      <w:r w:rsidR="00EC0D3B" w:rsidRPr="00B33AA4">
        <w:t xml:space="preserve">suspectés </w:t>
      </w:r>
      <w:r w:rsidRPr="00B33AA4">
        <w:t>de non</w:t>
      </w:r>
      <w:r w:rsidR="00187BD5" w:rsidRPr="00B33AA4">
        <w:noBreakHyphen/>
      </w:r>
      <w:r w:rsidRPr="00B33AA4">
        <w:t xml:space="preserve">conformité aux textes légaux et réglementaires dont les conséquences devraient être prises en compte lors de </w:t>
      </w:r>
      <w:r w:rsidR="00AB799E" w:rsidRPr="00B33AA4">
        <w:t xml:space="preserve">la préparation </w:t>
      </w:r>
      <w:r w:rsidRPr="00B33AA4">
        <w:t>des états financiers [</w:t>
      </w:r>
      <w:r w:rsidRPr="00B33AA4">
        <w:rPr>
          <w:color w:val="0000FF"/>
        </w:rPr>
        <w:t>consolidés</w:t>
      </w:r>
      <w:r w:rsidRPr="00B33AA4">
        <w:t>].</w:t>
      </w:r>
    </w:p>
    <w:p w14:paraId="2C9577F7" w14:textId="77777777" w:rsidR="009160DF" w:rsidRPr="00B33AA4" w:rsidRDefault="009160DF" w:rsidP="00F66B87">
      <w:pPr>
        <w:pStyle w:val="09Para"/>
      </w:pPr>
      <w:r w:rsidRPr="00B33AA4">
        <w:t>Nous n</w:t>
      </w:r>
      <w:r w:rsidR="00865E23" w:rsidRPr="00B33AA4">
        <w:t>’</w:t>
      </w:r>
      <w:r w:rsidRPr="00B33AA4">
        <w:t>avons connaissance d</w:t>
      </w:r>
      <w:r w:rsidR="00865E23" w:rsidRPr="00B33AA4">
        <w:t>’</w:t>
      </w:r>
      <w:r w:rsidRPr="00B33AA4">
        <w:t>aucun acte illégal ou potentiellement illégal commis par des administrateurs</w:t>
      </w:r>
      <w:r w:rsidR="00F63DAF" w:rsidRPr="00B33AA4">
        <w:t xml:space="preserve"> ou</w:t>
      </w:r>
      <w:r w:rsidRPr="00B33AA4">
        <w:t xml:space="preserve"> des dirigeants </w:t>
      </w:r>
      <w:r w:rsidR="00F63DAF" w:rsidRPr="00B33AA4">
        <w:t>de [</w:t>
      </w:r>
      <w:r w:rsidR="00F63DAF" w:rsidRPr="00B33AA4">
        <w:rPr>
          <w:color w:val="0000FF"/>
        </w:rPr>
        <w:t>Entité</w:t>
      </w:r>
      <w:r w:rsidR="00F63DAF" w:rsidRPr="00B33AA4">
        <w:t xml:space="preserve">] </w:t>
      </w:r>
      <w:r w:rsidRPr="00B33AA4">
        <w:t xml:space="preserve">ou des employés agissant </w:t>
      </w:r>
      <w:r w:rsidR="00F63DAF" w:rsidRPr="00B33AA4">
        <w:t>en son</w:t>
      </w:r>
      <w:r w:rsidRPr="00B33AA4">
        <w:t xml:space="preserve"> nom</w:t>
      </w:r>
      <w:r w:rsidR="00F63DAF" w:rsidRPr="00B33AA4">
        <w:t>.</w:t>
      </w:r>
      <w:r w:rsidRPr="00B33AA4">
        <w:t xml:space="preserve"> [</w:t>
      </w:r>
      <w:r w:rsidRPr="00B33AA4">
        <w:rPr>
          <w:i/>
          <w:color w:val="0000FF"/>
        </w:rPr>
        <w:t>S</w:t>
      </w:r>
      <w:r w:rsidR="00865E23" w:rsidRPr="00B33AA4">
        <w:rPr>
          <w:i/>
          <w:color w:val="0000FF"/>
        </w:rPr>
        <w:t>’</w:t>
      </w:r>
      <w:r w:rsidRPr="00B33AA4">
        <w:rPr>
          <w:i/>
          <w:color w:val="0000FF"/>
        </w:rPr>
        <w:t>il existe des actes illégaux ou potentiellement illégaux, remplacer la phrase précédente par la suivante :</w:t>
      </w:r>
      <w:r w:rsidR="00FE5D62" w:rsidRPr="00B33AA4">
        <w:t xml:space="preserve"> </w:t>
      </w:r>
      <w:r w:rsidRPr="00B33AA4">
        <w:rPr>
          <w:color w:val="0000FF"/>
        </w:rPr>
        <w:t>Nous vous avons communiqué tous les faits se rapportant aux actes illégaux ou potentiellement illégaux commis par</w:t>
      </w:r>
      <w:r w:rsidRPr="00B33AA4">
        <w:t xml:space="preserve"> [</w:t>
      </w:r>
      <w:r w:rsidRPr="00B33AA4">
        <w:rPr>
          <w:color w:val="0000FF"/>
        </w:rPr>
        <w:t>Entité</w:t>
      </w:r>
      <w:r w:rsidRPr="00B33AA4">
        <w:t>]</w:t>
      </w:r>
      <w:r w:rsidRPr="00B33AA4">
        <w:rPr>
          <w:color w:val="0000FF"/>
        </w:rPr>
        <w:t>, y compris…</w:t>
      </w:r>
      <w:r w:rsidRPr="00B33AA4">
        <w:t>]</w:t>
      </w:r>
    </w:p>
    <w:p w14:paraId="7D28077C" w14:textId="2FB8D761" w:rsidR="00725003" w:rsidRPr="00B33AA4" w:rsidRDefault="00762734" w:rsidP="00725003">
      <w:pPr>
        <w:pStyle w:val="09Para"/>
      </w:pPr>
      <w:r w:rsidRPr="00D17C6D">
        <w:rPr>
          <w:rFonts w:cs="Arial"/>
          <w:color w:val="222222"/>
        </w:rPr>
        <w:t>Il n'y a eu aucune communication d'organismes de réglementation concernant le non-respect ou</w:t>
      </w:r>
      <w:r w:rsidR="003F05AE">
        <w:rPr>
          <w:rFonts w:cs="Arial"/>
          <w:color w:val="222222"/>
        </w:rPr>
        <w:t> </w:t>
      </w:r>
      <w:r w:rsidRPr="00D17C6D">
        <w:rPr>
          <w:rFonts w:cs="Arial"/>
          <w:color w:val="222222"/>
        </w:rPr>
        <w:t>les lacunes dans les pratiques d'information financière.</w:t>
      </w:r>
      <w:r w:rsidR="00725003" w:rsidRPr="00B33AA4">
        <w:t xml:space="preserve"> [</w:t>
      </w:r>
      <w:r w:rsidR="00725003" w:rsidRPr="00B33AA4">
        <w:rPr>
          <w:rStyle w:val="BlueItalText"/>
          <w:rFonts w:cs="Arial"/>
        </w:rPr>
        <w:t>S’il y a eu une communication d’organismes de réglementation concernant le non-respect, remplacer la phrase précédente par</w:t>
      </w:r>
      <w:r w:rsidR="003F05AE">
        <w:rPr>
          <w:rStyle w:val="BlueItalText"/>
          <w:rFonts w:cs="Arial"/>
        </w:rPr>
        <w:t> </w:t>
      </w:r>
      <w:r w:rsidR="00725003" w:rsidRPr="00B33AA4">
        <w:rPr>
          <w:rStyle w:val="BlueItalText"/>
          <w:rFonts w:cs="Arial"/>
        </w:rPr>
        <w:t xml:space="preserve">ce qui suit : </w:t>
      </w:r>
      <w:r w:rsidR="00725003" w:rsidRPr="00B33AA4">
        <w:rPr>
          <w:rStyle w:val="BlueText"/>
          <w:rFonts w:cs="Arial"/>
        </w:rPr>
        <w:t xml:space="preserve">Nous vous avons </w:t>
      </w:r>
      <w:r w:rsidR="00EA0FF1">
        <w:rPr>
          <w:rStyle w:val="BlueText"/>
          <w:rFonts w:cs="Arial"/>
        </w:rPr>
        <w:t>transmis</w:t>
      </w:r>
      <w:r w:rsidR="00725003" w:rsidRPr="00B33AA4">
        <w:rPr>
          <w:rStyle w:val="BlueText"/>
          <w:rFonts w:cs="Arial"/>
        </w:rPr>
        <w:t xml:space="preserve"> toutes les communications d’organismes de réglementation concernant des cas de non-respect ou des lacunes dans les pratiques d’information financière.</w:t>
      </w:r>
      <w:r w:rsidR="00725003" w:rsidRPr="00B33AA4">
        <w:rPr>
          <w:rFonts w:cs="Arial"/>
        </w:rPr>
        <w:t>]</w:t>
      </w:r>
    </w:p>
    <w:p w14:paraId="2CAB5296" w14:textId="593ADD59" w:rsidR="009160DF" w:rsidRPr="00B33AA4" w:rsidRDefault="009160DF" w:rsidP="00F66B87">
      <w:pPr>
        <w:pStyle w:val="09Para"/>
      </w:pPr>
      <w:r w:rsidRPr="00B33AA4">
        <w:t>Toutes les opérations de [</w:t>
      </w:r>
      <w:r w:rsidRPr="00B33AA4">
        <w:rPr>
          <w:color w:val="0000FF"/>
        </w:rPr>
        <w:t>Entité</w:t>
      </w:r>
      <w:r w:rsidRPr="00B33AA4">
        <w:t>] ont été effectuées dans le cadre de ses pouvoirs légaux et de sa loi habilitante. [</w:t>
      </w:r>
      <w:r w:rsidRPr="00B33AA4">
        <w:rPr>
          <w:color w:val="0000FF"/>
        </w:rPr>
        <w:t>Entité</w:t>
      </w:r>
      <w:r w:rsidRPr="00B33AA4">
        <w:t xml:space="preserve">] </w:t>
      </w:r>
      <w:r w:rsidR="00F63DAF" w:rsidRPr="00B33AA4">
        <w:t xml:space="preserve">a </w:t>
      </w:r>
      <w:r w:rsidR="00BA6DF3" w:rsidRPr="00B33AA4">
        <w:t>satisfait aux</w:t>
      </w:r>
      <w:r w:rsidR="00F63DAF" w:rsidRPr="00B33AA4">
        <w:t xml:space="preserve"> </w:t>
      </w:r>
      <w:r w:rsidRPr="00B33AA4">
        <w:t>exigences de [</w:t>
      </w:r>
      <w:r w:rsidR="00BA6DF3" w:rsidRPr="00B33AA4">
        <w:rPr>
          <w:i/>
          <w:color w:val="0000FF"/>
        </w:rPr>
        <w:t>I</w:t>
      </w:r>
      <w:r w:rsidRPr="00B33AA4">
        <w:rPr>
          <w:i/>
          <w:color w:val="0000FF"/>
        </w:rPr>
        <w:t>ndiquer les autorisations législatives auxquelles l</w:t>
      </w:r>
      <w:r w:rsidR="00865E23" w:rsidRPr="00B33AA4">
        <w:rPr>
          <w:i/>
          <w:color w:val="0000FF"/>
        </w:rPr>
        <w:t>’</w:t>
      </w:r>
      <w:r w:rsidRPr="00B33AA4">
        <w:rPr>
          <w:i/>
          <w:color w:val="0000FF"/>
        </w:rPr>
        <w:t>entité doit se conformer. Si le rapport de l</w:t>
      </w:r>
      <w:r w:rsidR="00865E23" w:rsidRPr="00B33AA4">
        <w:rPr>
          <w:i/>
          <w:color w:val="0000FF"/>
        </w:rPr>
        <w:t>’</w:t>
      </w:r>
      <w:r w:rsidRPr="00B33AA4">
        <w:rPr>
          <w:i/>
          <w:color w:val="0000FF"/>
        </w:rPr>
        <w:t>auditeur comporte une opinion sur la</w:t>
      </w:r>
      <w:r w:rsidR="003F05AE">
        <w:rPr>
          <w:i/>
          <w:color w:val="0000FF"/>
        </w:rPr>
        <w:t> </w:t>
      </w:r>
      <w:r w:rsidRPr="00B33AA4">
        <w:rPr>
          <w:i/>
          <w:color w:val="0000FF"/>
        </w:rPr>
        <w:t>conformité aux autorisations, indiquer ici les autorisations mentionnées dans le rapport. Autrement, indiquer les autorisations législatives importantes qui gouvernent l</w:t>
      </w:r>
      <w:r w:rsidR="00865E23" w:rsidRPr="00B33AA4">
        <w:rPr>
          <w:i/>
          <w:color w:val="0000FF"/>
        </w:rPr>
        <w:t>’</w:t>
      </w:r>
      <w:r w:rsidRPr="00B33AA4">
        <w:rPr>
          <w:i/>
          <w:color w:val="0000FF"/>
        </w:rPr>
        <w:t>entité. L</w:t>
      </w:r>
      <w:r w:rsidR="00865E23" w:rsidRPr="00B33AA4">
        <w:rPr>
          <w:i/>
          <w:color w:val="0000FF"/>
        </w:rPr>
        <w:t>’</w:t>
      </w:r>
      <w:r w:rsidRPr="00B33AA4">
        <w:rPr>
          <w:i/>
          <w:color w:val="0000FF"/>
        </w:rPr>
        <w:t>exemple suivant concerne les sociétés d</w:t>
      </w:r>
      <w:r w:rsidR="00865E23" w:rsidRPr="00B33AA4">
        <w:rPr>
          <w:i/>
          <w:color w:val="0000FF"/>
        </w:rPr>
        <w:t>’</w:t>
      </w:r>
      <w:r w:rsidRPr="00B33AA4">
        <w:rPr>
          <w:i/>
          <w:color w:val="0000FF"/>
        </w:rPr>
        <w:t>État</w:t>
      </w:r>
      <w:r w:rsidR="00A854B3" w:rsidRPr="00B33AA4">
        <w:rPr>
          <w:i/>
          <w:color w:val="0000FF"/>
        </w:rPr>
        <w:t>.</w:t>
      </w:r>
      <w:r w:rsidR="00A854B3" w:rsidRPr="00B33AA4">
        <w:t>]</w:t>
      </w:r>
      <w:r w:rsidR="00FE5D62" w:rsidRPr="00B33AA4">
        <w:t xml:space="preserve"> </w:t>
      </w:r>
      <w:r w:rsidR="00D02AE3">
        <w:t>L</w:t>
      </w:r>
      <w:r w:rsidRPr="00B33AA4">
        <w:t xml:space="preserve">a partie X de la </w:t>
      </w:r>
      <w:r w:rsidRPr="00B33AA4">
        <w:rPr>
          <w:i/>
        </w:rPr>
        <w:t xml:space="preserve">Loi sur la gestion des finances publiques </w:t>
      </w:r>
      <w:r w:rsidRPr="00B33AA4">
        <w:t xml:space="preserve">et </w:t>
      </w:r>
      <w:r w:rsidR="00BA6DF3" w:rsidRPr="00B33AA4">
        <w:t xml:space="preserve">de </w:t>
      </w:r>
      <w:r w:rsidRPr="00B33AA4">
        <w:t xml:space="preserve">ses règlements, </w:t>
      </w:r>
      <w:r w:rsidR="00BA6DF3" w:rsidRPr="00B33AA4">
        <w:t xml:space="preserve">de </w:t>
      </w:r>
      <w:r w:rsidRPr="00B33AA4">
        <w:t xml:space="preserve">la </w:t>
      </w:r>
      <w:r w:rsidRPr="00B33AA4">
        <w:rPr>
          <w:i/>
        </w:rPr>
        <w:t xml:space="preserve">Loi </w:t>
      </w:r>
      <w:r w:rsidRPr="00B33AA4">
        <w:t>[</w:t>
      </w:r>
      <w:r w:rsidRPr="00B33AA4">
        <w:rPr>
          <w:color w:val="0000FF"/>
        </w:rPr>
        <w:t>habilitante de l</w:t>
      </w:r>
      <w:r w:rsidR="00865E23" w:rsidRPr="00B33AA4">
        <w:rPr>
          <w:color w:val="0000FF"/>
        </w:rPr>
        <w:t>’</w:t>
      </w:r>
      <w:r w:rsidRPr="00B33AA4">
        <w:rPr>
          <w:color w:val="0000FF"/>
        </w:rPr>
        <w:t>entité</w:t>
      </w:r>
      <w:r w:rsidRPr="00B33AA4">
        <w:t>] [</w:t>
      </w:r>
      <w:r w:rsidRPr="00B33AA4">
        <w:rPr>
          <w:color w:val="0000FF"/>
        </w:rPr>
        <w:t xml:space="preserve">et </w:t>
      </w:r>
      <w:r w:rsidR="00BA6DF3" w:rsidRPr="00B33AA4">
        <w:rPr>
          <w:color w:val="0000FF"/>
        </w:rPr>
        <w:t xml:space="preserve">de </w:t>
      </w:r>
      <w:r w:rsidRPr="00B33AA4">
        <w:rPr>
          <w:color w:val="0000FF"/>
        </w:rPr>
        <w:t>ses règlements</w:t>
      </w:r>
      <w:r w:rsidRPr="00B33AA4">
        <w:t xml:space="preserve">] et </w:t>
      </w:r>
      <w:r w:rsidR="00BA6DF3" w:rsidRPr="00B33AA4">
        <w:t>d</w:t>
      </w:r>
      <w:r w:rsidR="00F63DAF" w:rsidRPr="00B33AA4">
        <w:t xml:space="preserve">es </w:t>
      </w:r>
      <w:r w:rsidRPr="00B33AA4">
        <w:t>règlements administratifs de [</w:t>
      </w:r>
      <w:r w:rsidRPr="00B33AA4">
        <w:rPr>
          <w:color w:val="0000FF"/>
        </w:rPr>
        <w:t>Entité</w:t>
      </w:r>
      <w:r w:rsidRPr="00B33AA4">
        <w:t>], [</w:t>
      </w:r>
      <w:r w:rsidRPr="00B33AA4">
        <w:rPr>
          <w:i/>
          <w:color w:val="0000FF"/>
        </w:rPr>
        <w:t>s</w:t>
      </w:r>
      <w:r w:rsidR="00865E23" w:rsidRPr="00B33AA4">
        <w:rPr>
          <w:i/>
          <w:color w:val="0000FF"/>
        </w:rPr>
        <w:t>’</w:t>
      </w:r>
      <w:r w:rsidRPr="00B33AA4">
        <w:rPr>
          <w:i/>
          <w:color w:val="0000FF"/>
        </w:rPr>
        <w:t>il y a lieu, ajouter :</w:t>
      </w:r>
      <w:r w:rsidRPr="00B33AA4">
        <w:t xml:space="preserve"> </w:t>
      </w:r>
      <w:r w:rsidRPr="00B33AA4">
        <w:rPr>
          <w:color w:val="0000FF"/>
        </w:rPr>
        <w:t>ainsi qu</w:t>
      </w:r>
      <w:r w:rsidR="00F63DAF" w:rsidRPr="00B33AA4">
        <w:rPr>
          <w:color w:val="0000FF"/>
        </w:rPr>
        <w:t xml:space="preserve">e </w:t>
      </w:r>
      <w:r w:rsidR="00EF2E5E" w:rsidRPr="00B33AA4">
        <w:rPr>
          <w:color w:val="0000FF"/>
        </w:rPr>
        <w:t xml:space="preserve">de </w:t>
      </w:r>
      <w:r w:rsidRPr="00B33AA4">
        <w:rPr>
          <w:color w:val="0000FF"/>
        </w:rPr>
        <w:t xml:space="preserve">toutes </w:t>
      </w:r>
      <w:r w:rsidR="00F63DAF" w:rsidRPr="00B33AA4">
        <w:rPr>
          <w:color w:val="0000FF"/>
        </w:rPr>
        <w:t xml:space="preserve">les </w:t>
      </w:r>
      <w:r w:rsidRPr="00B33AA4">
        <w:rPr>
          <w:color w:val="0000FF"/>
        </w:rPr>
        <w:t xml:space="preserve">instructions qui lui </w:t>
      </w:r>
      <w:r w:rsidR="00F63DAF" w:rsidRPr="00B33AA4">
        <w:rPr>
          <w:color w:val="0000FF"/>
        </w:rPr>
        <w:t>ont</w:t>
      </w:r>
      <w:r w:rsidRPr="00B33AA4">
        <w:rPr>
          <w:color w:val="0000FF"/>
        </w:rPr>
        <w:t xml:space="preserve"> été données en vertu de l</w:t>
      </w:r>
      <w:r w:rsidR="00865E23" w:rsidRPr="00B33AA4">
        <w:rPr>
          <w:color w:val="0000FF"/>
        </w:rPr>
        <w:t>’</w:t>
      </w:r>
      <w:r w:rsidRPr="00B33AA4">
        <w:rPr>
          <w:color w:val="0000FF"/>
        </w:rPr>
        <w:t>article</w:t>
      </w:r>
      <w:r w:rsidR="00EF2E5E" w:rsidRPr="00B33AA4">
        <w:rPr>
          <w:color w:val="0000FF"/>
        </w:rPr>
        <w:t> </w:t>
      </w:r>
      <w:r w:rsidRPr="00B33AA4">
        <w:rPr>
          <w:color w:val="0000FF"/>
        </w:rPr>
        <w:t xml:space="preserve">89 de la </w:t>
      </w:r>
      <w:r w:rsidRPr="00B33AA4">
        <w:rPr>
          <w:i/>
          <w:color w:val="0000FF"/>
        </w:rPr>
        <w:t>Loi sur la gestion des finances publiques</w:t>
      </w:r>
      <w:r w:rsidR="009D3150">
        <w:t>].</w:t>
      </w:r>
    </w:p>
    <w:p w14:paraId="438C17F6" w14:textId="4A5EDB72" w:rsidR="00AF2C5A" w:rsidRDefault="009160DF" w:rsidP="00F66B87">
      <w:pPr>
        <w:pStyle w:val="09Para"/>
      </w:pPr>
      <w:r w:rsidRPr="00B33AA4">
        <w:t>Nous n</w:t>
      </w:r>
      <w:r w:rsidR="00865E23" w:rsidRPr="00B33AA4">
        <w:t>’</w:t>
      </w:r>
      <w:r w:rsidRPr="00B33AA4">
        <w:t>avons connaissance d</w:t>
      </w:r>
      <w:r w:rsidR="00865E23" w:rsidRPr="00B33AA4">
        <w:t>’</w:t>
      </w:r>
      <w:r w:rsidRPr="00B33AA4">
        <w:t>aucun conflit d</w:t>
      </w:r>
      <w:r w:rsidR="00865E23" w:rsidRPr="00B33AA4">
        <w:t>’</w:t>
      </w:r>
      <w:r w:rsidRPr="00B33AA4">
        <w:t>intérêts impliquant [</w:t>
      </w:r>
      <w:r w:rsidRPr="00B33AA4">
        <w:rPr>
          <w:color w:val="0000FF"/>
        </w:rPr>
        <w:t>Entité</w:t>
      </w:r>
      <w:r w:rsidRPr="00B33AA4">
        <w:t>] dans les cas où [</w:t>
      </w:r>
      <w:r w:rsidRPr="00B33AA4">
        <w:rPr>
          <w:color w:val="0000FF"/>
        </w:rPr>
        <w:t>il</w:t>
      </w:r>
      <w:r w:rsidR="003F05AE">
        <w:rPr>
          <w:color w:val="0000FF"/>
        </w:rPr>
        <w:t> </w:t>
      </w:r>
      <w:r w:rsidRPr="00B33AA4">
        <w:rPr>
          <w:color w:val="0000FF"/>
        </w:rPr>
        <w:t>OU</w:t>
      </w:r>
      <w:r w:rsidR="003F05AE">
        <w:rPr>
          <w:color w:val="0000FF"/>
        </w:rPr>
        <w:t> </w:t>
      </w:r>
      <w:r w:rsidRPr="00B33AA4">
        <w:rPr>
          <w:color w:val="0000FF"/>
        </w:rPr>
        <w:t>elle</w:t>
      </w:r>
      <w:r w:rsidRPr="00B33AA4">
        <w:t xml:space="preserve">] a conclu, directement ou indirectement, un achat, une vente ou une </w:t>
      </w:r>
      <w:r w:rsidR="00F63DAF" w:rsidRPr="00B33AA4">
        <w:t>transaction a</w:t>
      </w:r>
      <w:r w:rsidRPr="00B33AA4">
        <w:t>vec</w:t>
      </w:r>
      <w:r w:rsidR="003F05AE">
        <w:t> </w:t>
      </w:r>
      <w:r w:rsidRPr="00B33AA4">
        <w:t>un député, un membre du conseil d</w:t>
      </w:r>
      <w:r w:rsidR="00865E23" w:rsidRPr="00B33AA4">
        <w:t>’</w:t>
      </w:r>
      <w:r w:rsidRPr="00B33AA4">
        <w:t>administration, un membre de la haute direction, un</w:t>
      </w:r>
      <w:r w:rsidR="003F05AE">
        <w:t> </w:t>
      </w:r>
      <w:r w:rsidRPr="00B33AA4">
        <w:t>gestionnaire</w:t>
      </w:r>
      <w:r w:rsidR="00F63DAF" w:rsidRPr="00B33AA4">
        <w:t xml:space="preserve">, </w:t>
      </w:r>
      <w:r w:rsidRPr="00B33AA4">
        <w:t>ou avec une organisation dans laquelle l</w:t>
      </w:r>
      <w:r w:rsidR="00865E23" w:rsidRPr="00B33AA4">
        <w:t>’</w:t>
      </w:r>
      <w:r w:rsidRPr="00B33AA4">
        <w:t>une de ces personnes avait une participation directe ou indirecte</w:t>
      </w:r>
      <w:r w:rsidR="00AF2C5A" w:rsidRPr="00B33AA4">
        <w:t>.</w:t>
      </w:r>
    </w:p>
    <w:p w14:paraId="5B21813D" w14:textId="544FF89E" w:rsidR="00E341B4" w:rsidRPr="000E5EB7" w:rsidRDefault="00E341B4" w:rsidP="00E341B4">
      <w:pPr>
        <w:pStyle w:val="09Para"/>
      </w:pPr>
      <w:r w:rsidRPr="000E5EB7">
        <w:t>[</w:t>
      </w:r>
      <w:r w:rsidRPr="00835900">
        <w:rPr>
          <w:i/>
          <w:color w:val="0000FF"/>
        </w:rPr>
        <w:t>Selon les faits et les circonstances de l’entité, il peut être</w:t>
      </w:r>
      <w:r>
        <w:rPr>
          <w:i/>
          <w:color w:val="0000FF"/>
        </w:rPr>
        <w:t xml:space="preserve"> approprié pour la direction de déclarer qu’elle respecte les </w:t>
      </w:r>
      <w:r w:rsidRPr="00835900">
        <w:rPr>
          <w:i/>
          <w:color w:val="0000FF"/>
        </w:rPr>
        <w:t xml:space="preserve">sanctions applicables liées au conflit militaire entre la Russie et l’Ukraine. Les équipes de </w:t>
      </w:r>
      <w:r>
        <w:rPr>
          <w:i/>
          <w:color w:val="0000FF"/>
        </w:rPr>
        <w:t>mission</w:t>
      </w:r>
      <w:r w:rsidRPr="00835900">
        <w:rPr>
          <w:i/>
          <w:color w:val="0000FF"/>
        </w:rPr>
        <w:t xml:space="preserve"> doivent déterminer si les éléments suivants doivent être inclus dans la</w:t>
      </w:r>
      <w:r w:rsidR="00942893">
        <w:rPr>
          <w:i/>
          <w:color w:val="0000FF"/>
        </w:rPr>
        <w:t> </w:t>
      </w:r>
      <w:r w:rsidRPr="00835900">
        <w:rPr>
          <w:i/>
          <w:color w:val="0000FF"/>
        </w:rPr>
        <w:t xml:space="preserve">lettre </w:t>
      </w:r>
      <w:r>
        <w:rPr>
          <w:i/>
          <w:color w:val="0000FF"/>
        </w:rPr>
        <w:t>d’affirmation</w:t>
      </w:r>
      <w:r w:rsidRPr="00835900">
        <w:rPr>
          <w:i/>
          <w:color w:val="0000FF"/>
        </w:rPr>
        <w:t xml:space="preserve"> de la direction</w:t>
      </w:r>
      <w:r>
        <w:rPr>
          <w:i/>
          <w:color w:val="0000FF"/>
        </w:rPr>
        <w:t> </w:t>
      </w:r>
      <w:r w:rsidRPr="000E5EB7">
        <w:rPr>
          <w:i/>
          <w:color w:val="0000FF"/>
        </w:rPr>
        <w:t>:</w:t>
      </w:r>
    </w:p>
    <w:p w14:paraId="2F67EA49" w14:textId="77777777" w:rsidR="00E341B4" w:rsidRPr="000E5EB7" w:rsidRDefault="00E341B4" w:rsidP="003F05AE">
      <w:pPr>
        <w:pStyle w:val="09Para"/>
        <w:keepNext/>
        <w:rPr>
          <w:b/>
          <w:color w:val="0000FF"/>
        </w:rPr>
      </w:pPr>
      <w:r w:rsidRPr="00870C60">
        <w:rPr>
          <w:b/>
          <w:color w:val="0000FF"/>
        </w:rPr>
        <w:t>Conflit militaire entre la Russie et l’Ukraine</w:t>
      </w:r>
    </w:p>
    <w:p w14:paraId="3598BF94" w14:textId="77777777" w:rsidR="00D70D23" w:rsidRDefault="00E341B4" w:rsidP="00E341B4">
      <w:pPr>
        <w:pStyle w:val="09Para"/>
        <w:rPr>
          <w:color w:val="0000FF"/>
        </w:rPr>
      </w:pPr>
      <w:r w:rsidRPr="00870C60">
        <w:rPr>
          <w:color w:val="0000FF"/>
        </w:rPr>
        <w:t xml:space="preserve">Nous avons évalué les effets ou les effets possibles sur nos activités </w:t>
      </w:r>
      <w:r>
        <w:rPr>
          <w:color w:val="0000FF"/>
        </w:rPr>
        <w:t>attribuables</w:t>
      </w:r>
      <w:r w:rsidRPr="00870C60">
        <w:rPr>
          <w:color w:val="0000FF"/>
        </w:rPr>
        <w:t xml:space="preserve"> </w:t>
      </w:r>
      <w:r>
        <w:rPr>
          <w:color w:val="0000FF"/>
        </w:rPr>
        <w:t>a</w:t>
      </w:r>
      <w:r w:rsidRPr="00870C60">
        <w:rPr>
          <w:color w:val="0000FF"/>
        </w:rPr>
        <w:t>u conflit militaire entre la Russie et l’Ukraine (le « conflit ») qui a commencé en février 2022. Notre</w:t>
      </w:r>
      <w:r>
        <w:rPr>
          <w:color w:val="0000FF"/>
        </w:rPr>
        <w:t xml:space="preserve"> évaluation a pris en compte </w:t>
      </w:r>
      <w:r w:rsidRPr="000E5EB7">
        <w:t>[</w:t>
      </w:r>
      <w:r w:rsidRPr="00870C60">
        <w:rPr>
          <w:color w:val="0000FF"/>
        </w:rPr>
        <w:t>Entité</w:t>
      </w:r>
      <w:r w:rsidRPr="000E5EB7">
        <w:t>]</w:t>
      </w:r>
      <w:r w:rsidRPr="00870C60">
        <w:rPr>
          <w:color w:val="0000FF"/>
        </w:rPr>
        <w:t xml:space="preserve"> et nos parties liées ainsi que nos relations et interactions avec les contreparties et </w:t>
      </w:r>
      <w:r>
        <w:rPr>
          <w:color w:val="0000FF"/>
        </w:rPr>
        <w:t>le personnel</w:t>
      </w:r>
      <w:r w:rsidRPr="00870C60">
        <w:rPr>
          <w:color w:val="0000FF"/>
        </w:rPr>
        <w:t>. Les questions examinées dans cette évaluation</w:t>
      </w:r>
    </w:p>
    <w:p w14:paraId="0379DDC3" w14:textId="77777777" w:rsidR="00D70D23" w:rsidRDefault="00D70D23">
      <w:pPr>
        <w:rPr>
          <w:color w:val="0000FF"/>
          <w:lang w:val="fr-CA" w:eastAsia="en-US"/>
        </w:rPr>
      </w:pPr>
      <w:r w:rsidRPr="00D70D23">
        <w:rPr>
          <w:color w:val="0000FF"/>
          <w:lang w:val="fr-CA"/>
        </w:rPr>
        <w:br w:type="page"/>
      </w:r>
    </w:p>
    <w:p w14:paraId="4093C64A" w14:textId="753D38E9" w:rsidR="00E341B4" w:rsidRPr="000E5EB7" w:rsidRDefault="00E341B4" w:rsidP="00E341B4">
      <w:pPr>
        <w:pStyle w:val="09Para"/>
        <w:rPr>
          <w:color w:val="0000FF"/>
        </w:rPr>
      </w:pPr>
      <w:proofErr w:type="gramStart"/>
      <w:r w:rsidRPr="00870C60">
        <w:rPr>
          <w:color w:val="0000FF"/>
        </w:rPr>
        <w:lastRenderedPageBreak/>
        <w:t>comprenaient</w:t>
      </w:r>
      <w:proofErr w:type="gramEnd"/>
      <w:r w:rsidRPr="00870C60">
        <w:rPr>
          <w:color w:val="0000FF"/>
        </w:rPr>
        <w:t xml:space="preserve">, sans toutefois s’y limiter, les répercussions du conflit et des sanctions mondiales connexes sur la </w:t>
      </w:r>
      <w:r>
        <w:rPr>
          <w:color w:val="0000FF"/>
        </w:rPr>
        <w:t>comptabilisation</w:t>
      </w:r>
      <w:r w:rsidRPr="00870C60">
        <w:rPr>
          <w:color w:val="0000FF"/>
        </w:rPr>
        <w:t xml:space="preserve">, </w:t>
      </w:r>
      <w:r>
        <w:rPr>
          <w:color w:val="0000FF"/>
        </w:rPr>
        <w:t xml:space="preserve">les informations à fournir </w:t>
      </w:r>
      <w:r w:rsidRPr="00870C60">
        <w:rPr>
          <w:color w:val="0000FF"/>
        </w:rPr>
        <w:t xml:space="preserve">et le contrôle interne </w:t>
      </w:r>
      <w:r>
        <w:rPr>
          <w:color w:val="0000FF"/>
        </w:rPr>
        <w:t>à l’égard de l’information financière</w:t>
      </w:r>
      <w:r w:rsidRPr="00870C60">
        <w:rPr>
          <w:color w:val="0000FF"/>
        </w:rPr>
        <w:t>.</w:t>
      </w:r>
    </w:p>
    <w:p w14:paraId="002AE193" w14:textId="77777777" w:rsidR="00E341B4" w:rsidRPr="000E5EB7" w:rsidRDefault="00E341B4" w:rsidP="003F05AE">
      <w:pPr>
        <w:pStyle w:val="09Para"/>
        <w:keepNext/>
        <w:rPr>
          <w:color w:val="0000FF"/>
        </w:rPr>
      </w:pPr>
      <w:bookmarkStart w:id="1" w:name="Paragraph_2210"/>
      <w:r w:rsidRPr="000E5EB7">
        <w:t>[</w:t>
      </w:r>
      <w:r>
        <w:rPr>
          <w:i/>
          <w:color w:val="0000FF"/>
        </w:rPr>
        <w:t>Ajouter l’une des options suivantes, selon les circonstances</w:t>
      </w:r>
      <w:r w:rsidRPr="000E5EB7">
        <w:t xml:space="preserve">] </w:t>
      </w:r>
      <w:bookmarkEnd w:id="1"/>
    </w:p>
    <w:p w14:paraId="081C6BF8" w14:textId="77777777" w:rsidR="00E341B4" w:rsidRPr="000E5EB7" w:rsidRDefault="00E341B4" w:rsidP="00E341B4">
      <w:pPr>
        <w:pStyle w:val="09Para"/>
        <w:rPr>
          <w:color w:val="0000FF"/>
        </w:rPr>
      </w:pPr>
      <w:bookmarkStart w:id="2" w:name="Paragraph_2211"/>
      <w:r w:rsidRPr="000E5EB7">
        <w:t>[</w:t>
      </w:r>
      <w:r w:rsidRPr="000E5EB7">
        <w:rPr>
          <w:i/>
          <w:color w:val="0000FF"/>
        </w:rPr>
        <w:t>Option 1</w:t>
      </w:r>
      <w:r>
        <w:rPr>
          <w:i/>
          <w:color w:val="0000FF"/>
        </w:rPr>
        <w:t> </w:t>
      </w:r>
      <w:r w:rsidRPr="000E5EB7">
        <w:rPr>
          <w:i/>
          <w:color w:val="0000FF"/>
        </w:rPr>
        <w:t>—</w:t>
      </w:r>
      <w:r>
        <w:rPr>
          <w:i/>
          <w:color w:val="0000FF"/>
        </w:rPr>
        <w:t> Aucune incidence</w:t>
      </w:r>
      <w:r w:rsidRPr="000E5EB7">
        <w:t>]</w:t>
      </w:r>
      <w:bookmarkEnd w:id="2"/>
    </w:p>
    <w:p w14:paraId="4566B8F9" w14:textId="77777777" w:rsidR="00E341B4" w:rsidRPr="000E5EB7" w:rsidRDefault="00E341B4" w:rsidP="00E341B4">
      <w:pPr>
        <w:pStyle w:val="09Para"/>
        <w:rPr>
          <w:color w:val="0000FF"/>
        </w:rPr>
      </w:pPr>
      <w:r>
        <w:rPr>
          <w:color w:val="0000FF"/>
        </w:rPr>
        <w:t>Selon les</w:t>
      </w:r>
      <w:r w:rsidRPr="00603391">
        <w:rPr>
          <w:color w:val="0000FF"/>
        </w:rPr>
        <w:t xml:space="preserve"> résultats de notre évaluation, nous confirmons que nous n’avons </w:t>
      </w:r>
      <w:r>
        <w:rPr>
          <w:color w:val="0000FF"/>
        </w:rPr>
        <w:t xml:space="preserve">relevé aucune incidence importante réelle ou possible sur </w:t>
      </w:r>
      <w:r w:rsidRPr="00603391">
        <w:rPr>
          <w:color w:val="0000FF"/>
        </w:rPr>
        <w:t xml:space="preserve">les opérations de </w:t>
      </w:r>
      <w:r w:rsidRPr="000E5EB7">
        <w:t>[</w:t>
      </w:r>
      <w:r w:rsidRPr="00603391">
        <w:rPr>
          <w:color w:val="0000FF"/>
        </w:rPr>
        <w:t>Entité</w:t>
      </w:r>
      <w:r w:rsidRPr="000E5EB7">
        <w:t>]</w:t>
      </w:r>
      <w:r w:rsidRPr="00603391">
        <w:rPr>
          <w:color w:val="0000FF"/>
        </w:rPr>
        <w:t xml:space="preserve">. Par conséquent, nous n’avons apporté </w:t>
      </w:r>
      <w:r>
        <w:rPr>
          <w:color w:val="0000FF"/>
        </w:rPr>
        <w:t xml:space="preserve">dans </w:t>
      </w:r>
      <w:r w:rsidRPr="00603391">
        <w:rPr>
          <w:color w:val="0000FF"/>
        </w:rPr>
        <w:t xml:space="preserve">les états financiers </w:t>
      </w:r>
      <w:r w:rsidRPr="000E5EB7">
        <w:t>[</w:t>
      </w:r>
      <w:r w:rsidRPr="00603391">
        <w:rPr>
          <w:color w:val="0000FF"/>
        </w:rPr>
        <w:t>consolidés</w:t>
      </w:r>
      <w:r w:rsidRPr="000E5EB7">
        <w:t>]</w:t>
      </w:r>
      <w:r>
        <w:rPr>
          <w:color w:val="0000FF"/>
        </w:rPr>
        <w:t xml:space="preserve"> </w:t>
      </w:r>
      <w:r w:rsidRPr="00603391">
        <w:rPr>
          <w:color w:val="0000FF"/>
        </w:rPr>
        <w:t xml:space="preserve">aucun ajustement ou </w:t>
      </w:r>
      <w:r>
        <w:rPr>
          <w:color w:val="0000FF"/>
        </w:rPr>
        <w:t xml:space="preserve">aucune </w:t>
      </w:r>
      <w:r w:rsidRPr="00603391">
        <w:rPr>
          <w:color w:val="0000FF"/>
        </w:rPr>
        <w:t xml:space="preserve">information supplémentaire concernant les effets ou les effets possibles </w:t>
      </w:r>
      <w:r>
        <w:rPr>
          <w:color w:val="0000FF"/>
        </w:rPr>
        <w:t>attribuables</w:t>
      </w:r>
      <w:r w:rsidRPr="00603391">
        <w:rPr>
          <w:color w:val="0000FF"/>
        </w:rPr>
        <w:t xml:space="preserve"> </w:t>
      </w:r>
      <w:r>
        <w:rPr>
          <w:color w:val="0000FF"/>
        </w:rPr>
        <w:t>a</w:t>
      </w:r>
      <w:r w:rsidRPr="00603391">
        <w:rPr>
          <w:color w:val="0000FF"/>
        </w:rPr>
        <w:t>u conflit.</w:t>
      </w:r>
    </w:p>
    <w:p w14:paraId="10D3134C" w14:textId="77777777" w:rsidR="00E341B4" w:rsidRPr="000E5EB7" w:rsidRDefault="00E341B4" w:rsidP="00E341B4">
      <w:pPr>
        <w:pStyle w:val="09Para"/>
        <w:rPr>
          <w:color w:val="0000FF"/>
        </w:rPr>
      </w:pPr>
      <w:bookmarkStart w:id="3" w:name="Paragraph_2213"/>
      <w:r w:rsidRPr="000E5EB7">
        <w:t>[</w:t>
      </w:r>
      <w:r w:rsidRPr="000E5EB7">
        <w:rPr>
          <w:i/>
          <w:color w:val="0000FF"/>
        </w:rPr>
        <w:t>Option 2</w:t>
      </w:r>
      <w:r>
        <w:rPr>
          <w:i/>
          <w:color w:val="0000FF"/>
        </w:rPr>
        <w:t> </w:t>
      </w:r>
      <w:r w:rsidRPr="000E5EB7">
        <w:rPr>
          <w:i/>
          <w:color w:val="0000FF"/>
        </w:rPr>
        <w:t>—</w:t>
      </w:r>
      <w:r>
        <w:rPr>
          <w:i/>
          <w:color w:val="0000FF"/>
        </w:rPr>
        <w:t> Avec incidence</w:t>
      </w:r>
      <w:r w:rsidRPr="000E5EB7">
        <w:t>]</w:t>
      </w:r>
      <w:bookmarkEnd w:id="3"/>
    </w:p>
    <w:p w14:paraId="42B29CC4" w14:textId="1CE31160" w:rsidR="00E341B4" w:rsidRPr="00B33AA4" w:rsidRDefault="00E341B4" w:rsidP="00E341B4">
      <w:pPr>
        <w:pStyle w:val="09Para"/>
      </w:pPr>
      <w:r>
        <w:rPr>
          <w:color w:val="0000FF"/>
        </w:rPr>
        <w:t>Selon les</w:t>
      </w:r>
      <w:r w:rsidRPr="00603391">
        <w:rPr>
          <w:color w:val="0000FF"/>
        </w:rPr>
        <w:t xml:space="preserve"> résultats de notre évaluation, nous avons </w:t>
      </w:r>
      <w:r>
        <w:rPr>
          <w:color w:val="0000FF"/>
        </w:rPr>
        <w:t>relevé</w:t>
      </w:r>
      <w:r w:rsidRPr="00603391">
        <w:rPr>
          <w:color w:val="0000FF"/>
        </w:rPr>
        <w:t xml:space="preserve"> </w:t>
      </w:r>
      <w:r>
        <w:rPr>
          <w:color w:val="0000FF"/>
        </w:rPr>
        <w:t>d</w:t>
      </w:r>
      <w:r w:rsidRPr="00603391">
        <w:rPr>
          <w:color w:val="0000FF"/>
        </w:rPr>
        <w:t xml:space="preserve">es effets ou </w:t>
      </w:r>
      <w:r>
        <w:rPr>
          <w:color w:val="0000FF"/>
        </w:rPr>
        <w:t>d</w:t>
      </w:r>
      <w:r w:rsidRPr="00603391">
        <w:rPr>
          <w:color w:val="0000FF"/>
        </w:rPr>
        <w:t>es effets possibles du</w:t>
      </w:r>
      <w:r w:rsidR="00D70D23">
        <w:rPr>
          <w:color w:val="0000FF"/>
        </w:rPr>
        <w:t> </w:t>
      </w:r>
      <w:r w:rsidRPr="00603391">
        <w:rPr>
          <w:color w:val="0000FF"/>
        </w:rPr>
        <w:t xml:space="preserve">conflit sur les opérations de </w:t>
      </w:r>
      <w:r w:rsidRPr="000E5EB7">
        <w:t>[</w:t>
      </w:r>
      <w:r>
        <w:rPr>
          <w:color w:val="0000FF"/>
        </w:rPr>
        <w:t>E</w:t>
      </w:r>
      <w:r w:rsidRPr="00603391">
        <w:rPr>
          <w:color w:val="0000FF"/>
        </w:rPr>
        <w:t>ntité</w:t>
      </w:r>
      <w:r w:rsidRPr="000E5EB7">
        <w:t>]</w:t>
      </w:r>
      <w:r w:rsidRPr="00603391">
        <w:rPr>
          <w:color w:val="0000FF"/>
        </w:rPr>
        <w:t xml:space="preserve">. Nous confirmons que nous avons </w:t>
      </w:r>
      <w:r>
        <w:rPr>
          <w:color w:val="0000FF"/>
        </w:rPr>
        <w:t xml:space="preserve">comptabilisé </w:t>
      </w:r>
      <w:r w:rsidRPr="00603391">
        <w:rPr>
          <w:color w:val="0000FF"/>
        </w:rPr>
        <w:t>et/ou divulgué</w:t>
      </w:r>
      <w:r>
        <w:rPr>
          <w:color w:val="0000FF"/>
        </w:rPr>
        <w:t xml:space="preserve"> de façon appropriée</w:t>
      </w:r>
      <w:r w:rsidRPr="00603391">
        <w:rPr>
          <w:color w:val="0000FF"/>
        </w:rPr>
        <w:t xml:space="preserve"> les effets ou effets possibles </w:t>
      </w:r>
      <w:r>
        <w:rPr>
          <w:color w:val="0000FF"/>
        </w:rPr>
        <w:t>attribuables</w:t>
      </w:r>
      <w:r w:rsidRPr="00603391">
        <w:rPr>
          <w:color w:val="0000FF"/>
        </w:rPr>
        <w:t xml:space="preserve"> </w:t>
      </w:r>
      <w:r>
        <w:rPr>
          <w:color w:val="0000FF"/>
        </w:rPr>
        <w:t>a</w:t>
      </w:r>
      <w:r w:rsidRPr="00603391">
        <w:rPr>
          <w:color w:val="0000FF"/>
        </w:rPr>
        <w:t>u conflit dans les</w:t>
      </w:r>
      <w:r>
        <w:rPr>
          <w:color w:val="0000FF"/>
        </w:rPr>
        <w:t xml:space="preserve"> états financiers </w:t>
      </w:r>
      <w:r w:rsidRPr="000E5EB7">
        <w:t>[</w:t>
      </w:r>
      <w:r>
        <w:rPr>
          <w:color w:val="0000FF"/>
        </w:rPr>
        <w:t>consolidés</w:t>
      </w:r>
      <w:r w:rsidRPr="000E5EB7">
        <w:t>]</w:t>
      </w:r>
      <w:r>
        <w:rPr>
          <w:color w:val="0000FF"/>
        </w:rPr>
        <w:t>.</w:t>
      </w:r>
      <w:r w:rsidRPr="000E5EB7">
        <w:t>]</w:t>
      </w:r>
    </w:p>
    <w:p w14:paraId="70801F8A" w14:textId="77777777" w:rsidR="009160DF" w:rsidRPr="00B33AA4" w:rsidRDefault="009160DF" w:rsidP="00F66B87">
      <w:pPr>
        <w:pStyle w:val="Heading3"/>
      </w:pPr>
      <w:r w:rsidRPr="00B33AA4">
        <w:t xml:space="preserve">Estimations comptables et </w:t>
      </w:r>
      <w:r w:rsidR="00F93A70" w:rsidRPr="00B33AA4">
        <w:t>jugements</w:t>
      </w:r>
    </w:p>
    <w:p w14:paraId="7E46F5E7" w14:textId="25CC87F4" w:rsidR="009160DF" w:rsidRPr="00B33AA4" w:rsidRDefault="009160DF" w:rsidP="00F66B87">
      <w:pPr>
        <w:pStyle w:val="09Para"/>
      </w:pPr>
      <w:r w:rsidRPr="00B33AA4">
        <w:t xml:space="preserve">Nous sommes responsables de toutes les estimations </w:t>
      </w:r>
      <w:r w:rsidR="00CD7DB9" w:rsidRPr="00B33AA4">
        <w:t xml:space="preserve">importantes </w:t>
      </w:r>
      <w:r w:rsidRPr="00B33AA4">
        <w:t>et de tous les jugements importants touchant les états financiers [</w:t>
      </w:r>
      <w:r w:rsidRPr="00B33AA4">
        <w:rPr>
          <w:color w:val="0000FF"/>
        </w:rPr>
        <w:t>consolidés</w:t>
      </w:r>
      <w:r w:rsidRPr="00B33AA4">
        <w:t>]</w:t>
      </w:r>
      <w:r w:rsidR="00CD7DB9" w:rsidRPr="00B33AA4">
        <w:t>,</w:t>
      </w:r>
      <w:r w:rsidRPr="00B33AA4">
        <w:t xml:space="preserve"> </w:t>
      </w:r>
      <w:r w:rsidR="00AB799E" w:rsidRPr="00B33AA4">
        <w:t xml:space="preserve">qui </w:t>
      </w:r>
      <w:r w:rsidRPr="00B33AA4">
        <w:t>compren</w:t>
      </w:r>
      <w:r w:rsidR="00AB799E" w:rsidRPr="00B33AA4">
        <w:t>nent</w:t>
      </w:r>
      <w:r w:rsidRPr="00B33AA4">
        <w:t xml:space="preserve"> les évaluations de la juste valeur et les informations à fournir</w:t>
      </w:r>
      <w:r w:rsidR="00F63DAF" w:rsidRPr="00B33AA4">
        <w:t xml:space="preserve"> </w:t>
      </w:r>
      <w:r w:rsidR="00AB799E" w:rsidRPr="00B33AA4">
        <w:t>sur la juste valeur</w:t>
      </w:r>
      <w:r w:rsidRPr="00B33AA4">
        <w:t xml:space="preserve">. </w:t>
      </w:r>
      <w:r w:rsidR="0087341E">
        <w:t>[</w:t>
      </w:r>
      <w:r w:rsidR="0087341E" w:rsidRPr="00871F3A">
        <w:rPr>
          <w:color w:val="0000FF"/>
        </w:rPr>
        <w:t>Les jugements importants que nous</w:t>
      </w:r>
      <w:r w:rsidR="00D70D23">
        <w:rPr>
          <w:color w:val="0000FF"/>
        </w:rPr>
        <w:t> </w:t>
      </w:r>
      <w:r w:rsidR="0087341E" w:rsidRPr="00871F3A">
        <w:rPr>
          <w:color w:val="0000FF"/>
        </w:rPr>
        <w:t>avons posés ont tenu compte de toutes les informations pertinentes dont nous avons connaissance.</w:t>
      </w:r>
      <w:r w:rsidR="0087341E" w:rsidRPr="0087341E">
        <w:t xml:space="preserve">] </w:t>
      </w:r>
      <w:r w:rsidRPr="00B33AA4">
        <w:t xml:space="preserve">Les </w:t>
      </w:r>
      <w:r w:rsidR="0087341E" w:rsidRPr="0087341E">
        <w:t xml:space="preserve">méthodes, les données sous-jacentes </w:t>
      </w:r>
      <w:r w:rsidRPr="00B33AA4">
        <w:t>et les hypothèses</w:t>
      </w:r>
      <w:r w:rsidR="0087341E">
        <w:t xml:space="preserve"> importantes </w:t>
      </w:r>
      <w:r w:rsidR="0087341E" w:rsidRPr="00871F3A">
        <w:rPr>
          <w:rFonts w:cs="Arial"/>
        </w:rPr>
        <w:t>utilisées aux fins de l’établissement des estimations comptables et des informations y afférentes</w:t>
      </w:r>
      <w:r w:rsidR="0087341E">
        <w:rPr>
          <w:rFonts w:cs="Arial"/>
        </w:rPr>
        <w:t xml:space="preserve"> </w:t>
      </w:r>
      <w:r w:rsidRPr="00B33AA4">
        <w:t xml:space="preserve">sont raisonnables et </w:t>
      </w:r>
      <w:r w:rsidR="0087341E">
        <w:t xml:space="preserve">appropriées </w:t>
      </w:r>
      <w:r w:rsidR="0087341E" w:rsidRPr="0087341E">
        <w:t>afin de permettre une comptabilisation, une évaluation et une fourniture d’informations dans les états financiers [</w:t>
      </w:r>
      <w:r w:rsidR="00B93B5C" w:rsidRPr="00B33AA4">
        <w:rPr>
          <w:color w:val="0000FF"/>
        </w:rPr>
        <w:t>consolidés</w:t>
      </w:r>
      <w:r w:rsidR="0087341E" w:rsidRPr="0087341E">
        <w:t xml:space="preserve">] </w:t>
      </w:r>
      <w:r w:rsidRPr="00B33AA4">
        <w:t>conform</w:t>
      </w:r>
      <w:r w:rsidR="00957D59">
        <w:t>ément</w:t>
      </w:r>
      <w:r w:rsidRPr="00B33AA4">
        <w:t xml:space="preserve"> aux </w:t>
      </w:r>
      <w:r w:rsidR="00AA4392" w:rsidRPr="00B33AA4">
        <w:t>IFRS</w:t>
      </w:r>
      <w:r w:rsidR="00B93B5C">
        <w:t xml:space="preserve">. </w:t>
      </w:r>
      <w:r w:rsidRPr="00B33AA4">
        <w:t>Les méthodes utilisées pour établir les</w:t>
      </w:r>
      <w:r w:rsidR="00BF6FC3">
        <w:t xml:space="preserve"> estimations comptables</w:t>
      </w:r>
      <w:r w:rsidRPr="00B33AA4">
        <w:t xml:space="preserve"> ont été appliquées </w:t>
      </w:r>
      <w:r w:rsidR="00C54A40" w:rsidRPr="00B33AA4">
        <w:t xml:space="preserve">de la même manière </w:t>
      </w:r>
      <w:r w:rsidR="006B53FA" w:rsidRPr="00B33AA4">
        <w:t>pour les périodes présentées</w:t>
      </w:r>
      <w:r w:rsidR="00B93B5C">
        <w:t xml:space="preserve"> et les données utilisées pour établir les estimations comptables sont exactes et exhaustives</w:t>
      </w:r>
      <w:r w:rsidR="006B53FA" w:rsidRPr="00B33AA4">
        <w:t>.</w:t>
      </w:r>
      <w:r w:rsidR="00B845B3">
        <w:t xml:space="preserve"> </w:t>
      </w:r>
      <w:r w:rsidR="009776CE">
        <w:t xml:space="preserve">Les </w:t>
      </w:r>
      <w:r w:rsidR="00B93B5C">
        <w:t xml:space="preserve">estimations comptables et les </w:t>
      </w:r>
      <w:r w:rsidR="00752D8A">
        <w:t xml:space="preserve">jugements posés </w:t>
      </w:r>
      <w:r w:rsidR="009776CE" w:rsidRPr="005D2C6B">
        <w:t xml:space="preserve">reflètent </w:t>
      </w:r>
      <w:r w:rsidR="00B93B5C" w:rsidRPr="005D2C6B">
        <w:t>bien les actions que la direction à l’</w:t>
      </w:r>
      <w:r w:rsidR="009776CE" w:rsidRPr="005D2C6B">
        <w:rPr>
          <w:rFonts w:cs="Arial"/>
        </w:rPr>
        <w:t>intention</w:t>
      </w:r>
      <w:r w:rsidR="00752D8A" w:rsidRPr="005D2C6B">
        <w:rPr>
          <w:rFonts w:cs="Arial"/>
        </w:rPr>
        <w:t xml:space="preserve"> et la capacité</w:t>
      </w:r>
      <w:r w:rsidR="00B571A2">
        <w:rPr>
          <w:rFonts w:cs="Arial"/>
        </w:rPr>
        <w:t xml:space="preserve"> de mener</w:t>
      </w:r>
      <w:r w:rsidR="00B845B3" w:rsidRPr="004E2EB2">
        <w:rPr>
          <w:rFonts w:cs="Arial"/>
        </w:rPr>
        <w:t>,</w:t>
      </w:r>
      <w:r w:rsidR="003B02FA">
        <w:rPr>
          <w:rFonts w:cs="Arial"/>
        </w:rPr>
        <w:t xml:space="preserve"> lorsque cela est</w:t>
      </w:r>
      <w:r w:rsidR="00D70D23">
        <w:rPr>
          <w:rFonts w:cs="Arial"/>
        </w:rPr>
        <w:t> </w:t>
      </w:r>
      <w:r w:rsidR="003B02FA">
        <w:rPr>
          <w:rFonts w:cs="Arial"/>
        </w:rPr>
        <w:t xml:space="preserve">pertinent. </w:t>
      </w:r>
      <w:r w:rsidR="00752D8A">
        <w:rPr>
          <w:rFonts w:cs="Arial"/>
        </w:rPr>
        <w:t>Les informations fournies sur les estimati</w:t>
      </w:r>
      <w:r w:rsidR="000053A7">
        <w:rPr>
          <w:rFonts w:cs="Arial"/>
        </w:rPr>
        <w:t>o</w:t>
      </w:r>
      <w:r w:rsidR="00752D8A">
        <w:rPr>
          <w:rFonts w:cs="Arial"/>
        </w:rPr>
        <w:t>ns comp</w:t>
      </w:r>
      <w:r w:rsidR="000053A7">
        <w:rPr>
          <w:rFonts w:cs="Arial"/>
        </w:rPr>
        <w:t>t</w:t>
      </w:r>
      <w:r w:rsidR="00752D8A">
        <w:rPr>
          <w:rFonts w:cs="Arial"/>
        </w:rPr>
        <w:t>ables sont complètes et raisonnables au regard des IFRS. [</w:t>
      </w:r>
      <w:r w:rsidR="00752D8A" w:rsidRPr="00871F3A">
        <w:rPr>
          <w:rStyle w:val="BlueText"/>
        </w:rPr>
        <w:t>L’établissement des estimations comptables a fait appel à</w:t>
      </w:r>
      <w:r w:rsidR="00D70D23">
        <w:rPr>
          <w:rStyle w:val="BlueText"/>
        </w:rPr>
        <w:t> </w:t>
      </w:r>
      <w:r w:rsidR="00752D8A" w:rsidRPr="00871F3A">
        <w:rPr>
          <w:rStyle w:val="BlueText"/>
        </w:rPr>
        <w:t>de</w:t>
      </w:r>
      <w:r w:rsidR="00D70D23">
        <w:rPr>
          <w:rStyle w:val="BlueText"/>
        </w:rPr>
        <w:t> </w:t>
      </w:r>
      <w:r w:rsidR="00752D8A" w:rsidRPr="00871F3A">
        <w:rPr>
          <w:rStyle w:val="BlueText"/>
        </w:rPr>
        <w:t>l’expertise ou à des compétences spécialisées appropriées.</w:t>
      </w:r>
      <w:r w:rsidR="00752D8A" w:rsidRPr="00752D8A">
        <w:rPr>
          <w:rFonts w:cs="Arial"/>
        </w:rPr>
        <w:t>]</w:t>
      </w:r>
      <w:r w:rsidR="00752D8A">
        <w:rPr>
          <w:rFonts w:cs="Arial"/>
        </w:rPr>
        <w:t xml:space="preserve"> </w:t>
      </w:r>
      <w:r w:rsidR="003B02FA">
        <w:rPr>
          <w:rFonts w:cs="Arial"/>
        </w:rPr>
        <w:t xml:space="preserve">Aucun événement postérieur </w:t>
      </w:r>
      <w:r w:rsidR="003B02FA" w:rsidRPr="003B02FA">
        <w:rPr>
          <w:rFonts w:cs="Arial"/>
        </w:rPr>
        <w:t>à la</w:t>
      </w:r>
      <w:r w:rsidR="003B02FA">
        <w:rPr>
          <w:rFonts w:cs="Arial"/>
        </w:rPr>
        <w:t xml:space="preserve"> date de clôture ne nécessite l’</w:t>
      </w:r>
      <w:r w:rsidR="003B02FA" w:rsidRPr="003B02FA">
        <w:rPr>
          <w:rFonts w:cs="Arial"/>
        </w:rPr>
        <w:t>ajustement d</w:t>
      </w:r>
      <w:r w:rsidR="00752D8A">
        <w:rPr>
          <w:rFonts w:cs="Arial"/>
        </w:rPr>
        <w:t>’</w:t>
      </w:r>
      <w:r w:rsidR="003B02FA" w:rsidRPr="003B02FA">
        <w:rPr>
          <w:rFonts w:cs="Arial"/>
        </w:rPr>
        <w:t xml:space="preserve">estimations comptables </w:t>
      </w:r>
      <w:r w:rsidR="00752D8A">
        <w:rPr>
          <w:rFonts w:cs="Arial"/>
        </w:rPr>
        <w:t xml:space="preserve">importantes </w:t>
      </w:r>
      <w:r w:rsidR="003B02FA" w:rsidRPr="003B02FA">
        <w:rPr>
          <w:rFonts w:cs="Arial"/>
        </w:rPr>
        <w:t>et des informations y afférentes</w:t>
      </w:r>
      <w:r w:rsidR="005535D1">
        <w:rPr>
          <w:rFonts w:cs="Arial"/>
        </w:rPr>
        <w:t>.</w:t>
      </w:r>
      <w:r w:rsidR="00752D8A">
        <w:rPr>
          <w:rFonts w:cs="Arial"/>
        </w:rPr>
        <w:t xml:space="preserve"> </w:t>
      </w:r>
    </w:p>
    <w:p w14:paraId="03549A07" w14:textId="7795E158" w:rsidR="00AA4392" w:rsidRDefault="008734F0" w:rsidP="00F66B87">
      <w:pPr>
        <w:pStyle w:val="09Para"/>
      </w:pPr>
      <w:r w:rsidRPr="00B33AA4">
        <w:t>Nous</w:t>
      </w:r>
      <w:r w:rsidR="00F63DAF" w:rsidRPr="00B33AA4">
        <w:t xml:space="preserve"> nous sommes conformés aux </w:t>
      </w:r>
      <w:r w:rsidRPr="00B33AA4">
        <w:t xml:space="preserve">exigences de la </w:t>
      </w:r>
      <w:r w:rsidR="0032249D" w:rsidRPr="00B33AA4">
        <w:t>N</w:t>
      </w:r>
      <w:r w:rsidRPr="00B33AA4">
        <w:t>orme</w:t>
      </w:r>
      <w:r w:rsidR="00EF2E5E" w:rsidRPr="00B33AA4">
        <w:t> </w:t>
      </w:r>
      <w:r w:rsidR="0032249D" w:rsidRPr="00B33AA4">
        <w:t>comptable internationale (</w:t>
      </w:r>
      <w:r w:rsidR="00AD757D" w:rsidRPr="00B33AA4">
        <w:t>IAS</w:t>
      </w:r>
      <w:r w:rsidR="0032249D" w:rsidRPr="00B33AA4">
        <w:t>)</w:t>
      </w:r>
      <w:r w:rsidR="00AD757D" w:rsidRPr="00B33AA4">
        <w:t> </w:t>
      </w:r>
      <w:r w:rsidR="00AA4392" w:rsidRPr="00B33AA4">
        <w:t>1</w:t>
      </w:r>
      <w:r w:rsidR="00E55C00" w:rsidRPr="00B33AA4">
        <w:t>,</w:t>
      </w:r>
      <w:r w:rsidR="00AA4392" w:rsidRPr="00B33AA4">
        <w:t xml:space="preserve"> Pr</w:t>
      </w:r>
      <w:r w:rsidRPr="00B33AA4">
        <w:t>é</w:t>
      </w:r>
      <w:r w:rsidR="00AA4392" w:rsidRPr="00B33AA4">
        <w:t xml:space="preserve">sentation </w:t>
      </w:r>
      <w:r w:rsidRPr="00B33AA4">
        <w:t xml:space="preserve">des états financiers </w:t>
      </w:r>
      <w:r w:rsidR="00752D8A">
        <w:t xml:space="preserve">pour les </w:t>
      </w:r>
      <w:r w:rsidRPr="00B33AA4">
        <w:t xml:space="preserve">informations à fournir sur les estimations et jugements qui sont importants ou significatifs pour les états financiers </w:t>
      </w:r>
      <w:r w:rsidR="00AA4392" w:rsidRPr="00B33AA4">
        <w:t>[</w:t>
      </w:r>
      <w:r w:rsidR="00AA4392" w:rsidRPr="00B33AA4">
        <w:rPr>
          <w:color w:val="0000FF"/>
        </w:rPr>
        <w:t>consolid</w:t>
      </w:r>
      <w:r w:rsidRPr="00B33AA4">
        <w:rPr>
          <w:color w:val="0000FF"/>
        </w:rPr>
        <w:t>és</w:t>
      </w:r>
      <w:r w:rsidR="00AA4392" w:rsidRPr="00B33AA4">
        <w:t>].</w:t>
      </w:r>
    </w:p>
    <w:p w14:paraId="32067B81" w14:textId="77777777" w:rsidR="00C523C5" w:rsidRDefault="00752D8A" w:rsidP="00080BD0">
      <w:pPr>
        <w:pStyle w:val="09Para"/>
        <w:rPr>
          <w:rStyle w:val="BlueItalText"/>
          <w:rFonts w:cs="Arial"/>
        </w:rPr>
      </w:pPr>
      <w:r w:rsidRPr="00871F3A">
        <w:rPr>
          <w:rStyle w:val="BlueItalText"/>
          <w:rFonts w:cs="Arial"/>
          <w:i w:val="0"/>
          <w:color w:val="auto"/>
        </w:rPr>
        <w:t>[</w:t>
      </w:r>
      <w:r w:rsidR="00080BD0" w:rsidRPr="00871F3A">
        <w:rPr>
          <w:rStyle w:val="BlueItalText"/>
          <w:rFonts w:cs="Arial"/>
        </w:rPr>
        <w:t xml:space="preserve">Lorsque </w:t>
      </w:r>
      <w:r w:rsidR="005D2C6B">
        <w:rPr>
          <w:rStyle w:val="BlueItalText"/>
          <w:rFonts w:cs="Arial"/>
        </w:rPr>
        <w:t>l’</w:t>
      </w:r>
      <w:r w:rsidR="00080BD0" w:rsidRPr="00871F3A">
        <w:rPr>
          <w:rStyle w:val="BlueItalText"/>
          <w:rFonts w:cs="Arial"/>
        </w:rPr>
        <w:t>estimation comptable n</w:t>
      </w:r>
      <w:r w:rsidR="005D2C6B">
        <w:rPr>
          <w:rStyle w:val="BlueItalText"/>
          <w:rFonts w:cs="Arial"/>
        </w:rPr>
        <w:t>’</w:t>
      </w:r>
      <w:r>
        <w:rPr>
          <w:rStyle w:val="BlueItalText"/>
          <w:rFonts w:cs="Arial"/>
        </w:rPr>
        <w:t xml:space="preserve">est </w:t>
      </w:r>
      <w:r w:rsidR="00080BD0" w:rsidRPr="00871F3A">
        <w:rPr>
          <w:rStyle w:val="BlueItalText"/>
          <w:rFonts w:cs="Arial"/>
        </w:rPr>
        <w:t>pas comptabilisée ou ne f</w:t>
      </w:r>
      <w:r w:rsidR="005D2C6B">
        <w:rPr>
          <w:rStyle w:val="BlueItalText"/>
          <w:rFonts w:cs="Arial"/>
        </w:rPr>
        <w:t>ai</w:t>
      </w:r>
      <w:r w:rsidR="00080BD0" w:rsidRPr="00871F3A">
        <w:rPr>
          <w:rStyle w:val="BlueItalText"/>
          <w:rFonts w:cs="Arial"/>
        </w:rPr>
        <w:t xml:space="preserve">t pas l’objet d’informations dans les états financiers et que l’auditeur est du même avis que la direction </w:t>
      </w:r>
      <w:r w:rsidR="00EC193A">
        <w:rPr>
          <w:rStyle w:val="BlueItalText"/>
          <w:rFonts w:cs="Arial"/>
        </w:rPr>
        <w:t xml:space="preserve">au sujet du </w:t>
      </w:r>
      <w:r w:rsidR="00080BD0" w:rsidRPr="00871F3A">
        <w:rPr>
          <w:rStyle w:val="BlueItalText"/>
          <w:rFonts w:cs="Arial"/>
        </w:rPr>
        <w:t xml:space="preserve">traitement comptable de l’élément : </w:t>
      </w:r>
      <w:bookmarkStart w:id="4" w:name="lt_pId209"/>
      <w:r w:rsidR="00080BD0" w:rsidRPr="00871F3A">
        <w:rPr>
          <w:rStyle w:val="BlueItalText"/>
          <w:rFonts w:cs="Arial"/>
        </w:rPr>
        <w:t>Pour les estimations qui ne sont pas comptabilisées ou qui ne font pas l’objet d’informations dans les états financiers parce que la direction est d’avis que</w:t>
      </w:r>
    </w:p>
    <w:p w14:paraId="103363D8" w14:textId="77777777" w:rsidR="00C523C5" w:rsidRDefault="00C523C5">
      <w:pPr>
        <w:rPr>
          <w:rStyle w:val="BlueItalText"/>
          <w:rFonts w:cs="Arial"/>
          <w:lang w:val="fr-CA" w:eastAsia="en-US"/>
        </w:rPr>
      </w:pPr>
      <w:r w:rsidRPr="00747F7B">
        <w:rPr>
          <w:rStyle w:val="BlueItalText"/>
          <w:rFonts w:cs="Arial"/>
          <w:lang w:val="fr-CA"/>
        </w:rPr>
        <w:br w:type="page"/>
      </w:r>
    </w:p>
    <w:p w14:paraId="33B988E2" w14:textId="1E8A0C8B" w:rsidR="00080BD0" w:rsidRPr="00752D8A" w:rsidRDefault="00080BD0" w:rsidP="00080BD0">
      <w:pPr>
        <w:pStyle w:val="09Para"/>
        <w:rPr>
          <w:rStyle w:val="BlueItalText"/>
          <w:rFonts w:cs="Arial"/>
        </w:rPr>
      </w:pPr>
      <w:proofErr w:type="gramStart"/>
      <w:r w:rsidRPr="00871F3A">
        <w:rPr>
          <w:rStyle w:val="BlueItalText"/>
          <w:rFonts w:cs="Arial"/>
        </w:rPr>
        <w:lastRenderedPageBreak/>
        <w:t>les</w:t>
      </w:r>
      <w:proofErr w:type="gramEnd"/>
      <w:r w:rsidRPr="00871F3A">
        <w:rPr>
          <w:rStyle w:val="BlueItalText"/>
          <w:rFonts w:cs="Arial"/>
        </w:rPr>
        <w:t xml:space="preserve"> critères de comptabilisation ou de fourniture d’informations énoncés dans le référentiel d’information financière applicable reposant sur le principe d’image fidèle n’ont pas été satisfaits, les déclarations écrites peuvent comprendre ce qui suit :</w:t>
      </w:r>
      <w:bookmarkEnd w:id="4"/>
      <w:r w:rsidRPr="00752D8A">
        <w:rPr>
          <w:rStyle w:val="BlueItalText"/>
          <w:rFonts w:cs="Arial"/>
        </w:rPr>
        <w:t xml:space="preserve"> </w:t>
      </w:r>
    </w:p>
    <w:p w14:paraId="6FC5094F" w14:textId="19A2A526" w:rsidR="00080BD0" w:rsidRPr="00312524" w:rsidRDefault="00080BD0" w:rsidP="00080BD0">
      <w:pPr>
        <w:pStyle w:val="09Para"/>
        <w:rPr>
          <w:rStyle w:val="BlueItalText"/>
          <w:i w:val="0"/>
        </w:rPr>
      </w:pPr>
      <w:bookmarkStart w:id="5" w:name="lt_pId210"/>
      <w:bookmarkStart w:id="6" w:name="Paragraph_3054"/>
      <w:r w:rsidRPr="00871F3A">
        <w:rPr>
          <w:rStyle w:val="BlueItalText"/>
          <w:rFonts w:cs="Arial"/>
          <w:i w:val="0"/>
        </w:rPr>
        <w:t>Nous avons utilisé une base appropriée pour déterminer que les critères de comptabilisation ou</w:t>
      </w:r>
      <w:r w:rsidR="00C523C5">
        <w:rPr>
          <w:rStyle w:val="BlueItalText"/>
          <w:rFonts w:cs="Arial"/>
          <w:i w:val="0"/>
        </w:rPr>
        <w:t> </w:t>
      </w:r>
      <w:r w:rsidRPr="00871F3A">
        <w:rPr>
          <w:rStyle w:val="BlueItalText"/>
          <w:rFonts w:cs="Arial"/>
          <w:i w:val="0"/>
        </w:rPr>
        <w:t xml:space="preserve">de fourniture d’informations énoncés dans le </w:t>
      </w:r>
      <w:r w:rsidRPr="00F96EBA">
        <w:rPr>
          <w:rStyle w:val="BlueItalText"/>
          <w:rFonts w:cs="Arial"/>
          <w:i w:val="0"/>
          <w:color w:val="auto"/>
        </w:rPr>
        <w:t>[</w:t>
      </w:r>
      <w:r w:rsidRPr="00871F3A">
        <w:rPr>
          <w:rStyle w:val="BlueItalText"/>
          <w:rFonts w:cs="Arial"/>
          <w:i w:val="0"/>
        </w:rPr>
        <w:t>préciser le référentiel d’information financière applicable reposant sur le principe d’image fidèle</w:t>
      </w:r>
      <w:r w:rsidRPr="00F96EBA">
        <w:rPr>
          <w:rStyle w:val="BlueItalText"/>
          <w:rFonts w:cs="Arial"/>
          <w:i w:val="0"/>
          <w:color w:val="auto"/>
        </w:rPr>
        <w:t>]</w:t>
      </w:r>
      <w:r w:rsidRPr="00871F3A">
        <w:rPr>
          <w:rStyle w:val="BlueItalText"/>
          <w:rFonts w:cs="Arial"/>
          <w:i w:val="0"/>
        </w:rPr>
        <w:t xml:space="preserve"> n’ont pas été satisfaits pour </w:t>
      </w:r>
      <w:r w:rsidRPr="00F96EBA">
        <w:rPr>
          <w:rStyle w:val="BlueItalText"/>
          <w:rFonts w:cs="Arial"/>
          <w:i w:val="0"/>
          <w:color w:val="auto"/>
        </w:rPr>
        <w:t>[</w:t>
      </w:r>
      <w:r w:rsidRPr="00871F3A">
        <w:rPr>
          <w:rStyle w:val="BlueItalText"/>
          <w:rFonts w:cs="Arial"/>
          <w:i w:val="0"/>
        </w:rPr>
        <w:t>indiquer l’estimation comptable</w:t>
      </w:r>
      <w:r w:rsidRPr="00F96EBA">
        <w:rPr>
          <w:rStyle w:val="BlueItalText"/>
          <w:rFonts w:cs="Arial"/>
          <w:i w:val="0"/>
          <w:color w:val="auto"/>
        </w:rPr>
        <w:t>]</w:t>
      </w:r>
      <w:r w:rsidRPr="00871F3A">
        <w:rPr>
          <w:rStyle w:val="BlueItalText"/>
          <w:rFonts w:cs="Arial"/>
          <w:i w:val="0"/>
        </w:rPr>
        <w:t>, une estimation comptable qui n’a pas été comptabilisée ou qui n’a pas</w:t>
      </w:r>
      <w:r w:rsidR="003F05AE">
        <w:rPr>
          <w:rStyle w:val="BlueItalText"/>
          <w:rFonts w:cs="Arial"/>
          <w:i w:val="0"/>
        </w:rPr>
        <w:t> </w:t>
      </w:r>
      <w:r w:rsidRPr="00871F3A">
        <w:rPr>
          <w:rStyle w:val="BlueItalText"/>
          <w:rFonts w:cs="Arial"/>
          <w:i w:val="0"/>
        </w:rPr>
        <w:t xml:space="preserve">fait l’objet d’informations dans les états financiers </w:t>
      </w:r>
      <w:r w:rsidR="00EC193A" w:rsidRPr="00F96EBA">
        <w:rPr>
          <w:rStyle w:val="BlueItalText"/>
          <w:rFonts w:cs="Arial"/>
          <w:i w:val="0"/>
          <w:color w:val="auto"/>
        </w:rPr>
        <w:t>[</w:t>
      </w:r>
      <w:r w:rsidRPr="00871F3A">
        <w:rPr>
          <w:rStyle w:val="BlueItalText"/>
          <w:rFonts w:cs="Arial"/>
          <w:i w:val="0"/>
        </w:rPr>
        <w:t>consolidés</w:t>
      </w:r>
      <w:r w:rsidR="00EC193A" w:rsidRPr="00F96EBA">
        <w:rPr>
          <w:rStyle w:val="BlueItalText"/>
          <w:rFonts w:cs="Arial"/>
          <w:i w:val="0"/>
          <w:color w:val="auto"/>
        </w:rPr>
        <w:t>]</w:t>
      </w:r>
      <w:r w:rsidRPr="00871F3A">
        <w:rPr>
          <w:rStyle w:val="BlueItalText"/>
          <w:rFonts w:cs="Arial"/>
          <w:i w:val="0"/>
        </w:rPr>
        <w:t>.</w:t>
      </w:r>
      <w:r w:rsidRPr="00871F3A">
        <w:rPr>
          <w:rStyle w:val="BlueItalText"/>
          <w:rFonts w:cs="Arial"/>
          <w:i w:val="0"/>
          <w:color w:val="auto"/>
        </w:rPr>
        <w:t>]</w:t>
      </w:r>
      <w:bookmarkEnd w:id="5"/>
      <w:bookmarkEnd w:id="6"/>
    </w:p>
    <w:p w14:paraId="5FA5C2CD" w14:textId="77777777" w:rsidR="00AA4392" w:rsidRPr="00B33AA4" w:rsidRDefault="001B7030" w:rsidP="00F66B87">
      <w:pPr>
        <w:pStyle w:val="Heading3"/>
      </w:pPr>
      <w:r w:rsidRPr="00B33AA4">
        <w:t xml:space="preserve">Évaluations </w:t>
      </w:r>
      <w:r w:rsidR="00F63DAF" w:rsidRPr="00B33AA4">
        <w:t>de</w:t>
      </w:r>
      <w:r w:rsidR="00751BA1" w:rsidRPr="00B33AA4">
        <w:t xml:space="preserve"> la juste valeur</w:t>
      </w:r>
    </w:p>
    <w:p w14:paraId="752F1E85" w14:textId="77777777" w:rsidR="00AA4392" w:rsidRPr="00B33AA4" w:rsidRDefault="008734F0" w:rsidP="00F66B87">
      <w:pPr>
        <w:pStyle w:val="09Para"/>
      </w:pPr>
      <w:r w:rsidRPr="00B33AA4">
        <w:t>Nous vous avons communiqué tous les plan</w:t>
      </w:r>
      <w:r w:rsidR="00905323" w:rsidRPr="00B33AA4">
        <w:t>s</w:t>
      </w:r>
      <w:r w:rsidRPr="00B33AA4">
        <w:t xml:space="preserve"> et intentions qui pourraient </w:t>
      </w:r>
      <w:r w:rsidR="00C54A40" w:rsidRPr="00B33AA4">
        <w:t xml:space="preserve">avoir une incidence </w:t>
      </w:r>
      <w:r w:rsidRPr="00B33AA4">
        <w:t xml:space="preserve">sur la détermination de la question de savoir si une évaluation </w:t>
      </w:r>
      <w:r w:rsidR="00F63DAF" w:rsidRPr="00B33AA4">
        <w:t>de</w:t>
      </w:r>
      <w:r w:rsidRPr="00B33AA4">
        <w:t xml:space="preserve"> la juste valeur est requise dans les états financiers </w:t>
      </w:r>
      <w:r w:rsidR="00AA4392" w:rsidRPr="00B33AA4">
        <w:t>[</w:t>
      </w:r>
      <w:r w:rsidR="00AA4392" w:rsidRPr="00B33AA4">
        <w:rPr>
          <w:color w:val="0000FF"/>
        </w:rPr>
        <w:t>consolid</w:t>
      </w:r>
      <w:r w:rsidRPr="00B33AA4">
        <w:rPr>
          <w:color w:val="0000FF"/>
        </w:rPr>
        <w:t>és</w:t>
      </w:r>
      <w:r w:rsidR="00AA4392" w:rsidRPr="00B33AA4">
        <w:t>].</w:t>
      </w:r>
    </w:p>
    <w:p w14:paraId="2BB2C250" w14:textId="75F0DB28" w:rsidR="00AA4392" w:rsidRPr="00B33AA4" w:rsidRDefault="00C54A40" w:rsidP="00F66B87">
      <w:pPr>
        <w:pStyle w:val="09Para"/>
      </w:pPr>
      <w:r w:rsidRPr="00B33AA4">
        <w:t xml:space="preserve">Pour les cas où des </w:t>
      </w:r>
      <w:r w:rsidR="00905323" w:rsidRPr="00B33AA4">
        <w:t xml:space="preserve">évaluations </w:t>
      </w:r>
      <w:r w:rsidR="00F63DAF" w:rsidRPr="00B33AA4">
        <w:t>de</w:t>
      </w:r>
      <w:r w:rsidR="00905323" w:rsidRPr="00B33AA4">
        <w:t xml:space="preserve"> la juste valeur </w:t>
      </w:r>
      <w:r w:rsidRPr="00B33AA4">
        <w:t xml:space="preserve">sont exigées </w:t>
      </w:r>
      <w:r w:rsidR="00905323" w:rsidRPr="00B33AA4">
        <w:t xml:space="preserve">dans les états financiers </w:t>
      </w:r>
      <w:r w:rsidR="00AA4392" w:rsidRPr="00B33AA4">
        <w:t>[</w:t>
      </w:r>
      <w:r w:rsidR="00AA4392" w:rsidRPr="00B33AA4">
        <w:rPr>
          <w:color w:val="0000FF"/>
        </w:rPr>
        <w:t>consolid</w:t>
      </w:r>
      <w:r w:rsidR="00905323" w:rsidRPr="00B33AA4">
        <w:rPr>
          <w:color w:val="0000FF"/>
        </w:rPr>
        <w:t>és</w:t>
      </w:r>
      <w:r w:rsidR="00AA4392" w:rsidRPr="00B33AA4">
        <w:t xml:space="preserve">], </w:t>
      </w:r>
      <w:r w:rsidR="00905323" w:rsidRPr="00B33AA4">
        <w:t xml:space="preserve">nous estimons que les évaluations </w:t>
      </w:r>
      <w:r w:rsidR="00F63DAF" w:rsidRPr="00B33AA4">
        <w:t>de</w:t>
      </w:r>
      <w:r w:rsidR="00905323" w:rsidRPr="00B33AA4">
        <w:t xml:space="preserve"> la juste valeur fournies sont conformes </w:t>
      </w:r>
      <w:r w:rsidR="00492A8F" w:rsidRPr="00B33AA4">
        <w:t>[</w:t>
      </w:r>
      <w:r w:rsidR="00905323" w:rsidRPr="00B33AA4">
        <w:rPr>
          <w:color w:val="0000FF"/>
        </w:rPr>
        <w:t>l</w:t>
      </w:r>
      <w:r w:rsidR="00865E23" w:rsidRPr="00B33AA4">
        <w:rPr>
          <w:color w:val="0000FF"/>
        </w:rPr>
        <w:t>’</w:t>
      </w:r>
      <w:r w:rsidR="00905323" w:rsidRPr="00B33AA4">
        <w:rPr>
          <w:color w:val="0000FF"/>
        </w:rPr>
        <w:t xml:space="preserve">évaluation </w:t>
      </w:r>
      <w:r w:rsidR="00F63DAF" w:rsidRPr="00B33AA4">
        <w:rPr>
          <w:color w:val="0000FF"/>
        </w:rPr>
        <w:t>de</w:t>
      </w:r>
      <w:r w:rsidR="00905323" w:rsidRPr="00B33AA4">
        <w:rPr>
          <w:color w:val="0000FF"/>
        </w:rPr>
        <w:t xml:space="preserve"> la juste valeur fournie est conforme</w:t>
      </w:r>
      <w:r w:rsidR="00492A8F" w:rsidRPr="00B33AA4">
        <w:t>]</w:t>
      </w:r>
      <w:r w:rsidR="00AA4392" w:rsidRPr="00B33AA4">
        <w:t xml:space="preserve"> </w:t>
      </w:r>
      <w:r w:rsidR="00905323" w:rsidRPr="00B33AA4">
        <w:t>aux principes d</w:t>
      </w:r>
      <w:r w:rsidR="00865E23" w:rsidRPr="00B33AA4">
        <w:t>’</w:t>
      </w:r>
      <w:r w:rsidR="00905323" w:rsidRPr="00B33AA4">
        <w:t xml:space="preserve">établissement du prix </w:t>
      </w:r>
      <w:r w:rsidR="008C279F">
        <w:t>reçu</w:t>
      </w:r>
      <w:r w:rsidR="008C279F" w:rsidRPr="00B33AA4">
        <w:t xml:space="preserve"> </w:t>
      </w:r>
      <w:r w:rsidR="00905323" w:rsidRPr="00B33AA4">
        <w:t>pour la vente d</w:t>
      </w:r>
      <w:r w:rsidR="00865E23" w:rsidRPr="00B33AA4">
        <w:t>’</w:t>
      </w:r>
      <w:r w:rsidR="00905323" w:rsidRPr="00B33AA4">
        <w:t>un actif ou payé pour le transfert d</w:t>
      </w:r>
      <w:r w:rsidR="00865E23" w:rsidRPr="00B33AA4">
        <w:t>’</w:t>
      </w:r>
      <w:r w:rsidR="00905323" w:rsidRPr="00B33AA4">
        <w:t>un passif lors d</w:t>
      </w:r>
      <w:r w:rsidR="00865E23" w:rsidRPr="00B33AA4">
        <w:t>’</w:t>
      </w:r>
      <w:r w:rsidR="00905323" w:rsidRPr="00B33AA4">
        <w:t>une transaction normale entre des intervenants du marché à la date d</w:t>
      </w:r>
      <w:r w:rsidR="00865E23" w:rsidRPr="00B33AA4">
        <w:t>’</w:t>
      </w:r>
      <w:r w:rsidR="00905323" w:rsidRPr="00B33AA4">
        <w:t>évaluation</w:t>
      </w:r>
      <w:r w:rsidR="00AA4392" w:rsidRPr="00B33AA4">
        <w:t xml:space="preserve">, </w:t>
      </w:r>
      <w:r w:rsidR="00905323" w:rsidRPr="00B33AA4">
        <w:t>selon les exigences de l</w:t>
      </w:r>
      <w:r w:rsidR="00865E23" w:rsidRPr="00B33AA4">
        <w:t>’</w:t>
      </w:r>
      <w:r w:rsidR="006141F8" w:rsidRPr="00B33AA4">
        <w:t>IFRS</w:t>
      </w:r>
      <w:r w:rsidR="00EF2E5E" w:rsidRPr="00B33AA4">
        <w:t> </w:t>
      </w:r>
      <w:r w:rsidR="006141F8" w:rsidRPr="00B33AA4">
        <w:t>13</w:t>
      </w:r>
      <w:r w:rsidR="006F6FBE" w:rsidRPr="00B33AA4">
        <w:t>,</w:t>
      </w:r>
      <w:r w:rsidR="006141F8" w:rsidRPr="00B33AA4">
        <w:t xml:space="preserve"> </w:t>
      </w:r>
      <w:r w:rsidR="00905323" w:rsidRPr="00B33AA4">
        <w:t>Évaluation à la juste valeur</w:t>
      </w:r>
      <w:r w:rsidR="008C279F">
        <w:t xml:space="preserve"> </w:t>
      </w:r>
      <w:r w:rsidR="00C55C35">
        <w:rPr>
          <w:rFonts w:cs="Arial"/>
          <w:iCs/>
        </w:rPr>
        <w:t>(IFRS </w:t>
      </w:r>
      <w:r w:rsidR="008C279F">
        <w:rPr>
          <w:rFonts w:cs="Arial"/>
          <w:iCs/>
        </w:rPr>
        <w:t>13)</w:t>
      </w:r>
      <w:r w:rsidR="008C279F" w:rsidRPr="0088764B">
        <w:rPr>
          <w:rFonts w:cs="Arial"/>
        </w:rPr>
        <w:t>.</w:t>
      </w:r>
      <w:r w:rsidR="00AA4392" w:rsidRPr="00B33AA4">
        <w:t xml:space="preserve"> </w:t>
      </w:r>
      <w:r w:rsidR="00905323" w:rsidRPr="00B33AA4">
        <w:t>Plus particulièrement</w:t>
      </w:r>
      <w:r w:rsidR="00605C59" w:rsidRPr="00B33AA4">
        <w:t> :</w:t>
      </w:r>
    </w:p>
    <w:p w14:paraId="03D5436B" w14:textId="77777777" w:rsidR="00AA4392" w:rsidRPr="00B33AA4" w:rsidRDefault="00905323" w:rsidP="000E4CFF">
      <w:pPr>
        <w:pStyle w:val="09ParaBullet1"/>
      </w:pPr>
      <w:r w:rsidRPr="00B33AA4">
        <w:t>L</w:t>
      </w:r>
      <w:r w:rsidR="00865E23" w:rsidRPr="00B33AA4">
        <w:t>’</w:t>
      </w:r>
      <w:r w:rsidRPr="00B33AA4">
        <w:t>évaluation d</w:t>
      </w:r>
      <w:r w:rsidR="00865E23" w:rsidRPr="00B33AA4">
        <w:t>’</w:t>
      </w:r>
      <w:r w:rsidRPr="00B33AA4">
        <w:t>une juste valeur suppose que la transaction pour la vente de l</w:t>
      </w:r>
      <w:r w:rsidR="00865E23" w:rsidRPr="00B33AA4">
        <w:t>’</w:t>
      </w:r>
      <w:r w:rsidRPr="00B33AA4">
        <w:t xml:space="preserve">actif ou le transfert du passif a lieu </w:t>
      </w:r>
      <w:r w:rsidR="00C75D07" w:rsidRPr="00B33AA4">
        <w:t>soit sur le marché principal pour l</w:t>
      </w:r>
      <w:r w:rsidR="00865E23" w:rsidRPr="00B33AA4">
        <w:t>’</w:t>
      </w:r>
      <w:r w:rsidR="00C75D07" w:rsidRPr="00B33AA4">
        <w:t>actif ou le passif</w:t>
      </w:r>
      <w:r w:rsidR="00AA4392" w:rsidRPr="00B33AA4">
        <w:t xml:space="preserve">; </w:t>
      </w:r>
      <w:r w:rsidR="00C75D07" w:rsidRPr="00B33AA4">
        <w:t>soit, en l</w:t>
      </w:r>
      <w:r w:rsidR="00865E23" w:rsidRPr="00B33AA4">
        <w:t>’</w:t>
      </w:r>
      <w:r w:rsidR="00C75D07" w:rsidRPr="00B33AA4">
        <w:t>absence de marché principal, sur le marché le plus avantageux pour l</w:t>
      </w:r>
      <w:r w:rsidR="00865E23" w:rsidRPr="00B33AA4">
        <w:t>’</w:t>
      </w:r>
      <w:r w:rsidR="00C75D07" w:rsidRPr="00B33AA4">
        <w:t>actif ou le passif</w:t>
      </w:r>
      <w:r w:rsidR="00C23883" w:rsidRPr="00B33AA4">
        <w:t>.</w:t>
      </w:r>
    </w:p>
    <w:p w14:paraId="278816DF" w14:textId="1509A35A" w:rsidR="00AA4392" w:rsidRPr="00B33AA4" w:rsidRDefault="00C75D07" w:rsidP="000E4CFF">
      <w:pPr>
        <w:pStyle w:val="09ParaBullet1"/>
      </w:pPr>
      <w:r w:rsidRPr="00B33AA4">
        <w:t>Les méthodes d</w:t>
      </w:r>
      <w:r w:rsidR="00865E23" w:rsidRPr="00B33AA4">
        <w:t>’</w:t>
      </w:r>
      <w:r w:rsidRPr="00B33AA4">
        <w:t>évaluation maximisent l</w:t>
      </w:r>
      <w:r w:rsidR="00865E23" w:rsidRPr="00B33AA4">
        <w:t>’</w:t>
      </w:r>
      <w:r w:rsidRPr="00B33AA4">
        <w:t>utilisation des données d</w:t>
      </w:r>
      <w:r w:rsidR="00865E23" w:rsidRPr="00B33AA4">
        <w:t>’</w:t>
      </w:r>
      <w:r w:rsidRPr="00B33AA4">
        <w:t xml:space="preserve">entrée </w:t>
      </w:r>
      <w:r w:rsidR="00C54A40" w:rsidRPr="00B33AA4">
        <w:t xml:space="preserve">du marché </w:t>
      </w:r>
      <w:r w:rsidRPr="00B33AA4">
        <w:t xml:space="preserve">observables </w:t>
      </w:r>
      <w:r w:rsidR="00BB4ADA" w:rsidRPr="00B33AA4">
        <w:t>pertinentes</w:t>
      </w:r>
      <w:r w:rsidR="00F63DAF" w:rsidRPr="00B33AA4">
        <w:t xml:space="preserve"> qui ont été</w:t>
      </w:r>
      <w:r w:rsidR="00BB4ADA" w:rsidRPr="00B33AA4">
        <w:t xml:space="preserve"> </w:t>
      </w:r>
      <w:r w:rsidRPr="00B33AA4">
        <w:t>rendues publiques</w:t>
      </w:r>
      <w:r w:rsidR="00C23883" w:rsidRPr="00B33AA4">
        <w:t>.</w:t>
      </w:r>
    </w:p>
    <w:p w14:paraId="4148E39D" w14:textId="38CC47F3" w:rsidR="00AA4392" w:rsidRPr="00B33AA4" w:rsidRDefault="00C75D07" w:rsidP="000E4CFF">
      <w:pPr>
        <w:pStyle w:val="09ParaBullet1"/>
      </w:pPr>
      <w:r w:rsidRPr="00B33AA4">
        <w:t xml:space="preserve">Les hypothèses importantes utilisées pour </w:t>
      </w:r>
      <w:r w:rsidR="00CD7DB9" w:rsidRPr="00B33AA4">
        <w:t xml:space="preserve">déterminer </w:t>
      </w:r>
      <w:r w:rsidRPr="00B33AA4">
        <w:t xml:space="preserve">les justes valeurs représentent nos meilleures </w:t>
      </w:r>
      <w:r w:rsidR="00BB4ADA" w:rsidRPr="00B33AA4">
        <w:t>estimations</w:t>
      </w:r>
      <w:r w:rsidR="008C279F">
        <w:t xml:space="preserve"> et</w:t>
      </w:r>
      <w:r w:rsidRPr="00B33AA4">
        <w:t xml:space="preserve"> sont raisonnables.</w:t>
      </w:r>
    </w:p>
    <w:p w14:paraId="2450DDDF" w14:textId="27A44A0E" w:rsidR="00AA4392" w:rsidRPr="00B33AA4" w:rsidRDefault="00DB1540" w:rsidP="005B6DB2">
      <w:pPr>
        <w:pStyle w:val="09Para"/>
      </w:pPr>
      <w:r w:rsidRPr="00B33AA4">
        <w:t>Nous avons présenté des informations appropriées</w:t>
      </w:r>
      <w:r w:rsidR="00BB4ADA" w:rsidRPr="00B33AA4">
        <w:t xml:space="preserve"> </w:t>
      </w:r>
      <w:r w:rsidRPr="00B33AA4">
        <w:t>sur les évaluations de la juste valeur utilisées dans les états financiers</w:t>
      </w:r>
      <w:r w:rsidR="008C279F">
        <w:t xml:space="preserve"> [</w:t>
      </w:r>
      <w:r w:rsidR="008C279F" w:rsidRPr="00FD1309">
        <w:rPr>
          <w:rFonts w:cs="Arial"/>
          <w:color w:val="0000FF"/>
        </w:rPr>
        <w:t>consolid</w:t>
      </w:r>
      <w:r w:rsidR="008C279F">
        <w:rPr>
          <w:rFonts w:cs="Arial"/>
          <w:color w:val="0000FF"/>
        </w:rPr>
        <w:t>és</w:t>
      </w:r>
      <w:r w:rsidR="00F96EBA" w:rsidRPr="00F96EBA">
        <w:rPr>
          <w:rFonts w:cs="Arial"/>
        </w:rPr>
        <w:t>]</w:t>
      </w:r>
      <w:r w:rsidRPr="00B33AA4">
        <w:t>, conformément aux exigences de l</w:t>
      </w:r>
      <w:r w:rsidR="00865E23" w:rsidRPr="00B33AA4">
        <w:t>’</w:t>
      </w:r>
      <w:r w:rsidRPr="00B33AA4">
        <w:t>IFRS</w:t>
      </w:r>
      <w:r w:rsidR="00EF2E5E" w:rsidRPr="00B33AA4">
        <w:t> </w:t>
      </w:r>
      <w:r w:rsidRPr="00B33AA4">
        <w:t xml:space="preserve">13 </w:t>
      </w:r>
      <w:r w:rsidR="00F63DAF" w:rsidRPr="00B33AA4">
        <w:t xml:space="preserve">et de </w:t>
      </w:r>
      <w:r w:rsidRPr="00B33AA4">
        <w:t>l</w:t>
      </w:r>
      <w:r w:rsidR="00865E23" w:rsidRPr="00B33AA4">
        <w:t>’</w:t>
      </w:r>
      <w:r w:rsidR="002138C8" w:rsidRPr="00B33AA4">
        <w:t>IFRS</w:t>
      </w:r>
      <w:r w:rsidR="00EF2E5E" w:rsidRPr="00B33AA4">
        <w:t> </w:t>
      </w:r>
      <w:r w:rsidR="002138C8" w:rsidRPr="00B33AA4">
        <w:t>7</w:t>
      </w:r>
      <w:r w:rsidR="006F6FBE" w:rsidRPr="00B33AA4">
        <w:t>,</w:t>
      </w:r>
      <w:r w:rsidR="002138C8" w:rsidRPr="00B33AA4">
        <w:t xml:space="preserve"> </w:t>
      </w:r>
      <w:r w:rsidRPr="00B33AA4">
        <w:t>Instruments f</w:t>
      </w:r>
      <w:r w:rsidR="002138C8" w:rsidRPr="00B33AA4">
        <w:t>inanci</w:t>
      </w:r>
      <w:r w:rsidRPr="00B33AA4">
        <w:t>ers</w:t>
      </w:r>
      <w:r w:rsidR="00605C59" w:rsidRPr="00B33AA4">
        <w:t> :</w:t>
      </w:r>
      <w:r w:rsidRPr="00B33AA4">
        <w:t xml:space="preserve"> Informations à fournir</w:t>
      </w:r>
      <w:r w:rsidR="008C279F">
        <w:t xml:space="preserve"> (IFRS 7)</w:t>
      </w:r>
      <w:r w:rsidRPr="00B33AA4">
        <w:t>. Nous avons fait la distinction entre les évaluations de la juste valeur récurrentes ou non récurrentes et les avons classées au niveau approprié de la hiérarchie des justes valeurs (</w:t>
      </w:r>
      <w:r w:rsidR="00BB4ADA" w:rsidRPr="00B33AA4">
        <w:t>niveau</w:t>
      </w:r>
      <w:r w:rsidR="00EF2E5E" w:rsidRPr="00B33AA4">
        <w:t> </w:t>
      </w:r>
      <w:r w:rsidRPr="00B33AA4">
        <w:t>1,</w:t>
      </w:r>
      <w:r w:rsidR="00F63DAF" w:rsidRPr="00B33AA4">
        <w:t xml:space="preserve"> </w:t>
      </w:r>
      <w:r w:rsidRPr="00B33AA4">
        <w:t>2 ou 3) [</w:t>
      </w:r>
      <w:r w:rsidRPr="00B33AA4">
        <w:rPr>
          <w:color w:val="0000FF"/>
        </w:rPr>
        <w:t xml:space="preserve">et avons </w:t>
      </w:r>
      <w:r w:rsidR="00BB4ADA" w:rsidRPr="00B33AA4">
        <w:rPr>
          <w:color w:val="0000FF"/>
        </w:rPr>
        <w:t>fourni</w:t>
      </w:r>
      <w:r w:rsidRPr="00B33AA4">
        <w:rPr>
          <w:color w:val="0000FF"/>
        </w:rPr>
        <w:t xml:space="preserve"> des informations appropriées sur le classement des instruments financiers et</w:t>
      </w:r>
      <w:r w:rsidR="00F63DAF" w:rsidRPr="00B33AA4">
        <w:rPr>
          <w:color w:val="0000FF"/>
        </w:rPr>
        <w:t xml:space="preserve"> sur </w:t>
      </w:r>
      <w:r w:rsidRPr="00B33AA4">
        <w:rPr>
          <w:color w:val="0000FF"/>
        </w:rPr>
        <w:t>tou</w:t>
      </w:r>
      <w:r w:rsidR="00F63DAF" w:rsidRPr="00B33AA4">
        <w:rPr>
          <w:color w:val="0000FF"/>
        </w:rPr>
        <w:t>s les</w:t>
      </w:r>
      <w:r w:rsidRPr="00B33AA4">
        <w:rPr>
          <w:color w:val="0000FF"/>
        </w:rPr>
        <w:t xml:space="preserve"> changement</w:t>
      </w:r>
      <w:r w:rsidR="00F63DAF" w:rsidRPr="00B33AA4">
        <w:rPr>
          <w:color w:val="0000FF"/>
        </w:rPr>
        <w:t>s</w:t>
      </w:r>
      <w:r w:rsidRPr="00B33AA4">
        <w:rPr>
          <w:color w:val="0000FF"/>
        </w:rPr>
        <w:t xml:space="preserve"> d</w:t>
      </w:r>
      <w:r w:rsidR="00E506FE" w:rsidRPr="00B33AA4">
        <w:rPr>
          <w:color w:val="0000FF"/>
        </w:rPr>
        <w:t>e</w:t>
      </w:r>
      <w:r w:rsidRPr="00B33AA4">
        <w:rPr>
          <w:color w:val="0000FF"/>
        </w:rPr>
        <w:t xml:space="preserve"> niveau</w:t>
      </w:r>
      <w:r w:rsidR="00E506FE" w:rsidRPr="00B33AA4">
        <w:rPr>
          <w:color w:val="0000FF"/>
        </w:rPr>
        <w:t xml:space="preserve"> dans la hiérarchie des justes </w:t>
      </w:r>
      <w:r w:rsidR="00D026CC" w:rsidRPr="00B33AA4">
        <w:rPr>
          <w:color w:val="0000FF"/>
        </w:rPr>
        <w:t>valeurs</w:t>
      </w:r>
      <w:r w:rsidR="002138C8" w:rsidRPr="00B33AA4">
        <w:t>]</w:t>
      </w:r>
      <w:r w:rsidR="00AA4392" w:rsidRPr="00B33AA4">
        <w:t>.</w:t>
      </w:r>
    </w:p>
    <w:p w14:paraId="4D5C73B3" w14:textId="1E075BFB" w:rsidR="00AA4392" w:rsidRPr="00B33AA4" w:rsidRDefault="00AA4392" w:rsidP="00F66B87">
      <w:pPr>
        <w:pStyle w:val="09Para"/>
      </w:pPr>
      <w:r w:rsidRPr="00B33AA4">
        <w:t>[</w:t>
      </w:r>
      <w:r w:rsidR="00DB1540" w:rsidRPr="00B33AA4">
        <w:rPr>
          <w:i/>
          <w:color w:val="0000FF"/>
        </w:rPr>
        <w:t>Envisager la possibilité d</w:t>
      </w:r>
      <w:r w:rsidR="00865E23" w:rsidRPr="00B33AA4">
        <w:rPr>
          <w:i/>
          <w:color w:val="0000FF"/>
        </w:rPr>
        <w:t>’</w:t>
      </w:r>
      <w:r w:rsidR="00DB1540" w:rsidRPr="00B33AA4">
        <w:rPr>
          <w:i/>
          <w:color w:val="0000FF"/>
        </w:rPr>
        <w:t>ajouter l</w:t>
      </w:r>
      <w:r w:rsidR="00B12381" w:rsidRPr="00B33AA4">
        <w:rPr>
          <w:i/>
          <w:color w:val="0000FF"/>
        </w:rPr>
        <w:t>a</w:t>
      </w:r>
      <w:r w:rsidR="00DB1540" w:rsidRPr="00B33AA4">
        <w:rPr>
          <w:i/>
          <w:color w:val="0000FF"/>
        </w:rPr>
        <w:t xml:space="preserve"> déclaration suivante, si le marché principal n</w:t>
      </w:r>
      <w:r w:rsidR="00865E23" w:rsidRPr="00B33AA4">
        <w:rPr>
          <w:i/>
          <w:color w:val="0000FF"/>
        </w:rPr>
        <w:t>’</w:t>
      </w:r>
      <w:r w:rsidR="00DB1540" w:rsidRPr="00B33AA4">
        <w:rPr>
          <w:i/>
          <w:color w:val="0000FF"/>
        </w:rPr>
        <w:t>a pas été utilisé pour faire l</w:t>
      </w:r>
      <w:r w:rsidR="00865E23" w:rsidRPr="00B33AA4">
        <w:rPr>
          <w:i/>
          <w:color w:val="0000FF"/>
        </w:rPr>
        <w:t>’</w:t>
      </w:r>
      <w:r w:rsidR="00DB1540" w:rsidRPr="00B33AA4">
        <w:rPr>
          <w:i/>
          <w:color w:val="0000FF"/>
        </w:rPr>
        <w:t>évaluation</w:t>
      </w:r>
      <w:r w:rsidRPr="00B33AA4">
        <w:rPr>
          <w:i/>
          <w:color w:val="0000FF"/>
        </w:rPr>
        <w:t>.</w:t>
      </w:r>
      <w:r w:rsidRPr="00B33AA4">
        <w:t xml:space="preserve">] </w:t>
      </w:r>
      <w:r w:rsidR="00300AA2" w:rsidRPr="00B33AA4">
        <w:t>Nous avons utilisé le marché principal pour évaluer la valeur des</w:t>
      </w:r>
      <w:r w:rsidR="00C523C5">
        <w:t> </w:t>
      </w:r>
      <w:r w:rsidR="00300AA2" w:rsidRPr="00B33AA4">
        <w:t xml:space="preserve">actifs et </w:t>
      </w:r>
      <w:r w:rsidR="00EF2E5E" w:rsidRPr="00B33AA4">
        <w:t xml:space="preserve">des </w:t>
      </w:r>
      <w:r w:rsidR="00300AA2" w:rsidRPr="00B33AA4">
        <w:t>passifs financiers ou non financiers, sauf pour [</w:t>
      </w:r>
      <w:r w:rsidR="00300AA2" w:rsidRPr="00B33AA4">
        <w:rPr>
          <w:i/>
          <w:color w:val="0000FF"/>
        </w:rPr>
        <w:t>énumérer les actifs et passifs financiers ou non financiers pour lesquels le marché principal n</w:t>
      </w:r>
      <w:r w:rsidR="00865E23" w:rsidRPr="00B33AA4">
        <w:rPr>
          <w:i/>
          <w:color w:val="0000FF"/>
        </w:rPr>
        <w:t>’</w:t>
      </w:r>
      <w:r w:rsidR="00300AA2" w:rsidRPr="00B33AA4">
        <w:rPr>
          <w:i/>
          <w:color w:val="0000FF"/>
        </w:rPr>
        <w:t>a pas été utilisé</w:t>
      </w:r>
      <w:r w:rsidRPr="00B33AA4">
        <w:t xml:space="preserve">] </w:t>
      </w:r>
      <w:r w:rsidR="00300AA2" w:rsidRPr="00B33AA4">
        <w:t xml:space="preserve">dont la juste valeur a été évaluée selon une </w:t>
      </w:r>
      <w:r w:rsidR="00C54A40" w:rsidRPr="00B33AA4">
        <w:t xml:space="preserve">méthode basée </w:t>
      </w:r>
      <w:r w:rsidR="00300AA2" w:rsidRPr="00B33AA4">
        <w:t>sur le marché le plus avantageux</w:t>
      </w:r>
      <w:r w:rsidR="00C54A40" w:rsidRPr="00B33AA4">
        <w:t xml:space="preserve"> ou hypothétique</w:t>
      </w:r>
      <w:r w:rsidRPr="00B33AA4">
        <w:t>.</w:t>
      </w:r>
    </w:p>
    <w:p w14:paraId="6ECF8300" w14:textId="15F3AAEB" w:rsidR="00AA4392" w:rsidRPr="00B33AA4" w:rsidRDefault="00AA4392" w:rsidP="00F66B87">
      <w:pPr>
        <w:pStyle w:val="09Para"/>
      </w:pPr>
      <w:r w:rsidRPr="00B33AA4">
        <w:lastRenderedPageBreak/>
        <w:t>[</w:t>
      </w:r>
      <w:r w:rsidR="00B12381" w:rsidRPr="00B33AA4">
        <w:rPr>
          <w:i/>
          <w:color w:val="0000FF"/>
        </w:rPr>
        <w:t>Envisager la possibilité d</w:t>
      </w:r>
      <w:r w:rsidR="00865E23" w:rsidRPr="00B33AA4">
        <w:rPr>
          <w:i/>
          <w:color w:val="0000FF"/>
        </w:rPr>
        <w:t>’</w:t>
      </w:r>
      <w:r w:rsidR="00B12381" w:rsidRPr="00B33AA4">
        <w:rPr>
          <w:i/>
          <w:color w:val="0000FF"/>
        </w:rPr>
        <w:t>ajouter la déclaration suivante</w:t>
      </w:r>
      <w:r w:rsidRPr="00B33AA4">
        <w:rPr>
          <w:i/>
          <w:color w:val="0000FF"/>
        </w:rPr>
        <w:t xml:space="preserve">, </w:t>
      </w:r>
      <w:r w:rsidR="00B12381" w:rsidRPr="00B33AA4">
        <w:rPr>
          <w:i/>
          <w:color w:val="0000FF"/>
        </w:rPr>
        <w:t>si des ajustements d</w:t>
      </w:r>
      <w:r w:rsidR="00865E23" w:rsidRPr="00B33AA4">
        <w:rPr>
          <w:i/>
          <w:color w:val="0000FF"/>
        </w:rPr>
        <w:t>’</w:t>
      </w:r>
      <w:r w:rsidR="00BB4ADA" w:rsidRPr="00B33AA4">
        <w:rPr>
          <w:i/>
          <w:color w:val="0000FF"/>
        </w:rPr>
        <w:t>évaluation</w:t>
      </w:r>
      <w:r w:rsidR="00B12381" w:rsidRPr="00B33AA4">
        <w:rPr>
          <w:i/>
          <w:color w:val="0000FF"/>
        </w:rPr>
        <w:t xml:space="preserve"> ont été apportés au niveau du portefeuille</w:t>
      </w:r>
      <w:r w:rsidRPr="00B33AA4">
        <w:rPr>
          <w:i/>
          <w:color w:val="0000FF"/>
        </w:rPr>
        <w:t>.</w:t>
      </w:r>
      <w:r w:rsidRPr="00B33AA4">
        <w:t>]</w:t>
      </w:r>
      <w:r w:rsidR="00B12381" w:rsidRPr="00B33AA4">
        <w:t xml:space="preserve"> Nous avons adopté [</w:t>
      </w:r>
      <w:r w:rsidR="006F742B" w:rsidRPr="00B33AA4">
        <w:rPr>
          <w:i/>
          <w:color w:val="0000FF"/>
        </w:rPr>
        <w:t>indiquer</w:t>
      </w:r>
      <w:r w:rsidR="00B12381" w:rsidRPr="00B33AA4">
        <w:rPr>
          <w:i/>
          <w:color w:val="0000FF"/>
        </w:rPr>
        <w:t xml:space="preserve"> la méthode adoptée</w:t>
      </w:r>
      <w:r w:rsidRPr="00B33AA4">
        <w:t>]</w:t>
      </w:r>
      <w:r w:rsidR="00B12381" w:rsidRPr="00B33AA4">
        <w:t xml:space="preserve"> </w:t>
      </w:r>
      <w:r w:rsidR="0019145C" w:rsidRPr="00B33AA4">
        <w:t>qui a</w:t>
      </w:r>
      <w:r w:rsidR="00C523C5">
        <w:t> </w:t>
      </w:r>
      <w:r w:rsidR="0019145C" w:rsidRPr="00B33AA4">
        <w:t xml:space="preserve">été appliqué de manière </w:t>
      </w:r>
      <w:r w:rsidR="00C54A40" w:rsidRPr="00B33AA4">
        <w:t xml:space="preserve">cohérente </w:t>
      </w:r>
      <w:r w:rsidR="00B12381" w:rsidRPr="00B33AA4">
        <w:t>pour répartir les ajustements d</w:t>
      </w:r>
      <w:r w:rsidR="00865E23" w:rsidRPr="00B33AA4">
        <w:t>’</w:t>
      </w:r>
      <w:r w:rsidR="00B12381" w:rsidRPr="00B33AA4">
        <w:t xml:space="preserve">évaluation faits </w:t>
      </w:r>
      <w:r w:rsidR="0019145C" w:rsidRPr="00B33AA4">
        <w:t xml:space="preserve">au niveau du portefeuille entre les différentes unités de comptabilisation </w:t>
      </w:r>
      <w:r w:rsidR="00C54A40" w:rsidRPr="00B33AA4">
        <w:t xml:space="preserve">prises isolément </w:t>
      </w:r>
      <w:r w:rsidR="0019145C" w:rsidRPr="00B33AA4">
        <w:t>conformément à</w:t>
      </w:r>
      <w:r w:rsidR="00C523C5">
        <w:t> </w:t>
      </w:r>
      <w:r w:rsidR="0019145C" w:rsidRPr="00B33AA4">
        <w:t>l</w:t>
      </w:r>
      <w:r w:rsidR="00865E23" w:rsidRPr="00B33AA4">
        <w:t>’</w:t>
      </w:r>
      <w:r w:rsidR="0019145C" w:rsidRPr="00B33AA4">
        <w:t>IFRS </w:t>
      </w:r>
      <w:r w:rsidRPr="00B33AA4">
        <w:t>13.</w:t>
      </w:r>
    </w:p>
    <w:p w14:paraId="29E18333" w14:textId="77777777" w:rsidR="00AA4392" w:rsidRPr="00B33AA4" w:rsidRDefault="00AA4948" w:rsidP="00F66B87">
      <w:pPr>
        <w:pStyle w:val="Heading3"/>
      </w:pPr>
      <w:r w:rsidRPr="00B33AA4">
        <w:t>P</w:t>
      </w:r>
      <w:r w:rsidR="00F93A70" w:rsidRPr="00B33AA4">
        <w:t>arties liées</w:t>
      </w:r>
    </w:p>
    <w:p w14:paraId="4B72FA18" w14:textId="607C2E0A" w:rsidR="00AA4392" w:rsidRPr="00B33AA4" w:rsidRDefault="00F93A70" w:rsidP="00F66B87">
      <w:pPr>
        <w:pStyle w:val="09Para"/>
      </w:pPr>
      <w:r w:rsidRPr="00B33AA4">
        <w:t xml:space="preserve">Nous confirmons que nous vous avons </w:t>
      </w:r>
      <w:r w:rsidR="00C54A40" w:rsidRPr="00B33AA4">
        <w:t xml:space="preserve">fourni </w:t>
      </w:r>
      <w:r w:rsidRPr="00B33AA4">
        <w:t>l</w:t>
      </w:r>
      <w:r w:rsidR="00865E23" w:rsidRPr="00B33AA4">
        <w:t>’</w:t>
      </w:r>
      <w:r w:rsidRPr="00B33AA4">
        <w:t xml:space="preserve">identité des parties liées à </w:t>
      </w:r>
      <w:r w:rsidR="00EA42DD" w:rsidRPr="00B33AA4">
        <w:t>[</w:t>
      </w:r>
      <w:r w:rsidR="00EA42DD" w:rsidRPr="00B33AA4">
        <w:rPr>
          <w:color w:val="0000FF"/>
        </w:rPr>
        <w:t>Entité</w:t>
      </w:r>
      <w:r w:rsidR="00EA42DD" w:rsidRPr="00B33AA4">
        <w:t>]</w:t>
      </w:r>
      <w:r w:rsidR="00C54A40" w:rsidRPr="00B33AA4">
        <w:t xml:space="preserve"> </w:t>
      </w:r>
      <w:r w:rsidR="004F103D" w:rsidRPr="00B33AA4">
        <w:t xml:space="preserve">au sens de la définition de ce </w:t>
      </w:r>
      <w:r w:rsidRPr="00B33AA4">
        <w:t>terme dans</w:t>
      </w:r>
      <w:r w:rsidR="00240746" w:rsidRPr="00B33AA4">
        <w:t xml:space="preserve"> l</w:t>
      </w:r>
      <w:r w:rsidR="00865E23" w:rsidRPr="00B33AA4">
        <w:t>’</w:t>
      </w:r>
      <w:r w:rsidR="004C6AD7" w:rsidRPr="00B33AA4">
        <w:t>IAS</w:t>
      </w:r>
      <w:r w:rsidR="00EF2E5E" w:rsidRPr="00B33AA4">
        <w:t> </w:t>
      </w:r>
      <w:r w:rsidR="004C6AD7" w:rsidRPr="00B33AA4">
        <w:t>24</w:t>
      </w:r>
      <w:r w:rsidR="00E55C00" w:rsidRPr="00B33AA4">
        <w:t>,</w:t>
      </w:r>
      <w:r w:rsidR="004C6AD7" w:rsidRPr="00B33AA4">
        <w:t xml:space="preserve"> </w:t>
      </w:r>
      <w:r w:rsidR="00240746" w:rsidRPr="00B33AA4">
        <w:t>Informations relatives aux parties liées</w:t>
      </w:r>
      <w:r w:rsidR="008C279F">
        <w:t xml:space="preserve"> (IAS 24)</w:t>
      </w:r>
      <w:r w:rsidR="0032249D" w:rsidRPr="00B33AA4">
        <w:t>, et toutes les relations et opé</w:t>
      </w:r>
      <w:r w:rsidR="009D3150">
        <w:t>rations avec des parties liées.</w:t>
      </w:r>
    </w:p>
    <w:p w14:paraId="14F137E6" w14:textId="7BD5B37D" w:rsidR="00AA4392" w:rsidRPr="00B33AA4" w:rsidRDefault="00F93A70" w:rsidP="00F66B87">
      <w:pPr>
        <w:pStyle w:val="09Para"/>
      </w:pPr>
      <w:r w:rsidRPr="00B33AA4">
        <w:t>L</w:t>
      </w:r>
      <w:r w:rsidR="00865E23" w:rsidRPr="00B33AA4">
        <w:t>’</w:t>
      </w:r>
      <w:r w:rsidRPr="00B33AA4">
        <w:t xml:space="preserve">identité et la nature des relations </w:t>
      </w:r>
      <w:r w:rsidR="005E02E7" w:rsidRPr="00B33AA4">
        <w:t xml:space="preserve">entre </w:t>
      </w:r>
      <w:r w:rsidRPr="00B33AA4">
        <w:t xml:space="preserve">les parties liées ainsi que les soldes et </w:t>
      </w:r>
      <w:r w:rsidR="002D537E" w:rsidRPr="00B33AA4">
        <w:t>opérations</w:t>
      </w:r>
      <w:r w:rsidR="005E02E7" w:rsidRPr="00B33AA4">
        <w:t xml:space="preserve"> </w:t>
      </w:r>
      <w:r w:rsidR="00CD7DB9" w:rsidRPr="00B33AA4">
        <w:t xml:space="preserve">effectuées </w:t>
      </w:r>
      <w:r w:rsidR="00636356" w:rsidRPr="00B33AA4">
        <w:t xml:space="preserve">avec </w:t>
      </w:r>
      <w:r w:rsidRPr="00B33AA4">
        <w:t xml:space="preserve">des parties liées ont été comptabilisés et </w:t>
      </w:r>
      <w:r w:rsidR="00636356" w:rsidRPr="00B33AA4">
        <w:t xml:space="preserve">divulgués </w:t>
      </w:r>
      <w:r w:rsidRPr="00B33AA4">
        <w:t>de façon appropriée dans</w:t>
      </w:r>
      <w:r w:rsidR="003F05AE">
        <w:t> </w:t>
      </w:r>
      <w:r w:rsidRPr="00B33AA4">
        <w:t>les états financiers [</w:t>
      </w:r>
      <w:r w:rsidRPr="00B33AA4">
        <w:rPr>
          <w:color w:val="0000FF"/>
        </w:rPr>
        <w:t>consolidés</w:t>
      </w:r>
      <w:r w:rsidRPr="00B33AA4">
        <w:t xml:space="preserve">], conformément </w:t>
      </w:r>
      <w:r w:rsidR="005B77D8" w:rsidRPr="00B33AA4">
        <w:t>à l’IAS 24</w:t>
      </w:r>
      <w:r w:rsidR="00322E08" w:rsidRPr="00B33AA4">
        <w:t>.</w:t>
      </w:r>
      <w:r w:rsidR="0032249D" w:rsidRPr="00B33AA4">
        <w:t xml:space="preserve"> </w:t>
      </w:r>
      <w:r w:rsidR="0098506F">
        <w:t>[</w:t>
      </w:r>
      <w:r w:rsidR="0032249D" w:rsidRPr="00871F3A">
        <w:rPr>
          <w:color w:val="0000FF"/>
        </w:rPr>
        <w:t>Nous vous avons fourni des documents à l’appui de toutes les assertions indiquant qu</w:t>
      </w:r>
      <w:r w:rsidR="0098506F" w:rsidRPr="00871F3A">
        <w:rPr>
          <w:color w:val="0000FF"/>
        </w:rPr>
        <w:t>’une</w:t>
      </w:r>
      <w:r w:rsidR="0032249D" w:rsidRPr="00871F3A">
        <w:rPr>
          <w:color w:val="0000FF"/>
        </w:rPr>
        <w:t xml:space="preserve"> opération avec </w:t>
      </w:r>
      <w:r w:rsidR="0098506F" w:rsidRPr="00871F3A">
        <w:rPr>
          <w:color w:val="0000FF"/>
        </w:rPr>
        <w:t>d</w:t>
      </w:r>
      <w:r w:rsidR="0032249D" w:rsidRPr="00871F3A">
        <w:rPr>
          <w:color w:val="0000FF"/>
        </w:rPr>
        <w:t xml:space="preserve">es parties liées </w:t>
      </w:r>
      <w:r w:rsidR="0098506F" w:rsidRPr="00871F3A">
        <w:rPr>
          <w:color w:val="0000FF"/>
        </w:rPr>
        <w:t>a</w:t>
      </w:r>
      <w:r w:rsidR="00C523C5">
        <w:rPr>
          <w:color w:val="0000FF"/>
        </w:rPr>
        <w:t> </w:t>
      </w:r>
      <w:r w:rsidR="0032249D" w:rsidRPr="00871F3A">
        <w:rPr>
          <w:color w:val="0000FF"/>
        </w:rPr>
        <w:t>été conclue selon des termes et conditions équivalents à ceux d’opérations réalisées dans des conditions de concurrence normale.</w:t>
      </w:r>
      <w:r w:rsidR="0098506F">
        <w:t>]</w:t>
      </w:r>
    </w:p>
    <w:p w14:paraId="04FA297B" w14:textId="77777777" w:rsidR="00AA4392" w:rsidRPr="00B33AA4" w:rsidRDefault="00F93A70" w:rsidP="00F66B87">
      <w:pPr>
        <w:pStyle w:val="09Para"/>
      </w:pPr>
      <w:r w:rsidRPr="00B33AA4">
        <w:t xml:space="preserve">Nous confirmons que nous vous avons </w:t>
      </w:r>
      <w:r w:rsidR="00104E4E" w:rsidRPr="00B33AA4">
        <w:t xml:space="preserve">fourni </w:t>
      </w:r>
      <w:r w:rsidRPr="00B33AA4">
        <w:t>l</w:t>
      </w:r>
      <w:r w:rsidR="00865E23" w:rsidRPr="00B33AA4">
        <w:t>’</w:t>
      </w:r>
      <w:r w:rsidRPr="00B33AA4">
        <w:t xml:space="preserve">identité de tous les principaux dirigeants, </w:t>
      </w:r>
      <w:r w:rsidR="004F103D" w:rsidRPr="00B33AA4">
        <w:t xml:space="preserve">au sens de </w:t>
      </w:r>
      <w:r w:rsidR="00C166F7" w:rsidRPr="00B33AA4">
        <w:t>l</w:t>
      </w:r>
      <w:r w:rsidR="00865E23" w:rsidRPr="00B33AA4">
        <w:t>’</w:t>
      </w:r>
      <w:r w:rsidR="00C166F7" w:rsidRPr="00B33AA4">
        <w:t>I</w:t>
      </w:r>
      <w:r w:rsidR="00AA4392" w:rsidRPr="00B33AA4">
        <w:t>AS</w:t>
      </w:r>
      <w:r w:rsidR="00EF2E5E" w:rsidRPr="00B33AA4">
        <w:t> </w:t>
      </w:r>
      <w:r w:rsidR="00AA4392" w:rsidRPr="00B33AA4">
        <w:t>24</w:t>
      </w:r>
      <w:r w:rsidR="004C6AD7" w:rsidRPr="00B33AA4">
        <w:t xml:space="preserve">, </w:t>
      </w:r>
      <w:r w:rsidR="00C166F7" w:rsidRPr="00B33AA4">
        <w:t xml:space="preserve">et </w:t>
      </w:r>
      <w:r w:rsidR="00636356" w:rsidRPr="00B33AA4">
        <w:t xml:space="preserve">indiqué </w:t>
      </w:r>
      <w:r w:rsidR="00C166F7" w:rsidRPr="00B33AA4">
        <w:t xml:space="preserve">leur rémunération dans les informations fournies </w:t>
      </w:r>
      <w:r w:rsidR="00C346D2" w:rsidRPr="00B33AA4">
        <w:t xml:space="preserve">dans les états financiers </w:t>
      </w:r>
      <w:r w:rsidR="00AA4392" w:rsidRPr="00B33AA4">
        <w:t>[</w:t>
      </w:r>
      <w:r w:rsidR="00AA4392" w:rsidRPr="00B33AA4">
        <w:rPr>
          <w:color w:val="0000FF"/>
        </w:rPr>
        <w:t>consolid</w:t>
      </w:r>
      <w:r w:rsidR="00C346D2" w:rsidRPr="00B33AA4">
        <w:rPr>
          <w:color w:val="0000FF"/>
        </w:rPr>
        <w:t>és</w:t>
      </w:r>
      <w:r w:rsidR="00AA4392" w:rsidRPr="00B33AA4">
        <w:t>]</w:t>
      </w:r>
      <w:r w:rsidR="007B4356" w:rsidRPr="00B33AA4">
        <w:t xml:space="preserve"> à la note sur la rémunération des principaux dirigeants</w:t>
      </w:r>
      <w:r w:rsidR="00AA4392" w:rsidRPr="00B33AA4">
        <w:t>.</w:t>
      </w:r>
    </w:p>
    <w:p w14:paraId="0C160CA2" w14:textId="73BEB682" w:rsidR="00F93A70" w:rsidRPr="00B33AA4" w:rsidRDefault="00F93A70" w:rsidP="00F66B87">
      <w:pPr>
        <w:pStyle w:val="09Para"/>
      </w:pPr>
      <w:r w:rsidRPr="00B33AA4">
        <w:t>[</w:t>
      </w:r>
      <w:r w:rsidR="0032249D" w:rsidRPr="00B33AA4">
        <w:rPr>
          <w:i/>
          <w:color w:val="0000FF"/>
        </w:rPr>
        <w:t xml:space="preserve">Outre </w:t>
      </w:r>
      <w:r w:rsidRPr="00B33AA4">
        <w:rPr>
          <w:i/>
          <w:color w:val="0000FF"/>
        </w:rPr>
        <w:t>les déclarations obtenues auprès de la direction figurant dans la présente lettre, il peut y</w:t>
      </w:r>
      <w:r w:rsidR="00C523C5">
        <w:rPr>
          <w:i/>
          <w:color w:val="0000FF"/>
        </w:rPr>
        <w:t> </w:t>
      </w:r>
      <w:r w:rsidRPr="00B33AA4">
        <w:rPr>
          <w:i/>
          <w:color w:val="0000FF"/>
        </w:rPr>
        <w:t>avoir des circonstances où il est approprié d</w:t>
      </w:r>
      <w:r w:rsidR="00865E23" w:rsidRPr="00B33AA4">
        <w:rPr>
          <w:i/>
          <w:color w:val="0000FF"/>
        </w:rPr>
        <w:t>’</w:t>
      </w:r>
      <w:r w:rsidRPr="00B33AA4">
        <w:rPr>
          <w:i/>
          <w:color w:val="0000FF"/>
        </w:rPr>
        <w:t>obtenir des déclarations écrites auprès des responsables de la gouvernance. Il peut s</w:t>
      </w:r>
      <w:r w:rsidR="00865E23" w:rsidRPr="00B33AA4">
        <w:rPr>
          <w:i/>
          <w:color w:val="0000FF"/>
        </w:rPr>
        <w:t>’</w:t>
      </w:r>
      <w:r w:rsidRPr="00B33AA4">
        <w:rPr>
          <w:i/>
          <w:color w:val="0000FF"/>
        </w:rPr>
        <w:t>agir de circonstances dans lesquelles ces responsables :</w:t>
      </w:r>
    </w:p>
    <w:p w14:paraId="44EF5820" w14:textId="183C3C48" w:rsidR="00F93A70" w:rsidRPr="00DE23D1" w:rsidRDefault="00F93A70" w:rsidP="000E4CFF">
      <w:pPr>
        <w:pStyle w:val="09ParaBullet1"/>
        <w:rPr>
          <w:i/>
        </w:rPr>
      </w:pPr>
      <w:r w:rsidRPr="00DE23D1">
        <w:rPr>
          <w:i/>
          <w:color w:val="0000FF"/>
        </w:rPr>
        <w:t xml:space="preserve">ont approuvé des opérations spécifiques avec des parties liées qui </w:t>
      </w:r>
      <w:r w:rsidR="008C279F" w:rsidRPr="00DE23D1">
        <w:rPr>
          <w:i/>
          <w:color w:val="0000FF"/>
        </w:rPr>
        <w:t xml:space="preserve">a) </w:t>
      </w:r>
      <w:r w:rsidRPr="00DE23D1">
        <w:rPr>
          <w:i/>
          <w:color w:val="0000FF"/>
        </w:rPr>
        <w:t xml:space="preserve">ont une incidence significative sur les états </w:t>
      </w:r>
      <w:r w:rsidRPr="00B9799D">
        <w:rPr>
          <w:i/>
          <w:color w:val="0000FF"/>
        </w:rPr>
        <w:t>financiers</w:t>
      </w:r>
      <w:r w:rsidRPr="00B9799D">
        <w:rPr>
          <w:i/>
        </w:rPr>
        <w:t xml:space="preserve"> </w:t>
      </w:r>
      <w:r w:rsidR="008C279F" w:rsidRPr="00B9799D">
        <w:rPr>
          <w:i/>
        </w:rPr>
        <w:t>[</w:t>
      </w:r>
      <w:r w:rsidR="008C279F" w:rsidRPr="00B9799D">
        <w:rPr>
          <w:rStyle w:val="BlueItalText"/>
          <w:rFonts w:cs="Arial"/>
          <w:i w:val="0"/>
        </w:rPr>
        <w:t>consolidés</w:t>
      </w:r>
      <w:r w:rsidR="008C279F" w:rsidRPr="00B9799D">
        <w:rPr>
          <w:rStyle w:val="BlueItalText"/>
          <w:rFonts w:cs="Arial"/>
          <w:color w:val="auto"/>
        </w:rPr>
        <w:t>]</w:t>
      </w:r>
      <w:r w:rsidR="008C279F" w:rsidRPr="00B9799D">
        <w:rPr>
          <w:i/>
        </w:rPr>
        <w:t xml:space="preserve"> </w:t>
      </w:r>
      <w:r w:rsidRPr="00B9799D">
        <w:rPr>
          <w:i/>
          <w:color w:val="0000FF"/>
        </w:rPr>
        <w:t>ou</w:t>
      </w:r>
      <w:r w:rsidR="008C279F" w:rsidRPr="00B9799D">
        <w:rPr>
          <w:i/>
          <w:color w:val="0000FF"/>
        </w:rPr>
        <w:t xml:space="preserve"> b)</w:t>
      </w:r>
      <w:r w:rsidRPr="00DE23D1">
        <w:rPr>
          <w:i/>
          <w:color w:val="0000FF"/>
        </w:rPr>
        <w:t xml:space="preserve"> impliquent la direction;</w:t>
      </w:r>
    </w:p>
    <w:p w14:paraId="2D14A316" w14:textId="77777777" w:rsidR="00F93A70" w:rsidRPr="00DE23D1" w:rsidRDefault="00F93A70" w:rsidP="000E4CFF">
      <w:pPr>
        <w:pStyle w:val="09ParaBullet1"/>
        <w:rPr>
          <w:i/>
        </w:rPr>
      </w:pPr>
      <w:r w:rsidRPr="00DE23D1">
        <w:rPr>
          <w:i/>
          <w:color w:val="0000FF"/>
        </w:rPr>
        <w:t xml:space="preserve">ont fait des déclarations </w:t>
      </w:r>
      <w:r w:rsidR="00CD7DB9" w:rsidRPr="00DE23D1">
        <w:rPr>
          <w:i/>
          <w:color w:val="0000FF"/>
        </w:rPr>
        <w:t xml:space="preserve">orales </w:t>
      </w:r>
      <w:r w:rsidRPr="00DE23D1">
        <w:rPr>
          <w:i/>
          <w:color w:val="0000FF"/>
        </w:rPr>
        <w:t>spécifiques à l</w:t>
      </w:r>
      <w:r w:rsidR="00865E23" w:rsidRPr="00DE23D1">
        <w:rPr>
          <w:i/>
          <w:color w:val="0000FF"/>
        </w:rPr>
        <w:t>’</w:t>
      </w:r>
      <w:r w:rsidRPr="00DE23D1">
        <w:rPr>
          <w:i/>
          <w:color w:val="0000FF"/>
        </w:rPr>
        <w:t>auditeur sur le détail de certaines opérations conclues avec des parties liées;</w:t>
      </w:r>
    </w:p>
    <w:p w14:paraId="0BC14635" w14:textId="5617B78E" w:rsidR="00F93A70" w:rsidRPr="00DE23D1" w:rsidRDefault="00F93A70" w:rsidP="000E4CFF">
      <w:pPr>
        <w:pStyle w:val="09ParaBullet1"/>
        <w:rPr>
          <w:i/>
          <w:color w:val="000000" w:themeColor="text1"/>
        </w:rPr>
      </w:pPr>
      <w:r w:rsidRPr="00DE23D1">
        <w:rPr>
          <w:i/>
          <w:color w:val="0000FF"/>
        </w:rPr>
        <w:t>ont des intérêts financiers ou autres dans les parties liées ou les opérations c</w:t>
      </w:r>
      <w:r w:rsidR="009D3150" w:rsidRPr="00DE23D1">
        <w:rPr>
          <w:i/>
          <w:color w:val="0000FF"/>
        </w:rPr>
        <w:t>onclues avec des parties liées.</w:t>
      </w:r>
    </w:p>
    <w:p w14:paraId="10AF101C" w14:textId="36C88518" w:rsidR="00AA4392" w:rsidRPr="00B33AA4" w:rsidRDefault="00F93A70" w:rsidP="00F66B87">
      <w:pPr>
        <w:pStyle w:val="09Para"/>
      </w:pPr>
      <w:r w:rsidRPr="00B33AA4">
        <w:rPr>
          <w:i/>
          <w:color w:val="0000FF"/>
        </w:rPr>
        <w:t>Dans ces circonstances, les équipes de mission doivent envisager d</w:t>
      </w:r>
      <w:r w:rsidR="00865E23" w:rsidRPr="00B33AA4">
        <w:rPr>
          <w:i/>
          <w:color w:val="0000FF"/>
        </w:rPr>
        <w:t>’</w:t>
      </w:r>
      <w:r w:rsidRPr="00B33AA4">
        <w:rPr>
          <w:i/>
          <w:color w:val="0000FF"/>
        </w:rPr>
        <w:t>obtenir une lettre d</w:t>
      </w:r>
      <w:r w:rsidR="00865E23" w:rsidRPr="00B33AA4">
        <w:rPr>
          <w:i/>
          <w:color w:val="0000FF"/>
        </w:rPr>
        <w:t>’</w:t>
      </w:r>
      <w:r w:rsidRPr="00B33AA4">
        <w:rPr>
          <w:i/>
          <w:color w:val="0000FF"/>
        </w:rPr>
        <w:t>affirmation distincte de la part des responsables de la gouvernance qui renferme</w:t>
      </w:r>
      <w:r w:rsidR="00062837" w:rsidRPr="00B33AA4">
        <w:rPr>
          <w:i/>
          <w:color w:val="0000FF"/>
        </w:rPr>
        <w:t>rai</w:t>
      </w:r>
      <w:r w:rsidRPr="00B33AA4">
        <w:rPr>
          <w:i/>
          <w:color w:val="0000FF"/>
        </w:rPr>
        <w:t>t</w:t>
      </w:r>
      <w:r w:rsidR="00636356" w:rsidRPr="00B33AA4">
        <w:rPr>
          <w:i/>
          <w:color w:val="0000FF"/>
        </w:rPr>
        <w:t xml:space="preserve"> toutes</w:t>
      </w:r>
      <w:r w:rsidR="003F05AE">
        <w:rPr>
          <w:i/>
          <w:color w:val="0000FF"/>
        </w:rPr>
        <w:t> </w:t>
      </w:r>
      <w:r w:rsidRPr="00B33AA4">
        <w:rPr>
          <w:i/>
          <w:color w:val="0000FF"/>
        </w:rPr>
        <w:t>les</w:t>
      </w:r>
      <w:r w:rsidR="00C523C5">
        <w:rPr>
          <w:i/>
          <w:color w:val="0000FF"/>
        </w:rPr>
        <w:t> </w:t>
      </w:r>
      <w:r w:rsidRPr="00B33AA4">
        <w:rPr>
          <w:i/>
          <w:color w:val="0000FF"/>
        </w:rPr>
        <w:t>déclarations spécifiques nécessaires.</w:t>
      </w:r>
      <w:r w:rsidRPr="00B33AA4">
        <w:t>]</w:t>
      </w:r>
    </w:p>
    <w:p w14:paraId="2709C622" w14:textId="77777777" w:rsidR="00AA4392" w:rsidRPr="00B33AA4" w:rsidRDefault="00F93A70" w:rsidP="00F66B87">
      <w:pPr>
        <w:pStyle w:val="Heading3"/>
      </w:pPr>
      <w:r w:rsidRPr="00B33AA4">
        <w:t>Continuité de l</w:t>
      </w:r>
      <w:r w:rsidR="00865E23" w:rsidRPr="00B33AA4">
        <w:t>’</w:t>
      </w:r>
      <w:r w:rsidRPr="00B33AA4">
        <w:t>exploitation</w:t>
      </w:r>
    </w:p>
    <w:p w14:paraId="10E15503" w14:textId="77777777" w:rsidR="003F05AE" w:rsidRDefault="003F05AE" w:rsidP="003F05AE">
      <w:pPr>
        <w:pStyle w:val="09Para"/>
      </w:pPr>
      <w:r>
        <w:t>Il n’existe pas d’</w:t>
      </w:r>
      <w:r w:rsidRPr="00D2117D">
        <w:t xml:space="preserve">événements ou </w:t>
      </w:r>
      <w:r>
        <w:t xml:space="preserve">de </w:t>
      </w:r>
      <w:r w:rsidRPr="00D2117D">
        <w:t>situations qui, individuellement ou collectivement, sont susceptibles de jeter un doute</w:t>
      </w:r>
      <w:r>
        <w:t xml:space="preserve"> important sur la capacité de [</w:t>
      </w:r>
      <w:r w:rsidRPr="00B33AA4">
        <w:rPr>
          <w:color w:val="0000FF"/>
        </w:rPr>
        <w:t>Entité</w:t>
      </w:r>
      <w:r>
        <w:t>]</w:t>
      </w:r>
      <w:r w:rsidRPr="00D2117D">
        <w:t xml:space="preserve"> à poursuivre son exploitation</w:t>
      </w:r>
      <w:r>
        <w:t>.</w:t>
      </w:r>
      <w:r w:rsidRPr="00D2117D">
        <w:t xml:space="preserve"> </w:t>
      </w:r>
    </w:p>
    <w:p w14:paraId="3D02D686" w14:textId="507D299D" w:rsidR="00A93A30" w:rsidRPr="00B33AA4" w:rsidRDefault="003F05AE" w:rsidP="00F66B87">
      <w:pPr>
        <w:pStyle w:val="09Para"/>
      </w:pPr>
      <w:r>
        <w:t>N</w:t>
      </w:r>
      <w:r w:rsidR="00A93A30" w:rsidRPr="00B33AA4">
        <w:t>ous n</w:t>
      </w:r>
      <w:r w:rsidR="00865E23" w:rsidRPr="00B33AA4">
        <w:t>’</w:t>
      </w:r>
      <w:r w:rsidR="00A93A30" w:rsidRPr="00B33AA4">
        <w:t>avons aucun plan ni aucune intention qui pourrait avoir une incidence significative sur la valeur comptable ou le classement des actifs et des passifs figurant dans les états financiers [</w:t>
      </w:r>
      <w:r w:rsidR="00A93A30" w:rsidRPr="00B33AA4">
        <w:rPr>
          <w:color w:val="0000FF"/>
        </w:rPr>
        <w:t>consolidés</w:t>
      </w:r>
      <w:r w:rsidR="00A93A30" w:rsidRPr="00B33AA4">
        <w:t>] (par exemple, de céder l</w:t>
      </w:r>
      <w:r w:rsidR="00865E23" w:rsidRPr="00B33AA4">
        <w:t>’</w:t>
      </w:r>
      <w:r w:rsidR="00A93A30" w:rsidRPr="00B33AA4">
        <w:t>entité ou de cesser les activités).</w:t>
      </w:r>
    </w:p>
    <w:p w14:paraId="30ECBA28" w14:textId="2E6E7F68" w:rsidR="00A93A30" w:rsidRPr="00B33AA4" w:rsidRDefault="006141F8" w:rsidP="00F66B87">
      <w:pPr>
        <w:pStyle w:val="09Para"/>
      </w:pPr>
      <w:r w:rsidRPr="00B33AA4">
        <w:lastRenderedPageBreak/>
        <w:t>[</w:t>
      </w:r>
      <w:r w:rsidR="003F05AE" w:rsidRPr="0058231C">
        <w:rPr>
          <w:i/>
          <w:iCs/>
        </w:rPr>
        <w:t xml:space="preserve">Retirer le premier paragraphe de cette section et </w:t>
      </w:r>
      <w:r w:rsidR="003F05AE" w:rsidRPr="003639BA">
        <w:rPr>
          <w:i/>
          <w:iCs/>
          <w:color w:val="0000FF"/>
        </w:rPr>
        <w:t>ajouter</w:t>
      </w:r>
      <w:r w:rsidR="003F05AE" w:rsidRPr="00B33AA4">
        <w:rPr>
          <w:i/>
          <w:color w:val="0000FF"/>
        </w:rPr>
        <w:t xml:space="preserve"> le paragraphe</w:t>
      </w:r>
      <w:r w:rsidR="00A93A30" w:rsidRPr="00B33AA4">
        <w:rPr>
          <w:i/>
          <w:color w:val="0000FF"/>
        </w:rPr>
        <w:t xml:space="preserve"> qui suit si des événements ou des situations susceptibles de jeter un doute important sur la capacité de l</w:t>
      </w:r>
      <w:r w:rsidR="00865E23" w:rsidRPr="00B33AA4">
        <w:rPr>
          <w:i/>
          <w:color w:val="0000FF"/>
        </w:rPr>
        <w:t>’</w:t>
      </w:r>
      <w:r w:rsidR="00A93A30" w:rsidRPr="00B33AA4">
        <w:rPr>
          <w:i/>
          <w:color w:val="0000FF"/>
        </w:rPr>
        <w:t xml:space="preserve">entité à poursuivre son exploitation ont été relevés. </w:t>
      </w:r>
      <w:r w:rsidR="00AA4948" w:rsidRPr="00B33AA4">
        <w:rPr>
          <w:i/>
          <w:color w:val="0000FF"/>
        </w:rPr>
        <w:t>(</w:t>
      </w:r>
      <w:r w:rsidR="00A93A30" w:rsidRPr="00B33AA4">
        <w:rPr>
          <w:i/>
          <w:color w:val="0000FF"/>
        </w:rPr>
        <w:t>Habituellement, le rapport de l</w:t>
      </w:r>
      <w:r w:rsidR="00865E23" w:rsidRPr="00B33AA4">
        <w:rPr>
          <w:i/>
          <w:color w:val="0000FF"/>
        </w:rPr>
        <w:t>’</w:t>
      </w:r>
      <w:r w:rsidR="00A93A30" w:rsidRPr="00B33AA4">
        <w:rPr>
          <w:i/>
          <w:color w:val="0000FF"/>
        </w:rPr>
        <w:t xml:space="preserve">auditeur serait modifié dans ces circonstances </w:t>
      </w:r>
      <w:r w:rsidR="00636356" w:rsidRPr="00B33AA4">
        <w:rPr>
          <w:i/>
          <w:color w:val="0000FF"/>
        </w:rPr>
        <w:t xml:space="preserve">pour signaler une telle </w:t>
      </w:r>
      <w:r w:rsidR="00A93A30" w:rsidRPr="00B33AA4">
        <w:rPr>
          <w:i/>
          <w:color w:val="0000FF"/>
        </w:rPr>
        <w:t>incertitude relative à la continuité de l</w:t>
      </w:r>
      <w:r w:rsidR="00865E23" w:rsidRPr="00B33AA4">
        <w:rPr>
          <w:i/>
          <w:color w:val="0000FF"/>
        </w:rPr>
        <w:t>’</w:t>
      </w:r>
      <w:r w:rsidR="00A93A30" w:rsidRPr="00B33AA4">
        <w:rPr>
          <w:i/>
          <w:color w:val="0000FF"/>
        </w:rPr>
        <w:t>exploitation</w:t>
      </w:r>
      <w:r w:rsidR="00AA4948" w:rsidRPr="00B33AA4">
        <w:rPr>
          <w:i/>
          <w:color w:val="0000FF"/>
        </w:rPr>
        <w:t>.)</w:t>
      </w:r>
    </w:p>
    <w:p w14:paraId="04AE6474" w14:textId="77B8E3CA" w:rsidR="00A93A30" w:rsidRPr="00B33AA4" w:rsidRDefault="00A93A30" w:rsidP="00F66B87">
      <w:pPr>
        <w:pStyle w:val="09Para"/>
        <w:rPr>
          <w:color w:val="0000FF"/>
        </w:rPr>
      </w:pPr>
      <w:r w:rsidRPr="00C55C35">
        <w:t xml:space="preserve">Les états financiers </w:t>
      </w:r>
      <w:r w:rsidRPr="00B33AA4">
        <w:t>[</w:t>
      </w:r>
      <w:r w:rsidRPr="00B33AA4">
        <w:rPr>
          <w:color w:val="0000FF"/>
        </w:rPr>
        <w:t>consolidés</w:t>
      </w:r>
      <w:r w:rsidRPr="00B33AA4">
        <w:t>]</w:t>
      </w:r>
      <w:r w:rsidRPr="00B33AA4">
        <w:rPr>
          <w:color w:val="0000FF"/>
        </w:rPr>
        <w:t xml:space="preserve"> </w:t>
      </w:r>
      <w:r w:rsidRPr="00C55C35">
        <w:t>f</w:t>
      </w:r>
      <w:r w:rsidR="00636356" w:rsidRPr="00C55C35">
        <w:t>ournissent des informations sur toutes l</w:t>
      </w:r>
      <w:r w:rsidRPr="00C55C35">
        <w:t xml:space="preserve">es questions dont nous avons connaissance qui sont pertinentes </w:t>
      </w:r>
      <w:r w:rsidR="00A1518F" w:rsidRPr="00C55C35">
        <w:t xml:space="preserve">concernant </w:t>
      </w:r>
      <w:r w:rsidRPr="00C55C35">
        <w:t xml:space="preserve">la capacité de </w:t>
      </w:r>
      <w:r w:rsidRPr="00B33AA4">
        <w:t>[</w:t>
      </w:r>
      <w:r w:rsidRPr="00B33AA4">
        <w:rPr>
          <w:color w:val="0000FF"/>
        </w:rPr>
        <w:t>Entité</w:t>
      </w:r>
      <w:r w:rsidRPr="00B33AA4">
        <w:t>]</w:t>
      </w:r>
      <w:r w:rsidRPr="00B33AA4">
        <w:rPr>
          <w:color w:val="0000FF"/>
        </w:rPr>
        <w:t xml:space="preserve"> </w:t>
      </w:r>
      <w:r w:rsidRPr="00C55C35">
        <w:t xml:space="preserve">à poursuivre son exploitation, y compris toutes les situations et tous les événements importants, les facteurs </w:t>
      </w:r>
      <w:r w:rsidR="00636356" w:rsidRPr="00C55C35">
        <w:t xml:space="preserve">qui réduisent l’incertitude </w:t>
      </w:r>
      <w:r w:rsidRPr="00C55C35">
        <w:t>et les plans de</w:t>
      </w:r>
      <w:r w:rsidRPr="00B33AA4">
        <w:rPr>
          <w:color w:val="0000FF"/>
        </w:rPr>
        <w:t xml:space="preserve"> </w:t>
      </w:r>
      <w:r w:rsidRPr="00B33AA4">
        <w:t>[</w:t>
      </w:r>
      <w:r w:rsidRPr="00B33AA4">
        <w:rPr>
          <w:color w:val="0000FF"/>
        </w:rPr>
        <w:t>Entité</w:t>
      </w:r>
      <w:r w:rsidRPr="00B33AA4">
        <w:t>]</w:t>
      </w:r>
      <w:r w:rsidRPr="00B33AA4">
        <w:rPr>
          <w:color w:val="0000FF"/>
        </w:rPr>
        <w:t xml:space="preserve">. </w:t>
      </w:r>
      <w:r w:rsidRPr="00B33AA4">
        <w:t>[</w:t>
      </w:r>
      <w:r w:rsidRPr="00B33AA4">
        <w:rPr>
          <w:color w:val="0000FF"/>
        </w:rPr>
        <w:t>Entité</w:t>
      </w:r>
      <w:r w:rsidRPr="00B33AA4">
        <w:t>]</w:t>
      </w:r>
      <w:r w:rsidRPr="00B33AA4">
        <w:rPr>
          <w:color w:val="0000FF"/>
        </w:rPr>
        <w:t xml:space="preserve"> </w:t>
      </w:r>
      <w:r w:rsidRPr="00C55C35">
        <w:t xml:space="preserve">a </w:t>
      </w:r>
      <w:r w:rsidR="00636356" w:rsidRPr="00C55C35">
        <w:t xml:space="preserve">aussi </w:t>
      </w:r>
      <w:r w:rsidRPr="00C55C35">
        <w:t>l</w:t>
      </w:r>
      <w:r w:rsidR="00865E23" w:rsidRPr="00C55C35">
        <w:t>’</w:t>
      </w:r>
      <w:r w:rsidRPr="00C55C35">
        <w:t xml:space="preserve">intention et la capacité de prendre les mesures nécessaires pour poursuivre son exploitation. Nous avons mis à votre disposition toutes les informations pertinentes </w:t>
      </w:r>
      <w:r w:rsidR="00636356" w:rsidRPr="00C55C35">
        <w:t>sur</w:t>
      </w:r>
      <w:r w:rsidRPr="00C55C35">
        <w:t xml:space="preserve"> la capacité de </w:t>
      </w:r>
      <w:r w:rsidRPr="00B33AA4">
        <w:t>[</w:t>
      </w:r>
      <w:r w:rsidRPr="00B33AA4">
        <w:rPr>
          <w:color w:val="0000FF"/>
        </w:rPr>
        <w:t>Entité</w:t>
      </w:r>
      <w:r w:rsidRPr="00B33AA4">
        <w:t>]</w:t>
      </w:r>
      <w:r w:rsidRPr="00B33AA4" w:rsidDel="00612EC4">
        <w:rPr>
          <w:color w:val="0000FF"/>
        </w:rPr>
        <w:t xml:space="preserve"> </w:t>
      </w:r>
      <w:r w:rsidRPr="00C55C35">
        <w:t>de poursuivre son exploitation qui</w:t>
      </w:r>
      <w:r w:rsidR="00C523C5">
        <w:t> </w:t>
      </w:r>
      <w:r w:rsidRPr="00C55C35">
        <w:t>sont susceptibles d</w:t>
      </w:r>
      <w:r w:rsidR="00865E23" w:rsidRPr="00C55C35">
        <w:t>’</w:t>
      </w:r>
      <w:r w:rsidRPr="00C55C35">
        <w:t xml:space="preserve">avoir une incidence sur les états financiers </w:t>
      </w:r>
      <w:r w:rsidRPr="00B33AA4">
        <w:t>[</w:t>
      </w:r>
      <w:r w:rsidRPr="00B33AA4">
        <w:rPr>
          <w:color w:val="0000FF"/>
        </w:rPr>
        <w:t>consolidés</w:t>
      </w:r>
      <w:r w:rsidRPr="00305131">
        <w:t xml:space="preserve">], y compris la </w:t>
      </w:r>
      <w:proofErr w:type="spellStart"/>
      <w:r w:rsidRPr="00C55C35">
        <w:t>recouvrabilité</w:t>
      </w:r>
      <w:proofErr w:type="spellEnd"/>
      <w:r w:rsidRPr="00C55C35">
        <w:t xml:space="preserve"> ou le classement des actifs </w:t>
      </w:r>
      <w:r w:rsidR="00A33603" w:rsidRPr="00C55C35">
        <w:t xml:space="preserve">comptabilisés </w:t>
      </w:r>
      <w:r w:rsidR="00842379" w:rsidRPr="00C55C35">
        <w:t xml:space="preserve">ou </w:t>
      </w:r>
      <w:r w:rsidR="00A33603" w:rsidRPr="00C55C35">
        <w:t>l</w:t>
      </w:r>
      <w:r w:rsidR="00842379" w:rsidRPr="00C55C35">
        <w:t xml:space="preserve">es montants </w:t>
      </w:r>
      <w:r w:rsidRPr="00C55C35">
        <w:t xml:space="preserve">comptabilisés </w:t>
      </w:r>
      <w:r w:rsidR="00F66B87" w:rsidRPr="00C55C35">
        <w:t>et le classement des passifs.</w:t>
      </w:r>
      <w:r w:rsidR="003C1DBA">
        <w:t>]</w:t>
      </w:r>
    </w:p>
    <w:p w14:paraId="31507A67" w14:textId="77777777" w:rsidR="00A93A30" w:rsidRPr="00B33AA4" w:rsidRDefault="00A93A30" w:rsidP="00F66B87">
      <w:pPr>
        <w:pStyle w:val="09Para"/>
        <w:rPr>
          <w:color w:val="0000FF"/>
        </w:rPr>
      </w:pPr>
      <w:r w:rsidRPr="00C55C35">
        <w:t xml:space="preserve">Par conséquent, les états financiers </w:t>
      </w:r>
      <w:r w:rsidRPr="00B33AA4">
        <w:t>[</w:t>
      </w:r>
      <w:r w:rsidRPr="00B33AA4">
        <w:rPr>
          <w:color w:val="0000FF"/>
        </w:rPr>
        <w:t>consolidés</w:t>
      </w:r>
      <w:r w:rsidRPr="00B33AA4">
        <w:t>]</w:t>
      </w:r>
      <w:r w:rsidRPr="00B33AA4">
        <w:rPr>
          <w:color w:val="0000FF"/>
        </w:rPr>
        <w:t xml:space="preserve"> </w:t>
      </w:r>
      <w:r w:rsidRPr="00C55C35">
        <w:t xml:space="preserve">de </w:t>
      </w:r>
      <w:r w:rsidRPr="00B33AA4">
        <w:t>[</w:t>
      </w:r>
      <w:r w:rsidRPr="00B33AA4">
        <w:rPr>
          <w:color w:val="0000FF"/>
        </w:rPr>
        <w:t>Entité</w:t>
      </w:r>
      <w:r w:rsidRPr="00B33AA4">
        <w:t>]</w:t>
      </w:r>
      <w:r w:rsidRPr="00B33AA4" w:rsidDel="00612EC4">
        <w:rPr>
          <w:color w:val="0000FF"/>
        </w:rPr>
        <w:t xml:space="preserve"> </w:t>
      </w:r>
      <w:r w:rsidRPr="00C55C35">
        <w:t>ont été préparés</w:t>
      </w:r>
      <w:r w:rsidR="00AF2CBC" w:rsidRPr="00C55C35">
        <w:t xml:space="preserve"> de façon appropriée sur une base de </w:t>
      </w:r>
      <w:r w:rsidRPr="00C55C35">
        <w:t>continuité de l</w:t>
      </w:r>
      <w:r w:rsidR="00865E23" w:rsidRPr="00C55C35">
        <w:t>’</w:t>
      </w:r>
      <w:r w:rsidRPr="00C55C35">
        <w:t>exploitation.</w:t>
      </w:r>
      <w:r w:rsidRPr="00B33AA4">
        <w:t>]</w:t>
      </w:r>
    </w:p>
    <w:p w14:paraId="77748719" w14:textId="77777777" w:rsidR="00A93A30" w:rsidRPr="00B33AA4" w:rsidRDefault="00AA4392" w:rsidP="00F66B87">
      <w:pPr>
        <w:pStyle w:val="09Para"/>
        <w:rPr>
          <w:color w:val="0000FF"/>
        </w:rPr>
      </w:pPr>
      <w:r w:rsidRPr="00B33AA4">
        <w:t>[</w:t>
      </w:r>
      <w:r w:rsidR="00AF2CBC" w:rsidRPr="00B33AA4">
        <w:rPr>
          <w:i/>
          <w:color w:val="0000FF"/>
        </w:rPr>
        <w:t xml:space="preserve">Dans le cas où </w:t>
      </w:r>
      <w:r w:rsidR="00A93A30" w:rsidRPr="00B33AA4">
        <w:rPr>
          <w:i/>
          <w:color w:val="0000FF"/>
        </w:rPr>
        <w:t>des événements ou des situations susceptibles de jeter un doute important sur la capacité de l</w:t>
      </w:r>
      <w:r w:rsidR="00865E23" w:rsidRPr="00B33AA4">
        <w:rPr>
          <w:i/>
          <w:color w:val="0000FF"/>
        </w:rPr>
        <w:t>’</w:t>
      </w:r>
      <w:r w:rsidR="00A93A30" w:rsidRPr="00B33AA4">
        <w:rPr>
          <w:i/>
          <w:color w:val="0000FF"/>
        </w:rPr>
        <w:t>entité à poursuivre son exploitation ont été relevés, l</w:t>
      </w:r>
      <w:r w:rsidR="00865E23" w:rsidRPr="00B33AA4">
        <w:rPr>
          <w:i/>
          <w:color w:val="0000FF"/>
        </w:rPr>
        <w:t>’</w:t>
      </w:r>
      <w:r w:rsidR="00A93A30" w:rsidRPr="00B33AA4">
        <w:rPr>
          <w:i/>
          <w:color w:val="0000FF"/>
        </w:rPr>
        <w:t>équipe de mission pourrait envisager d</w:t>
      </w:r>
      <w:r w:rsidR="00865E23" w:rsidRPr="00B33AA4">
        <w:rPr>
          <w:i/>
          <w:color w:val="0000FF"/>
        </w:rPr>
        <w:t>’</w:t>
      </w:r>
      <w:r w:rsidR="00A93A30" w:rsidRPr="00B33AA4">
        <w:rPr>
          <w:i/>
          <w:color w:val="0000FF"/>
        </w:rPr>
        <w:t xml:space="preserve">inclure des déclarations écrites de la part de la direction et, </w:t>
      </w:r>
      <w:r w:rsidR="00AF2CBC" w:rsidRPr="00B33AA4">
        <w:rPr>
          <w:i/>
          <w:color w:val="0000FF"/>
        </w:rPr>
        <w:t>le cas échéant</w:t>
      </w:r>
      <w:r w:rsidR="00A93A30" w:rsidRPr="00B33AA4">
        <w:rPr>
          <w:i/>
          <w:color w:val="0000FF"/>
        </w:rPr>
        <w:t>, des responsables de la gouvernance en ce qui concerne leurs plans d</w:t>
      </w:r>
      <w:r w:rsidR="00865E23" w:rsidRPr="00B33AA4">
        <w:rPr>
          <w:i/>
          <w:color w:val="0000FF"/>
        </w:rPr>
        <w:t>’</w:t>
      </w:r>
      <w:r w:rsidR="00A93A30" w:rsidRPr="00B33AA4">
        <w:rPr>
          <w:i/>
          <w:color w:val="0000FF"/>
        </w:rPr>
        <w:t>action pour l</w:t>
      </w:r>
      <w:r w:rsidR="00865E23" w:rsidRPr="00B33AA4">
        <w:rPr>
          <w:i/>
          <w:color w:val="0000FF"/>
        </w:rPr>
        <w:t>’</w:t>
      </w:r>
      <w:r w:rsidR="00A93A30" w:rsidRPr="00B33AA4">
        <w:rPr>
          <w:i/>
          <w:color w:val="0000FF"/>
        </w:rPr>
        <w:t>avenir et la faisabilité de ces plans.</w:t>
      </w:r>
      <w:r w:rsidR="00A93A30" w:rsidRPr="00B33AA4">
        <w:t>]</w:t>
      </w:r>
    </w:p>
    <w:p w14:paraId="4C6FC770" w14:textId="413CAADD" w:rsidR="00A93A30" w:rsidRPr="00B33AA4" w:rsidRDefault="00A93A30" w:rsidP="005273DE">
      <w:pPr>
        <w:pStyle w:val="09Para"/>
        <w:keepNext/>
        <w:rPr>
          <w:color w:val="0000FF"/>
        </w:rPr>
      </w:pPr>
      <w:r w:rsidRPr="00B33AA4">
        <w:t>[</w:t>
      </w:r>
      <w:r w:rsidRPr="00B33AA4">
        <w:rPr>
          <w:i/>
          <w:color w:val="0000FF"/>
        </w:rPr>
        <w:t>Lorsque les projections de flux de trésorerie préparées par l</w:t>
      </w:r>
      <w:r w:rsidR="00865E23" w:rsidRPr="00B33AA4">
        <w:rPr>
          <w:i/>
          <w:color w:val="0000FF"/>
        </w:rPr>
        <w:t>’</w:t>
      </w:r>
      <w:r w:rsidRPr="00B33AA4">
        <w:rPr>
          <w:i/>
          <w:color w:val="0000FF"/>
        </w:rPr>
        <w:t>entité sont un facteur important pour conclure que l</w:t>
      </w:r>
      <w:r w:rsidR="00865E23" w:rsidRPr="00B33AA4">
        <w:rPr>
          <w:i/>
          <w:color w:val="0000FF"/>
        </w:rPr>
        <w:t>’</w:t>
      </w:r>
      <w:r w:rsidRPr="00B33AA4">
        <w:rPr>
          <w:i/>
          <w:color w:val="0000FF"/>
        </w:rPr>
        <w:t>hypothèse de la continuité de l</w:t>
      </w:r>
      <w:r w:rsidR="00865E23" w:rsidRPr="00B33AA4">
        <w:rPr>
          <w:i/>
          <w:color w:val="0000FF"/>
        </w:rPr>
        <w:t>’</w:t>
      </w:r>
      <w:r w:rsidRPr="00B33AA4">
        <w:rPr>
          <w:i/>
          <w:color w:val="0000FF"/>
        </w:rPr>
        <w:t xml:space="preserve">exploitation est bien fondée, </w:t>
      </w:r>
      <w:r w:rsidR="00AF2CBC" w:rsidRPr="00B33AA4">
        <w:rPr>
          <w:i/>
          <w:color w:val="0000FF"/>
        </w:rPr>
        <w:t>que des informations aient été fournie</w:t>
      </w:r>
      <w:r w:rsidR="009006FA" w:rsidRPr="00B33AA4">
        <w:rPr>
          <w:i/>
          <w:color w:val="0000FF"/>
        </w:rPr>
        <w:t>s</w:t>
      </w:r>
      <w:r w:rsidR="00AF2CBC" w:rsidRPr="00B33AA4">
        <w:rPr>
          <w:i/>
          <w:color w:val="0000FF"/>
        </w:rPr>
        <w:t xml:space="preserve"> ou non sur </w:t>
      </w:r>
      <w:r w:rsidRPr="00B33AA4">
        <w:rPr>
          <w:i/>
          <w:color w:val="0000FF"/>
        </w:rPr>
        <w:t>l</w:t>
      </w:r>
      <w:r w:rsidR="00865E23" w:rsidRPr="00B33AA4">
        <w:rPr>
          <w:i/>
          <w:color w:val="0000FF"/>
        </w:rPr>
        <w:t>’</w:t>
      </w:r>
      <w:r w:rsidRPr="00B33AA4">
        <w:rPr>
          <w:i/>
          <w:color w:val="0000FF"/>
        </w:rPr>
        <w:t>incertitude, l</w:t>
      </w:r>
      <w:r w:rsidR="00865E23" w:rsidRPr="00B33AA4">
        <w:rPr>
          <w:i/>
          <w:color w:val="0000FF"/>
        </w:rPr>
        <w:t>’</w:t>
      </w:r>
      <w:r w:rsidRPr="00B33AA4">
        <w:rPr>
          <w:i/>
          <w:color w:val="0000FF"/>
        </w:rPr>
        <w:t>équipe de mission peut envisager d</w:t>
      </w:r>
      <w:r w:rsidR="00865E23" w:rsidRPr="00B33AA4">
        <w:rPr>
          <w:i/>
          <w:color w:val="0000FF"/>
        </w:rPr>
        <w:t>’</w:t>
      </w:r>
      <w:r w:rsidRPr="00B33AA4">
        <w:rPr>
          <w:i/>
          <w:color w:val="0000FF"/>
        </w:rPr>
        <w:t>inclure des déclarations portant expressément sur les projections de flux de trésorerie. Par</w:t>
      </w:r>
      <w:r w:rsidR="00C523C5">
        <w:rPr>
          <w:i/>
          <w:color w:val="0000FF"/>
        </w:rPr>
        <w:t> </w:t>
      </w:r>
      <w:r w:rsidRPr="00B33AA4">
        <w:rPr>
          <w:i/>
          <w:color w:val="0000FF"/>
        </w:rPr>
        <w:t>exemple :</w:t>
      </w:r>
    </w:p>
    <w:p w14:paraId="7742E92D" w14:textId="77777777" w:rsidR="00A93A30" w:rsidRPr="00B33AA4" w:rsidRDefault="00AF2CBC" w:rsidP="00F66B87">
      <w:pPr>
        <w:pStyle w:val="09Para"/>
        <w:rPr>
          <w:color w:val="0000FF"/>
        </w:rPr>
      </w:pPr>
      <w:r w:rsidRPr="00B33AA4">
        <w:rPr>
          <w:color w:val="0000FF"/>
        </w:rPr>
        <w:t xml:space="preserve">Vous avez été informé des </w:t>
      </w:r>
      <w:r w:rsidR="00A93A30" w:rsidRPr="00B33AA4">
        <w:rPr>
          <w:color w:val="0000FF"/>
        </w:rPr>
        <w:t>sources d</w:t>
      </w:r>
      <w:r w:rsidR="00865E23" w:rsidRPr="00B33AA4">
        <w:rPr>
          <w:color w:val="0000FF"/>
        </w:rPr>
        <w:t>’</w:t>
      </w:r>
      <w:r w:rsidR="00A93A30" w:rsidRPr="00B33AA4">
        <w:rPr>
          <w:color w:val="0000FF"/>
        </w:rPr>
        <w:t xml:space="preserve">informations internes et externes </w:t>
      </w:r>
      <w:r w:rsidRPr="00B33AA4">
        <w:rPr>
          <w:color w:val="0000FF"/>
        </w:rPr>
        <w:t xml:space="preserve">que </w:t>
      </w:r>
      <w:r w:rsidRPr="00B33AA4">
        <w:t>[</w:t>
      </w:r>
      <w:r w:rsidRPr="00B33AA4">
        <w:rPr>
          <w:color w:val="0000FF"/>
        </w:rPr>
        <w:t>Entité</w:t>
      </w:r>
      <w:r w:rsidRPr="00B33AA4">
        <w:t>]</w:t>
      </w:r>
      <w:r w:rsidRPr="00B33AA4">
        <w:rPr>
          <w:color w:val="0000FF"/>
        </w:rPr>
        <w:t xml:space="preserve"> a utilisé</w:t>
      </w:r>
      <w:r w:rsidR="00246FA1" w:rsidRPr="00B33AA4">
        <w:rPr>
          <w:color w:val="0000FF"/>
        </w:rPr>
        <w:t>es</w:t>
      </w:r>
      <w:r w:rsidRPr="00B33AA4">
        <w:rPr>
          <w:color w:val="0000FF"/>
        </w:rPr>
        <w:t xml:space="preserve"> </w:t>
      </w:r>
      <w:r w:rsidR="00A93A30" w:rsidRPr="00B33AA4">
        <w:rPr>
          <w:color w:val="0000FF"/>
        </w:rPr>
        <w:t>pour préparer les prévisions</w:t>
      </w:r>
      <w:r w:rsidRPr="00B33AA4">
        <w:rPr>
          <w:color w:val="0000FF"/>
        </w:rPr>
        <w:t xml:space="preserve"> et vous y avez eu accès.</w:t>
      </w:r>
    </w:p>
    <w:p w14:paraId="5CF86D37" w14:textId="77777777" w:rsidR="00A93A30" w:rsidRPr="00B33AA4" w:rsidRDefault="00A93A30" w:rsidP="00F66B87">
      <w:pPr>
        <w:pStyle w:val="09Para"/>
        <w:rPr>
          <w:color w:val="0000FF"/>
        </w:rPr>
      </w:pPr>
      <w:r w:rsidRPr="00B33AA4">
        <w:rPr>
          <w:color w:val="0000FF"/>
        </w:rPr>
        <w:t>Les hypothèses qui sous</w:t>
      </w:r>
      <w:r w:rsidR="00EF2E5E" w:rsidRPr="00B33AA4">
        <w:rPr>
          <w:color w:val="0000FF"/>
        </w:rPr>
        <w:noBreakHyphen/>
      </w:r>
      <w:r w:rsidRPr="00B33AA4">
        <w:rPr>
          <w:color w:val="0000FF"/>
        </w:rPr>
        <w:t>tendent les prévisions reflètent l</w:t>
      </w:r>
      <w:r w:rsidR="00865E23" w:rsidRPr="00B33AA4">
        <w:rPr>
          <w:color w:val="0000FF"/>
        </w:rPr>
        <w:t>’</w:t>
      </w:r>
      <w:r w:rsidRPr="00B33AA4">
        <w:rPr>
          <w:color w:val="0000FF"/>
        </w:rPr>
        <w:t xml:space="preserve">ensemble des conditions économiques et des lignes de conduite les plus probables de </w:t>
      </w:r>
      <w:r w:rsidRPr="00B33AA4">
        <w:t>[</w:t>
      </w:r>
      <w:r w:rsidRPr="00B33AA4">
        <w:rPr>
          <w:color w:val="0000FF"/>
        </w:rPr>
        <w:t>Entité</w:t>
      </w:r>
      <w:r w:rsidRPr="00B33AA4">
        <w:t>]</w:t>
      </w:r>
      <w:r w:rsidRPr="00B33AA4">
        <w:rPr>
          <w:color w:val="0000FF"/>
        </w:rPr>
        <w:t>, de l</w:t>
      </w:r>
      <w:r w:rsidR="00865E23" w:rsidRPr="00B33AA4">
        <w:rPr>
          <w:color w:val="0000FF"/>
        </w:rPr>
        <w:t>’</w:t>
      </w:r>
      <w:r w:rsidRPr="00B33AA4">
        <w:rPr>
          <w:color w:val="0000FF"/>
        </w:rPr>
        <w:t xml:space="preserve">avis de la direction, pour </w:t>
      </w:r>
      <w:r w:rsidRPr="00B33AA4">
        <w:t>[</w:t>
      </w:r>
      <w:r w:rsidRPr="00B33AA4">
        <w:rPr>
          <w:color w:val="0000FF"/>
        </w:rPr>
        <w:t>période</w:t>
      </w:r>
      <w:r w:rsidRPr="00B33AA4">
        <w:t>]</w:t>
      </w:r>
      <w:r w:rsidRPr="00B33AA4">
        <w:rPr>
          <w:color w:val="0000FF"/>
        </w:rPr>
        <w:t xml:space="preserve">. Ces hypothèses sont justifiables, cadrent avec les plans de </w:t>
      </w:r>
      <w:r w:rsidRPr="00B33AA4">
        <w:t>[</w:t>
      </w:r>
      <w:r w:rsidRPr="00B33AA4">
        <w:rPr>
          <w:color w:val="0000FF"/>
        </w:rPr>
        <w:t>Entité</w:t>
      </w:r>
      <w:r w:rsidRPr="00B33AA4">
        <w:t>]</w:t>
      </w:r>
      <w:r w:rsidR="00AA4948" w:rsidRPr="00B33AA4">
        <w:rPr>
          <w:color w:val="0000FF"/>
        </w:rPr>
        <w:t xml:space="preserve">, </w:t>
      </w:r>
      <w:r w:rsidRPr="00B33AA4">
        <w:rPr>
          <w:color w:val="0000FF"/>
        </w:rPr>
        <w:t>et se trouvent reflétées dans les prévisions. Toutes ces hypothèses vous ont été communiquées.</w:t>
      </w:r>
    </w:p>
    <w:p w14:paraId="4182B936" w14:textId="23A46739" w:rsidR="00A93A30" w:rsidRPr="00B33AA4" w:rsidRDefault="00A93A30" w:rsidP="00F66B87">
      <w:pPr>
        <w:pStyle w:val="09Para"/>
        <w:rPr>
          <w:color w:val="0000FF"/>
        </w:rPr>
      </w:pPr>
      <w:r w:rsidRPr="00B33AA4">
        <w:rPr>
          <w:color w:val="0000FF"/>
        </w:rPr>
        <w:t>Les prévisions ont été comparées aux budgets et aux plans d</w:t>
      </w:r>
      <w:r w:rsidR="00865E23" w:rsidRPr="00B33AA4">
        <w:rPr>
          <w:color w:val="0000FF"/>
        </w:rPr>
        <w:t>’</w:t>
      </w:r>
      <w:r w:rsidRPr="00B33AA4">
        <w:rPr>
          <w:color w:val="0000FF"/>
        </w:rPr>
        <w:t xml:space="preserve">exploitation de </w:t>
      </w:r>
      <w:r w:rsidRPr="00B33AA4">
        <w:t>[</w:t>
      </w:r>
      <w:r w:rsidRPr="00B33AA4">
        <w:rPr>
          <w:color w:val="0000FF"/>
        </w:rPr>
        <w:t>Entité</w:t>
      </w:r>
      <w:r w:rsidRPr="00B33AA4">
        <w:t>]</w:t>
      </w:r>
      <w:r w:rsidRPr="00B33AA4">
        <w:rPr>
          <w:color w:val="0000FF"/>
        </w:rPr>
        <w:t xml:space="preserve">, et tous les manques de cohérence entre ces documents </w:t>
      </w:r>
      <w:r w:rsidR="00AA4948" w:rsidRPr="00B33AA4">
        <w:rPr>
          <w:color w:val="0000FF"/>
        </w:rPr>
        <w:t xml:space="preserve">vous </w:t>
      </w:r>
      <w:r w:rsidRPr="00B33AA4">
        <w:rPr>
          <w:color w:val="0000FF"/>
        </w:rPr>
        <w:t>ont été signalés. Nous vous avons transmis toutes les informations nécessaires à une évaluation raisonnée des prévisions et, sauf pour ce</w:t>
      </w:r>
      <w:r w:rsidR="00C523C5">
        <w:rPr>
          <w:color w:val="0000FF"/>
        </w:rPr>
        <w:t> </w:t>
      </w:r>
      <w:r w:rsidRPr="00B33AA4">
        <w:rPr>
          <w:color w:val="0000FF"/>
        </w:rPr>
        <w:t>qui vous a déjà été mentionné, aucun fait n</w:t>
      </w:r>
      <w:r w:rsidR="00865E23" w:rsidRPr="00B33AA4">
        <w:rPr>
          <w:color w:val="0000FF"/>
        </w:rPr>
        <w:t>’</w:t>
      </w:r>
      <w:r w:rsidRPr="00B33AA4">
        <w:rPr>
          <w:color w:val="0000FF"/>
        </w:rPr>
        <w:t>est prévu ou attendu, ou n</w:t>
      </w:r>
      <w:r w:rsidR="00865E23" w:rsidRPr="00B33AA4">
        <w:rPr>
          <w:color w:val="0000FF"/>
        </w:rPr>
        <w:t>’</w:t>
      </w:r>
      <w:r w:rsidRPr="00B33AA4">
        <w:rPr>
          <w:color w:val="0000FF"/>
        </w:rPr>
        <w:t>a été découvert jusqu</w:t>
      </w:r>
      <w:r w:rsidR="00865E23" w:rsidRPr="00B33AA4">
        <w:rPr>
          <w:color w:val="0000FF"/>
        </w:rPr>
        <w:t>’</w:t>
      </w:r>
      <w:r w:rsidRPr="00B33AA4">
        <w:rPr>
          <w:color w:val="0000FF"/>
        </w:rPr>
        <w:t>ici qui aurait une incidence significative sur ces prévisions. Notamment, nous n</w:t>
      </w:r>
      <w:r w:rsidR="00865E23" w:rsidRPr="00B33AA4">
        <w:rPr>
          <w:color w:val="0000FF"/>
        </w:rPr>
        <w:t>’</w:t>
      </w:r>
      <w:r w:rsidRPr="00B33AA4">
        <w:rPr>
          <w:color w:val="0000FF"/>
        </w:rPr>
        <w:t>avons connaissance d</w:t>
      </w:r>
      <w:r w:rsidR="00865E23" w:rsidRPr="00B33AA4">
        <w:rPr>
          <w:color w:val="0000FF"/>
        </w:rPr>
        <w:t>’</w:t>
      </w:r>
      <w:r w:rsidRPr="00B33AA4">
        <w:rPr>
          <w:color w:val="0000FF"/>
        </w:rPr>
        <w:t>aucun élément de ce genre qui revête pour l</w:t>
      </w:r>
      <w:r w:rsidR="0098506F">
        <w:rPr>
          <w:color w:val="0000FF"/>
        </w:rPr>
        <w:t>’entité</w:t>
      </w:r>
      <w:r w:rsidRPr="00B33AA4">
        <w:rPr>
          <w:color w:val="0000FF"/>
        </w:rPr>
        <w:t xml:space="preserve"> une importance telle qu</w:t>
      </w:r>
      <w:r w:rsidR="00865E23" w:rsidRPr="00B33AA4">
        <w:rPr>
          <w:color w:val="0000FF"/>
        </w:rPr>
        <w:t>’</w:t>
      </w:r>
      <w:r w:rsidRPr="00B33AA4">
        <w:rPr>
          <w:color w:val="0000FF"/>
        </w:rPr>
        <w:t>il faille modifier les hypothèses ou la présentation des prévisions.</w:t>
      </w:r>
    </w:p>
    <w:p w14:paraId="15F0AD66" w14:textId="3FB5D723" w:rsidR="00305131" w:rsidRPr="008510BA" w:rsidRDefault="00A93A30" w:rsidP="00305131">
      <w:pPr>
        <w:pStyle w:val="09Para"/>
      </w:pPr>
      <w:r w:rsidRPr="00B33AA4">
        <w:rPr>
          <w:color w:val="0000FF"/>
        </w:rPr>
        <w:t>Les prévisions financières ainsi que la documentation à l</w:t>
      </w:r>
      <w:r w:rsidR="00865E23" w:rsidRPr="00B33AA4">
        <w:rPr>
          <w:color w:val="0000FF"/>
        </w:rPr>
        <w:t>’</w:t>
      </w:r>
      <w:r w:rsidRPr="00B33AA4">
        <w:rPr>
          <w:color w:val="0000FF"/>
        </w:rPr>
        <w:t>appui des principales hypothèses ont</w:t>
      </w:r>
      <w:r w:rsidR="00C523C5">
        <w:rPr>
          <w:color w:val="0000FF"/>
        </w:rPr>
        <w:t> </w:t>
      </w:r>
      <w:r w:rsidRPr="00B33AA4">
        <w:rPr>
          <w:color w:val="0000FF"/>
        </w:rPr>
        <w:t>été passées en revue par la direction et le conseil d</w:t>
      </w:r>
      <w:r w:rsidR="00865E23" w:rsidRPr="00B33AA4">
        <w:rPr>
          <w:color w:val="0000FF"/>
        </w:rPr>
        <w:t>’</w:t>
      </w:r>
      <w:r w:rsidRPr="00B33AA4">
        <w:rPr>
          <w:color w:val="0000FF"/>
        </w:rPr>
        <w:t>administration. Lors de la réunion du</w:t>
      </w:r>
      <w:r w:rsidR="005273DE">
        <w:rPr>
          <w:color w:val="0000FF"/>
        </w:rPr>
        <w:t> </w:t>
      </w:r>
      <w:r w:rsidRPr="00B33AA4">
        <w:rPr>
          <w:color w:val="0000FF"/>
        </w:rPr>
        <w:t>conseil d</w:t>
      </w:r>
      <w:r w:rsidR="00865E23" w:rsidRPr="00B33AA4">
        <w:rPr>
          <w:color w:val="0000FF"/>
        </w:rPr>
        <w:t>’</w:t>
      </w:r>
      <w:r w:rsidRPr="00B33AA4">
        <w:rPr>
          <w:color w:val="0000FF"/>
        </w:rPr>
        <w:t xml:space="preserve">administration </w:t>
      </w:r>
      <w:proofErr w:type="gramStart"/>
      <w:r w:rsidRPr="00B33AA4">
        <w:rPr>
          <w:color w:val="0000FF"/>
        </w:rPr>
        <w:t>du</w:t>
      </w:r>
      <w:proofErr w:type="gramEnd"/>
      <w:r w:rsidRPr="00B33AA4">
        <w:rPr>
          <w:color w:val="0000FF"/>
        </w:rPr>
        <w:t xml:space="preserve"> </w:t>
      </w:r>
      <w:r w:rsidRPr="00B33AA4">
        <w:t>[</w:t>
      </w:r>
      <w:r w:rsidRPr="00B33AA4">
        <w:rPr>
          <w:color w:val="0000FF"/>
        </w:rPr>
        <w:t>date</w:t>
      </w:r>
      <w:r w:rsidRPr="00B33AA4">
        <w:t>]</w:t>
      </w:r>
      <w:r w:rsidRPr="00B33AA4">
        <w:rPr>
          <w:color w:val="0000FF"/>
        </w:rPr>
        <w:t xml:space="preserve">, les administrateurs et la direction de </w:t>
      </w:r>
      <w:r w:rsidRPr="00B33AA4">
        <w:t>[</w:t>
      </w:r>
      <w:r w:rsidRPr="00B33AA4">
        <w:rPr>
          <w:color w:val="0000FF"/>
        </w:rPr>
        <w:t>Entité</w:t>
      </w:r>
      <w:r w:rsidRPr="00B33AA4">
        <w:t>]</w:t>
      </w:r>
      <w:r w:rsidRPr="00B33AA4">
        <w:rPr>
          <w:color w:val="0000FF"/>
        </w:rPr>
        <w:t xml:space="preserve"> ont reconnu qu</w:t>
      </w:r>
      <w:r w:rsidR="00865E23" w:rsidRPr="00B33AA4">
        <w:rPr>
          <w:color w:val="0000FF"/>
        </w:rPr>
        <w:t>’</w:t>
      </w:r>
      <w:r w:rsidRPr="00B33AA4">
        <w:rPr>
          <w:color w:val="0000FF"/>
        </w:rPr>
        <w:t>ils assument seuls la responsabilité de l</w:t>
      </w:r>
      <w:r w:rsidR="00865E23" w:rsidRPr="00B33AA4">
        <w:rPr>
          <w:color w:val="0000FF"/>
        </w:rPr>
        <w:t>’</w:t>
      </w:r>
      <w:r w:rsidRPr="00B33AA4">
        <w:rPr>
          <w:color w:val="0000FF"/>
        </w:rPr>
        <w:t>établissement des prévisions et de la détermination et</w:t>
      </w:r>
      <w:r w:rsidR="005273DE">
        <w:rPr>
          <w:color w:val="0000FF"/>
        </w:rPr>
        <w:t> </w:t>
      </w:r>
      <w:r w:rsidRPr="00B33AA4">
        <w:rPr>
          <w:color w:val="0000FF"/>
        </w:rPr>
        <w:t xml:space="preserve">du caractère approprié des hypothèses utilisées. Au mieux de notre connaissance et en </w:t>
      </w:r>
      <w:r w:rsidRPr="00B33AA4">
        <w:rPr>
          <w:color w:val="0000FF"/>
        </w:rPr>
        <w:lastRenderedPageBreak/>
        <w:t xml:space="preserve">toute bonne foi, ces prévisions représentent la meilleure estimation actuelle de </w:t>
      </w:r>
      <w:r w:rsidRPr="00B33AA4">
        <w:t>[</w:t>
      </w:r>
      <w:r w:rsidRPr="00B33AA4">
        <w:rPr>
          <w:color w:val="0000FF"/>
        </w:rPr>
        <w:t>Entité</w:t>
      </w:r>
      <w:r w:rsidRPr="00B33AA4">
        <w:t>]</w:t>
      </w:r>
      <w:r w:rsidRPr="00B33AA4">
        <w:rPr>
          <w:color w:val="0000FF"/>
        </w:rPr>
        <w:t xml:space="preserve"> quant aux prévisions les plus probables pour la période couverte</w:t>
      </w:r>
      <w:r w:rsidR="00AA4392" w:rsidRPr="00B33AA4">
        <w:rPr>
          <w:color w:val="0000FF"/>
        </w:rPr>
        <w:t>.</w:t>
      </w:r>
      <w:r w:rsidR="00AA4392" w:rsidRPr="00B33AA4">
        <w:t>]</w:t>
      </w:r>
    </w:p>
    <w:p w14:paraId="0778BF84" w14:textId="77777777" w:rsidR="00AA4392" w:rsidRPr="00B33AA4" w:rsidRDefault="00AA4392" w:rsidP="00F66B87">
      <w:pPr>
        <w:pStyle w:val="Heading3"/>
      </w:pPr>
      <w:r w:rsidRPr="008510BA">
        <w:t>A</w:t>
      </w:r>
      <w:r w:rsidR="00A93A30" w:rsidRPr="008510BA">
        <w:t>ctifs et passifs</w:t>
      </w:r>
    </w:p>
    <w:p w14:paraId="3E57D669" w14:textId="6EE2063F" w:rsidR="00AA4392" w:rsidRPr="00B33AA4" w:rsidRDefault="00A93A30" w:rsidP="00F66B87">
      <w:pPr>
        <w:pStyle w:val="09Para"/>
      </w:pPr>
      <w:r w:rsidRPr="00B33AA4">
        <w:t xml:space="preserve">Nous possédons des titres de propriété valables ou le contrôle sur tous les actifs. Tous les privilèges ou les charges grevant les actifs et les actifs </w:t>
      </w:r>
      <w:r w:rsidR="009A5A4B" w:rsidRPr="00B33AA4">
        <w:t xml:space="preserve">affectés </w:t>
      </w:r>
      <w:r w:rsidRPr="00B33AA4">
        <w:t>en garantie de [</w:t>
      </w:r>
      <w:r w:rsidRPr="00B33AA4">
        <w:rPr>
          <w:color w:val="0000FF"/>
        </w:rPr>
        <w:t>Entité</w:t>
      </w:r>
      <w:r w:rsidRPr="00B33AA4">
        <w:t>], dans la mesure où ils sont significatifs, ont été présentés dans la note</w:t>
      </w:r>
      <w:r w:rsidR="0042385A" w:rsidRPr="00B33AA4">
        <w:t> </w:t>
      </w:r>
      <w:r w:rsidRPr="00B33AA4">
        <w:t>[</w:t>
      </w:r>
      <w:r w:rsidRPr="00B33AA4">
        <w:rPr>
          <w:color w:val="0000FF"/>
        </w:rPr>
        <w:t>X</w:t>
      </w:r>
      <w:r w:rsidRPr="00B33AA4">
        <w:t>] afférente aux états financiers [</w:t>
      </w:r>
      <w:r w:rsidRPr="00B33AA4">
        <w:rPr>
          <w:color w:val="0000FF"/>
        </w:rPr>
        <w:t>consolidés</w:t>
      </w:r>
      <w:r w:rsidRPr="00B33AA4">
        <w:t>]</w:t>
      </w:r>
      <w:r w:rsidR="00AA4392" w:rsidRPr="00B33AA4">
        <w:t>.</w:t>
      </w:r>
      <w:r w:rsidR="00305131">
        <w:t xml:space="preserve"> </w:t>
      </w:r>
      <w:r w:rsidR="004C0830" w:rsidRPr="00E353AE">
        <w:rPr>
          <w:rFonts w:cs="Arial"/>
        </w:rPr>
        <w:t>Tous les actifs éventuels, au sens donné par l</w:t>
      </w:r>
      <w:r w:rsidR="004C0830">
        <w:rPr>
          <w:rFonts w:cs="Arial"/>
        </w:rPr>
        <w:t xml:space="preserve">a norme </w:t>
      </w:r>
      <w:r w:rsidR="00756291">
        <w:rPr>
          <w:rFonts w:cs="Arial"/>
        </w:rPr>
        <w:t xml:space="preserve">IAS 37, </w:t>
      </w:r>
      <w:r w:rsidR="00305131" w:rsidRPr="00E353AE">
        <w:rPr>
          <w:rFonts w:cs="Arial"/>
        </w:rPr>
        <w:t>Provisions,</w:t>
      </w:r>
      <w:r w:rsidR="00E353AE">
        <w:rPr>
          <w:rFonts w:cs="Arial"/>
        </w:rPr>
        <w:t xml:space="preserve"> </w:t>
      </w:r>
      <w:r w:rsidR="004C0830">
        <w:rPr>
          <w:rFonts w:cs="Arial"/>
        </w:rPr>
        <w:t>passifs éventuels et actifs éventuels</w:t>
      </w:r>
      <w:r w:rsidR="00305131" w:rsidRPr="00E353AE">
        <w:rPr>
          <w:rFonts w:cs="Arial"/>
        </w:rPr>
        <w:t xml:space="preserve">, </w:t>
      </w:r>
      <w:r w:rsidR="004C0830">
        <w:rPr>
          <w:rFonts w:cs="Arial"/>
        </w:rPr>
        <w:t>vous ont été commu</w:t>
      </w:r>
      <w:r w:rsidR="00E353AE">
        <w:rPr>
          <w:rFonts w:cs="Arial"/>
        </w:rPr>
        <w:t xml:space="preserve">niqués et sont adéquatement </w:t>
      </w:r>
      <w:r w:rsidR="0098506F">
        <w:rPr>
          <w:rFonts w:cs="Arial"/>
        </w:rPr>
        <w:t xml:space="preserve">reflétés </w:t>
      </w:r>
      <w:r w:rsidR="00E353AE">
        <w:rPr>
          <w:rFonts w:cs="Arial"/>
        </w:rPr>
        <w:t xml:space="preserve">dans les états financiers </w:t>
      </w:r>
      <w:r w:rsidR="00305131" w:rsidRPr="00E353AE">
        <w:rPr>
          <w:rFonts w:cs="Arial"/>
        </w:rPr>
        <w:t>[</w:t>
      </w:r>
      <w:r w:rsidR="00305131" w:rsidRPr="00E353AE">
        <w:rPr>
          <w:rFonts w:cs="Arial"/>
          <w:color w:val="0000FF"/>
        </w:rPr>
        <w:t>consolid</w:t>
      </w:r>
      <w:r w:rsidR="00E353AE">
        <w:rPr>
          <w:rFonts w:cs="Arial"/>
          <w:color w:val="0000FF"/>
        </w:rPr>
        <w:t>és</w:t>
      </w:r>
      <w:r w:rsidR="00305131" w:rsidRPr="00E353AE">
        <w:rPr>
          <w:rFonts w:cs="Arial"/>
        </w:rPr>
        <w:t>].</w:t>
      </w:r>
    </w:p>
    <w:p w14:paraId="4AC96178" w14:textId="00DCA698" w:rsidR="00AA4392" w:rsidRDefault="00A93A30" w:rsidP="00F66B87">
      <w:pPr>
        <w:pStyle w:val="09Para"/>
      </w:pPr>
      <w:r w:rsidRPr="00B33AA4">
        <w:t xml:space="preserve">Nous avons comptabilisé ou communiqué, </w:t>
      </w:r>
      <w:r w:rsidR="009A5A4B" w:rsidRPr="00B33AA4">
        <w:t>selon le cas</w:t>
      </w:r>
      <w:r w:rsidRPr="00B33AA4">
        <w:t xml:space="preserve">, tous les passifs conformément aux </w:t>
      </w:r>
      <w:r w:rsidR="00F61A14" w:rsidRPr="00B33AA4">
        <w:t>IFRS</w:t>
      </w:r>
      <w:r w:rsidRPr="00B33AA4">
        <w:t xml:space="preserve">. Tous les passifs et </w:t>
      </w:r>
      <w:r w:rsidR="0098506F">
        <w:t>toutes les éventualités</w:t>
      </w:r>
      <w:r w:rsidRPr="00B33AA4">
        <w:t xml:space="preserve">, y compris ceux </w:t>
      </w:r>
      <w:r w:rsidR="00F61A14" w:rsidRPr="00B33AA4">
        <w:t xml:space="preserve">qui sont </w:t>
      </w:r>
      <w:r w:rsidRPr="00B33AA4">
        <w:t xml:space="preserve">associés </w:t>
      </w:r>
      <w:r w:rsidR="006F742B" w:rsidRPr="00B33AA4">
        <w:t xml:space="preserve">à des </w:t>
      </w:r>
      <w:r w:rsidRPr="00B33AA4">
        <w:t xml:space="preserve">garanties, </w:t>
      </w:r>
      <w:r w:rsidR="003A2E25" w:rsidRPr="00B33AA4">
        <w:t xml:space="preserve">qu’elles soient </w:t>
      </w:r>
      <w:r w:rsidRPr="00B33AA4">
        <w:t xml:space="preserve">écrites ou verbales, </w:t>
      </w:r>
      <w:r w:rsidR="00F61A14" w:rsidRPr="00B33AA4">
        <w:t xml:space="preserve">susceptibles d’engager la responsabilité de </w:t>
      </w:r>
      <w:r w:rsidRPr="00B33AA4">
        <w:t>[</w:t>
      </w:r>
      <w:r w:rsidRPr="00B33AA4">
        <w:rPr>
          <w:color w:val="0000FF"/>
        </w:rPr>
        <w:t>Entité</w:t>
      </w:r>
      <w:r w:rsidRPr="00B33AA4">
        <w:t>] selon</w:t>
      </w:r>
      <w:r w:rsidR="00756291">
        <w:t xml:space="preserve"> la norme </w:t>
      </w:r>
      <w:r w:rsidR="00AA4392" w:rsidRPr="00B33AA4">
        <w:t>IAS</w:t>
      </w:r>
      <w:r w:rsidR="00EF2E5E" w:rsidRPr="00B33AA4">
        <w:t> </w:t>
      </w:r>
      <w:r w:rsidR="00AA4392" w:rsidRPr="00B33AA4">
        <w:t>37</w:t>
      </w:r>
      <w:r w:rsidR="00E55C00" w:rsidRPr="00B33AA4">
        <w:t>,</w:t>
      </w:r>
      <w:r w:rsidR="00AA4392" w:rsidRPr="00B33AA4">
        <w:t xml:space="preserve"> </w:t>
      </w:r>
      <w:r w:rsidRPr="00B33AA4">
        <w:t xml:space="preserve">vous ont été communiqués et sont </w:t>
      </w:r>
      <w:r w:rsidR="00E135D4" w:rsidRPr="00B33AA4">
        <w:t xml:space="preserve">adéquatement </w:t>
      </w:r>
      <w:r w:rsidR="003966B8">
        <w:t>reflétés</w:t>
      </w:r>
      <w:r w:rsidR="00E135D4" w:rsidRPr="00B33AA4">
        <w:t xml:space="preserve"> </w:t>
      </w:r>
      <w:r w:rsidRPr="00B33AA4">
        <w:t>dans</w:t>
      </w:r>
      <w:r w:rsidR="002B42EF">
        <w:t> </w:t>
      </w:r>
      <w:r w:rsidRPr="00B33AA4">
        <w:t>les états financiers [</w:t>
      </w:r>
      <w:r w:rsidRPr="00B33AA4">
        <w:rPr>
          <w:color w:val="0000FF"/>
        </w:rPr>
        <w:t>consolidés</w:t>
      </w:r>
      <w:r w:rsidRPr="00B33AA4">
        <w:t>]</w:t>
      </w:r>
      <w:r w:rsidR="009D3150">
        <w:t>.</w:t>
      </w:r>
    </w:p>
    <w:p w14:paraId="4922B6BB" w14:textId="77777777" w:rsidR="00672D3F" w:rsidRPr="00932A21" w:rsidRDefault="00672D3F" w:rsidP="00672D3F">
      <w:pPr>
        <w:pStyle w:val="09Para"/>
        <w:rPr>
          <w:i/>
          <w:color w:val="0000FF"/>
        </w:rPr>
      </w:pPr>
      <w:r w:rsidRPr="00C9624D">
        <w:rPr>
          <w:color w:val="0000FF"/>
        </w:rPr>
        <w:t>[</w:t>
      </w:r>
      <w:r w:rsidRPr="00932A21">
        <w:rPr>
          <w:i/>
          <w:color w:val="0000FF"/>
        </w:rPr>
        <w:t xml:space="preserve">Pour les </w:t>
      </w:r>
      <w:r>
        <w:rPr>
          <w:i/>
          <w:color w:val="0000FF"/>
        </w:rPr>
        <w:t>exercices ouvert</w:t>
      </w:r>
      <w:r w:rsidRPr="00932A21">
        <w:rPr>
          <w:i/>
          <w:color w:val="0000FF"/>
        </w:rPr>
        <w:t>s à compter du 1</w:t>
      </w:r>
      <w:r>
        <w:rPr>
          <w:i/>
          <w:color w:val="0000FF"/>
          <w:vertAlign w:val="superscript"/>
        </w:rPr>
        <w:t>er </w:t>
      </w:r>
      <w:r w:rsidRPr="00932A21">
        <w:rPr>
          <w:i/>
          <w:color w:val="0000FF"/>
        </w:rPr>
        <w:t>janvier 2023 :</w:t>
      </w:r>
    </w:p>
    <w:p w14:paraId="53C903FE" w14:textId="376BFB0C" w:rsidR="00672D3F" w:rsidRDefault="00672D3F" w:rsidP="00672D3F">
      <w:pPr>
        <w:pStyle w:val="09Para"/>
      </w:pPr>
      <w:r w:rsidRPr="00932A21">
        <w:rPr>
          <w:i/>
          <w:color w:val="0000FF"/>
        </w:rPr>
        <w:t xml:space="preserve">La déclaration suivante doit être </w:t>
      </w:r>
      <w:r>
        <w:rPr>
          <w:i/>
          <w:color w:val="0000FF"/>
        </w:rPr>
        <w:t xml:space="preserve">ajoutée aux </w:t>
      </w:r>
      <w:r w:rsidRPr="00932A21">
        <w:rPr>
          <w:i/>
          <w:color w:val="0000FF"/>
        </w:rPr>
        <w:t xml:space="preserve">lettres </w:t>
      </w:r>
      <w:r>
        <w:rPr>
          <w:i/>
          <w:color w:val="0000FF"/>
        </w:rPr>
        <w:t xml:space="preserve">d’affirmation </w:t>
      </w:r>
      <w:r w:rsidRPr="00932A21">
        <w:rPr>
          <w:i/>
          <w:color w:val="0000FF"/>
        </w:rPr>
        <w:t xml:space="preserve">de la direction lorsqu’aucun contrat d’assurance visé par la norme IFRS 17 n’a été </w:t>
      </w:r>
      <w:r>
        <w:rPr>
          <w:i/>
          <w:color w:val="0000FF"/>
        </w:rPr>
        <w:t>identifié</w:t>
      </w:r>
      <w:r w:rsidRPr="00932A21">
        <w:rPr>
          <w:i/>
          <w:color w:val="0000FF"/>
        </w:rPr>
        <w:t xml:space="preserve">. Lorsque des contrats d’assurance </w:t>
      </w:r>
      <w:r>
        <w:rPr>
          <w:i/>
          <w:color w:val="0000FF"/>
        </w:rPr>
        <w:t>visés par l’</w:t>
      </w:r>
      <w:r w:rsidRPr="00932A21">
        <w:rPr>
          <w:i/>
          <w:color w:val="0000FF"/>
        </w:rPr>
        <w:t xml:space="preserve">IFRS 17 ont été </w:t>
      </w:r>
      <w:r>
        <w:rPr>
          <w:i/>
          <w:color w:val="0000FF"/>
        </w:rPr>
        <w:t>identifiés</w:t>
      </w:r>
      <w:r w:rsidRPr="00932A21">
        <w:rPr>
          <w:i/>
          <w:color w:val="0000FF"/>
        </w:rPr>
        <w:t xml:space="preserve"> et que des déclarations pertinentes </w:t>
      </w:r>
      <w:r>
        <w:rPr>
          <w:i/>
          <w:color w:val="0000FF"/>
        </w:rPr>
        <w:t xml:space="preserve">propres </w:t>
      </w:r>
      <w:r w:rsidRPr="00932A21">
        <w:rPr>
          <w:i/>
          <w:color w:val="0000FF"/>
        </w:rPr>
        <w:t>à</w:t>
      </w:r>
      <w:r>
        <w:rPr>
          <w:i/>
          <w:color w:val="0000FF"/>
        </w:rPr>
        <w:t> l’</w:t>
      </w:r>
      <w:r w:rsidRPr="00932A21">
        <w:rPr>
          <w:i/>
          <w:color w:val="0000FF"/>
        </w:rPr>
        <w:t xml:space="preserve">IFRS 17 </w:t>
      </w:r>
      <w:r>
        <w:rPr>
          <w:i/>
          <w:color w:val="0000FF"/>
        </w:rPr>
        <w:t>s</w:t>
      </w:r>
      <w:r w:rsidRPr="00932A21">
        <w:rPr>
          <w:i/>
          <w:color w:val="0000FF"/>
        </w:rPr>
        <w:t xml:space="preserve">ont </w:t>
      </w:r>
      <w:r>
        <w:rPr>
          <w:i/>
          <w:color w:val="0000FF"/>
        </w:rPr>
        <w:t xml:space="preserve">ajoutées à </w:t>
      </w:r>
      <w:r w:rsidRPr="00932A21">
        <w:rPr>
          <w:i/>
          <w:color w:val="0000FF"/>
        </w:rPr>
        <w:t xml:space="preserve">la lettre </w:t>
      </w:r>
      <w:r>
        <w:rPr>
          <w:i/>
          <w:color w:val="0000FF"/>
        </w:rPr>
        <w:t xml:space="preserve">d’affirmation </w:t>
      </w:r>
      <w:r w:rsidRPr="00932A21">
        <w:rPr>
          <w:i/>
          <w:color w:val="0000FF"/>
        </w:rPr>
        <w:t xml:space="preserve">de la direction, il n’est pas nécessaire d’inclure la déclaration suivante dans la lettre </w:t>
      </w:r>
      <w:r>
        <w:rPr>
          <w:i/>
          <w:color w:val="0000FF"/>
        </w:rPr>
        <w:t>d’affirmation de la direction.</w:t>
      </w:r>
      <w:r w:rsidRPr="00932A21">
        <w:rPr>
          <w:i/>
          <w:color w:val="0000FF"/>
        </w:rPr>
        <w:t>]</w:t>
      </w:r>
      <w:r>
        <w:t xml:space="preserve"> </w:t>
      </w:r>
    </w:p>
    <w:p w14:paraId="61AAFBDE" w14:textId="1E837E4C" w:rsidR="00672D3F" w:rsidRDefault="00672D3F" w:rsidP="00672D3F">
      <w:pPr>
        <w:pStyle w:val="09Para"/>
        <w:keepNext/>
      </w:pPr>
      <w:r>
        <w:t xml:space="preserve">Nous avons évalué les dispositions relatives au champ d’application de l’IFRS 17 et confirmons qu’il n’existe aucun arrangement répondant à la définition de contrat d’assurance. Aux fins de cette évaluation, tous les droits et obligations </w:t>
      </w:r>
      <w:r w:rsidRPr="007D533C">
        <w:t xml:space="preserve">substantiels </w:t>
      </w:r>
      <w:r>
        <w:t xml:space="preserve">exécutoires découlant de dispositions contractuelles, légales ou réglementaires et de nos pratiques opérationnelles habituelles, qu’ils soient explicites ou implicites, ont été pris en compte. Nous n’avons pas tenu compte des modalités dénuées de substance commerciale. Nous avons évalué, entre autres, ce qui suit : </w:t>
      </w:r>
    </w:p>
    <w:p w14:paraId="778D5042" w14:textId="77777777" w:rsidR="00672D3F" w:rsidRPr="00B33AA4" w:rsidRDefault="00672D3F" w:rsidP="004C5215">
      <w:pPr>
        <w:pStyle w:val="09Para"/>
        <w:numPr>
          <w:ilvl w:val="0"/>
          <w:numId w:val="28"/>
        </w:numPr>
        <w:ind w:hanging="720"/>
      </w:pPr>
      <w:r>
        <w:t>[...] [envisager de définir la portée des paragraphes 7-8A de l’IFRS 17]]</w:t>
      </w:r>
    </w:p>
    <w:p w14:paraId="2AAD24F1" w14:textId="50CE98F6" w:rsidR="00A93A30" w:rsidRPr="00871F3A" w:rsidRDefault="00305131" w:rsidP="00F66B87">
      <w:pPr>
        <w:pStyle w:val="Heading3"/>
      </w:pPr>
      <w:r w:rsidRPr="00871F3A">
        <w:t xml:space="preserve">Déclarations </w:t>
      </w:r>
      <w:r w:rsidR="00A93A30" w:rsidRPr="00871F3A">
        <w:t>particuli</w:t>
      </w:r>
      <w:r w:rsidRPr="00871F3A">
        <w:t>ère</w:t>
      </w:r>
      <w:r w:rsidR="00A93A30" w:rsidRPr="00871F3A">
        <w:t>s</w:t>
      </w:r>
    </w:p>
    <w:p w14:paraId="4F6EFE0D" w14:textId="77777777" w:rsidR="0047395B" w:rsidRPr="00B33AA4" w:rsidRDefault="00A93A30" w:rsidP="00F66B87">
      <w:pPr>
        <w:pStyle w:val="09Para"/>
      </w:pPr>
      <w:r w:rsidRPr="00B33AA4">
        <w:t>[</w:t>
      </w:r>
      <w:r w:rsidRPr="00B33AA4">
        <w:rPr>
          <w:i/>
          <w:color w:val="0000FF"/>
        </w:rPr>
        <w:t>D</w:t>
      </w:r>
      <w:r w:rsidR="00865E23" w:rsidRPr="00B33AA4">
        <w:rPr>
          <w:i/>
          <w:color w:val="0000FF"/>
        </w:rPr>
        <w:t>’</w:t>
      </w:r>
      <w:r w:rsidRPr="00B33AA4">
        <w:rPr>
          <w:i/>
          <w:color w:val="0000FF"/>
        </w:rPr>
        <w:t>autres déclarations écrites peuvent être nécessaires pour s</w:t>
      </w:r>
      <w:r w:rsidR="00865E23" w:rsidRPr="00B33AA4">
        <w:rPr>
          <w:i/>
          <w:color w:val="0000FF"/>
        </w:rPr>
        <w:t>’</w:t>
      </w:r>
      <w:r w:rsidRPr="00B33AA4">
        <w:rPr>
          <w:i/>
          <w:color w:val="0000FF"/>
        </w:rPr>
        <w:t>assurer d</w:t>
      </w:r>
      <w:r w:rsidR="00865E23" w:rsidRPr="00B33AA4">
        <w:rPr>
          <w:i/>
          <w:color w:val="0000FF"/>
        </w:rPr>
        <w:t>’</w:t>
      </w:r>
      <w:r w:rsidRPr="00B33AA4">
        <w:rPr>
          <w:i/>
          <w:color w:val="0000FF"/>
        </w:rPr>
        <w:t xml:space="preserve">obtenir les éléments probants suffisants et appropriés qui </w:t>
      </w:r>
      <w:r w:rsidR="00BB4ADA" w:rsidRPr="00B33AA4">
        <w:rPr>
          <w:i/>
          <w:color w:val="0000FF"/>
        </w:rPr>
        <w:t xml:space="preserve">permettront </w:t>
      </w:r>
      <w:r w:rsidRPr="00B33AA4">
        <w:rPr>
          <w:i/>
          <w:color w:val="0000FF"/>
        </w:rPr>
        <w:t>d</w:t>
      </w:r>
      <w:r w:rsidR="00865E23" w:rsidRPr="00B33AA4">
        <w:rPr>
          <w:i/>
          <w:color w:val="0000FF"/>
        </w:rPr>
        <w:t>’</w:t>
      </w:r>
      <w:r w:rsidRPr="00B33AA4">
        <w:rPr>
          <w:i/>
          <w:color w:val="0000FF"/>
        </w:rPr>
        <w:t>étayer d</w:t>
      </w:r>
      <w:r w:rsidR="00865E23" w:rsidRPr="00B33AA4">
        <w:rPr>
          <w:i/>
          <w:color w:val="0000FF"/>
        </w:rPr>
        <w:t>’</w:t>
      </w:r>
      <w:r w:rsidRPr="00B33AA4">
        <w:rPr>
          <w:i/>
          <w:color w:val="0000FF"/>
        </w:rPr>
        <w:t xml:space="preserve">autres éléments probants </w:t>
      </w:r>
      <w:r w:rsidR="00E135D4" w:rsidRPr="00B33AA4">
        <w:rPr>
          <w:i/>
          <w:color w:val="0000FF"/>
        </w:rPr>
        <w:t xml:space="preserve">obtenus et </w:t>
      </w:r>
      <w:r w:rsidRPr="00B33AA4">
        <w:rPr>
          <w:i/>
          <w:color w:val="0000FF"/>
        </w:rPr>
        <w:t>pertinents par rapport aux états financiers ou à une ou plusieurs assertions spécifiques qu</w:t>
      </w:r>
      <w:r w:rsidR="00865E23" w:rsidRPr="00B33AA4">
        <w:rPr>
          <w:i/>
          <w:color w:val="0000FF"/>
        </w:rPr>
        <w:t>’</w:t>
      </w:r>
      <w:r w:rsidRPr="00B33AA4">
        <w:rPr>
          <w:i/>
          <w:color w:val="0000FF"/>
        </w:rPr>
        <w:t xml:space="preserve">ils contiennent. Voir les instructions qui accompagnent le modèle </w:t>
      </w:r>
      <w:r w:rsidR="00A33603" w:rsidRPr="00B33AA4">
        <w:rPr>
          <w:i/>
          <w:color w:val="0000FF"/>
        </w:rPr>
        <w:t xml:space="preserve">au cas où </w:t>
      </w:r>
      <w:r w:rsidRPr="00B33AA4">
        <w:rPr>
          <w:i/>
          <w:color w:val="0000FF"/>
        </w:rPr>
        <w:t>le responsable de la mission décide de demander d</w:t>
      </w:r>
      <w:r w:rsidR="00865E23" w:rsidRPr="00B33AA4">
        <w:rPr>
          <w:i/>
          <w:color w:val="0000FF"/>
        </w:rPr>
        <w:t>’</w:t>
      </w:r>
      <w:r w:rsidRPr="00B33AA4">
        <w:rPr>
          <w:i/>
          <w:color w:val="0000FF"/>
        </w:rPr>
        <w:t>« autres déclarations écrites »</w:t>
      </w:r>
      <w:r w:rsidR="00E135D4" w:rsidRPr="00B33AA4">
        <w:rPr>
          <w:i/>
          <w:color w:val="0000FF"/>
        </w:rPr>
        <w:t xml:space="preserve">; </w:t>
      </w:r>
      <w:r w:rsidR="00733CF0" w:rsidRPr="00B33AA4">
        <w:rPr>
          <w:i/>
          <w:color w:val="0000FF"/>
        </w:rPr>
        <w:t>p</w:t>
      </w:r>
      <w:r w:rsidRPr="00B33AA4">
        <w:rPr>
          <w:i/>
          <w:color w:val="0000FF"/>
        </w:rPr>
        <w:t>our obtenir un libellé modèle, consulter l</w:t>
      </w:r>
      <w:r w:rsidR="00865E23" w:rsidRPr="00B33AA4">
        <w:rPr>
          <w:i/>
          <w:color w:val="0000FF"/>
        </w:rPr>
        <w:t>’</w:t>
      </w:r>
      <w:r w:rsidR="00210EB7" w:rsidRPr="00B33AA4">
        <w:rPr>
          <w:i/>
          <w:color w:val="0000FF"/>
        </w:rPr>
        <w:t>a</w:t>
      </w:r>
      <w:r w:rsidR="00D026CC" w:rsidRPr="00B33AA4">
        <w:rPr>
          <w:i/>
          <w:color w:val="0000FF"/>
        </w:rPr>
        <w:t>nnexe</w:t>
      </w:r>
      <w:r w:rsidR="00EF2E5E" w:rsidRPr="00B33AA4">
        <w:rPr>
          <w:i/>
          <w:color w:val="0000FF"/>
        </w:rPr>
        <w:t> </w:t>
      </w:r>
      <w:r w:rsidRPr="00B33AA4">
        <w:rPr>
          <w:i/>
          <w:color w:val="0000FF"/>
        </w:rPr>
        <w:t xml:space="preserve">1, Exemples de déclarations additionnelles pouvant convenir aux états financiers </w:t>
      </w:r>
      <w:r w:rsidRPr="00B33AA4">
        <w:t>[</w:t>
      </w:r>
      <w:r w:rsidRPr="00B33AA4">
        <w:rPr>
          <w:i/>
          <w:color w:val="0000FF"/>
        </w:rPr>
        <w:t>consolidés</w:t>
      </w:r>
      <w:r w:rsidRPr="00B33AA4">
        <w:t>]</w:t>
      </w:r>
      <w:r w:rsidRPr="00B33AA4">
        <w:rPr>
          <w:i/>
          <w:color w:val="0000FF"/>
        </w:rPr>
        <w:t xml:space="preserve"> préparés conformément aux </w:t>
      </w:r>
      <w:r w:rsidR="00A7780C" w:rsidRPr="00B33AA4">
        <w:rPr>
          <w:i/>
          <w:color w:val="0000FF"/>
        </w:rPr>
        <w:t>IFRS.</w:t>
      </w:r>
      <w:r w:rsidR="00A7780C" w:rsidRPr="00B33AA4">
        <w:t>]</w:t>
      </w:r>
    </w:p>
    <w:p w14:paraId="0DADF250" w14:textId="77777777" w:rsidR="00AA4392" w:rsidRPr="00B33AA4" w:rsidRDefault="00A93A30" w:rsidP="00F66B87">
      <w:pPr>
        <w:pStyle w:val="Heading3"/>
      </w:pPr>
      <w:r w:rsidRPr="00B33AA4">
        <w:lastRenderedPageBreak/>
        <w:t>Procès et litiges</w:t>
      </w:r>
    </w:p>
    <w:p w14:paraId="6535AFBE" w14:textId="4008EC8D" w:rsidR="00A93A30" w:rsidRPr="00B33AA4" w:rsidRDefault="00A93A30" w:rsidP="00F66B87">
      <w:pPr>
        <w:pStyle w:val="09Para"/>
      </w:pPr>
      <w:r w:rsidRPr="00B33AA4">
        <w:t xml:space="preserve">Tous les procès et litiges actuels et éventuels </w:t>
      </w:r>
      <w:r w:rsidR="00E55370" w:rsidRPr="00B33AA4">
        <w:t xml:space="preserve">venus à notre connaissance et </w:t>
      </w:r>
      <w:r w:rsidRPr="00B33AA4">
        <w:t>qui existaient à la</w:t>
      </w:r>
      <w:r w:rsidR="00672D3F">
        <w:t> </w:t>
      </w:r>
      <w:r w:rsidRPr="00B33AA4">
        <w:t>date de l</w:t>
      </w:r>
      <w:r w:rsidR="00865E23" w:rsidRPr="00B33AA4">
        <w:t>’</w:t>
      </w:r>
      <w:r w:rsidRPr="00B33AA4">
        <w:t>état [</w:t>
      </w:r>
      <w:r w:rsidRPr="00B33AA4">
        <w:rPr>
          <w:color w:val="0000FF"/>
        </w:rPr>
        <w:t>consolidé</w:t>
      </w:r>
      <w:r w:rsidRPr="00B33AA4">
        <w:t>] de la situation financière ou qui existent actuellement vous ont été communiqués et ont</w:t>
      </w:r>
      <w:r w:rsidR="00733CF0" w:rsidRPr="00B33AA4">
        <w:t xml:space="preserve"> été</w:t>
      </w:r>
      <w:r w:rsidRPr="00B33AA4">
        <w:t xml:space="preserve"> comptabilisés et communiqués conformément aux </w:t>
      </w:r>
      <w:r w:rsidR="00AA4392" w:rsidRPr="00B33AA4">
        <w:t xml:space="preserve">IFRS, </w:t>
      </w:r>
      <w:r w:rsidRPr="00B33AA4">
        <w:t>qu</w:t>
      </w:r>
      <w:r w:rsidR="00865E23" w:rsidRPr="00B33AA4">
        <w:t>’</w:t>
      </w:r>
      <w:r w:rsidRPr="00B33AA4">
        <w:t>ils aient fait l</w:t>
      </w:r>
      <w:r w:rsidR="00865E23" w:rsidRPr="00B33AA4">
        <w:t>’</w:t>
      </w:r>
      <w:r w:rsidRPr="00B33AA4">
        <w:t>objet d</w:t>
      </w:r>
      <w:r w:rsidR="00733CF0" w:rsidRPr="00B33AA4">
        <w:t xml:space="preserve">’entretiens </w:t>
      </w:r>
      <w:r w:rsidRPr="00B33AA4">
        <w:t>avec le</w:t>
      </w:r>
      <w:r w:rsidR="00733CF0" w:rsidRPr="00B33AA4">
        <w:t>s</w:t>
      </w:r>
      <w:r w:rsidRPr="00B33AA4">
        <w:t xml:space="preserve"> conseiller</w:t>
      </w:r>
      <w:r w:rsidR="00733CF0" w:rsidRPr="00B33AA4">
        <w:t>s</w:t>
      </w:r>
      <w:r w:rsidRPr="00B33AA4">
        <w:t xml:space="preserve"> juridique</w:t>
      </w:r>
      <w:r w:rsidR="00733CF0" w:rsidRPr="00B33AA4">
        <w:t>s</w:t>
      </w:r>
      <w:r w:rsidR="00A33603" w:rsidRPr="00B33AA4">
        <w:t xml:space="preserve"> ou non</w:t>
      </w:r>
      <w:r w:rsidRPr="00B33AA4">
        <w:t>.</w:t>
      </w:r>
    </w:p>
    <w:p w14:paraId="57A3ED34" w14:textId="38FEBB84" w:rsidR="00A93A30" w:rsidRPr="00B33AA4" w:rsidRDefault="00A93A30" w:rsidP="00F66B87">
      <w:pPr>
        <w:pStyle w:val="Heading3"/>
      </w:pPr>
      <w:r w:rsidRPr="00B33AA4">
        <w:t xml:space="preserve">Anomalies </w:t>
      </w:r>
    </w:p>
    <w:p w14:paraId="46CFD448" w14:textId="35CEABAA" w:rsidR="00A93A30" w:rsidRPr="00B33AA4" w:rsidRDefault="00A93A30" w:rsidP="00F66B87">
      <w:pPr>
        <w:pStyle w:val="09Para"/>
      </w:pPr>
      <w:r w:rsidRPr="00B33AA4">
        <w:t xml:space="preserve">Certaines déclarations contenues dans la présente lettre ne visent que les éléments significatifs. </w:t>
      </w:r>
      <w:r w:rsidR="00AD1FE9" w:rsidRPr="00AD1FE9">
        <w:t>Une information est significative si on peut raisonnablement s</w:t>
      </w:r>
      <w:r w:rsidR="00AD1FE9">
        <w:t>’</w:t>
      </w:r>
      <w:r w:rsidR="00AD1FE9" w:rsidRPr="00AD1FE9">
        <w:t>attendre à ce que</w:t>
      </w:r>
      <w:r w:rsidR="00E00440">
        <w:t> </w:t>
      </w:r>
      <w:r w:rsidR="00AD1FE9" w:rsidRPr="00AD1FE9">
        <w:t>son</w:t>
      </w:r>
      <w:r w:rsidR="00E00440">
        <w:t> </w:t>
      </w:r>
      <w:r w:rsidR="00AD1FE9" w:rsidRPr="00AD1FE9">
        <w:t>omission, son inexactitude ou son obscurcissement influence les décisions que les</w:t>
      </w:r>
      <w:r w:rsidR="00E00440">
        <w:t> </w:t>
      </w:r>
      <w:r w:rsidR="00AD1FE9" w:rsidRPr="00AD1FE9">
        <w:t>principaux utilisateurs des états financiers à usage général prennent en se fondant sur l</w:t>
      </w:r>
      <w:r w:rsidR="00AD1FE9">
        <w:t>’</w:t>
      </w:r>
      <w:r w:rsidR="00AD1FE9" w:rsidRPr="00AD1FE9">
        <w:t>information financière que fournissent ces états financiers au sujet d</w:t>
      </w:r>
      <w:r w:rsidR="00AD1FE9">
        <w:t>’</w:t>
      </w:r>
      <w:r w:rsidR="00AD1FE9" w:rsidRPr="00AD1FE9">
        <w:t>une entité comptable donnée.</w:t>
      </w:r>
    </w:p>
    <w:p w14:paraId="2E0FB9AE" w14:textId="25E27525" w:rsidR="00A93A30" w:rsidRPr="00B33AA4" w:rsidRDefault="00A93A30" w:rsidP="00F66B87">
      <w:pPr>
        <w:pStyle w:val="09Para"/>
      </w:pPr>
      <w:r w:rsidRPr="00B33AA4">
        <w:t>Nous confirmons que les états financiers [</w:t>
      </w:r>
      <w:r w:rsidRPr="00B33AA4">
        <w:rPr>
          <w:color w:val="0000FF"/>
        </w:rPr>
        <w:t>consolidés</w:t>
      </w:r>
      <w:r w:rsidRPr="00B33AA4">
        <w:t>] sont exempts d</w:t>
      </w:r>
      <w:r w:rsidR="00865E23" w:rsidRPr="00B33AA4">
        <w:t>’</w:t>
      </w:r>
      <w:r w:rsidRPr="00B33AA4">
        <w:t>anomalies significatives, y</w:t>
      </w:r>
      <w:r w:rsidR="002B42EF">
        <w:t> </w:t>
      </w:r>
      <w:r w:rsidRPr="00B33AA4">
        <w:t>compris d</w:t>
      </w:r>
      <w:r w:rsidR="00865E23" w:rsidRPr="00B33AA4">
        <w:t>’</w:t>
      </w:r>
      <w:r w:rsidR="009D3150">
        <w:t>omissions.</w:t>
      </w:r>
    </w:p>
    <w:p w14:paraId="2C5314CA" w14:textId="77777777" w:rsidR="00AA4392" w:rsidRPr="00B33AA4" w:rsidRDefault="00AA4392" w:rsidP="00700075">
      <w:pPr>
        <w:pStyle w:val="09Para"/>
        <w:keepNext/>
        <w:keepLines/>
      </w:pPr>
      <w:r w:rsidRPr="00B33AA4">
        <w:t>[</w:t>
      </w:r>
      <w:r w:rsidR="00A93A30" w:rsidRPr="00B33AA4">
        <w:rPr>
          <w:i/>
          <w:color w:val="0000FF"/>
        </w:rPr>
        <w:t>Ajouter l</w:t>
      </w:r>
      <w:r w:rsidR="00865E23" w:rsidRPr="00B33AA4">
        <w:rPr>
          <w:i/>
          <w:color w:val="0000FF"/>
        </w:rPr>
        <w:t>’</w:t>
      </w:r>
      <w:r w:rsidR="00A93A30" w:rsidRPr="00B33AA4">
        <w:rPr>
          <w:i/>
          <w:color w:val="0000FF"/>
        </w:rPr>
        <w:t>un ou l</w:t>
      </w:r>
      <w:r w:rsidR="00865E23" w:rsidRPr="00B33AA4">
        <w:rPr>
          <w:i/>
          <w:color w:val="0000FF"/>
        </w:rPr>
        <w:t>’</w:t>
      </w:r>
      <w:r w:rsidR="00A93A30" w:rsidRPr="00B33AA4">
        <w:rPr>
          <w:i/>
          <w:color w:val="0000FF"/>
        </w:rPr>
        <w:t>autre des paragraphes suivants</w:t>
      </w:r>
      <w:r w:rsidR="00605C59" w:rsidRPr="00B33AA4">
        <w:rPr>
          <w:i/>
          <w:color w:val="0000FF"/>
        </w:rPr>
        <w:t> :</w:t>
      </w:r>
    </w:p>
    <w:p w14:paraId="0A51554A" w14:textId="77777777" w:rsidR="00DE44CE" w:rsidRPr="00B33AA4" w:rsidRDefault="00A93A30" w:rsidP="00F66B87">
      <w:pPr>
        <w:pStyle w:val="09Para"/>
      </w:pPr>
      <w:r w:rsidRPr="00B33AA4">
        <w:t xml:space="preserve">Nous confirmons que les états financiers </w:t>
      </w:r>
      <w:r w:rsidR="00EA42DD" w:rsidRPr="00B33AA4">
        <w:t>[</w:t>
      </w:r>
      <w:r w:rsidR="00EA42DD" w:rsidRPr="00B33AA4">
        <w:rPr>
          <w:color w:val="0000FF"/>
        </w:rPr>
        <w:t>consolidés</w:t>
      </w:r>
      <w:r w:rsidR="00EA42DD" w:rsidRPr="00B33AA4">
        <w:t>]</w:t>
      </w:r>
      <w:r w:rsidRPr="00B33AA4">
        <w:t xml:space="preserve"> ne comportent aucune anomalie non corrigée</w:t>
      </w:r>
      <w:r w:rsidR="00DE44CE" w:rsidRPr="00B33AA4">
        <w:t>.</w:t>
      </w:r>
    </w:p>
    <w:p w14:paraId="6D41AB6E" w14:textId="77777777" w:rsidR="00DE44CE" w:rsidRPr="00B33AA4" w:rsidRDefault="00DE44CE" w:rsidP="00F66B87">
      <w:pPr>
        <w:pStyle w:val="09Para"/>
        <w:rPr>
          <w:i/>
        </w:rPr>
      </w:pPr>
      <w:r w:rsidRPr="00B33AA4">
        <w:rPr>
          <w:i/>
          <w:color w:val="0000FF"/>
        </w:rPr>
        <w:t>O</w:t>
      </w:r>
      <w:r w:rsidR="00A93A30" w:rsidRPr="00B33AA4">
        <w:rPr>
          <w:i/>
          <w:color w:val="0000FF"/>
        </w:rPr>
        <w:t>U</w:t>
      </w:r>
    </w:p>
    <w:p w14:paraId="0B5A99F8" w14:textId="259737A9" w:rsidR="00A93A30" w:rsidRPr="00B33AA4" w:rsidRDefault="00A93A30" w:rsidP="00F66B87">
      <w:pPr>
        <w:pStyle w:val="09Para"/>
      </w:pPr>
      <w:r w:rsidRPr="00B33AA4">
        <w:t>L</w:t>
      </w:r>
      <w:r w:rsidR="00865E23" w:rsidRPr="00B33AA4">
        <w:t>’</w:t>
      </w:r>
      <w:r w:rsidRPr="00B33AA4">
        <w:t xml:space="preserve">incidence des anomalies non corrigées contenues dans les états financiers </w:t>
      </w:r>
      <w:r w:rsidR="004C2EE4" w:rsidRPr="00B33AA4">
        <w:t>[</w:t>
      </w:r>
      <w:r w:rsidR="004C2EE4" w:rsidRPr="00B33AA4">
        <w:rPr>
          <w:color w:val="0000FF"/>
        </w:rPr>
        <w:t>consolidés</w:t>
      </w:r>
      <w:r w:rsidR="004C2EE4" w:rsidRPr="00B33AA4">
        <w:t>]</w:t>
      </w:r>
      <w:r w:rsidRPr="00B33AA4">
        <w:t>, qui sont résumées à l</w:t>
      </w:r>
      <w:r w:rsidR="00865E23" w:rsidRPr="00B33AA4">
        <w:t>’</w:t>
      </w:r>
      <w:r w:rsidR="00210EB7" w:rsidRPr="00B33AA4">
        <w:t>a</w:t>
      </w:r>
      <w:r w:rsidRPr="00B33AA4">
        <w:t>nnexe</w:t>
      </w:r>
      <w:r w:rsidR="00311F5C" w:rsidRPr="00B33AA4">
        <w:t> </w:t>
      </w:r>
      <w:r w:rsidRPr="00B33AA4">
        <w:t>A [</w:t>
      </w:r>
      <w:r w:rsidRPr="00B33AA4">
        <w:rPr>
          <w:i/>
          <w:color w:val="0000FF"/>
        </w:rPr>
        <w:t>Joindre le Sommaire des anomalies non corrigées (SANC) à la lettre</w:t>
      </w:r>
      <w:r w:rsidRPr="00B33AA4">
        <w:t xml:space="preserve">], considérées individuellement ou collectivement, est non significative par rapport aux états financiers </w:t>
      </w:r>
      <w:r w:rsidR="004C2EE4" w:rsidRPr="00B33AA4">
        <w:t>[</w:t>
      </w:r>
      <w:r w:rsidR="004C2EE4" w:rsidRPr="00B33AA4">
        <w:rPr>
          <w:color w:val="0000FF"/>
        </w:rPr>
        <w:t>consolidés</w:t>
      </w:r>
      <w:r w:rsidR="004C2EE4" w:rsidRPr="00B33AA4">
        <w:t xml:space="preserve">] </w:t>
      </w:r>
      <w:r w:rsidRPr="00B33AA4">
        <w:t>pris dans leur ensemble. Nous confirmons que nous n</w:t>
      </w:r>
      <w:r w:rsidR="00865E23" w:rsidRPr="00B33AA4">
        <w:t>’</w:t>
      </w:r>
      <w:r w:rsidRPr="00B33AA4">
        <w:t>avons connaissance d</w:t>
      </w:r>
      <w:r w:rsidR="00865E23" w:rsidRPr="00B33AA4">
        <w:t>’</w:t>
      </w:r>
      <w:r w:rsidRPr="00B33AA4">
        <w:t>aucune autre anomalie non corrigée que celles décrites à l</w:t>
      </w:r>
      <w:r w:rsidR="00865E23" w:rsidRPr="00B33AA4">
        <w:t>’</w:t>
      </w:r>
      <w:r w:rsidR="00210EB7" w:rsidRPr="00B33AA4">
        <w:t>a</w:t>
      </w:r>
      <w:r w:rsidRPr="00B33AA4">
        <w:t>nnexe</w:t>
      </w:r>
      <w:r w:rsidR="00E212E5" w:rsidRPr="00B33AA4">
        <w:t> </w:t>
      </w:r>
      <w:r w:rsidRPr="00B33AA4">
        <w:t>A.]</w:t>
      </w:r>
    </w:p>
    <w:p w14:paraId="2DD16E13" w14:textId="77777777" w:rsidR="0032249D" w:rsidRPr="00B33AA4" w:rsidRDefault="0032249D" w:rsidP="0032249D">
      <w:pPr>
        <w:pStyle w:val="09Para"/>
        <w:rPr>
          <w:rFonts w:cs="Arial"/>
          <w:bCs/>
        </w:rPr>
      </w:pPr>
      <w:r w:rsidRPr="00B33AA4">
        <w:rPr>
          <w:rFonts w:cs="Arial"/>
        </w:rPr>
        <w:t>[</w:t>
      </w:r>
      <w:r w:rsidRPr="00D17C6D">
        <w:rPr>
          <w:rFonts w:cs="Arial"/>
          <w:color w:val="0000FF"/>
        </w:rPr>
        <w:t>Et s’il y a lieu</w:t>
      </w:r>
      <w:r w:rsidRPr="00B33AA4">
        <w:rPr>
          <w:rFonts w:cs="Arial"/>
        </w:rPr>
        <w:t>]</w:t>
      </w:r>
    </w:p>
    <w:p w14:paraId="6D4A7A10" w14:textId="2ACBA593" w:rsidR="00DE44CE" w:rsidRPr="00B33AA4" w:rsidRDefault="00E353AE" w:rsidP="00F66B87">
      <w:pPr>
        <w:pStyle w:val="09Para"/>
      </w:pPr>
      <w:r w:rsidRPr="0088764B">
        <w:rPr>
          <w:rFonts w:cs="Arial"/>
        </w:rPr>
        <w:t>[</w:t>
      </w:r>
      <w:r w:rsidRPr="0088764B">
        <w:rPr>
          <w:rStyle w:val="BlueText"/>
          <w:rFonts w:cs="Arial"/>
        </w:rPr>
        <w:t>Entit</w:t>
      </w:r>
      <w:r>
        <w:rPr>
          <w:rStyle w:val="BlueText"/>
          <w:rFonts w:cs="Arial"/>
        </w:rPr>
        <w:t>é</w:t>
      </w:r>
      <w:r w:rsidRPr="0088764B">
        <w:rPr>
          <w:rFonts w:cs="Arial"/>
        </w:rPr>
        <w:t>]</w:t>
      </w:r>
      <w:r>
        <w:rPr>
          <w:rFonts w:cs="Arial"/>
        </w:rPr>
        <w:t xml:space="preserve"> </w:t>
      </w:r>
      <w:r w:rsidR="00A93A30" w:rsidRPr="00B33AA4">
        <w:t>a approuvé les anomalies corrigées</w:t>
      </w:r>
      <w:r w:rsidR="0032249D" w:rsidRPr="00B33AA4">
        <w:t>,</w:t>
      </w:r>
      <w:r w:rsidR="00A93A30" w:rsidRPr="00B33AA4">
        <w:t xml:space="preserve"> qui sont résumées à l</w:t>
      </w:r>
      <w:r w:rsidR="00865E23" w:rsidRPr="00B33AA4">
        <w:t>’</w:t>
      </w:r>
      <w:r w:rsidR="00210EB7" w:rsidRPr="00B33AA4">
        <w:t>a</w:t>
      </w:r>
      <w:r w:rsidR="00A93A30" w:rsidRPr="00B33AA4">
        <w:t>nnexe</w:t>
      </w:r>
      <w:r w:rsidR="00E212E5" w:rsidRPr="00B33AA4">
        <w:t> </w:t>
      </w:r>
      <w:r w:rsidR="00A93A30" w:rsidRPr="00B33AA4">
        <w:t>B</w:t>
      </w:r>
      <w:r w:rsidR="00A93A30" w:rsidRPr="00B33AA4">
        <w:rPr>
          <w:color w:val="0000FF"/>
          <w:vertAlign w:val="superscript"/>
        </w:rPr>
        <w:footnoteReference w:id="3"/>
      </w:r>
      <w:r w:rsidR="00A93A30" w:rsidRPr="00B33AA4">
        <w:t xml:space="preserve">, et </w:t>
      </w:r>
      <w:r w:rsidR="00594AC2" w:rsidRPr="00B33AA4">
        <w:t>[</w:t>
      </w:r>
      <w:r w:rsidR="00594AC2" w:rsidRPr="00B33AA4">
        <w:rPr>
          <w:color w:val="0000FF"/>
        </w:rPr>
        <w:t xml:space="preserve">il </w:t>
      </w:r>
      <w:r w:rsidR="00594AC2" w:rsidRPr="00B33AA4">
        <w:rPr>
          <w:i/>
          <w:color w:val="0000FF"/>
        </w:rPr>
        <w:t>OU</w:t>
      </w:r>
      <w:r w:rsidR="00594AC2" w:rsidRPr="00B33AA4">
        <w:rPr>
          <w:color w:val="0000FF"/>
        </w:rPr>
        <w:t xml:space="preserve"> elle</w:t>
      </w:r>
      <w:r w:rsidR="00594AC2" w:rsidRPr="00B33AA4">
        <w:t xml:space="preserve">] </w:t>
      </w:r>
      <w:r w:rsidR="00A93A30" w:rsidRPr="00B33AA4">
        <w:t>a apporté les ajustements nécessaires dans les états financiers [</w:t>
      </w:r>
      <w:r w:rsidR="00A93A30" w:rsidRPr="00B33AA4">
        <w:rPr>
          <w:color w:val="0000FF"/>
        </w:rPr>
        <w:t>consolidés</w:t>
      </w:r>
      <w:r w:rsidR="00A93A30" w:rsidRPr="00B33AA4">
        <w:t>] [</w:t>
      </w:r>
      <w:r w:rsidR="00A93A30" w:rsidRPr="00B33AA4">
        <w:rPr>
          <w:i/>
          <w:color w:val="0000FF"/>
        </w:rPr>
        <w:t>Joindre le Sommaire des anomalies corrigées (SAC) à la lettre</w:t>
      </w:r>
      <w:r w:rsidR="00A93A30" w:rsidRPr="00B33AA4">
        <w:t>]. [</w:t>
      </w:r>
      <w:r w:rsidR="00A93A30" w:rsidRPr="00B33AA4">
        <w:rPr>
          <w:i/>
          <w:color w:val="0000FF"/>
        </w:rPr>
        <w:t>En l</w:t>
      </w:r>
      <w:r w:rsidR="00865E23" w:rsidRPr="00B33AA4">
        <w:rPr>
          <w:i/>
          <w:color w:val="0000FF"/>
        </w:rPr>
        <w:t>’</w:t>
      </w:r>
      <w:r w:rsidR="00A93A30" w:rsidRPr="00B33AA4">
        <w:rPr>
          <w:i/>
          <w:color w:val="0000FF"/>
        </w:rPr>
        <w:t>absence d</w:t>
      </w:r>
      <w:r w:rsidR="00865E23" w:rsidRPr="00B33AA4">
        <w:rPr>
          <w:i/>
          <w:color w:val="0000FF"/>
        </w:rPr>
        <w:t>’</w:t>
      </w:r>
      <w:r w:rsidR="00A93A30" w:rsidRPr="00B33AA4">
        <w:rPr>
          <w:i/>
          <w:color w:val="0000FF"/>
        </w:rPr>
        <w:t>anomalies corrigées, inclure ce qui suit :</w:t>
      </w:r>
      <w:r w:rsidR="00A93A30" w:rsidRPr="00B33AA4">
        <w:t xml:space="preserve"> Aucune anomalie corrigée n</w:t>
      </w:r>
      <w:r w:rsidR="00865E23" w:rsidRPr="00B33AA4">
        <w:t>’</w:t>
      </w:r>
      <w:r w:rsidR="00A93A30" w:rsidRPr="00B33AA4">
        <w:t>a été détectée au cours de votre audit</w:t>
      </w:r>
      <w:r w:rsidR="00BE336A" w:rsidRPr="00B33AA4">
        <w:t>.</w:t>
      </w:r>
      <w:r w:rsidR="00B45392" w:rsidRPr="00B33AA4">
        <w:t>]</w:t>
      </w:r>
    </w:p>
    <w:p w14:paraId="5D39BC49" w14:textId="34E5DFF4" w:rsidR="00A93A30" w:rsidRPr="00B33AA4" w:rsidRDefault="00E353AE" w:rsidP="00F66B87">
      <w:pPr>
        <w:pStyle w:val="Heading3"/>
        <w:rPr>
          <w:color w:val="0000FF"/>
        </w:rPr>
      </w:pPr>
      <w:r w:rsidRPr="00F96EBA">
        <w:rPr>
          <w:rStyle w:val="BlueText"/>
          <w:color w:val="auto"/>
        </w:rPr>
        <w:t>[</w:t>
      </w:r>
      <w:r w:rsidR="00A93A30" w:rsidRPr="00B33AA4">
        <w:rPr>
          <w:color w:val="0000FF"/>
        </w:rPr>
        <w:t>Retraitement de soldes de l</w:t>
      </w:r>
      <w:r w:rsidR="00865E23" w:rsidRPr="00B33AA4">
        <w:rPr>
          <w:color w:val="0000FF"/>
        </w:rPr>
        <w:t>’</w:t>
      </w:r>
      <w:r w:rsidR="00A93A30" w:rsidRPr="00B33AA4">
        <w:rPr>
          <w:color w:val="0000FF"/>
        </w:rPr>
        <w:t>exercice antérieur</w:t>
      </w:r>
    </w:p>
    <w:p w14:paraId="0AF91BC2" w14:textId="03536BA3" w:rsidR="00A93A30" w:rsidRDefault="00A93A30" w:rsidP="00F66B87">
      <w:pPr>
        <w:pStyle w:val="09Para"/>
        <w:rPr>
          <w:rStyle w:val="BlueText"/>
          <w:rFonts w:cs="Arial"/>
          <w:color w:val="auto"/>
        </w:rPr>
      </w:pPr>
      <w:r w:rsidRPr="00B33AA4">
        <w:rPr>
          <w:color w:val="0000FF"/>
        </w:rPr>
        <w:t xml:space="preserve">Le retraitement effectué pour corriger une anomalie significative dans les états financiers </w:t>
      </w:r>
      <w:r w:rsidRPr="00F96EBA">
        <w:t>[</w:t>
      </w:r>
      <w:r w:rsidRPr="00B33AA4">
        <w:rPr>
          <w:color w:val="0000FF"/>
        </w:rPr>
        <w:t>consolidés</w:t>
      </w:r>
      <w:r w:rsidRPr="00F96EBA">
        <w:t>]</w:t>
      </w:r>
      <w:r w:rsidRPr="00B33AA4">
        <w:rPr>
          <w:color w:val="0000FF"/>
        </w:rPr>
        <w:t xml:space="preserve"> de l</w:t>
      </w:r>
      <w:r w:rsidR="00865E23" w:rsidRPr="00B33AA4">
        <w:rPr>
          <w:color w:val="0000FF"/>
        </w:rPr>
        <w:t>’</w:t>
      </w:r>
      <w:r w:rsidRPr="00B33AA4">
        <w:rPr>
          <w:color w:val="0000FF"/>
        </w:rPr>
        <w:t xml:space="preserve">exercice antérieur qui </w:t>
      </w:r>
      <w:r w:rsidR="00733CF0" w:rsidRPr="00B33AA4">
        <w:rPr>
          <w:color w:val="0000FF"/>
        </w:rPr>
        <w:t xml:space="preserve">a une incidence </w:t>
      </w:r>
      <w:r w:rsidRPr="00B33AA4">
        <w:rPr>
          <w:color w:val="0000FF"/>
        </w:rPr>
        <w:t>sur l</w:t>
      </w:r>
      <w:r w:rsidR="00865E23" w:rsidRPr="00B33AA4">
        <w:rPr>
          <w:color w:val="0000FF"/>
        </w:rPr>
        <w:t>’</w:t>
      </w:r>
      <w:r w:rsidRPr="00B33AA4">
        <w:rPr>
          <w:color w:val="0000FF"/>
        </w:rPr>
        <w:t xml:space="preserve">information comparative a été </w:t>
      </w:r>
      <w:proofErr w:type="gramStart"/>
      <w:r w:rsidRPr="00B33AA4">
        <w:rPr>
          <w:color w:val="0000FF"/>
        </w:rPr>
        <w:t>comptabilisé</w:t>
      </w:r>
      <w:proofErr w:type="gramEnd"/>
      <w:r w:rsidRPr="00B33AA4">
        <w:rPr>
          <w:color w:val="0000FF"/>
        </w:rPr>
        <w:t xml:space="preserve"> et communiqué de façon appropriée conformément aux </w:t>
      </w:r>
      <w:r w:rsidR="00BE336A" w:rsidRPr="00B33AA4">
        <w:rPr>
          <w:color w:val="0000FF"/>
        </w:rPr>
        <w:t>exigences des IFRS</w:t>
      </w:r>
      <w:r w:rsidRPr="00B33AA4">
        <w:rPr>
          <w:color w:val="0000FF"/>
        </w:rPr>
        <w:t>.</w:t>
      </w:r>
      <w:r w:rsidR="00E353AE" w:rsidRPr="00F96EBA">
        <w:rPr>
          <w:rStyle w:val="BlueText"/>
          <w:rFonts w:cs="Arial"/>
          <w:color w:val="auto"/>
        </w:rPr>
        <w:t>]</w:t>
      </w:r>
    </w:p>
    <w:p w14:paraId="5F682437" w14:textId="3E3C3FBA" w:rsidR="00302E6D" w:rsidRDefault="00AD1FE9" w:rsidP="00F66B87">
      <w:pPr>
        <w:pStyle w:val="09Para"/>
        <w:rPr>
          <w:i/>
        </w:rPr>
      </w:pPr>
      <w:r>
        <w:t>[</w:t>
      </w:r>
      <w:r w:rsidRPr="0073586F">
        <w:rPr>
          <w:i/>
          <w:color w:val="0000FF"/>
        </w:rPr>
        <w:t>Si la NCA</w:t>
      </w:r>
      <w:r w:rsidR="0031441B">
        <w:rPr>
          <w:i/>
          <w:color w:val="0000FF"/>
        </w:rPr>
        <w:t> </w:t>
      </w:r>
      <w:r w:rsidRPr="0073586F">
        <w:rPr>
          <w:i/>
          <w:color w:val="0000FF"/>
        </w:rPr>
        <w:t>701</w:t>
      </w:r>
      <w:r w:rsidR="00302E6D" w:rsidRPr="0073586F">
        <w:rPr>
          <w:i/>
          <w:color w:val="0000FF"/>
        </w:rPr>
        <w:t>,</w:t>
      </w:r>
      <w:r w:rsidRPr="0073586F">
        <w:rPr>
          <w:i/>
          <w:color w:val="0000FF"/>
        </w:rPr>
        <w:t xml:space="preserve"> </w:t>
      </w:r>
      <w:r w:rsidR="00302E6D" w:rsidRPr="0073586F">
        <w:rPr>
          <w:i/>
          <w:color w:val="0000FF"/>
        </w:rPr>
        <w:t>Communication des questions clés de l’audit dans le rapport de l’auditeur indépendant, est applicable, envisager la possibilité d’ajouter la section suivante :</w:t>
      </w:r>
    </w:p>
    <w:p w14:paraId="00D669AB" w14:textId="0F2A7D2C" w:rsidR="00302E6D" w:rsidRDefault="00302E6D" w:rsidP="00F66B87">
      <w:pPr>
        <w:pStyle w:val="09Para"/>
        <w:rPr>
          <w:b/>
        </w:rPr>
      </w:pPr>
      <w:r w:rsidRPr="0073586F">
        <w:rPr>
          <w:b/>
        </w:rPr>
        <w:lastRenderedPageBreak/>
        <w:t>Q</w:t>
      </w:r>
      <w:r w:rsidRPr="00302E6D">
        <w:rPr>
          <w:b/>
        </w:rPr>
        <w:t>uestion clé</w:t>
      </w:r>
      <w:r w:rsidRPr="0073586F">
        <w:rPr>
          <w:b/>
        </w:rPr>
        <w:t xml:space="preserve"> de l’audit —</w:t>
      </w:r>
      <w:r>
        <w:t xml:space="preserve"> </w:t>
      </w:r>
      <w:r w:rsidRPr="0073586F">
        <w:rPr>
          <w:b/>
        </w:rPr>
        <w:t>Non-communication de questions clés de l’audit dans le</w:t>
      </w:r>
      <w:r w:rsidR="00E00440">
        <w:rPr>
          <w:b/>
        </w:rPr>
        <w:t> </w:t>
      </w:r>
      <w:r w:rsidRPr="0073586F">
        <w:rPr>
          <w:b/>
        </w:rPr>
        <w:t>rapport de l’auditeur en raison de conséquences néfaste</w:t>
      </w:r>
      <w:r>
        <w:rPr>
          <w:b/>
        </w:rPr>
        <w:t>s pour le public</w:t>
      </w:r>
    </w:p>
    <w:p w14:paraId="3B36B636" w14:textId="37B63CFF" w:rsidR="00AD1FE9" w:rsidRDefault="00302E6D" w:rsidP="00F66B87">
      <w:pPr>
        <w:pStyle w:val="09Para"/>
      </w:pPr>
      <w:r w:rsidRPr="0073586F">
        <w:rPr>
          <w:color w:val="0000FF"/>
        </w:rPr>
        <w:t>[L</w:t>
      </w:r>
      <w:r w:rsidR="001A1FE6" w:rsidRPr="0073586F">
        <w:rPr>
          <w:color w:val="0000FF"/>
        </w:rPr>
        <w:t>’ajout</w:t>
      </w:r>
      <w:r w:rsidRPr="0073586F">
        <w:rPr>
          <w:color w:val="0000FF"/>
        </w:rPr>
        <w:t xml:space="preserve"> de </w:t>
      </w:r>
      <w:r w:rsidR="0031441B">
        <w:rPr>
          <w:color w:val="0000FF"/>
        </w:rPr>
        <w:t>la présent</w:t>
      </w:r>
      <w:r w:rsidRPr="0073586F">
        <w:rPr>
          <w:color w:val="0000FF"/>
        </w:rPr>
        <w:t xml:space="preserve">e section dans </w:t>
      </w:r>
      <w:r w:rsidR="001A1FE6" w:rsidRPr="0073586F">
        <w:rPr>
          <w:color w:val="0000FF"/>
        </w:rPr>
        <w:t>une</w:t>
      </w:r>
      <w:r w:rsidRPr="0073586F">
        <w:rPr>
          <w:color w:val="0000FF"/>
        </w:rPr>
        <w:t xml:space="preserve"> lettre d’affirmation</w:t>
      </w:r>
      <w:r w:rsidR="001A1FE6" w:rsidRPr="0073586F">
        <w:rPr>
          <w:color w:val="0000FF"/>
        </w:rPr>
        <w:t xml:space="preserve"> est rare. </w:t>
      </w:r>
      <w:r w:rsidR="007145E9">
        <w:rPr>
          <w:color w:val="0000FF"/>
        </w:rPr>
        <w:t>Si</w:t>
      </w:r>
      <w:r w:rsidR="00DD42ED" w:rsidRPr="0073586F">
        <w:rPr>
          <w:color w:val="0000FF"/>
        </w:rPr>
        <w:t xml:space="preserve"> un tel </w:t>
      </w:r>
      <w:r w:rsidR="001A1FE6" w:rsidRPr="0073586F">
        <w:rPr>
          <w:color w:val="0000FF"/>
        </w:rPr>
        <w:t xml:space="preserve">ajout est envisagé, il faut consulter les Services d’audit. </w:t>
      </w:r>
      <w:r w:rsidR="0031441B">
        <w:rPr>
          <w:color w:val="0000FF"/>
        </w:rPr>
        <w:t>Nous pourrions</w:t>
      </w:r>
      <w:r w:rsidR="001A1FE6" w:rsidRPr="0073586F">
        <w:rPr>
          <w:color w:val="0000FF"/>
        </w:rPr>
        <w:t xml:space="preserve"> conclu</w:t>
      </w:r>
      <w:r w:rsidR="0031441B">
        <w:rPr>
          <w:color w:val="0000FF"/>
        </w:rPr>
        <w:t>re</w:t>
      </w:r>
      <w:r w:rsidR="001A1FE6" w:rsidRPr="0073586F">
        <w:rPr>
          <w:color w:val="0000FF"/>
        </w:rPr>
        <w:t xml:space="preserve"> qu’il est nécessaire d’obtenir </w:t>
      </w:r>
      <w:r w:rsidR="00032C88" w:rsidRPr="0073586F">
        <w:rPr>
          <w:color w:val="0000FF"/>
        </w:rPr>
        <w:t xml:space="preserve">une déclaration écrite de </w:t>
      </w:r>
      <w:r w:rsidR="001A1FE6" w:rsidRPr="0073586F">
        <w:rPr>
          <w:color w:val="0000FF"/>
        </w:rPr>
        <w:t xml:space="preserve">la direction </w:t>
      </w:r>
      <w:r w:rsidR="001503EC" w:rsidRPr="0073586F">
        <w:rPr>
          <w:color w:val="0000FF"/>
        </w:rPr>
        <w:t xml:space="preserve">au sujet des raisons pour lesquelles </w:t>
      </w:r>
      <w:r w:rsidR="001A1FE6" w:rsidRPr="0073586F">
        <w:rPr>
          <w:color w:val="0000FF"/>
        </w:rPr>
        <w:t>celle</w:t>
      </w:r>
      <w:r w:rsidR="001A1FE6" w:rsidRPr="0073586F">
        <w:rPr>
          <w:color w:val="0000FF"/>
        </w:rPr>
        <w:noBreakHyphen/>
        <w:t>ci estime</w:t>
      </w:r>
      <w:r w:rsidR="00DD42ED" w:rsidRPr="0073586F">
        <w:rPr>
          <w:color w:val="0000FF"/>
        </w:rPr>
        <w:t xml:space="preserve"> qu’il ne </w:t>
      </w:r>
      <w:r w:rsidR="001503EC" w:rsidRPr="0073586F">
        <w:rPr>
          <w:color w:val="0000FF"/>
        </w:rPr>
        <w:t>serait pas approprié de rendre</w:t>
      </w:r>
      <w:r w:rsidR="001503EC">
        <w:rPr>
          <w:color w:val="0000FF"/>
        </w:rPr>
        <w:t xml:space="preserve"> publique la question</w:t>
      </w:r>
      <w:r w:rsidR="001A1FE6" w:rsidRPr="0073586F">
        <w:rPr>
          <w:color w:val="0000FF"/>
        </w:rPr>
        <w:t xml:space="preserve"> clé de l’audit</w:t>
      </w:r>
      <w:r w:rsidR="001503EC" w:rsidRPr="0073586F">
        <w:rPr>
          <w:color w:val="0000FF"/>
        </w:rPr>
        <w:t>. Cette déclaration contiendrait notamment le point de vue</w:t>
      </w:r>
      <w:r w:rsidR="001A1FE6" w:rsidRPr="0073586F">
        <w:rPr>
          <w:color w:val="0000FF"/>
        </w:rPr>
        <w:t xml:space="preserve"> de la direction </w:t>
      </w:r>
      <w:r w:rsidR="001503EC" w:rsidRPr="0073586F">
        <w:rPr>
          <w:color w:val="0000FF"/>
        </w:rPr>
        <w:t>sur l’importance des</w:t>
      </w:r>
      <w:r w:rsidR="001A1FE6" w:rsidRPr="0073586F">
        <w:rPr>
          <w:color w:val="0000FF"/>
        </w:rPr>
        <w:t xml:space="preserve"> conséquences néfastes</w:t>
      </w:r>
      <w:r w:rsidR="001503EC" w:rsidRPr="0073586F">
        <w:rPr>
          <w:color w:val="0000FF"/>
        </w:rPr>
        <w:t xml:space="preserve"> pouvant découler d’une telle communication (NCA</w:t>
      </w:r>
      <w:r w:rsidR="0031441B">
        <w:rPr>
          <w:color w:val="0000FF"/>
        </w:rPr>
        <w:t> </w:t>
      </w:r>
      <w:r w:rsidR="001503EC" w:rsidRPr="0073586F">
        <w:rPr>
          <w:color w:val="0000FF"/>
        </w:rPr>
        <w:t>701.A54),</w:t>
      </w:r>
      <w:r w:rsidR="001A1FE6" w:rsidRPr="0073586F">
        <w:rPr>
          <w:color w:val="0000FF"/>
        </w:rPr>
        <w:t xml:space="preserve"> </w:t>
      </w:r>
      <w:r w:rsidR="0031441B">
        <w:rPr>
          <w:color w:val="0000FF"/>
        </w:rPr>
        <w:t>par exemple</w:t>
      </w:r>
      <w:r w:rsidR="001A1FE6" w:rsidRPr="0073586F">
        <w:rPr>
          <w:color w:val="0000FF"/>
        </w:rPr>
        <w:t> :</w:t>
      </w:r>
      <w:r w:rsidR="00AD1FE9" w:rsidRPr="0073586F">
        <w:rPr>
          <w:color w:val="0000FF"/>
        </w:rPr>
        <w:t>]</w:t>
      </w:r>
    </w:p>
    <w:p w14:paraId="24320238" w14:textId="5C87FF04" w:rsidR="001A1FE6" w:rsidRPr="00302E6D" w:rsidRDefault="001A1FE6" w:rsidP="00F66B87">
      <w:pPr>
        <w:pStyle w:val="09Para"/>
      </w:pPr>
      <w:r>
        <w:t>Nous sommes d’avis que la communication de [</w:t>
      </w:r>
      <w:r w:rsidRPr="0073586F">
        <w:rPr>
          <w:color w:val="0000FF"/>
        </w:rPr>
        <w:t xml:space="preserve">décrire </w:t>
      </w:r>
      <w:r w:rsidR="002A22B2" w:rsidRPr="0073586F">
        <w:rPr>
          <w:color w:val="0000FF"/>
        </w:rPr>
        <w:t>la question</w:t>
      </w:r>
      <w:r>
        <w:t xml:space="preserve">], </w:t>
      </w:r>
      <w:r w:rsidR="002A22B2">
        <w:t xml:space="preserve">que vous considérez comme une </w:t>
      </w:r>
      <w:r w:rsidR="00DD42ED">
        <w:t>question clé de l’audit, n’est pas appropriée</w:t>
      </w:r>
      <w:r w:rsidR="00124732">
        <w:t xml:space="preserve"> parce qu’une telle</w:t>
      </w:r>
      <w:r w:rsidR="00DD42ED">
        <w:t xml:space="preserve"> communication </w:t>
      </w:r>
      <w:r w:rsidR="002A22B2">
        <w:t xml:space="preserve">dans le rapport de l’auditeur </w:t>
      </w:r>
      <w:r w:rsidR="00DD42ED">
        <w:t xml:space="preserve">entraînerait selon nous les conséquences néfastes </w:t>
      </w:r>
      <w:r w:rsidR="002A22B2">
        <w:t>ci</w:t>
      </w:r>
      <w:r w:rsidR="002A22B2">
        <w:noBreakHyphen/>
        <w:t xml:space="preserve">après </w:t>
      </w:r>
      <w:r w:rsidR="00DD42ED">
        <w:t>pour le public</w:t>
      </w:r>
      <w:r w:rsidR="002A22B2">
        <w:t> </w:t>
      </w:r>
      <w:r w:rsidR="00DD42ED">
        <w:t>: [</w:t>
      </w:r>
      <w:r w:rsidR="00DD42ED" w:rsidRPr="0073586F">
        <w:rPr>
          <w:color w:val="0000FF"/>
        </w:rPr>
        <w:t xml:space="preserve">Décrire le point de vue de la direction </w:t>
      </w:r>
      <w:r w:rsidR="002A22B2" w:rsidRPr="0073586F">
        <w:rPr>
          <w:color w:val="0000FF"/>
        </w:rPr>
        <w:t>sur les</w:t>
      </w:r>
      <w:r w:rsidR="00DD42ED" w:rsidRPr="0073586F">
        <w:rPr>
          <w:color w:val="0000FF"/>
        </w:rPr>
        <w:t xml:space="preserve"> conséquences néfastes qui découl</w:t>
      </w:r>
      <w:r w:rsidR="00124732" w:rsidRPr="0073586F">
        <w:rPr>
          <w:color w:val="0000FF"/>
        </w:rPr>
        <w:t>e</w:t>
      </w:r>
      <w:r w:rsidR="00DD42ED" w:rsidRPr="0073586F">
        <w:rPr>
          <w:color w:val="0000FF"/>
        </w:rPr>
        <w:t xml:space="preserve">raient de la communication de </w:t>
      </w:r>
      <w:r w:rsidR="00124732" w:rsidRPr="0073586F">
        <w:rPr>
          <w:color w:val="0000FF"/>
        </w:rPr>
        <w:t>la question</w:t>
      </w:r>
      <w:r w:rsidR="00DD42ED" w:rsidRPr="0073586F">
        <w:rPr>
          <w:color w:val="0000FF"/>
        </w:rPr>
        <w:t xml:space="preserve"> dans le rapport de l’auditeur et </w:t>
      </w:r>
      <w:r w:rsidR="002A22B2" w:rsidRPr="0073586F">
        <w:rPr>
          <w:color w:val="0000FF"/>
        </w:rPr>
        <w:t>sur l</w:t>
      </w:r>
      <w:r w:rsidR="00DD42ED" w:rsidRPr="0073586F">
        <w:rPr>
          <w:color w:val="0000FF"/>
        </w:rPr>
        <w:t>’importance de</w:t>
      </w:r>
      <w:r w:rsidR="0031441B">
        <w:rPr>
          <w:color w:val="0000FF"/>
        </w:rPr>
        <w:t xml:space="preserve"> ce</w:t>
      </w:r>
      <w:r w:rsidR="00DD42ED" w:rsidRPr="0073586F">
        <w:rPr>
          <w:color w:val="0000FF"/>
        </w:rPr>
        <w:t>s con</w:t>
      </w:r>
      <w:r w:rsidR="002A22B2" w:rsidRPr="0073586F">
        <w:rPr>
          <w:color w:val="0000FF"/>
        </w:rPr>
        <w:t>séquences néfastes</w:t>
      </w:r>
      <w:r w:rsidR="00DD42ED">
        <w:t>]</w:t>
      </w:r>
      <w:r w:rsidR="002A22B2">
        <w:t>.</w:t>
      </w:r>
    </w:p>
    <w:p w14:paraId="11AA8FC9" w14:textId="77777777" w:rsidR="00A93A30" w:rsidRPr="00B33AA4" w:rsidRDefault="00A93A30" w:rsidP="002B42EF">
      <w:pPr>
        <w:pStyle w:val="Heading3"/>
        <w:spacing w:before="120" w:after="200"/>
      </w:pPr>
      <w:r w:rsidRPr="00B33AA4">
        <w:t>Événements postérieurs à la date de l</w:t>
      </w:r>
      <w:r w:rsidR="00865E23" w:rsidRPr="00B33AA4">
        <w:t>’</w:t>
      </w:r>
      <w:r w:rsidRPr="00B33AA4">
        <w:t>état [</w:t>
      </w:r>
      <w:r w:rsidRPr="00B33AA4">
        <w:rPr>
          <w:color w:val="0000FF"/>
        </w:rPr>
        <w:t>consolidé</w:t>
      </w:r>
      <w:r w:rsidRPr="00B33AA4">
        <w:t xml:space="preserve">] de la situation financière </w:t>
      </w:r>
    </w:p>
    <w:p w14:paraId="2BF3025A" w14:textId="60C1B5A4" w:rsidR="000223FC" w:rsidRPr="00B33AA4" w:rsidRDefault="00A93A30" w:rsidP="000223FC">
      <w:pPr>
        <w:pStyle w:val="09Para"/>
      </w:pPr>
      <w:r w:rsidRPr="00B33AA4">
        <w:t>Nous avons identifié tous les événements survenus entre la date de l</w:t>
      </w:r>
      <w:r w:rsidR="00865E23" w:rsidRPr="00B33AA4">
        <w:t>’</w:t>
      </w:r>
      <w:r w:rsidRPr="00B33AA4">
        <w:t>état [</w:t>
      </w:r>
      <w:r w:rsidRPr="00B33AA4">
        <w:rPr>
          <w:color w:val="0000FF"/>
        </w:rPr>
        <w:t>consolidé</w:t>
      </w:r>
      <w:r w:rsidRPr="00B33AA4">
        <w:t xml:space="preserve">] de la situation financière et la date de la présente lettre qui </w:t>
      </w:r>
      <w:r w:rsidR="00BE336A" w:rsidRPr="00B33AA4">
        <w:t>pourrai</w:t>
      </w:r>
      <w:r w:rsidR="001705DB">
        <w:t>en</w:t>
      </w:r>
      <w:r w:rsidR="00BE336A" w:rsidRPr="00B33AA4">
        <w:t xml:space="preserve">t </w:t>
      </w:r>
      <w:r w:rsidRPr="00B33AA4">
        <w:t>nécessite</w:t>
      </w:r>
      <w:r w:rsidR="00BE336A" w:rsidRPr="00B33AA4">
        <w:t>r</w:t>
      </w:r>
      <w:r w:rsidRPr="00B33AA4">
        <w:t xml:space="preserve"> un ajustement ou la</w:t>
      </w:r>
      <w:r w:rsidR="002B42EF">
        <w:t> </w:t>
      </w:r>
      <w:r w:rsidRPr="00B33AA4">
        <w:t>communication d</w:t>
      </w:r>
      <w:r w:rsidR="00865E23" w:rsidRPr="00B33AA4">
        <w:t>’</w:t>
      </w:r>
      <w:r w:rsidRPr="00B33AA4">
        <w:t>informations dans les états financiers [</w:t>
      </w:r>
      <w:r w:rsidRPr="00B33AA4">
        <w:rPr>
          <w:color w:val="0000FF"/>
        </w:rPr>
        <w:t>consolidés</w:t>
      </w:r>
      <w:r w:rsidRPr="00B33AA4">
        <w:t>], et avons apporté les ajustements ou fourni les informations nécessaires.</w:t>
      </w:r>
    </w:p>
    <w:p w14:paraId="24AE096B" w14:textId="77777777" w:rsidR="00A93A30" w:rsidRPr="00B33AA4" w:rsidRDefault="00A93A30" w:rsidP="002B42EF">
      <w:pPr>
        <w:pStyle w:val="Heading3"/>
        <w:spacing w:before="240" w:after="200"/>
      </w:pPr>
      <w:r w:rsidRPr="00B33AA4">
        <w:t>Autres éléments [</w:t>
      </w:r>
      <w:r w:rsidRPr="00B33AA4">
        <w:rPr>
          <w:i/>
          <w:color w:val="0000FF"/>
        </w:rPr>
        <w:t>à insérer au besoin</w:t>
      </w:r>
      <w:r w:rsidRPr="00B33AA4">
        <w:t>]</w:t>
      </w:r>
    </w:p>
    <w:p w14:paraId="43AC15BA" w14:textId="5AF5C15C" w:rsidR="00A72869" w:rsidRPr="00B33AA4" w:rsidRDefault="00A93A30" w:rsidP="00F66B87">
      <w:pPr>
        <w:pStyle w:val="09Para"/>
      </w:pPr>
      <w:proofErr w:type="gramStart"/>
      <w:r w:rsidRPr="00B33AA4">
        <w:t>Lorsqu</w:t>
      </w:r>
      <w:r w:rsidR="00865E23" w:rsidRPr="00B33AA4">
        <w:t>’</w:t>
      </w:r>
      <w:r w:rsidRPr="00B33AA4">
        <w:t>[</w:t>
      </w:r>
      <w:proofErr w:type="gramEnd"/>
      <w:r w:rsidRPr="00B33AA4">
        <w:rPr>
          <w:color w:val="0000FF"/>
        </w:rPr>
        <w:t xml:space="preserve">il </w:t>
      </w:r>
      <w:r w:rsidRPr="00B33AA4">
        <w:rPr>
          <w:i/>
          <w:color w:val="0000FF"/>
        </w:rPr>
        <w:t>OU</w:t>
      </w:r>
      <w:r w:rsidRPr="00B33AA4">
        <w:rPr>
          <w:color w:val="0000FF"/>
        </w:rPr>
        <w:t xml:space="preserve"> elle</w:t>
      </w:r>
      <w:r w:rsidRPr="00B33AA4">
        <w:t>] a retenu les services d</w:t>
      </w:r>
      <w:r w:rsidR="00865E23" w:rsidRPr="00B33AA4">
        <w:t>’</w:t>
      </w:r>
      <w:r w:rsidRPr="00B33AA4">
        <w:t>agents des ventes et d</w:t>
      </w:r>
      <w:r w:rsidR="00865E23" w:rsidRPr="00B33AA4">
        <w:t>’</w:t>
      </w:r>
      <w:r w:rsidRPr="00B33AA4">
        <w:t>agents d</w:t>
      </w:r>
      <w:r w:rsidR="00865E23" w:rsidRPr="00B33AA4">
        <w:t>’</w:t>
      </w:r>
      <w:r w:rsidRPr="00B33AA4">
        <w:t>approvisionnement, [</w:t>
      </w:r>
      <w:r w:rsidRPr="00B33AA4">
        <w:rPr>
          <w:color w:val="0000FF"/>
        </w:rPr>
        <w:t>Entité</w:t>
      </w:r>
      <w:r w:rsidRPr="00B33AA4">
        <w:t xml:space="preserve">] a agi </w:t>
      </w:r>
      <w:r w:rsidR="002079DD" w:rsidRPr="00B33AA4">
        <w:t xml:space="preserve">de manière appropriée </w:t>
      </w:r>
      <w:r w:rsidRPr="00B33AA4">
        <w:t>en ce qui concerne</w:t>
      </w:r>
      <w:r w:rsidR="002079DD" w:rsidRPr="00B33AA4">
        <w:t xml:space="preserve"> </w:t>
      </w:r>
      <w:r w:rsidRPr="00B33AA4">
        <w:t>le choix et les contrats de ces agents, et [</w:t>
      </w:r>
      <w:r w:rsidRPr="00B33AA4">
        <w:rPr>
          <w:color w:val="0000FF"/>
        </w:rPr>
        <w:t xml:space="preserve">il </w:t>
      </w:r>
      <w:r w:rsidRPr="00B33AA4">
        <w:rPr>
          <w:i/>
          <w:color w:val="0000FF"/>
        </w:rPr>
        <w:t>OU</w:t>
      </w:r>
      <w:r w:rsidRPr="00B33AA4">
        <w:rPr>
          <w:color w:val="0000FF"/>
        </w:rPr>
        <w:t xml:space="preserve"> elle</w:t>
      </w:r>
      <w:r w:rsidRPr="00B33AA4">
        <w:t>] a approuvé et communiqué toutes les informations relatives à ces agents. [</w:t>
      </w:r>
      <w:r w:rsidRPr="00B33AA4">
        <w:rPr>
          <w:i/>
          <w:color w:val="0000FF"/>
        </w:rPr>
        <w:t>Si</w:t>
      </w:r>
      <w:r w:rsidR="00E00440">
        <w:rPr>
          <w:i/>
          <w:color w:val="0000FF"/>
        </w:rPr>
        <w:t> </w:t>
      </w:r>
      <w:r w:rsidRPr="00B33AA4">
        <w:rPr>
          <w:i/>
          <w:color w:val="0000FF"/>
        </w:rPr>
        <w:t>l</w:t>
      </w:r>
      <w:r w:rsidR="00865E23" w:rsidRPr="00B33AA4">
        <w:rPr>
          <w:i/>
          <w:color w:val="0000FF"/>
        </w:rPr>
        <w:t>’</w:t>
      </w:r>
      <w:r w:rsidRPr="00B33AA4">
        <w:rPr>
          <w:i/>
          <w:color w:val="0000FF"/>
        </w:rPr>
        <w:t>entité n</w:t>
      </w:r>
      <w:r w:rsidR="00865E23" w:rsidRPr="00B33AA4">
        <w:rPr>
          <w:i/>
          <w:color w:val="0000FF"/>
        </w:rPr>
        <w:t>’</w:t>
      </w:r>
      <w:r w:rsidRPr="00B33AA4">
        <w:rPr>
          <w:i/>
          <w:color w:val="0000FF"/>
        </w:rPr>
        <w:t>a pas d</w:t>
      </w:r>
      <w:r w:rsidR="00865E23" w:rsidRPr="00B33AA4">
        <w:rPr>
          <w:i/>
          <w:color w:val="0000FF"/>
        </w:rPr>
        <w:t>’</w:t>
      </w:r>
      <w:r w:rsidRPr="00B33AA4">
        <w:rPr>
          <w:i/>
          <w:color w:val="0000FF"/>
        </w:rPr>
        <w:t>agents des ventes ou d</w:t>
      </w:r>
      <w:r w:rsidR="00865E23" w:rsidRPr="00B33AA4">
        <w:rPr>
          <w:i/>
          <w:color w:val="0000FF"/>
        </w:rPr>
        <w:t>’</w:t>
      </w:r>
      <w:r w:rsidRPr="00B33AA4">
        <w:rPr>
          <w:i/>
          <w:color w:val="0000FF"/>
        </w:rPr>
        <w:t>agents d</w:t>
      </w:r>
      <w:r w:rsidR="00865E23" w:rsidRPr="00B33AA4">
        <w:rPr>
          <w:i/>
          <w:color w:val="0000FF"/>
        </w:rPr>
        <w:t>’</w:t>
      </w:r>
      <w:r w:rsidRPr="00B33AA4">
        <w:rPr>
          <w:i/>
          <w:color w:val="0000FF"/>
        </w:rPr>
        <w:t>approvisionnement, prière de l</w:t>
      </w:r>
      <w:r w:rsidR="00865E23" w:rsidRPr="00B33AA4">
        <w:rPr>
          <w:i/>
          <w:color w:val="0000FF"/>
        </w:rPr>
        <w:t>’</w:t>
      </w:r>
      <w:r w:rsidRPr="00B33AA4">
        <w:rPr>
          <w:i/>
          <w:color w:val="0000FF"/>
        </w:rPr>
        <w:t>indiquer</w:t>
      </w:r>
      <w:r w:rsidR="00A72869" w:rsidRPr="00B33AA4">
        <w:rPr>
          <w:i/>
          <w:color w:val="0000FF"/>
        </w:rPr>
        <w:t>.</w:t>
      </w:r>
      <w:r w:rsidR="00A72869" w:rsidRPr="00B33AA4">
        <w:t>]</w:t>
      </w:r>
    </w:p>
    <w:p w14:paraId="3BCA61D4" w14:textId="77777777" w:rsidR="00A93A30" w:rsidRPr="00B33AA4" w:rsidRDefault="00A93A30" w:rsidP="00F66B87">
      <w:pPr>
        <w:pStyle w:val="09Para"/>
      </w:pPr>
      <w:r w:rsidRPr="00B33AA4">
        <w:t>Ni [</w:t>
      </w:r>
      <w:r w:rsidRPr="00B33AA4">
        <w:rPr>
          <w:color w:val="0000FF"/>
        </w:rPr>
        <w:t>Entité</w:t>
      </w:r>
      <w:r w:rsidRPr="00B33AA4">
        <w:t>], ni, à notre connaissance, le ministre qui en est responsable, n</w:t>
      </w:r>
      <w:r w:rsidR="00865E23" w:rsidRPr="00B33AA4">
        <w:t>’</w:t>
      </w:r>
      <w:r w:rsidRPr="00B33AA4">
        <w:t>ont envoyé de « lettres d</w:t>
      </w:r>
      <w:r w:rsidR="00865E23" w:rsidRPr="00B33AA4">
        <w:t>’</w:t>
      </w:r>
      <w:r w:rsidRPr="00B33AA4">
        <w:t>accord présumé » aux institutions financières. Aucune lettre de ce genre n</w:t>
      </w:r>
      <w:r w:rsidR="00865E23" w:rsidRPr="00B33AA4">
        <w:t>’</w:t>
      </w:r>
      <w:r w:rsidRPr="00B33AA4">
        <w:t>était en vigueur à n</w:t>
      </w:r>
      <w:r w:rsidR="00865E23" w:rsidRPr="00B33AA4">
        <w:t>’</w:t>
      </w:r>
      <w:r w:rsidRPr="00B33AA4">
        <w:t>importe quel moment de l</w:t>
      </w:r>
      <w:r w:rsidR="00865E23" w:rsidRPr="00B33AA4">
        <w:t>’</w:t>
      </w:r>
      <w:r w:rsidRPr="00B33AA4">
        <w:t>exercice ou par la suite [</w:t>
      </w:r>
      <w:r w:rsidRPr="00B33AA4">
        <w:rPr>
          <w:i/>
          <w:color w:val="0000FF"/>
        </w:rPr>
        <w:t>OU donner les informations qui suivent pour chaque « lettre d</w:t>
      </w:r>
      <w:r w:rsidR="00865E23" w:rsidRPr="00B33AA4">
        <w:rPr>
          <w:i/>
          <w:color w:val="0000FF"/>
        </w:rPr>
        <w:t>’</w:t>
      </w:r>
      <w:r w:rsidRPr="00B33AA4">
        <w:rPr>
          <w:i/>
          <w:color w:val="0000FF"/>
        </w:rPr>
        <w:t>accord présumé » : date d</w:t>
      </w:r>
      <w:r w:rsidR="00865E23" w:rsidRPr="00B33AA4">
        <w:rPr>
          <w:i/>
          <w:color w:val="0000FF"/>
        </w:rPr>
        <w:t>’</w:t>
      </w:r>
      <w:r w:rsidRPr="00B33AA4">
        <w:rPr>
          <w:i/>
          <w:color w:val="0000FF"/>
        </w:rPr>
        <w:t>envoi, emprunteur, prêteur, date et numéro du décret, montant et conditions d</w:t>
      </w:r>
      <w:r w:rsidR="00865E23" w:rsidRPr="00B33AA4">
        <w:rPr>
          <w:i/>
          <w:color w:val="0000FF"/>
        </w:rPr>
        <w:t>’</w:t>
      </w:r>
      <w:r w:rsidRPr="00B33AA4">
        <w:rPr>
          <w:i/>
          <w:color w:val="0000FF"/>
        </w:rPr>
        <w:t>emprunt, et taux d</w:t>
      </w:r>
      <w:r w:rsidR="00865E23" w:rsidRPr="00B33AA4">
        <w:rPr>
          <w:i/>
          <w:color w:val="0000FF"/>
        </w:rPr>
        <w:t>’</w:t>
      </w:r>
      <w:r w:rsidRPr="00B33AA4">
        <w:rPr>
          <w:i/>
          <w:color w:val="0000FF"/>
        </w:rPr>
        <w:t>intérêt</w:t>
      </w:r>
      <w:r w:rsidRPr="00B33AA4">
        <w:t>].</w:t>
      </w:r>
    </w:p>
    <w:p w14:paraId="5E17D303" w14:textId="7B92D3A1" w:rsidR="00A93A30" w:rsidRPr="00B33AA4" w:rsidRDefault="00A93A30" w:rsidP="00F66B87">
      <w:pPr>
        <w:pStyle w:val="09Para"/>
      </w:pPr>
      <w:r w:rsidRPr="00B33AA4">
        <w:t>[</w:t>
      </w:r>
      <w:r w:rsidRPr="00B33AA4">
        <w:rPr>
          <w:color w:val="0000FF"/>
        </w:rPr>
        <w:t>Entité</w:t>
      </w:r>
      <w:r w:rsidRPr="00B33AA4">
        <w:t>] n</w:t>
      </w:r>
      <w:r w:rsidR="00865E23" w:rsidRPr="00B33AA4">
        <w:t>’</w:t>
      </w:r>
      <w:r w:rsidRPr="00B33AA4">
        <w:t>a publié aucun document de placement pendant l</w:t>
      </w:r>
      <w:r w:rsidR="00865E23" w:rsidRPr="00B33AA4">
        <w:t>’</w:t>
      </w:r>
      <w:r w:rsidRPr="00B33AA4">
        <w:t>exercice et ne prévoit pas publier de</w:t>
      </w:r>
      <w:r w:rsidR="002B42EF">
        <w:t> </w:t>
      </w:r>
      <w:r w:rsidRPr="00B33AA4">
        <w:t xml:space="preserve">documents de placement dans un avenir rapproché </w:t>
      </w:r>
      <w:r w:rsidR="00BE336A" w:rsidRPr="00B33AA4">
        <w:t>[</w:t>
      </w:r>
      <w:r w:rsidR="00CE5B96" w:rsidRPr="00B33AA4">
        <w:rPr>
          <w:color w:val="0000FF"/>
        </w:rPr>
        <w:t>, excepté</w:t>
      </w:r>
      <w:r w:rsidR="00BE336A" w:rsidRPr="00B33AA4">
        <w:rPr>
          <w:color w:val="0000FF"/>
        </w:rPr>
        <w:t xml:space="preserve"> (</w:t>
      </w:r>
      <w:r w:rsidRPr="00B33AA4">
        <w:rPr>
          <w:i/>
          <w:color w:val="0000FF"/>
        </w:rPr>
        <w:t>indiquer les exceptions, s</w:t>
      </w:r>
      <w:r w:rsidR="00865E23" w:rsidRPr="00B33AA4">
        <w:rPr>
          <w:i/>
          <w:color w:val="0000FF"/>
        </w:rPr>
        <w:t>’</w:t>
      </w:r>
      <w:r w:rsidRPr="00B33AA4">
        <w:rPr>
          <w:i/>
          <w:color w:val="0000FF"/>
        </w:rPr>
        <w:t>il</w:t>
      </w:r>
      <w:r w:rsidR="002B42EF">
        <w:rPr>
          <w:i/>
          <w:color w:val="0000FF"/>
        </w:rPr>
        <w:t> </w:t>
      </w:r>
      <w:r w:rsidRPr="00B33AA4">
        <w:rPr>
          <w:i/>
          <w:color w:val="0000FF"/>
        </w:rPr>
        <w:t>y</w:t>
      </w:r>
      <w:r w:rsidR="002B42EF">
        <w:rPr>
          <w:i/>
          <w:color w:val="0000FF"/>
        </w:rPr>
        <w:t> </w:t>
      </w:r>
      <w:r w:rsidRPr="00B33AA4">
        <w:rPr>
          <w:i/>
          <w:color w:val="0000FF"/>
        </w:rPr>
        <w:t>a lieu</w:t>
      </w:r>
      <w:r w:rsidR="00BE336A" w:rsidRPr="00B33AA4">
        <w:rPr>
          <w:color w:val="0000FF"/>
        </w:rPr>
        <w:t>)</w:t>
      </w:r>
      <w:r w:rsidRPr="00B33AA4">
        <w:t>].</w:t>
      </w:r>
    </w:p>
    <w:p w14:paraId="5307017D" w14:textId="77777777" w:rsidR="00704FCB" w:rsidRPr="00B33AA4" w:rsidRDefault="00704FCB" w:rsidP="003614BC">
      <w:pPr>
        <w:pStyle w:val="10Salutation"/>
        <w:keepNext/>
        <w:spacing w:after="420"/>
      </w:pPr>
      <w:r w:rsidRPr="00B33AA4">
        <w:t>Veuillez agréer, [Madame, Monsieur], l</w:t>
      </w:r>
      <w:r w:rsidR="00865E23" w:rsidRPr="00B33AA4">
        <w:t>’</w:t>
      </w:r>
      <w:r w:rsidRPr="00B33AA4">
        <w:t>expression de nos sentiments les meilleurs.</w:t>
      </w:r>
    </w:p>
    <w:p w14:paraId="4ED10BB9" w14:textId="77777777" w:rsidR="00704FCB" w:rsidRPr="00B33AA4" w:rsidRDefault="00704FCB" w:rsidP="003614BC">
      <w:pPr>
        <w:pStyle w:val="11Signature"/>
        <w:keepNext/>
        <w:spacing w:after="120"/>
      </w:pPr>
      <w:r w:rsidRPr="00AD5762">
        <w:rPr>
          <w:rFonts w:cs="Arial"/>
          <w:sz w:val="24"/>
          <w:szCs w:val="24"/>
          <w:lang w:eastAsia="en-CA"/>
        </w:rPr>
        <w:t>[</w:t>
      </w:r>
      <w:r w:rsidRPr="00AD5762">
        <w:rPr>
          <w:rFonts w:cs="Arial"/>
          <w:color w:val="0000FF"/>
          <w:sz w:val="24"/>
          <w:szCs w:val="24"/>
          <w:lang w:eastAsia="en-CA"/>
        </w:rPr>
        <w:t>Nom de l</w:t>
      </w:r>
      <w:r w:rsidR="00865E23" w:rsidRPr="00AD5762">
        <w:rPr>
          <w:rFonts w:cs="Arial"/>
          <w:color w:val="0000FF"/>
          <w:sz w:val="24"/>
          <w:szCs w:val="24"/>
          <w:lang w:eastAsia="en-CA"/>
        </w:rPr>
        <w:t>’</w:t>
      </w:r>
      <w:r w:rsidRPr="00AD5762">
        <w:rPr>
          <w:rFonts w:cs="Arial"/>
          <w:color w:val="0000FF"/>
          <w:sz w:val="24"/>
          <w:szCs w:val="24"/>
          <w:lang w:eastAsia="en-CA"/>
        </w:rPr>
        <w:t>entité</w:t>
      </w:r>
      <w:r w:rsidRPr="00AD5762">
        <w:rPr>
          <w:rFonts w:cs="Arial"/>
          <w:sz w:val="24"/>
          <w:szCs w:val="24"/>
          <w:lang w:eastAsia="en-CA"/>
        </w:rPr>
        <w:t>]</w:t>
      </w:r>
    </w:p>
    <w:tbl>
      <w:tblPr>
        <w:tblW w:w="0" w:type="auto"/>
        <w:tblInd w:w="43" w:type="dxa"/>
        <w:tblLayout w:type="fixed"/>
        <w:tblCellMar>
          <w:left w:w="43" w:type="dxa"/>
          <w:right w:w="43" w:type="dxa"/>
        </w:tblCellMar>
        <w:tblLook w:val="0000" w:firstRow="0" w:lastRow="0" w:firstColumn="0" w:lastColumn="0" w:noHBand="0" w:noVBand="0"/>
      </w:tblPr>
      <w:tblGrid>
        <w:gridCol w:w="5370"/>
      </w:tblGrid>
      <w:tr w:rsidR="00704FCB" w:rsidRPr="005628AE" w14:paraId="299E7BCB" w14:textId="77777777" w:rsidTr="00905323">
        <w:trPr>
          <w:trHeight w:val="320"/>
        </w:trPr>
        <w:tc>
          <w:tcPr>
            <w:tcW w:w="5370" w:type="dxa"/>
            <w:tcBorders>
              <w:bottom w:val="single" w:sz="6" w:space="0" w:color="auto"/>
            </w:tcBorders>
            <w:vAlign w:val="bottom"/>
          </w:tcPr>
          <w:p w14:paraId="45D9E8CC" w14:textId="77777777" w:rsidR="009C176D" w:rsidRDefault="009C176D" w:rsidP="002B42EF">
            <w:pPr>
              <w:keepNext/>
              <w:keepLines/>
              <w:spacing w:before="120" w:after="240"/>
              <w:rPr>
                <w:rFonts w:cs="Arial"/>
                <w:sz w:val="24"/>
                <w:szCs w:val="24"/>
                <w:lang w:val="fr-CA"/>
              </w:rPr>
            </w:pPr>
          </w:p>
          <w:p w14:paraId="6E00A3F2" w14:textId="77777777" w:rsidR="00E00440" w:rsidRPr="00B33AA4" w:rsidRDefault="00E00440" w:rsidP="002B42EF">
            <w:pPr>
              <w:keepNext/>
              <w:keepLines/>
              <w:spacing w:before="120" w:after="240"/>
              <w:rPr>
                <w:rFonts w:cs="Arial"/>
                <w:sz w:val="24"/>
                <w:szCs w:val="24"/>
                <w:lang w:val="fr-CA"/>
              </w:rPr>
            </w:pPr>
          </w:p>
        </w:tc>
      </w:tr>
      <w:tr w:rsidR="00704FCB" w:rsidRPr="00C40213" w14:paraId="56041672" w14:textId="77777777" w:rsidTr="00905323">
        <w:trPr>
          <w:trHeight w:val="320"/>
        </w:trPr>
        <w:tc>
          <w:tcPr>
            <w:tcW w:w="5370" w:type="dxa"/>
          </w:tcPr>
          <w:p w14:paraId="3FFFDE68" w14:textId="77777777" w:rsidR="00704FCB" w:rsidRPr="00B33AA4" w:rsidRDefault="00704FCB" w:rsidP="00905323">
            <w:pPr>
              <w:keepNext/>
              <w:keepLines/>
              <w:rPr>
                <w:rFonts w:cs="Arial"/>
                <w:color w:val="0000FF"/>
                <w:sz w:val="24"/>
                <w:szCs w:val="24"/>
                <w:lang w:val="fr-CA"/>
              </w:rPr>
            </w:pPr>
            <w:r w:rsidRPr="00B33AA4">
              <w:rPr>
                <w:rFonts w:cs="Arial"/>
                <w:sz w:val="24"/>
                <w:szCs w:val="24"/>
                <w:lang w:val="fr-CA"/>
              </w:rPr>
              <w:t>[</w:t>
            </w:r>
            <w:r w:rsidRPr="00B33AA4">
              <w:rPr>
                <w:rFonts w:cs="Arial"/>
                <w:color w:val="0000FF"/>
                <w:sz w:val="24"/>
                <w:szCs w:val="24"/>
                <w:lang w:val="fr-CA"/>
              </w:rPr>
              <w:t>Nom et titre du directeur général</w:t>
            </w:r>
            <w:r w:rsidRPr="00B33AA4">
              <w:rPr>
                <w:rFonts w:cs="Arial"/>
                <w:sz w:val="24"/>
                <w:szCs w:val="24"/>
                <w:lang w:val="fr-CA"/>
              </w:rPr>
              <w:t>]</w:t>
            </w:r>
          </w:p>
        </w:tc>
      </w:tr>
      <w:tr w:rsidR="00704FCB" w:rsidRPr="00C40213" w14:paraId="1F7A51F0" w14:textId="77777777" w:rsidTr="00905323">
        <w:trPr>
          <w:trHeight w:val="320"/>
        </w:trPr>
        <w:tc>
          <w:tcPr>
            <w:tcW w:w="5370" w:type="dxa"/>
            <w:tcBorders>
              <w:bottom w:val="single" w:sz="6" w:space="0" w:color="auto"/>
            </w:tcBorders>
            <w:vAlign w:val="bottom"/>
          </w:tcPr>
          <w:p w14:paraId="75DDE502" w14:textId="77777777" w:rsidR="00704FCB" w:rsidRPr="00B33AA4" w:rsidRDefault="00704FCB" w:rsidP="002B42EF">
            <w:pPr>
              <w:pStyle w:val="11Signature"/>
              <w:spacing w:before="0" w:after="120"/>
            </w:pPr>
          </w:p>
          <w:p w14:paraId="5CA77682" w14:textId="77777777" w:rsidR="00704FCB" w:rsidRPr="00B33AA4" w:rsidRDefault="00704FCB" w:rsidP="002B42EF">
            <w:pPr>
              <w:keepNext/>
              <w:keepLines/>
              <w:spacing w:after="120"/>
              <w:rPr>
                <w:rFonts w:cs="Arial"/>
                <w:sz w:val="24"/>
                <w:szCs w:val="24"/>
                <w:lang w:val="fr-CA"/>
              </w:rPr>
            </w:pPr>
          </w:p>
        </w:tc>
      </w:tr>
      <w:tr w:rsidR="00704FCB" w:rsidRPr="00C40213" w14:paraId="2C7B9D2D" w14:textId="77777777" w:rsidTr="00905323">
        <w:trPr>
          <w:trHeight w:val="320"/>
        </w:trPr>
        <w:tc>
          <w:tcPr>
            <w:tcW w:w="5370" w:type="dxa"/>
          </w:tcPr>
          <w:p w14:paraId="32A62F91" w14:textId="77777777" w:rsidR="00704FCB" w:rsidRPr="00B33AA4" w:rsidRDefault="00704FCB" w:rsidP="00905323">
            <w:pPr>
              <w:keepNext/>
              <w:keepLines/>
              <w:rPr>
                <w:rFonts w:cs="Arial"/>
                <w:color w:val="0000FF"/>
                <w:sz w:val="24"/>
                <w:szCs w:val="24"/>
                <w:lang w:val="fr-CA"/>
              </w:rPr>
            </w:pPr>
            <w:r w:rsidRPr="00B33AA4">
              <w:rPr>
                <w:rFonts w:cs="Arial"/>
                <w:sz w:val="24"/>
                <w:szCs w:val="24"/>
                <w:lang w:val="fr-CA"/>
              </w:rPr>
              <w:t>[</w:t>
            </w:r>
            <w:r w:rsidRPr="00B33AA4">
              <w:rPr>
                <w:rFonts w:cs="Arial"/>
                <w:color w:val="0000FF"/>
                <w:sz w:val="24"/>
                <w:szCs w:val="24"/>
                <w:lang w:val="fr-CA"/>
              </w:rPr>
              <w:t>Nom et titre du directeur financier</w:t>
            </w:r>
            <w:r w:rsidRPr="00B33AA4">
              <w:rPr>
                <w:rFonts w:cs="Arial"/>
                <w:sz w:val="24"/>
                <w:szCs w:val="24"/>
                <w:lang w:val="fr-CA"/>
              </w:rPr>
              <w:t>]</w:t>
            </w:r>
          </w:p>
        </w:tc>
      </w:tr>
      <w:tr w:rsidR="00704FCB" w:rsidRPr="00C40213" w14:paraId="4A1F6532" w14:textId="77777777" w:rsidTr="00905323">
        <w:trPr>
          <w:trHeight w:val="320"/>
        </w:trPr>
        <w:tc>
          <w:tcPr>
            <w:tcW w:w="5370" w:type="dxa"/>
            <w:tcBorders>
              <w:bottom w:val="single" w:sz="6" w:space="0" w:color="auto"/>
            </w:tcBorders>
            <w:vAlign w:val="bottom"/>
          </w:tcPr>
          <w:p w14:paraId="2107DDEF" w14:textId="77777777" w:rsidR="00704FCB" w:rsidRDefault="00704FCB" w:rsidP="002B42EF">
            <w:pPr>
              <w:keepNext/>
              <w:keepLines/>
              <w:spacing w:after="360"/>
              <w:rPr>
                <w:rFonts w:cs="Arial"/>
                <w:sz w:val="24"/>
                <w:szCs w:val="24"/>
                <w:lang w:val="fr-CA"/>
              </w:rPr>
            </w:pPr>
          </w:p>
          <w:p w14:paraId="2B1E729B" w14:textId="77777777" w:rsidR="00E00440" w:rsidRPr="00B33AA4" w:rsidRDefault="00E00440" w:rsidP="002B42EF">
            <w:pPr>
              <w:keepNext/>
              <w:keepLines/>
              <w:spacing w:after="360"/>
              <w:rPr>
                <w:rFonts w:cs="Arial"/>
                <w:sz w:val="24"/>
                <w:szCs w:val="24"/>
                <w:lang w:val="fr-CA"/>
              </w:rPr>
            </w:pPr>
          </w:p>
        </w:tc>
      </w:tr>
      <w:tr w:rsidR="00704FCB" w:rsidRPr="00C40213" w14:paraId="3372E91F" w14:textId="77777777" w:rsidTr="00905323">
        <w:trPr>
          <w:trHeight w:val="320"/>
        </w:trPr>
        <w:tc>
          <w:tcPr>
            <w:tcW w:w="5370" w:type="dxa"/>
          </w:tcPr>
          <w:p w14:paraId="317A148B" w14:textId="01841A6D" w:rsidR="00704FCB" w:rsidRPr="00B33AA4" w:rsidRDefault="00704FCB" w:rsidP="002B42EF">
            <w:pPr>
              <w:keepNext/>
              <w:keepLines/>
              <w:rPr>
                <w:rFonts w:cs="Arial"/>
                <w:color w:val="0000FF"/>
                <w:sz w:val="24"/>
                <w:szCs w:val="24"/>
                <w:lang w:val="fr-CA"/>
              </w:rPr>
            </w:pPr>
            <w:r w:rsidRPr="00B33AA4">
              <w:rPr>
                <w:rFonts w:cs="Arial"/>
                <w:sz w:val="24"/>
                <w:szCs w:val="24"/>
                <w:lang w:val="fr-CA"/>
              </w:rPr>
              <w:t>[</w:t>
            </w:r>
            <w:r w:rsidRPr="00B33AA4">
              <w:rPr>
                <w:rFonts w:cs="Arial"/>
                <w:color w:val="0000FF"/>
                <w:sz w:val="24"/>
                <w:szCs w:val="24"/>
                <w:lang w:val="fr-CA"/>
              </w:rPr>
              <w:t>Nom et titre des autres membres appropriés de</w:t>
            </w:r>
            <w:r w:rsidR="002B42EF">
              <w:rPr>
                <w:rFonts w:cs="Arial"/>
                <w:color w:val="0000FF"/>
                <w:sz w:val="24"/>
                <w:szCs w:val="24"/>
                <w:lang w:val="fr-CA"/>
              </w:rPr>
              <w:t> </w:t>
            </w:r>
            <w:r w:rsidRPr="00B33AA4">
              <w:rPr>
                <w:rFonts w:cs="Arial"/>
                <w:color w:val="0000FF"/>
                <w:sz w:val="24"/>
                <w:szCs w:val="24"/>
                <w:lang w:val="fr-CA"/>
              </w:rPr>
              <w:t>la direction</w:t>
            </w:r>
            <w:r w:rsidRPr="00B33AA4">
              <w:rPr>
                <w:rFonts w:cs="Arial"/>
                <w:sz w:val="24"/>
                <w:szCs w:val="24"/>
                <w:lang w:val="fr-CA"/>
              </w:rPr>
              <w:t>]</w:t>
            </w:r>
            <w:r w:rsidRPr="00B33AA4">
              <w:rPr>
                <w:rFonts w:cs="Arial"/>
                <w:color w:val="0000FF"/>
                <w:vertAlign w:val="superscript"/>
                <w:lang w:val="fr-CA" w:eastAsia="en-US"/>
              </w:rPr>
              <w:footnoteReference w:id="4"/>
            </w:r>
          </w:p>
        </w:tc>
      </w:tr>
    </w:tbl>
    <w:p w14:paraId="5A660ED2" w14:textId="77777777" w:rsidR="00AA4392" w:rsidRPr="00B33AA4" w:rsidRDefault="00AA4392" w:rsidP="001F7F3E">
      <w:pPr>
        <w:keepNext/>
        <w:keepLines/>
        <w:rPr>
          <w:rFonts w:ascii="Times New Roman" w:hAnsi="Times New Roman"/>
          <w:sz w:val="24"/>
          <w:szCs w:val="24"/>
          <w:lang w:val="fr-CA"/>
        </w:rPr>
      </w:pPr>
    </w:p>
    <w:p w14:paraId="18536FD9" w14:textId="77777777" w:rsidR="00A72869" w:rsidRPr="00B33AA4" w:rsidRDefault="00A72869" w:rsidP="001F7F3E">
      <w:pPr>
        <w:keepNext/>
        <w:keepLines/>
        <w:rPr>
          <w:rFonts w:ascii="Times New Roman" w:hAnsi="Times New Roman"/>
          <w:sz w:val="24"/>
          <w:szCs w:val="24"/>
          <w:lang w:val="fr-CA"/>
        </w:rPr>
        <w:sectPr w:rsidR="00A72869" w:rsidRPr="00B33AA4" w:rsidSect="00C17540">
          <w:footerReference w:type="default" r:id="rId13"/>
          <w:headerReference w:type="first" r:id="rId14"/>
          <w:footerReference w:type="first" r:id="rId15"/>
          <w:pgSz w:w="12240" w:h="15840" w:code="1"/>
          <w:pgMar w:top="1728" w:right="1440" w:bottom="1440" w:left="1440" w:header="562" w:footer="677" w:gutter="0"/>
          <w:pgNumType w:start="1"/>
          <w:cols w:space="720"/>
          <w:titlePg/>
          <w:docGrid w:linePitch="360"/>
        </w:sectPr>
      </w:pPr>
    </w:p>
    <w:p w14:paraId="53F69E57" w14:textId="77777777" w:rsidR="00A72869" w:rsidRPr="00B33AA4" w:rsidRDefault="00CE1627" w:rsidP="00BC58C4">
      <w:pPr>
        <w:pStyle w:val="Heading1"/>
        <w:spacing w:before="0" w:after="360"/>
      </w:pPr>
      <w:r w:rsidRPr="00B33AA4">
        <w:lastRenderedPageBreak/>
        <w:t>A</w:t>
      </w:r>
      <w:r w:rsidR="00704FCB" w:rsidRPr="00B33AA4">
        <w:t xml:space="preserve">nnexe </w:t>
      </w:r>
      <w:r w:rsidRPr="00B33AA4">
        <w:t>A</w:t>
      </w:r>
      <w:r w:rsidR="00E84877" w:rsidRPr="00B33AA4">
        <w:t xml:space="preserve"> </w:t>
      </w:r>
      <w:r w:rsidR="008E5591" w:rsidRPr="00B33AA4">
        <w:t>—</w:t>
      </w:r>
      <w:r w:rsidR="00704FCB" w:rsidRPr="00B33AA4">
        <w:t xml:space="preserve"> Sommaire des anomalies non corrigées (SANC</w:t>
      </w:r>
      <w:r w:rsidR="00A72869" w:rsidRPr="00B33AA4">
        <w:t>)</w:t>
      </w:r>
    </w:p>
    <w:p w14:paraId="37254686" w14:textId="2101EBB2" w:rsidR="00A72869" w:rsidRPr="006D6F2F" w:rsidRDefault="00A72869" w:rsidP="00BC58C4">
      <w:pPr>
        <w:pStyle w:val="09Para"/>
        <w:rPr>
          <w:i/>
        </w:rPr>
      </w:pPr>
      <w:r w:rsidRPr="006D6F2F">
        <w:rPr>
          <w:i/>
        </w:rPr>
        <w:t>[</w:t>
      </w:r>
      <w:r w:rsidR="00704FCB" w:rsidRPr="006D6F2F">
        <w:rPr>
          <w:i/>
          <w:color w:val="0000FF"/>
        </w:rPr>
        <w:t>Certaines colonnes peuvent être supprimées au besoin. Par exemple, les colonnes pour les flux de trésorerie peuvent être supprimées si aucun</w:t>
      </w:r>
      <w:r w:rsidR="00703703" w:rsidRPr="006D6F2F">
        <w:rPr>
          <w:i/>
          <w:color w:val="0000FF"/>
        </w:rPr>
        <w:t xml:space="preserve"> élément </w:t>
      </w:r>
      <w:r w:rsidR="00704FCB" w:rsidRPr="006D6F2F">
        <w:rPr>
          <w:i/>
          <w:color w:val="0000FF"/>
        </w:rPr>
        <w:t>n</w:t>
      </w:r>
      <w:r w:rsidR="00865E23" w:rsidRPr="006D6F2F">
        <w:rPr>
          <w:i/>
          <w:color w:val="0000FF"/>
        </w:rPr>
        <w:t>’</w:t>
      </w:r>
      <w:r w:rsidR="00704FCB" w:rsidRPr="006D6F2F">
        <w:rPr>
          <w:i/>
          <w:color w:val="0000FF"/>
        </w:rPr>
        <w:t>affecte l</w:t>
      </w:r>
      <w:r w:rsidR="00865E23" w:rsidRPr="006D6F2F">
        <w:rPr>
          <w:i/>
          <w:color w:val="0000FF"/>
        </w:rPr>
        <w:t>’</w:t>
      </w:r>
      <w:r w:rsidR="00704FCB" w:rsidRPr="006D6F2F">
        <w:rPr>
          <w:i/>
          <w:color w:val="0000FF"/>
        </w:rPr>
        <w:t>état des flux de trésorerie. De plus, étant donné que la distinction entre le résultat net de l</w:t>
      </w:r>
      <w:r w:rsidR="00865E23" w:rsidRPr="006D6F2F">
        <w:rPr>
          <w:i/>
          <w:color w:val="0000FF"/>
        </w:rPr>
        <w:t>’</w:t>
      </w:r>
      <w:r w:rsidR="00704FCB" w:rsidRPr="006D6F2F">
        <w:rPr>
          <w:i/>
          <w:color w:val="0000FF"/>
        </w:rPr>
        <w:t xml:space="preserve">exercice considéré et </w:t>
      </w:r>
      <w:r w:rsidR="00703703" w:rsidRPr="006D6F2F">
        <w:rPr>
          <w:i/>
          <w:color w:val="0000FF"/>
        </w:rPr>
        <w:t xml:space="preserve">celui </w:t>
      </w:r>
      <w:r w:rsidR="00704FCB" w:rsidRPr="006D6F2F">
        <w:rPr>
          <w:i/>
          <w:color w:val="0000FF"/>
        </w:rPr>
        <w:t>de l</w:t>
      </w:r>
      <w:r w:rsidR="00865E23" w:rsidRPr="006D6F2F">
        <w:rPr>
          <w:i/>
          <w:color w:val="0000FF"/>
        </w:rPr>
        <w:t>’</w:t>
      </w:r>
      <w:r w:rsidR="00704FCB" w:rsidRPr="006D6F2F">
        <w:rPr>
          <w:i/>
          <w:color w:val="0000FF"/>
        </w:rPr>
        <w:t>exercice précédent n</w:t>
      </w:r>
      <w:r w:rsidR="00865E23" w:rsidRPr="006D6F2F">
        <w:rPr>
          <w:i/>
          <w:color w:val="0000FF"/>
        </w:rPr>
        <w:t>’</w:t>
      </w:r>
      <w:r w:rsidR="00704FCB" w:rsidRPr="006D6F2F">
        <w:rPr>
          <w:i/>
          <w:color w:val="0000FF"/>
        </w:rPr>
        <w:t>est pas nécessaire si la méthode utilisée pour évaluer les incidences des anomalies sur l</w:t>
      </w:r>
      <w:r w:rsidR="00865E23" w:rsidRPr="006D6F2F">
        <w:rPr>
          <w:i/>
          <w:color w:val="0000FF"/>
        </w:rPr>
        <w:t>’</w:t>
      </w:r>
      <w:r w:rsidR="00704FCB" w:rsidRPr="006D6F2F">
        <w:rPr>
          <w:i/>
          <w:color w:val="0000FF"/>
        </w:rPr>
        <w:t>état des résultats est celle dite du « rideau de fer » plutôt que celle du « roulement », on peut alors supprimer la colonne de l</w:t>
      </w:r>
      <w:r w:rsidR="00865E23" w:rsidRPr="006D6F2F">
        <w:rPr>
          <w:i/>
          <w:color w:val="0000FF"/>
        </w:rPr>
        <w:t>’</w:t>
      </w:r>
      <w:r w:rsidR="00704FCB" w:rsidRPr="006D6F2F">
        <w:rPr>
          <w:i/>
          <w:color w:val="0000FF"/>
        </w:rPr>
        <w:t>exercice précédent</w:t>
      </w:r>
      <w:r w:rsidR="008775FC" w:rsidRPr="006D6F2F">
        <w:rPr>
          <w:i/>
          <w:color w:val="0000FF"/>
        </w:rPr>
        <w:t>.</w:t>
      </w:r>
      <w:r w:rsidRPr="006D6F2F">
        <w:rPr>
          <w:i/>
          <w:color w:val="0000FF"/>
        </w:rPr>
        <w:t xml:space="preserve"> </w:t>
      </w:r>
      <w:r w:rsidR="00704FCB" w:rsidRPr="006D6F2F">
        <w:rPr>
          <w:i/>
          <w:color w:val="0000FF"/>
        </w:rPr>
        <w:t>Dans certaines situations, il pourrait être approprié d</w:t>
      </w:r>
      <w:r w:rsidR="00865E23" w:rsidRPr="006D6F2F">
        <w:rPr>
          <w:i/>
          <w:color w:val="0000FF"/>
        </w:rPr>
        <w:t>’</w:t>
      </w:r>
      <w:r w:rsidR="00704FCB" w:rsidRPr="006D6F2F">
        <w:rPr>
          <w:i/>
          <w:color w:val="0000FF"/>
        </w:rPr>
        <w:t>ajouter une ou des colonnes</w:t>
      </w:r>
      <w:r w:rsidR="00D44E47">
        <w:rPr>
          <w:i/>
          <w:color w:val="0000FF"/>
        </w:rPr>
        <w:t xml:space="preserve"> ou lignes</w:t>
      </w:r>
      <w:r w:rsidR="00704FCB" w:rsidRPr="006D6F2F">
        <w:rPr>
          <w:i/>
          <w:color w:val="0000FF"/>
        </w:rPr>
        <w:t xml:space="preserve">, par exemple lorsque les anomalies ont des incidences sur </w:t>
      </w:r>
      <w:r w:rsidR="00853F4B" w:rsidRPr="006D6F2F">
        <w:rPr>
          <w:i/>
          <w:color w:val="0000FF"/>
        </w:rPr>
        <w:t xml:space="preserve">les </w:t>
      </w:r>
      <w:r w:rsidR="00704FCB" w:rsidRPr="006D6F2F">
        <w:rPr>
          <w:i/>
          <w:color w:val="0000FF"/>
        </w:rPr>
        <w:t>autres éléments du résultat global</w:t>
      </w:r>
      <w:r w:rsidR="00FB4A7C">
        <w:rPr>
          <w:i/>
          <w:color w:val="0000FF"/>
        </w:rPr>
        <w:t xml:space="preserve"> ou lorsqu’il y a des lacunes dans les </w:t>
      </w:r>
      <w:r w:rsidR="00FB4A7C" w:rsidRPr="0073586F">
        <w:rPr>
          <w:i/>
          <w:color w:val="0000FF"/>
        </w:rPr>
        <w:t>informations fournies dans les états financiers</w:t>
      </w:r>
      <w:r w:rsidRPr="006D6F2F">
        <w:rPr>
          <w:i/>
          <w:color w:val="0000FF"/>
        </w:rPr>
        <w:t>.</w:t>
      </w:r>
      <w:r w:rsidR="00FE6999" w:rsidRPr="006D6F2F">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168"/>
        <w:gridCol w:w="1172"/>
        <w:gridCol w:w="913"/>
        <w:gridCol w:w="1835"/>
        <w:gridCol w:w="1169"/>
        <w:gridCol w:w="1169"/>
        <w:gridCol w:w="1380"/>
        <w:gridCol w:w="1383"/>
        <w:gridCol w:w="1516"/>
        <w:gridCol w:w="1839"/>
        <w:gridCol w:w="2029"/>
      </w:tblGrid>
      <w:tr w:rsidR="00AE1F88" w:rsidRPr="00C40213" w14:paraId="6B9E82EB" w14:textId="77777777" w:rsidTr="00BC58C4">
        <w:trPr>
          <w:cantSplit/>
          <w:tblHeader/>
        </w:trPr>
        <w:tc>
          <w:tcPr>
            <w:tcW w:w="515" w:type="pct"/>
          </w:tcPr>
          <w:p w14:paraId="2C0F5122" w14:textId="77777777" w:rsidR="00A72869" w:rsidRPr="00B33AA4" w:rsidRDefault="00A72869" w:rsidP="00BC58C4">
            <w:pPr>
              <w:pStyle w:val="15TableHeadCentred"/>
            </w:pPr>
          </w:p>
        </w:tc>
        <w:tc>
          <w:tcPr>
            <w:tcW w:w="4485" w:type="pct"/>
            <w:gridSpan w:val="11"/>
          </w:tcPr>
          <w:p w14:paraId="62A83FA5" w14:textId="77777777" w:rsidR="00A72869" w:rsidRPr="00B33AA4" w:rsidRDefault="000A1541" w:rsidP="00BC58C4">
            <w:pPr>
              <w:pStyle w:val="15TableHeadCentred"/>
            </w:pPr>
            <w:r w:rsidRPr="00B33AA4">
              <w:t>Incidence des ajustements sur</w:t>
            </w:r>
            <w:r w:rsidR="00BE336A" w:rsidRPr="00B33AA4">
              <w:t xml:space="preserve"> les postes d</w:t>
            </w:r>
            <w:r w:rsidRPr="00B33AA4">
              <w:t>es états financiers (en milliers de $) – Augmentation (diminution</w:t>
            </w:r>
            <w:r w:rsidR="00A72869" w:rsidRPr="00B33AA4">
              <w:t>)</w:t>
            </w:r>
          </w:p>
        </w:tc>
      </w:tr>
      <w:tr w:rsidR="00AE1F88" w:rsidRPr="00C40213" w14:paraId="32F12301" w14:textId="77777777" w:rsidTr="00BC58C4">
        <w:trPr>
          <w:cantSplit/>
          <w:tblHeader/>
        </w:trPr>
        <w:tc>
          <w:tcPr>
            <w:tcW w:w="515" w:type="pct"/>
          </w:tcPr>
          <w:p w14:paraId="3B115361" w14:textId="77777777" w:rsidR="00A72869" w:rsidRPr="00B33AA4" w:rsidRDefault="00A72869" w:rsidP="00BC58C4">
            <w:pPr>
              <w:pStyle w:val="15TableHeadCentred"/>
            </w:pPr>
          </w:p>
        </w:tc>
        <w:tc>
          <w:tcPr>
            <w:tcW w:w="915" w:type="pct"/>
            <w:gridSpan w:val="3"/>
            <w:shd w:val="clear" w:color="auto" w:fill="auto"/>
            <w:vAlign w:val="center"/>
          </w:tcPr>
          <w:p w14:paraId="22B87A32" w14:textId="77777777" w:rsidR="00A72869" w:rsidRPr="00B33AA4" w:rsidRDefault="000A1541" w:rsidP="00BC58C4">
            <w:pPr>
              <w:pStyle w:val="15TableHeadCentred"/>
              <w:rPr>
                <w:color w:val="0000FF"/>
              </w:rPr>
            </w:pPr>
            <w:r w:rsidRPr="00B33AA4">
              <w:t>Résultat net</w:t>
            </w:r>
          </w:p>
        </w:tc>
        <w:tc>
          <w:tcPr>
            <w:tcW w:w="2126" w:type="pct"/>
            <w:gridSpan w:val="5"/>
            <w:vMerge w:val="restart"/>
            <w:vAlign w:val="center"/>
          </w:tcPr>
          <w:p w14:paraId="1A348E5B" w14:textId="77777777" w:rsidR="00A72869" w:rsidRPr="00B33AA4" w:rsidRDefault="000A1541" w:rsidP="00BC58C4">
            <w:pPr>
              <w:pStyle w:val="15TableHeadCentred"/>
            </w:pPr>
            <w:r w:rsidRPr="00B33AA4">
              <w:t>État de la situation financière</w:t>
            </w:r>
          </w:p>
        </w:tc>
        <w:tc>
          <w:tcPr>
            <w:tcW w:w="1444" w:type="pct"/>
            <w:gridSpan w:val="3"/>
            <w:vMerge w:val="restart"/>
            <w:vAlign w:val="center"/>
          </w:tcPr>
          <w:p w14:paraId="6D4609C1" w14:textId="77777777" w:rsidR="00A72869" w:rsidRPr="00B33AA4" w:rsidRDefault="005D2474" w:rsidP="00BC58C4">
            <w:pPr>
              <w:pStyle w:val="15TableHeadCentred"/>
            </w:pPr>
            <w:r w:rsidRPr="00B33AA4">
              <w:t>État des f</w:t>
            </w:r>
            <w:r w:rsidR="000A1541" w:rsidRPr="00B33AA4">
              <w:t>lux de trésorerie</w:t>
            </w:r>
          </w:p>
        </w:tc>
      </w:tr>
      <w:tr w:rsidR="00AE1F88" w:rsidRPr="00C40213" w14:paraId="38A03954" w14:textId="77777777" w:rsidTr="00BC58C4">
        <w:trPr>
          <w:cantSplit/>
          <w:tblHeader/>
        </w:trPr>
        <w:tc>
          <w:tcPr>
            <w:tcW w:w="515" w:type="pct"/>
          </w:tcPr>
          <w:p w14:paraId="67D8BACC" w14:textId="77777777" w:rsidR="00A72869" w:rsidRPr="00B33AA4" w:rsidRDefault="00A72869" w:rsidP="00BC58C4">
            <w:pPr>
              <w:pStyle w:val="15TableHeadCentred"/>
            </w:pPr>
          </w:p>
        </w:tc>
        <w:tc>
          <w:tcPr>
            <w:tcW w:w="915" w:type="pct"/>
            <w:gridSpan w:val="3"/>
          </w:tcPr>
          <w:p w14:paraId="0083115C" w14:textId="77777777" w:rsidR="00A72869" w:rsidRPr="00B33AA4" w:rsidRDefault="000A1541" w:rsidP="00BC58C4">
            <w:pPr>
              <w:pStyle w:val="15TableHeadCentred"/>
            </w:pPr>
            <w:r w:rsidRPr="00B33AA4">
              <w:t>Anomalies non corrigées survenues dans</w:t>
            </w:r>
          </w:p>
        </w:tc>
        <w:tc>
          <w:tcPr>
            <w:tcW w:w="2126" w:type="pct"/>
            <w:gridSpan w:val="5"/>
            <w:vMerge/>
          </w:tcPr>
          <w:p w14:paraId="3F3DA374" w14:textId="77777777" w:rsidR="00A72869" w:rsidRPr="00B33AA4" w:rsidRDefault="00A72869" w:rsidP="00BC58C4">
            <w:pPr>
              <w:pStyle w:val="15TableHeadCentred"/>
            </w:pPr>
          </w:p>
        </w:tc>
        <w:tc>
          <w:tcPr>
            <w:tcW w:w="1444" w:type="pct"/>
            <w:gridSpan w:val="3"/>
            <w:vMerge/>
          </w:tcPr>
          <w:p w14:paraId="3AB4795A" w14:textId="77777777" w:rsidR="00A72869" w:rsidRPr="00B33AA4" w:rsidRDefault="00A72869" w:rsidP="00BC58C4">
            <w:pPr>
              <w:pStyle w:val="15TableHeadCentred"/>
            </w:pPr>
          </w:p>
        </w:tc>
      </w:tr>
      <w:tr w:rsidR="00AE1F88" w:rsidRPr="005628AE" w14:paraId="1E17DD30" w14:textId="77777777" w:rsidTr="00BC58C4">
        <w:trPr>
          <w:cantSplit/>
          <w:tblHeader/>
        </w:trPr>
        <w:tc>
          <w:tcPr>
            <w:tcW w:w="515" w:type="pct"/>
            <w:vAlign w:val="center"/>
          </w:tcPr>
          <w:p w14:paraId="75C417DD" w14:textId="77777777" w:rsidR="00FE6999" w:rsidRPr="00B33AA4" w:rsidRDefault="00FE6999" w:rsidP="00BC58C4">
            <w:pPr>
              <w:pStyle w:val="15TableHeadCentred"/>
            </w:pPr>
            <w:r w:rsidRPr="00B33AA4">
              <w:t>Description</w:t>
            </w:r>
          </w:p>
        </w:tc>
        <w:tc>
          <w:tcPr>
            <w:tcW w:w="362" w:type="pct"/>
            <w:shd w:val="clear" w:color="auto" w:fill="auto"/>
            <w:vAlign w:val="center"/>
          </w:tcPr>
          <w:p w14:paraId="7ED47D01" w14:textId="77777777" w:rsidR="00FE6999" w:rsidRPr="00B33AA4" w:rsidRDefault="000A1541" w:rsidP="00BC58C4">
            <w:pPr>
              <w:pStyle w:val="15TableHeadCentred"/>
            </w:pPr>
            <w:r w:rsidRPr="00B33AA4">
              <w:t>Exercice considéré</w:t>
            </w:r>
          </w:p>
        </w:tc>
        <w:tc>
          <w:tcPr>
            <w:tcW w:w="265" w:type="pct"/>
            <w:shd w:val="clear" w:color="auto" w:fill="auto"/>
            <w:vAlign w:val="center"/>
          </w:tcPr>
          <w:p w14:paraId="38CC9C28" w14:textId="77777777" w:rsidR="00FE6999" w:rsidRPr="00B33AA4" w:rsidRDefault="000A1541" w:rsidP="00BC58C4">
            <w:pPr>
              <w:pStyle w:val="15TableHeadCentred"/>
            </w:pPr>
            <w:r w:rsidRPr="00B33AA4">
              <w:t xml:space="preserve">Exercice </w:t>
            </w:r>
            <w:r w:rsidR="00703703" w:rsidRPr="00B33AA4">
              <w:t>précédent</w:t>
            </w:r>
          </w:p>
        </w:tc>
        <w:tc>
          <w:tcPr>
            <w:tcW w:w="288" w:type="pct"/>
            <w:shd w:val="clear" w:color="auto" w:fill="auto"/>
            <w:vAlign w:val="center"/>
          </w:tcPr>
          <w:p w14:paraId="1C8F69B3" w14:textId="77777777" w:rsidR="00FE6999" w:rsidRPr="00B33AA4" w:rsidRDefault="00FE6999" w:rsidP="00BC58C4">
            <w:pPr>
              <w:pStyle w:val="15TableHeadCentred"/>
            </w:pPr>
            <w:r w:rsidRPr="00B33AA4">
              <w:t>Total</w:t>
            </w:r>
          </w:p>
        </w:tc>
        <w:tc>
          <w:tcPr>
            <w:tcW w:w="555" w:type="pct"/>
            <w:shd w:val="clear" w:color="auto" w:fill="auto"/>
            <w:vAlign w:val="center"/>
          </w:tcPr>
          <w:p w14:paraId="44D6B039" w14:textId="77777777" w:rsidR="00FE6999" w:rsidRPr="00B33AA4" w:rsidRDefault="000A1541" w:rsidP="00BC58C4">
            <w:pPr>
              <w:pStyle w:val="15TableHeadCentred"/>
            </w:pPr>
            <w:r w:rsidRPr="00B33AA4">
              <w:t>Capitaux propres</w:t>
            </w:r>
          </w:p>
        </w:tc>
        <w:tc>
          <w:tcPr>
            <w:tcW w:w="362" w:type="pct"/>
            <w:shd w:val="clear" w:color="auto" w:fill="auto"/>
            <w:vAlign w:val="center"/>
          </w:tcPr>
          <w:p w14:paraId="7B335D62" w14:textId="77777777" w:rsidR="00FE6999" w:rsidRPr="00B33AA4" w:rsidRDefault="000A1541" w:rsidP="008B014D">
            <w:pPr>
              <w:pStyle w:val="15TableHeadCentred"/>
            </w:pPr>
            <w:r w:rsidRPr="00B33AA4">
              <w:t>Actifs courants</w:t>
            </w:r>
          </w:p>
        </w:tc>
        <w:tc>
          <w:tcPr>
            <w:tcW w:w="362" w:type="pct"/>
            <w:shd w:val="clear" w:color="auto" w:fill="auto"/>
            <w:vAlign w:val="center"/>
          </w:tcPr>
          <w:p w14:paraId="7C928144" w14:textId="77777777" w:rsidR="00FE6999" w:rsidRPr="00B33AA4" w:rsidRDefault="000A1541" w:rsidP="00BC58C4">
            <w:pPr>
              <w:pStyle w:val="15TableHeadCentred"/>
            </w:pPr>
            <w:r w:rsidRPr="00B33AA4">
              <w:t>Actifs non courants</w:t>
            </w:r>
          </w:p>
        </w:tc>
        <w:tc>
          <w:tcPr>
            <w:tcW w:w="423" w:type="pct"/>
            <w:shd w:val="clear" w:color="auto" w:fill="auto"/>
            <w:vAlign w:val="center"/>
          </w:tcPr>
          <w:p w14:paraId="1B7619E6" w14:textId="77777777" w:rsidR="00FE6999" w:rsidRPr="00B33AA4" w:rsidRDefault="000A1541" w:rsidP="00BC58C4">
            <w:pPr>
              <w:pStyle w:val="15TableHeadCentred"/>
            </w:pPr>
            <w:r w:rsidRPr="00B33AA4">
              <w:t>Passifs courants</w:t>
            </w:r>
          </w:p>
        </w:tc>
        <w:tc>
          <w:tcPr>
            <w:tcW w:w="423" w:type="pct"/>
            <w:shd w:val="clear" w:color="auto" w:fill="auto"/>
            <w:vAlign w:val="center"/>
          </w:tcPr>
          <w:p w14:paraId="1CCC3A57" w14:textId="77777777" w:rsidR="00FE6999" w:rsidRPr="00B33AA4" w:rsidRDefault="000A1541" w:rsidP="00BC58C4">
            <w:pPr>
              <w:pStyle w:val="15TableHeadCentred"/>
            </w:pPr>
            <w:r w:rsidRPr="00B33AA4">
              <w:t>Passifs non courants</w:t>
            </w:r>
          </w:p>
        </w:tc>
        <w:tc>
          <w:tcPr>
            <w:tcW w:w="432" w:type="pct"/>
            <w:shd w:val="clear" w:color="auto" w:fill="auto"/>
            <w:vAlign w:val="center"/>
          </w:tcPr>
          <w:p w14:paraId="61E6CE68" w14:textId="77777777" w:rsidR="00FE6999" w:rsidRPr="00B33AA4" w:rsidRDefault="000A1541" w:rsidP="00BC58C4">
            <w:pPr>
              <w:pStyle w:val="15TableHeadCentred"/>
            </w:pPr>
            <w:r w:rsidRPr="00B33AA4">
              <w:t xml:space="preserve">Activités </w:t>
            </w:r>
            <w:r w:rsidR="00AE1F88" w:rsidRPr="00B33AA4">
              <w:t>d</w:t>
            </w:r>
            <w:r w:rsidR="00865E23" w:rsidRPr="00B33AA4">
              <w:t>’</w:t>
            </w:r>
            <w:r w:rsidR="00AE1F88" w:rsidRPr="00B33AA4">
              <w:t>exploitation</w:t>
            </w:r>
          </w:p>
        </w:tc>
        <w:tc>
          <w:tcPr>
            <w:tcW w:w="401" w:type="pct"/>
            <w:shd w:val="clear" w:color="auto" w:fill="auto"/>
            <w:vAlign w:val="center"/>
          </w:tcPr>
          <w:p w14:paraId="6E894B76" w14:textId="77777777" w:rsidR="00FE6999" w:rsidRPr="00B33AA4" w:rsidRDefault="00FE6999" w:rsidP="00BC58C4">
            <w:pPr>
              <w:pStyle w:val="15TableHeadCentred"/>
            </w:pPr>
            <w:r w:rsidRPr="00B33AA4">
              <w:t>Activit</w:t>
            </w:r>
            <w:r w:rsidR="000A1541" w:rsidRPr="00B33AA4">
              <w:t xml:space="preserve">és </w:t>
            </w:r>
            <w:r w:rsidR="00AE1F88" w:rsidRPr="00B33AA4">
              <w:t>d</w:t>
            </w:r>
            <w:r w:rsidR="00865E23" w:rsidRPr="00B33AA4">
              <w:t>’</w:t>
            </w:r>
            <w:r w:rsidR="00AE1F88" w:rsidRPr="00B33AA4">
              <w:t>investissement</w:t>
            </w:r>
          </w:p>
        </w:tc>
        <w:tc>
          <w:tcPr>
            <w:tcW w:w="611" w:type="pct"/>
            <w:shd w:val="clear" w:color="auto" w:fill="auto"/>
            <w:vAlign w:val="center"/>
          </w:tcPr>
          <w:p w14:paraId="2420EC59" w14:textId="77777777" w:rsidR="00FE6999" w:rsidRPr="00B33AA4" w:rsidRDefault="000A1541" w:rsidP="00BC58C4">
            <w:pPr>
              <w:pStyle w:val="15TableHeadCentred"/>
            </w:pPr>
            <w:r w:rsidRPr="00B33AA4">
              <w:t>Activités de financement</w:t>
            </w:r>
          </w:p>
        </w:tc>
      </w:tr>
      <w:tr w:rsidR="00AE1F88" w:rsidRPr="005628AE" w14:paraId="03713703" w14:textId="77777777" w:rsidTr="00BC58C4">
        <w:trPr>
          <w:cantSplit/>
        </w:trPr>
        <w:tc>
          <w:tcPr>
            <w:tcW w:w="515" w:type="pct"/>
          </w:tcPr>
          <w:p w14:paraId="148D3F86" w14:textId="77777777" w:rsidR="00FE6999" w:rsidRPr="00B33AA4" w:rsidRDefault="00FE6999" w:rsidP="00BC58C4">
            <w:pPr>
              <w:pStyle w:val="15TableHeadCentred"/>
            </w:pPr>
          </w:p>
        </w:tc>
        <w:tc>
          <w:tcPr>
            <w:tcW w:w="362" w:type="pct"/>
          </w:tcPr>
          <w:p w14:paraId="09CABD4B" w14:textId="77777777" w:rsidR="00FE6999" w:rsidRPr="00B33AA4" w:rsidRDefault="00FE6999" w:rsidP="00BC58C4">
            <w:pPr>
              <w:pStyle w:val="15TablePara"/>
            </w:pPr>
          </w:p>
        </w:tc>
        <w:tc>
          <w:tcPr>
            <w:tcW w:w="265" w:type="pct"/>
          </w:tcPr>
          <w:p w14:paraId="41CC8FE8" w14:textId="77777777" w:rsidR="00FE6999" w:rsidRPr="00B33AA4" w:rsidRDefault="00FE6999" w:rsidP="00BC58C4">
            <w:pPr>
              <w:pStyle w:val="15TablePara"/>
            </w:pPr>
          </w:p>
        </w:tc>
        <w:tc>
          <w:tcPr>
            <w:tcW w:w="288" w:type="pct"/>
          </w:tcPr>
          <w:p w14:paraId="5FB990D2" w14:textId="77777777" w:rsidR="00FE6999" w:rsidRPr="00B33AA4" w:rsidRDefault="00FE6999" w:rsidP="00BC58C4">
            <w:pPr>
              <w:pStyle w:val="15TablePara"/>
            </w:pPr>
          </w:p>
        </w:tc>
        <w:tc>
          <w:tcPr>
            <w:tcW w:w="555" w:type="pct"/>
          </w:tcPr>
          <w:p w14:paraId="6CF5A473" w14:textId="77777777" w:rsidR="00FE6999" w:rsidRPr="00B33AA4" w:rsidRDefault="00FE6999" w:rsidP="00BC58C4">
            <w:pPr>
              <w:pStyle w:val="15TablePara"/>
            </w:pPr>
          </w:p>
        </w:tc>
        <w:tc>
          <w:tcPr>
            <w:tcW w:w="362" w:type="pct"/>
          </w:tcPr>
          <w:p w14:paraId="26B2B9A7" w14:textId="77777777" w:rsidR="00FE6999" w:rsidRPr="00B33AA4" w:rsidRDefault="00FE6999" w:rsidP="00BC58C4">
            <w:pPr>
              <w:pStyle w:val="15TablePara"/>
            </w:pPr>
          </w:p>
        </w:tc>
        <w:tc>
          <w:tcPr>
            <w:tcW w:w="362" w:type="pct"/>
          </w:tcPr>
          <w:p w14:paraId="31890878" w14:textId="77777777" w:rsidR="00FE6999" w:rsidRPr="00B33AA4" w:rsidRDefault="00FE6999" w:rsidP="00BC58C4">
            <w:pPr>
              <w:pStyle w:val="15TablePara"/>
            </w:pPr>
          </w:p>
        </w:tc>
        <w:tc>
          <w:tcPr>
            <w:tcW w:w="423" w:type="pct"/>
          </w:tcPr>
          <w:p w14:paraId="7116C466" w14:textId="77777777" w:rsidR="00FE6999" w:rsidRPr="00B33AA4" w:rsidRDefault="00FE6999" w:rsidP="00BC58C4">
            <w:pPr>
              <w:pStyle w:val="15TablePara"/>
            </w:pPr>
          </w:p>
        </w:tc>
        <w:tc>
          <w:tcPr>
            <w:tcW w:w="423" w:type="pct"/>
          </w:tcPr>
          <w:p w14:paraId="117970F9" w14:textId="77777777" w:rsidR="00FE6999" w:rsidRPr="00B33AA4" w:rsidRDefault="00FE6999" w:rsidP="00BC58C4">
            <w:pPr>
              <w:pStyle w:val="15TablePara"/>
            </w:pPr>
          </w:p>
        </w:tc>
        <w:tc>
          <w:tcPr>
            <w:tcW w:w="432" w:type="pct"/>
          </w:tcPr>
          <w:p w14:paraId="7AEFB3EE" w14:textId="77777777" w:rsidR="00FE6999" w:rsidRPr="00B33AA4" w:rsidRDefault="00FE6999" w:rsidP="00BC58C4">
            <w:pPr>
              <w:pStyle w:val="15TablePara"/>
            </w:pPr>
          </w:p>
        </w:tc>
        <w:tc>
          <w:tcPr>
            <w:tcW w:w="401" w:type="pct"/>
          </w:tcPr>
          <w:p w14:paraId="58D6A97F" w14:textId="77777777" w:rsidR="00FE6999" w:rsidRPr="00B33AA4" w:rsidRDefault="00FE6999" w:rsidP="00BC58C4">
            <w:pPr>
              <w:pStyle w:val="15TablePara"/>
            </w:pPr>
          </w:p>
        </w:tc>
        <w:tc>
          <w:tcPr>
            <w:tcW w:w="611" w:type="pct"/>
          </w:tcPr>
          <w:p w14:paraId="3E3146AD" w14:textId="77777777" w:rsidR="00FE6999" w:rsidRPr="00B33AA4" w:rsidRDefault="00FE6999" w:rsidP="00BC58C4">
            <w:pPr>
              <w:pStyle w:val="15TablePara"/>
            </w:pPr>
          </w:p>
        </w:tc>
      </w:tr>
      <w:tr w:rsidR="00AE1F88" w:rsidRPr="005628AE" w14:paraId="7F9422C8" w14:textId="77777777" w:rsidTr="008B014D">
        <w:trPr>
          <w:cantSplit/>
        </w:trPr>
        <w:tc>
          <w:tcPr>
            <w:tcW w:w="515" w:type="pct"/>
            <w:tcBorders>
              <w:bottom w:val="single" w:sz="4" w:space="0" w:color="auto"/>
            </w:tcBorders>
          </w:tcPr>
          <w:p w14:paraId="2958319A" w14:textId="77777777" w:rsidR="00FE6999" w:rsidRPr="00B33AA4" w:rsidRDefault="00FE6999" w:rsidP="00BC58C4">
            <w:pPr>
              <w:pStyle w:val="15TableHeadCentred"/>
            </w:pPr>
          </w:p>
        </w:tc>
        <w:tc>
          <w:tcPr>
            <w:tcW w:w="362" w:type="pct"/>
            <w:tcBorders>
              <w:bottom w:val="single" w:sz="4" w:space="0" w:color="auto"/>
            </w:tcBorders>
          </w:tcPr>
          <w:p w14:paraId="3773ADAC" w14:textId="77777777" w:rsidR="00FE6999" w:rsidRPr="00B33AA4" w:rsidRDefault="00FE6999" w:rsidP="00BC58C4">
            <w:pPr>
              <w:pStyle w:val="15TablePara"/>
            </w:pPr>
          </w:p>
        </w:tc>
        <w:tc>
          <w:tcPr>
            <w:tcW w:w="265" w:type="pct"/>
            <w:tcBorders>
              <w:bottom w:val="single" w:sz="4" w:space="0" w:color="auto"/>
            </w:tcBorders>
          </w:tcPr>
          <w:p w14:paraId="6BDA7952" w14:textId="77777777" w:rsidR="00FE6999" w:rsidRPr="00B33AA4" w:rsidRDefault="00FE6999" w:rsidP="00BC58C4">
            <w:pPr>
              <w:pStyle w:val="15TablePara"/>
            </w:pPr>
          </w:p>
        </w:tc>
        <w:tc>
          <w:tcPr>
            <w:tcW w:w="288" w:type="pct"/>
            <w:tcBorders>
              <w:bottom w:val="single" w:sz="4" w:space="0" w:color="auto"/>
            </w:tcBorders>
          </w:tcPr>
          <w:p w14:paraId="376D36D3" w14:textId="77777777" w:rsidR="00FE6999" w:rsidRPr="00B33AA4" w:rsidRDefault="00FE6999" w:rsidP="00BC58C4">
            <w:pPr>
              <w:pStyle w:val="15TablePara"/>
            </w:pPr>
          </w:p>
        </w:tc>
        <w:tc>
          <w:tcPr>
            <w:tcW w:w="555" w:type="pct"/>
            <w:tcBorders>
              <w:bottom w:val="single" w:sz="4" w:space="0" w:color="auto"/>
            </w:tcBorders>
          </w:tcPr>
          <w:p w14:paraId="73DD1630" w14:textId="77777777" w:rsidR="00FE6999" w:rsidRPr="00B33AA4" w:rsidRDefault="00FE6999" w:rsidP="00BC58C4">
            <w:pPr>
              <w:pStyle w:val="15TablePara"/>
            </w:pPr>
          </w:p>
        </w:tc>
        <w:tc>
          <w:tcPr>
            <w:tcW w:w="362" w:type="pct"/>
            <w:tcBorders>
              <w:bottom w:val="single" w:sz="4" w:space="0" w:color="auto"/>
            </w:tcBorders>
          </w:tcPr>
          <w:p w14:paraId="03A931F7" w14:textId="77777777" w:rsidR="00FE6999" w:rsidRPr="00B33AA4" w:rsidRDefault="00FE6999" w:rsidP="00BC58C4">
            <w:pPr>
              <w:pStyle w:val="15TablePara"/>
            </w:pPr>
          </w:p>
        </w:tc>
        <w:tc>
          <w:tcPr>
            <w:tcW w:w="362" w:type="pct"/>
            <w:tcBorders>
              <w:bottom w:val="single" w:sz="4" w:space="0" w:color="auto"/>
            </w:tcBorders>
          </w:tcPr>
          <w:p w14:paraId="0CEE9465" w14:textId="77777777" w:rsidR="00FE6999" w:rsidRPr="00B33AA4" w:rsidRDefault="00FE6999" w:rsidP="00BC58C4">
            <w:pPr>
              <w:pStyle w:val="15TablePara"/>
            </w:pPr>
          </w:p>
        </w:tc>
        <w:tc>
          <w:tcPr>
            <w:tcW w:w="423" w:type="pct"/>
            <w:tcBorders>
              <w:bottom w:val="single" w:sz="4" w:space="0" w:color="auto"/>
            </w:tcBorders>
          </w:tcPr>
          <w:p w14:paraId="37BF9AFE" w14:textId="77777777" w:rsidR="00FE6999" w:rsidRPr="00B33AA4" w:rsidRDefault="00FE6999" w:rsidP="00BC58C4">
            <w:pPr>
              <w:pStyle w:val="15TablePara"/>
            </w:pPr>
          </w:p>
        </w:tc>
        <w:tc>
          <w:tcPr>
            <w:tcW w:w="423" w:type="pct"/>
            <w:tcBorders>
              <w:bottom w:val="single" w:sz="4" w:space="0" w:color="auto"/>
            </w:tcBorders>
          </w:tcPr>
          <w:p w14:paraId="4CA9D3DF" w14:textId="77777777" w:rsidR="00FE6999" w:rsidRPr="00B33AA4" w:rsidRDefault="00FE6999" w:rsidP="00BC58C4">
            <w:pPr>
              <w:pStyle w:val="15TablePara"/>
            </w:pPr>
          </w:p>
        </w:tc>
        <w:tc>
          <w:tcPr>
            <w:tcW w:w="432" w:type="pct"/>
            <w:tcBorders>
              <w:bottom w:val="single" w:sz="4" w:space="0" w:color="auto"/>
            </w:tcBorders>
          </w:tcPr>
          <w:p w14:paraId="2A31E46F" w14:textId="77777777" w:rsidR="00FE6999" w:rsidRPr="00B33AA4" w:rsidRDefault="00FE6999" w:rsidP="00BC58C4">
            <w:pPr>
              <w:pStyle w:val="15TablePara"/>
            </w:pPr>
          </w:p>
        </w:tc>
        <w:tc>
          <w:tcPr>
            <w:tcW w:w="401" w:type="pct"/>
            <w:tcBorders>
              <w:bottom w:val="single" w:sz="4" w:space="0" w:color="auto"/>
            </w:tcBorders>
          </w:tcPr>
          <w:p w14:paraId="571548AB" w14:textId="77777777" w:rsidR="00FE6999" w:rsidRPr="00B33AA4" w:rsidRDefault="00FE6999" w:rsidP="00BC58C4">
            <w:pPr>
              <w:pStyle w:val="15TablePara"/>
            </w:pPr>
          </w:p>
        </w:tc>
        <w:tc>
          <w:tcPr>
            <w:tcW w:w="611" w:type="pct"/>
            <w:tcBorders>
              <w:bottom w:val="single" w:sz="4" w:space="0" w:color="auto"/>
            </w:tcBorders>
          </w:tcPr>
          <w:p w14:paraId="6691B9DC" w14:textId="77777777" w:rsidR="00FE6999" w:rsidRPr="00B33AA4" w:rsidRDefault="00FE6999" w:rsidP="00BC58C4">
            <w:pPr>
              <w:pStyle w:val="15TablePara"/>
            </w:pPr>
          </w:p>
        </w:tc>
      </w:tr>
      <w:tr w:rsidR="00AE1F88" w:rsidRPr="005628AE" w14:paraId="1FB78115" w14:textId="77777777" w:rsidTr="008B014D">
        <w:trPr>
          <w:cantSplit/>
        </w:trPr>
        <w:tc>
          <w:tcPr>
            <w:tcW w:w="515" w:type="pct"/>
            <w:tcBorders>
              <w:bottom w:val="double" w:sz="4" w:space="0" w:color="auto"/>
            </w:tcBorders>
          </w:tcPr>
          <w:p w14:paraId="71074824" w14:textId="77777777" w:rsidR="00FE6999" w:rsidRPr="00B33AA4" w:rsidRDefault="00FE6999" w:rsidP="00BC58C4">
            <w:pPr>
              <w:pStyle w:val="15TableHeadCentred"/>
            </w:pPr>
          </w:p>
        </w:tc>
        <w:tc>
          <w:tcPr>
            <w:tcW w:w="362" w:type="pct"/>
            <w:tcBorders>
              <w:bottom w:val="double" w:sz="4" w:space="0" w:color="auto"/>
            </w:tcBorders>
          </w:tcPr>
          <w:p w14:paraId="3F678616" w14:textId="77777777" w:rsidR="00FE6999" w:rsidRPr="00B33AA4" w:rsidRDefault="00FE6999" w:rsidP="00BC58C4">
            <w:pPr>
              <w:pStyle w:val="15TablePara"/>
            </w:pPr>
          </w:p>
        </w:tc>
        <w:tc>
          <w:tcPr>
            <w:tcW w:w="265" w:type="pct"/>
            <w:tcBorders>
              <w:bottom w:val="double" w:sz="4" w:space="0" w:color="auto"/>
            </w:tcBorders>
          </w:tcPr>
          <w:p w14:paraId="018FE153" w14:textId="77777777" w:rsidR="00FE6999" w:rsidRPr="00B33AA4" w:rsidRDefault="00FE6999" w:rsidP="00BC58C4">
            <w:pPr>
              <w:pStyle w:val="15TablePara"/>
            </w:pPr>
          </w:p>
        </w:tc>
        <w:tc>
          <w:tcPr>
            <w:tcW w:w="288" w:type="pct"/>
            <w:tcBorders>
              <w:bottom w:val="double" w:sz="4" w:space="0" w:color="auto"/>
            </w:tcBorders>
          </w:tcPr>
          <w:p w14:paraId="07C3CCC7" w14:textId="77777777" w:rsidR="00FE6999" w:rsidRPr="00B33AA4" w:rsidRDefault="00FE6999" w:rsidP="00BC58C4">
            <w:pPr>
              <w:pStyle w:val="15TablePara"/>
            </w:pPr>
          </w:p>
        </w:tc>
        <w:tc>
          <w:tcPr>
            <w:tcW w:w="555" w:type="pct"/>
            <w:tcBorders>
              <w:bottom w:val="double" w:sz="4" w:space="0" w:color="auto"/>
            </w:tcBorders>
          </w:tcPr>
          <w:p w14:paraId="7D93946E" w14:textId="77777777" w:rsidR="00FE6999" w:rsidRPr="00B33AA4" w:rsidRDefault="00FE6999" w:rsidP="00BC58C4">
            <w:pPr>
              <w:pStyle w:val="15TablePara"/>
            </w:pPr>
          </w:p>
        </w:tc>
        <w:tc>
          <w:tcPr>
            <w:tcW w:w="362" w:type="pct"/>
            <w:tcBorders>
              <w:bottom w:val="double" w:sz="4" w:space="0" w:color="auto"/>
            </w:tcBorders>
          </w:tcPr>
          <w:p w14:paraId="21B236C3" w14:textId="77777777" w:rsidR="00FE6999" w:rsidRPr="00B33AA4" w:rsidRDefault="00FE6999" w:rsidP="00BC58C4">
            <w:pPr>
              <w:pStyle w:val="15TablePara"/>
            </w:pPr>
          </w:p>
        </w:tc>
        <w:tc>
          <w:tcPr>
            <w:tcW w:w="362" w:type="pct"/>
            <w:tcBorders>
              <w:bottom w:val="double" w:sz="4" w:space="0" w:color="auto"/>
            </w:tcBorders>
          </w:tcPr>
          <w:p w14:paraId="4CEB9D32" w14:textId="77777777" w:rsidR="00FE6999" w:rsidRPr="00B33AA4" w:rsidRDefault="00FE6999" w:rsidP="00BC58C4">
            <w:pPr>
              <w:pStyle w:val="15TablePara"/>
            </w:pPr>
          </w:p>
        </w:tc>
        <w:tc>
          <w:tcPr>
            <w:tcW w:w="423" w:type="pct"/>
            <w:tcBorders>
              <w:bottom w:val="double" w:sz="4" w:space="0" w:color="auto"/>
            </w:tcBorders>
          </w:tcPr>
          <w:p w14:paraId="05FA7683" w14:textId="77777777" w:rsidR="00FE6999" w:rsidRPr="00B33AA4" w:rsidRDefault="00FE6999" w:rsidP="00BC58C4">
            <w:pPr>
              <w:pStyle w:val="15TablePara"/>
            </w:pPr>
          </w:p>
        </w:tc>
        <w:tc>
          <w:tcPr>
            <w:tcW w:w="423" w:type="pct"/>
            <w:tcBorders>
              <w:bottom w:val="double" w:sz="4" w:space="0" w:color="auto"/>
            </w:tcBorders>
          </w:tcPr>
          <w:p w14:paraId="74A12FEA" w14:textId="77777777" w:rsidR="00FE6999" w:rsidRPr="00B33AA4" w:rsidRDefault="00FE6999" w:rsidP="00BC58C4">
            <w:pPr>
              <w:pStyle w:val="15TablePara"/>
            </w:pPr>
          </w:p>
        </w:tc>
        <w:tc>
          <w:tcPr>
            <w:tcW w:w="432" w:type="pct"/>
            <w:tcBorders>
              <w:bottom w:val="double" w:sz="4" w:space="0" w:color="auto"/>
            </w:tcBorders>
          </w:tcPr>
          <w:p w14:paraId="66B82A47" w14:textId="77777777" w:rsidR="00FE6999" w:rsidRPr="00B33AA4" w:rsidRDefault="00FE6999" w:rsidP="00BC58C4">
            <w:pPr>
              <w:pStyle w:val="15TablePara"/>
            </w:pPr>
          </w:p>
        </w:tc>
        <w:tc>
          <w:tcPr>
            <w:tcW w:w="401" w:type="pct"/>
            <w:tcBorders>
              <w:bottom w:val="double" w:sz="4" w:space="0" w:color="auto"/>
            </w:tcBorders>
          </w:tcPr>
          <w:p w14:paraId="423AD2D0" w14:textId="77777777" w:rsidR="00FE6999" w:rsidRPr="00B33AA4" w:rsidRDefault="00FE6999" w:rsidP="00BC58C4">
            <w:pPr>
              <w:pStyle w:val="15TablePara"/>
            </w:pPr>
          </w:p>
        </w:tc>
        <w:tc>
          <w:tcPr>
            <w:tcW w:w="611" w:type="pct"/>
            <w:tcBorders>
              <w:bottom w:val="double" w:sz="4" w:space="0" w:color="auto"/>
            </w:tcBorders>
          </w:tcPr>
          <w:p w14:paraId="65B65A6A" w14:textId="77777777" w:rsidR="00FE6999" w:rsidRPr="00B33AA4" w:rsidRDefault="00FE6999" w:rsidP="00BC58C4">
            <w:pPr>
              <w:pStyle w:val="15TablePara"/>
            </w:pPr>
          </w:p>
        </w:tc>
      </w:tr>
      <w:tr w:rsidR="00AE1F88" w:rsidRPr="005628AE" w14:paraId="6BDC01C3" w14:textId="77777777" w:rsidTr="008B014D">
        <w:trPr>
          <w:cantSplit/>
        </w:trPr>
        <w:tc>
          <w:tcPr>
            <w:tcW w:w="515" w:type="pct"/>
            <w:tcBorders>
              <w:top w:val="double" w:sz="4" w:space="0" w:color="auto"/>
            </w:tcBorders>
          </w:tcPr>
          <w:p w14:paraId="5DDFBDAC" w14:textId="77777777" w:rsidR="00FE6999" w:rsidRPr="00B33AA4" w:rsidRDefault="000A1541" w:rsidP="00BC58C4">
            <w:pPr>
              <w:pStyle w:val="15TableHeadCentred"/>
            </w:pPr>
            <w:r w:rsidRPr="00B33AA4">
              <w:t>Montant t</w:t>
            </w:r>
            <w:r w:rsidR="00FE6999" w:rsidRPr="00B33AA4">
              <w:t>otal</w:t>
            </w:r>
            <w:r w:rsidRPr="00B33AA4">
              <w:t xml:space="preserve"> des ajustements</w:t>
            </w:r>
          </w:p>
        </w:tc>
        <w:tc>
          <w:tcPr>
            <w:tcW w:w="362" w:type="pct"/>
            <w:tcBorders>
              <w:top w:val="double" w:sz="4" w:space="0" w:color="auto"/>
            </w:tcBorders>
          </w:tcPr>
          <w:p w14:paraId="6B7C4E6B" w14:textId="77777777" w:rsidR="00FE6999" w:rsidRPr="00B33AA4" w:rsidRDefault="00FE6999" w:rsidP="00BC58C4">
            <w:pPr>
              <w:pStyle w:val="15TablePara"/>
            </w:pPr>
          </w:p>
        </w:tc>
        <w:tc>
          <w:tcPr>
            <w:tcW w:w="265" w:type="pct"/>
            <w:tcBorders>
              <w:top w:val="double" w:sz="4" w:space="0" w:color="auto"/>
            </w:tcBorders>
          </w:tcPr>
          <w:p w14:paraId="1AD93E08" w14:textId="77777777" w:rsidR="00FE6999" w:rsidRPr="00B33AA4" w:rsidRDefault="00FE6999" w:rsidP="00BC58C4">
            <w:pPr>
              <w:pStyle w:val="15TablePara"/>
            </w:pPr>
          </w:p>
        </w:tc>
        <w:tc>
          <w:tcPr>
            <w:tcW w:w="288" w:type="pct"/>
            <w:tcBorders>
              <w:top w:val="double" w:sz="4" w:space="0" w:color="auto"/>
            </w:tcBorders>
          </w:tcPr>
          <w:p w14:paraId="1B2D86C2" w14:textId="77777777" w:rsidR="00FE6999" w:rsidRPr="00B33AA4" w:rsidRDefault="00FE6999" w:rsidP="00BC58C4">
            <w:pPr>
              <w:pStyle w:val="15TablePara"/>
            </w:pPr>
          </w:p>
        </w:tc>
        <w:tc>
          <w:tcPr>
            <w:tcW w:w="555" w:type="pct"/>
            <w:tcBorders>
              <w:top w:val="double" w:sz="4" w:space="0" w:color="auto"/>
            </w:tcBorders>
          </w:tcPr>
          <w:p w14:paraId="3C978FC0" w14:textId="77777777" w:rsidR="00FE6999" w:rsidRPr="00B33AA4" w:rsidRDefault="00FE6999" w:rsidP="00BC58C4">
            <w:pPr>
              <w:pStyle w:val="15TablePara"/>
            </w:pPr>
          </w:p>
        </w:tc>
        <w:tc>
          <w:tcPr>
            <w:tcW w:w="362" w:type="pct"/>
            <w:tcBorders>
              <w:top w:val="double" w:sz="4" w:space="0" w:color="auto"/>
            </w:tcBorders>
          </w:tcPr>
          <w:p w14:paraId="1D729956" w14:textId="77777777" w:rsidR="00FE6999" w:rsidRPr="00B33AA4" w:rsidRDefault="00FE6999" w:rsidP="00BC58C4">
            <w:pPr>
              <w:pStyle w:val="15TablePara"/>
            </w:pPr>
          </w:p>
        </w:tc>
        <w:tc>
          <w:tcPr>
            <w:tcW w:w="362" w:type="pct"/>
            <w:tcBorders>
              <w:top w:val="double" w:sz="4" w:space="0" w:color="auto"/>
            </w:tcBorders>
          </w:tcPr>
          <w:p w14:paraId="507130E3" w14:textId="77777777" w:rsidR="00FE6999" w:rsidRPr="00B33AA4" w:rsidRDefault="00FE6999" w:rsidP="00BC58C4">
            <w:pPr>
              <w:pStyle w:val="15TablePara"/>
            </w:pPr>
          </w:p>
        </w:tc>
        <w:tc>
          <w:tcPr>
            <w:tcW w:w="423" w:type="pct"/>
            <w:tcBorders>
              <w:top w:val="double" w:sz="4" w:space="0" w:color="auto"/>
            </w:tcBorders>
          </w:tcPr>
          <w:p w14:paraId="216D5A98" w14:textId="77777777" w:rsidR="00FE6999" w:rsidRPr="00B33AA4" w:rsidRDefault="00FE6999" w:rsidP="00BC58C4">
            <w:pPr>
              <w:pStyle w:val="15TablePara"/>
            </w:pPr>
          </w:p>
        </w:tc>
        <w:tc>
          <w:tcPr>
            <w:tcW w:w="423" w:type="pct"/>
            <w:tcBorders>
              <w:top w:val="double" w:sz="4" w:space="0" w:color="auto"/>
            </w:tcBorders>
          </w:tcPr>
          <w:p w14:paraId="7B3942CC" w14:textId="77777777" w:rsidR="00FE6999" w:rsidRPr="00B33AA4" w:rsidRDefault="00FE6999" w:rsidP="00BC58C4">
            <w:pPr>
              <w:pStyle w:val="15TablePara"/>
            </w:pPr>
          </w:p>
        </w:tc>
        <w:tc>
          <w:tcPr>
            <w:tcW w:w="432" w:type="pct"/>
            <w:tcBorders>
              <w:top w:val="double" w:sz="4" w:space="0" w:color="auto"/>
            </w:tcBorders>
          </w:tcPr>
          <w:p w14:paraId="5EC4742F" w14:textId="77777777" w:rsidR="00FE6999" w:rsidRPr="00B33AA4" w:rsidRDefault="00FE6999" w:rsidP="00BC58C4">
            <w:pPr>
              <w:pStyle w:val="15TablePara"/>
            </w:pPr>
          </w:p>
        </w:tc>
        <w:tc>
          <w:tcPr>
            <w:tcW w:w="401" w:type="pct"/>
            <w:tcBorders>
              <w:top w:val="double" w:sz="4" w:space="0" w:color="auto"/>
            </w:tcBorders>
          </w:tcPr>
          <w:p w14:paraId="31AA1474" w14:textId="77777777" w:rsidR="00FE6999" w:rsidRPr="00B33AA4" w:rsidRDefault="00FE6999" w:rsidP="00BC58C4">
            <w:pPr>
              <w:pStyle w:val="15TablePara"/>
            </w:pPr>
          </w:p>
        </w:tc>
        <w:tc>
          <w:tcPr>
            <w:tcW w:w="611" w:type="pct"/>
            <w:tcBorders>
              <w:top w:val="double" w:sz="4" w:space="0" w:color="auto"/>
            </w:tcBorders>
          </w:tcPr>
          <w:p w14:paraId="64DF76C3" w14:textId="77777777" w:rsidR="00FE6999" w:rsidRPr="00B33AA4" w:rsidRDefault="00FE6999" w:rsidP="00BC58C4">
            <w:pPr>
              <w:pStyle w:val="15TablePara"/>
            </w:pPr>
          </w:p>
        </w:tc>
      </w:tr>
      <w:tr w:rsidR="00AE1F88" w:rsidRPr="005628AE" w14:paraId="07CF1C63" w14:textId="77777777" w:rsidTr="00BC58C4">
        <w:trPr>
          <w:cantSplit/>
        </w:trPr>
        <w:tc>
          <w:tcPr>
            <w:tcW w:w="515" w:type="pct"/>
          </w:tcPr>
          <w:p w14:paraId="723C7765" w14:textId="77777777" w:rsidR="00FE6999" w:rsidRPr="00B33AA4" w:rsidRDefault="000A1541" w:rsidP="00BC58C4">
            <w:pPr>
              <w:pStyle w:val="15TableHeadCentred"/>
            </w:pPr>
            <w:r w:rsidRPr="00B33AA4">
              <w:t xml:space="preserve">Montants </w:t>
            </w:r>
            <w:r w:rsidR="00703703" w:rsidRPr="00B33AA4">
              <w:t xml:space="preserve">aux </w:t>
            </w:r>
            <w:r w:rsidRPr="00B33AA4">
              <w:t>états financiers</w:t>
            </w:r>
          </w:p>
        </w:tc>
        <w:tc>
          <w:tcPr>
            <w:tcW w:w="362" w:type="pct"/>
          </w:tcPr>
          <w:p w14:paraId="14BD4AB7" w14:textId="77777777" w:rsidR="00FE6999" w:rsidRPr="00B33AA4" w:rsidRDefault="00FE6999" w:rsidP="00BC58C4">
            <w:pPr>
              <w:pStyle w:val="15TablePara"/>
            </w:pPr>
          </w:p>
        </w:tc>
        <w:tc>
          <w:tcPr>
            <w:tcW w:w="265" w:type="pct"/>
          </w:tcPr>
          <w:p w14:paraId="3CE80D0C" w14:textId="77777777" w:rsidR="00FE6999" w:rsidRPr="00B33AA4" w:rsidRDefault="00FE6999" w:rsidP="00BC58C4">
            <w:pPr>
              <w:pStyle w:val="15TablePara"/>
            </w:pPr>
          </w:p>
        </w:tc>
        <w:tc>
          <w:tcPr>
            <w:tcW w:w="288" w:type="pct"/>
          </w:tcPr>
          <w:p w14:paraId="2D495289" w14:textId="77777777" w:rsidR="00FE6999" w:rsidRPr="00B33AA4" w:rsidRDefault="00FE6999" w:rsidP="00BC58C4">
            <w:pPr>
              <w:pStyle w:val="15TablePara"/>
            </w:pPr>
          </w:p>
        </w:tc>
        <w:tc>
          <w:tcPr>
            <w:tcW w:w="555" w:type="pct"/>
          </w:tcPr>
          <w:p w14:paraId="70F02F0D" w14:textId="77777777" w:rsidR="00FE6999" w:rsidRPr="00B33AA4" w:rsidRDefault="00FE6999" w:rsidP="00BC58C4">
            <w:pPr>
              <w:pStyle w:val="15TablePara"/>
            </w:pPr>
          </w:p>
        </w:tc>
        <w:tc>
          <w:tcPr>
            <w:tcW w:w="362" w:type="pct"/>
          </w:tcPr>
          <w:p w14:paraId="494A0B65" w14:textId="77777777" w:rsidR="00FE6999" w:rsidRPr="00B33AA4" w:rsidRDefault="00FE6999" w:rsidP="00BC58C4">
            <w:pPr>
              <w:pStyle w:val="15TablePara"/>
            </w:pPr>
          </w:p>
        </w:tc>
        <w:tc>
          <w:tcPr>
            <w:tcW w:w="362" w:type="pct"/>
          </w:tcPr>
          <w:p w14:paraId="38A3FD54" w14:textId="77777777" w:rsidR="00FE6999" w:rsidRPr="00B33AA4" w:rsidRDefault="00FE6999" w:rsidP="00BC58C4">
            <w:pPr>
              <w:pStyle w:val="15TablePara"/>
            </w:pPr>
          </w:p>
        </w:tc>
        <w:tc>
          <w:tcPr>
            <w:tcW w:w="423" w:type="pct"/>
          </w:tcPr>
          <w:p w14:paraId="063A5EFA" w14:textId="77777777" w:rsidR="00FE6999" w:rsidRPr="00B33AA4" w:rsidRDefault="00FE6999" w:rsidP="00BC58C4">
            <w:pPr>
              <w:pStyle w:val="15TablePara"/>
            </w:pPr>
          </w:p>
        </w:tc>
        <w:tc>
          <w:tcPr>
            <w:tcW w:w="423" w:type="pct"/>
          </w:tcPr>
          <w:p w14:paraId="085A6009" w14:textId="77777777" w:rsidR="00FE6999" w:rsidRPr="00B33AA4" w:rsidRDefault="00FE6999" w:rsidP="00BC58C4">
            <w:pPr>
              <w:pStyle w:val="15TablePara"/>
            </w:pPr>
          </w:p>
        </w:tc>
        <w:tc>
          <w:tcPr>
            <w:tcW w:w="432" w:type="pct"/>
          </w:tcPr>
          <w:p w14:paraId="0E22EA20" w14:textId="77777777" w:rsidR="00FE6999" w:rsidRPr="00B33AA4" w:rsidRDefault="00FE6999" w:rsidP="00BC58C4">
            <w:pPr>
              <w:pStyle w:val="15TablePara"/>
            </w:pPr>
          </w:p>
        </w:tc>
        <w:tc>
          <w:tcPr>
            <w:tcW w:w="401" w:type="pct"/>
          </w:tcPr>
          <w:p w14:paraId="6C7C9195" w14:textId="77777777" w:rsidR="00FE6999" w:rsidRPr="00B33AA4" w:rsidRDefault="00FE6999" w:rsidP="00BC58C4">
            <w:pPr>
              <w:pStyle w:val="15TablePara"/>
            </w:pPr>
          </w:p>
        </w:tc>
        <w:tc>
          <w:tcPr>
            <w:tcW w:w="611" w:type="pct"/>
          </w:tcPr>
          <w:p w14:paraId="01E9F7AB" w14:textId="77777777" w:rsidR="00FE6999" w:rsidRPr="00B33AA4" w:rsidRDefault="00FE6999" w:rsidP="00BC58C4">
            <w:pPr>
              <w:pStyle w:val="15TablePara"/>
            </w:pPr>
          </w:p>
        </w:tc>
      </w:tr>
      <w:tr w:rsidR="00AE1F88" w:rsidRPr="00C40213" w14:paraId="5ADCF05B" w14:textId="77777777" w:rsidTr="00BC58C4">
        <w:trPr>
          <w:cantSplit/>
        </w:trPr>
        <w:tc>
          <w:tcPr>
            <w:tcW w:w="515" w:type="pct"/>
          </w:tcPr>
          <w:p w14:paraId="2F80BD76" w14:textId="77777777" w:rsidR="00FE6999" w:rsidRPr="00B33AA4" w:rsidRDefault="00FE6999" w:rsidP="00BC58C4">
            <w:pPr>
              <w:pStyle w:val="15TableHeadCentred"/>
            </w:pPr>
            <w:r w:rsidRPr="00B33AA4">
              <w:t>I</w:t>
            </w:r>
            <w:r w:rsidR="000A1541" w:rsidRPr="00B33AA4">
              <w:t>ncidence en % par rapport aux états financiers</w:t>
            </w:r>
          </w:p>
        </w:tc>
        <w:tc>
          <w:tcPr>
            <w:tcW w:w="362" w:type="pct"/>
          </w:tcPr>
          <w:p w14:paraId="78F12AE0" w14:textId="77777777" w:rsidR="00FE6999" w:rsidRPr="00B33AA4" w:rsidRDefault="00FE6999" w:rsidP="00BC58C4">
            <w:pPr>
              <w:pStyle w:val="15TablePara"/>
            </w:pPr>
          </w:p>
        </w:tc>
        <w:tc>
          <w:tcPr>
            <w:tcW w:w="265" w:type="pct"/>
          </w:tcPr>
          <w:p w14:paraId="5706CE38" w14:textId="77777777" w:rsidR="00FE6999" w:rsidRPr="00B33AA4" w:rsidRDefault="00FE6999" w:rsidP="00BC58C4">
            <w:pPr>
              <w:pStyle w:val="15TablePara"/>
            </w:pPr>
          </w:p>
        </w:tc>
        <w:tc>
          <w:tcPr>
            <w:tcW w:w="288" w:type="pct"/>
          </w:tcPr>
          <w:p w14:paraId="3B221FB9" w14:textId="77777777" w:rsidR="00FE6999" w:rsidRPr="00B33AA4" w:rsidRDefault="00FE6999" w:rsidP="00BC58C4">
            <w:pPr>
              <w:pStyle w:val="15TablePara"/>
            </w:pPr>
          </w:p>
        </w:tc>
        <w:tc>
          <w:tcPr>
            <w:tcW w:w="555" w:type="pct"/>
          </w:tcPr>
          <w:p w14:paraId="2727CCD5" w14:textId="77777777" w:rsidR="00FE6999" w:rsidRPr="00B33AA4" w:rsidRDefault="00FE6999" w:rsidP="00BC58C4">
            <w:pPr>
              <w:pStyle w:val="15TablePara"/>
            </w:pPr>
          </w:p>
        </w:tc>
        <w:tc>
          <w:tcPr>
            <w:tcW w:w="362" w:type="pct"/>
          </w:tcPr>
          <w:p w14:paraId="3CE9CBF0" w14:textId="77777777" w:rsidR="00FE6999" w:rsidRPr="00B33AA4" w:rsidRDefault="00FE6999" w:rsidP="00BC58C4">
            <w:pPr>
              <w:pStyle w:val="15TablePara"/>
            </w:pPr>
          </w:p>
        </w:tc>
        <w:tc>
          <w:tcPr>
            <w:tcW w:w="362" w:type="pct"/>
          </w:tcPr>
          <w:p w14:paraId="704197BE" w14:textId="77777777" w:rsidR="00FE6999" w:rsidRPr="00B33AA4" w:rsidRDefault="00FE6999" w:rsidP="00BC58C4">
            <w:pPr>
              <w:pStyle w:val="15TablePara"/>
            </w:pPr>
          </w:p>
        </w:tc>
        <w:tc>
          <w:tcPr>
            <w:tcW w:w="423" w:type="pct"/>
          </w:tcPr>
          <w:p w14:paraId="1F6740E6" w14:textId="77777777" w:rsidR="00FE6999" w:rsidRPr="00B33AA4" w:rsidRDefault="00FE6999" w:rsidP="00BC58C4">
            <w:pPr>
              <w:pStyle w:val="15TablePara"/>
            </w:pPr>
          </w:p>
        </w:tc>
        <w:tc>
          <w:tcPr>
            <w:tcW w:w="423" w:type="pct"/>
          </w:tcPr>
          <w:p w14:paraId="5731682F" w14:textId="77777777" w:rsidR="00FE6999" w:rsidRPr="00B33AA4" w:rsidRDefault="00FE6999" w:rsidP="00BC58C4">
            <w:pPr>
              <w:pStyle w:val="15TablePara"/>
            </w:pPr>
          </w:p>
        </w:tc>
        <w:tc>
          <w:tcPr>
            <w:tcW w:w="432" w:type="pct"/>
          </w:tcPr>
          <w:p w14:paraId="1D76A87F" w14:textId="77777777" w:rsidR="00FE6999" w:rsidRPr="00B33AA4" w:rsidRDefault="00FE6999" w:rsidP="00BC58C4">
            <w:pPr>
              <w:pStyle w:val="15TablePara"/>
            </w:pPr>
          </w:p>
        </w:tc>
        <w:tc>
          <w:tcPr>
            <w:tcW w:w="401" w:type="pct"/>
          </w:tcPr>
          <w:p w14:paraId="6C2AC64F" w14:textId="77777777" w:rsidR="00FE6999" w:rsidRPr="00B33AA4" w:rsidRDefault="00FE6999" w:rsidP="00BC58C4">
            <w:pPr>
              <w:pStyle w:val="15TablePara"/>
            </w:pPr>
          </w:p>
        </w:tc>
        <w:tc>
          <w:tcPr>
            <w:tcW w:w="611" w:type="pct"/>
          </w:tcPr>
          <w:p w14:paraId="4006AB0D" w14:textId="77777777" w:rsidR="00FE6999" w:rsidRPr="00B33AA4" w:rsidRDefault="00FE6999" w:rsidP="00BC58C4">
            <w:pPr>
              <w:pStyle w:val="15TablePara"/>
            </w:pPr>
          </w:p>
        </w:tc>
      </w:tr>
    </w:tbl>
    <w:p w14:paraId="68FDBCB5" w14:textId="77777777" w:rsidR="000A4996" w:rsidRPr="00B33AA4" w:rsidRDefault="000A4996">
      <w:pPr>
        <w:rPr>
          <w:rFonts w:ascii="Georgia" w:eastAsia="SimSun" w:hAnsi="Georgia" w:cs="Arial"/>
          <w:sz w:val="20"/>
          <w:szCs w:val="20"/>
          <w:lang w:val="fr-CA" w:eastAsia="zh-CN"/>
        </w:rPr>
      </w:pPr>
      <w:r w:rsidRPr="00B33AA4">
        <w:rPr>
          <w:rFonts w:ascii="Georgia" w:hAnsi="Georgia" w:cs="Arial"/>
          <w:lang w:val="fr-CA"/>
        </w:rPr>
        <w:br w:type="page"/>
      </w:r>
    </w:p>
    <w:p w14:paraId="693D49F0" w14:textId="3453D73F" w:rsidR="000A4996" w:rsidRPr="00B33AA4" w:rsidRDefault="000A4996" w:rsidP="00B0456B">
      <w:pPr>
        <w:pStyle w:val="Heading1"/>
        <w:spacing w:before="0" w:after="360"/>
      </w:pPr>
      <w:r w:rsidRPr="00B33AA4">
        <w:lastRenderedPageBreak/>
        <w:t>A</w:t>
      </w:r>
      <w:r w:rsidR="00E1323B" w:rsidRPr="00B33AA4">
        <w:t xml:space="preserve">nnexe </w:t>
      </w:r>
      <w:r w:rsidRPr="00B33AA4">
        <w:t>B</w:t>
      </w:r>
      <w:r w:rsidR="00E1323B" w:rsidRPr="00B33AA4">
        <w:t xml:space="preserve"> </w:t>
      </w:r>
      <w:r w:rsidR="008E5591" w:rsidRPr="00B33AA4">
        <w:t>—</w:t>
      </w:r>
      <w:r w:rsidR="00E1323B" w:rsidRPr="00B33AA4">
        <w:t xml:space="preserve"> </w:t>
      </w:r>
      <w:r w:rsidR="00E1323B" w:rsidRPr="00B33AA4">
        <w:rPr>
          <w:color w:val="000000"/>
          <w:szCs w:val="26"/>
        </w:rPr>
        <w:t xml:space="preserve">Sommaire des </w:t>
      </w:r>
      <w:r w:rsidR="00E1323B" w:rsidRPr="00B33AA4">
        <w:t>anomalies</w:t>
      </w:r>
      <w:r w:rsidR="00E1323B" w:rsidRPr="00B33AA4">
        <w:rPr>
          <w:color w:val="000000"/>
          <w:szCs w:val="26"/>
        </w:rPr>
        <w:t xml:space="preserve"> corrigées (SAC)</w:t>
      </w:r>
      <w:r w:rsidR="00E41664">
        <w:rPr>
          <w:color w:val="000000"/>
          <w:szCs w:val="26"/>
        </w:rPr>
        <w:t xml:space="preserve"> </w:t>
      </w:r>
      <w:r w:rsidR="00E41664" w:rsidRPr="002F6772">
        <w:t>[</w:t>
      </w:r>
      <w:r w:rsidR="00E41664">
        <w:rPr>
          <w:rStyle w:val="BlueText"/>
        </w:rPr>
        <w:t>facultatif</w:t>
      </w:r>
      <w:r w:rsidR="00E41664" w:rsidRPr="002F6772">
        <w:t>]</w:t>
      </w:r>
    </w:p>
    <w:p w14:paraId="6F4A6263" w14:textId="2FCD4C79" w:rsidR="000A4996" w:rsidRPr="006D6F2F" w:rsidRDefault="000A4996" w:rsidP="00B0456B">
      <w:pPr>
        <w:pStyle w:val="09Para"/>
        <w:rPr>
          <w:i/>
        </w:rPr>
      </w:pPr>
      <w:r w:rsidRPr="006D6F2F">
        <w:rPr>
          <w:i/>
        </w:rPr>
        <w:t>[</w:t>
      </w:r>
      <w:r w:rsidR="00AE1F88" w:rsidRPr="006D6F2F">
        <w:rPr>
          <w:i/>
          <w:color w:val="0000FF"/>
        </w:rPr>
        <w:t>Certaines colonnes peuvent être supprimées au besoin. Par exemple, les colonnes pour les flux de trésorerie peuvent être supprimées si aucun élément n</w:t>
      </w:r>
      <w:r w:rsidR="00865E23" w:rsidRPr="006D6F2F">
        <w:rPr>
          <w:i/>
          <w:color w:val="0000FF"/>
        </w:rPr>
        <w:t>’</w:t>
      </w:r>
      <w:r w:rsidR="00AE1F88" w:rsidRPr="006D6F2F">
        <w:rPr>
          <w:i/>
          <w:color w:val="0000FF"/>
        </w:rPr>
        <w:t>affecte l</w:t>
      </w:r>
      <w:r w:rsidR="00865E23" w:rsidRPr="006D6F2F">
        <w:rPr>
          <w:i/>
          <w:color w:val="0000FF"/>
        </w:rPr>
        <w:t>’</w:t>
      </w:r>
      <w:r w:rsidR="00AE1F88" w:rsidRPr="006D6F2F">
        <w:rPr>
          <w:i/>
          <w:color w:val="0000FF"/>
        </w:rPr>
        <w:t>état des flux de trésorerie. Dans certaines situations, il pourrait être approprié d</w:t>
      </w:r>
      <w:r w:rsidR="00865E23" w:rsidRPr="006D6F2F">
        <w:rPr>
          <w:i/>
          <w:color w:val="0000FF"/>
        </w:rPr>
        <w:t>’</w:t>
      </w:r>
      <w:r w:rsidR="00AE1F88" w:rsidRPr="006D6F2F">
        <w:rPr>
          <w:i/>
          <w:color w:val="0000FF"/>
        </w:rPr>
        <w:t>ajouter une ou plusieurs colonnes</w:t>
      </w:r>
      <w:r w:rsidR="00D44E47">
        <w:rPr>
          <w:i/>
          <w:color w:val="0000FF"/>
        </w:rPr>
        <w:t xml:space="preserve"> ou lignes</w:t>
      </w:r>
      <w:r w:rsidR="00AE1F88" w:rsidRPr="006D6F2F">
        <w:rPr>
          <w:i/>
          <w:color w:val="0000FF"/>
        </w:rPr>
        <w:t xml:space="preserve">, par exemple lorsque les anomalies corrigées ont des incidences sur </w:t>
      </w:r>
      <w:r w:rsidR="00853F4B" w:rsidRPr="006D6F2F">
        <w:rPr>
          <w:i/>
          <w:color w:val="0000FF"/>
        </w:rPr>
        <w:t xml:space="preserve">les </w:t>
      </w:r>
      <w:r w:rsidR="00AE1F88" w:rsidRPr="006D6F2F">
        <w:rPr>
          <w:i/>
          <w:color w:val="0000FF"/>
        </w:rPr>
        <w:t>autres éléments du résultat global</w:t>
      </w:r>
      <w:r w:rsidR="00FB4A7C">
        <w:rPr>
          <w:i/>
          <w:color w:val="0000FF"/>
        </w:rPr>
        <w:t xml:space="preserve"> ou lorsqu’il y a des lacunes dans les </w:t>
      </w:r>
      <w:r w:rsidR="00FB4A7C" w:rsidRPr="005940DC">
        <w:rPr>
          <w:i/>
          <w:color w:val="0000FF"/>
        </w:rPr>
        <w:t>informations fournies dans les états financiers</w:t>
      </w:r>
      <w:r w:rsidR="00AE1F88" w:rsidRPr="006D6F2F">
        <w:rPr>
          <w:i/>
          <w:color w:val="0000FF"/>
        </w:rPr>
        <w:t>.</w:t>
      </w:r>
      <w:r w:rsidRPr="006D6F2F">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637"/>
        <w:gridCol w:w="1244"/>
        <w:gridCol w:w="1244"/>
        <w:gridCol w:w="1247"/>
        <w:gridCol w:w="1375"/>
        <w:gridCol w:w="1503"/>
        <w:gridCol w:w="1516"/>
        <w:gridCol w:w="1839"/>
        <w:gridCol w:w="1479"/>
      </w:tblGrid>
      <w:tr w:rsidR="000A4996" w:rsidRPr="00C40213" w14:paraId="71CDF310" w14:textId="77777777" w:rsidTr="00B0456B">
        <w:trPr>
          <w:cantSplit/>
          <w:tblHeader/>
        </w:trPr>
        <w:tc>
          <w:tcPr>
            <w:tcW w:w="1226" w:type="pct"/>
          </w:tcPr>
          <w:p w14:paraId="13AD66E1" w14:textId="77777777" w:rsidR="000A4996" w:rsidRPr="00B33AA4" w:rsidRDefault="000A4996" w:rsidP="00B0456B">
            <w:pPr>
              <w:pStyle w:val="15TableHeadCentred"/>
            </w:pPr>
          </w:p>
        </w:tc>
        <w:tc>
          <w:tcPr>
            <w:tcW w:w="3774" w:type="pct"/>
            <w:gridSpan w:val="9"/>
          </w:tcPr>
          <w:p w14:paraId="7E508367" w14:textId="77777777" w:rsidR="000A4996" w:rsidRPr="00B33AA4" w:rsidRDefault="00AE1F88" w:rsidP="00B0456B">
            <w:pPr>
              <w:pStyle w:val="15TableHeadCentred"/>
            </w:pPr>
            <w:r w:rsidRPr="00B33AA4">
              <w:t xml:space="preserve">Incidence des ajustements sur les </w:t>
            </w:r>
            <w:r w:rsidR="00BE336A" w:rsidRPr="00B33AA4">
              <w:t xml:space="preserve">postes des </w:t>
            </w:r>
            <w:r w:rsidRPr="00B33AA4">
              <w:t>états financiers (en milliers de $) – Augmentation (diminution</w:t>
            </w:r>
            <w:r w:rsidR="000A4996" w:rsidRPr="00B33AA4">
              <w:t>)</w:t>
            </w:r>
          </w:p>
        </w:tc>
      </w:tr>
      <w:tr w:rsidR="00AE1F88" w:rsidRPr="00C40213" w14:paraId="2552A2A4" w14:textId="77777777" w:rsidTr="00B0456B">
        <w:trPr>
          <w:cantSplit/>
          <w:tblHeader/>
        </w:trPr>
        <w:tc>
          <w:tcPr>
            <w:tcW w:w="1226" w:type="pct"/>
          </w:tcPr>
          <w:p w14:paraId="04F29557" w14:textId="77777777" w:rsidR="00AE1F88" w:rsidRPr="00B33AA4" w:rsidRDefault="00AE1F88" w:rsidP="00B0456B">
            <w:pPr>
              <w:pStyle w:val="15TableHeadCentred"/>
            </w:pPr>
          </w:p>
        </w:tc>
        <w:tc>
          <w:tcPr>
            <w:tcW w:w="488" w:type="pct"/>
            <w:shd w:val="clear" w:color="auto" w:fill="auto"/>
            <w:vAlign w:val="center"/>
          </w:tcPr>
          <w:p w14:paraId="6957ED11" w14:textId="77777777" w:rsidR="00AE1F88" w:rsidRPr="00B33AA4" w:rsidRDefault="00AE1F88" w:rsidP="00B0456B">
            <w:pPr>
              <w:pStyle w:val="15TableHeadCentred"/>
              <w:rPr>
                <w:color w:val="0000FF"/>
              </w:rPr>
            </w:pPr>
            <w:r w:rsidRPr="00B33AA4">
              <w:t>Résultat net</w:t>
            </w:r>
          </w:p>
        </w:tc>
        <w:tc>
          <w:tcPr>
            <w:tcW w:w="1984" w:type="pct"/>
            <w:gridSpan w:val="5"/>
            <w:vMerge w:val="restart"/>
            <w:vAlign w:val="center"/>
          </w:tcPr>
          <w:p w14:paraId="6D2E836F" w14:textId="77777777" w:rsidR="00AE1F88" w:rsidRPr="00B33AA4" w:rsidRDefault="00AE1F88" w:rsidP="00B0456B">
            <w:pPr>
              <w:pStyle w:val="15TableHeadCentred"/>
            </w:pPr>
            <w:r w:rsidRPr="00B33AA4">
              <w:t>État de la situation financière</w:t>
            </w:r>
          </w:p>
        </w:tc>
        <w:tc>
          <w:tcPr>
            <w:tcW w:w="1302" w:type="pct"/>
            <w:gridSpan w:val="3"/>
            <w:vMerge w:val="restart"/>
            <w:vAlign w:val="center"/>
          </w:tcPr>
          <w:p w14:paraId="2C75267F" w14:textId="77777777" w:rsidR="00AE1F88" w:rsidRPr="00B33AA4" w:rsidRDefault="005D2474" w:rsidP="00B0456B">
            <w:pPr>
              <w:pStyle w:val="15TableHeadCentred"/>
            </w:pPr>
            <w:r w:rsidRPr="00B33AA4">
              <w:t>État des f</w:t>
            </w:r>
            <w:r w:rsidR="00AE1F88" w:rsidRPr="00B33AA4">
              <w:t>lux de trésorerie</w:t>
            </w:r>
          </w:p>
        </w:tc>
      </w:tr>
      <w:tr w:rsidR="000A4996" w:rsidRPr="005628AE" w14:paraId="513C5BFE" w14:textId="77777777" w:rsidTr="00B0456B">
        <w:trPr>
          <w:cantSplit/>
          <w:tblHeader/>
        </w:trPr>
        <w:tc>
          <w:tcPr>
            <w:tcW w:w="1226" w:type="pct"/>
          </w:tcPr>
          <w:p w14:paraId="6E363282" w14:textId="77777777" w:rsidR="000A4996" w:rsidRPr="00B33AA4" w:rsidRDefault="000A4996" w:rsidP="00B0456B">
            <w:pPr>
              <w:pStyle w:val="15TableHeadCentred"/>
            </w:pPr>
          </w:p>
        </w:tc>
        <w:tc>
          <w:tcPr>
            <w:tcW w:w="488" w:type="pct"/>
          </w:tcPr>
          <w:p w14:paraId="303CA9A0" w14:textId="77777777" w:rsidR="000A4996" w:rsidRPr="00B33AA4" w:rsidRDefault="00AE1F88" w:rsidP="00B0456B">
            <w:pPr>
              <w:pStyle w:val="15TableHeadCentred"/>
            </w:pPr>
            <w:r w:rsidRPr="00B33AA4">
              <w:t>Anomalies corrigées survenues dans</w:t>
            </w:r>
          </w:p>
        </w:tc>
        <w:tc>
          <w:tcPr>
            <w:tcW w:w="1984" w:type="pct"/>
            <w:gridSpan w:val="5"/>
            <w:vMerge/>
          </w:tcPr>
          <w:p w14:paraId="22443778" w14:textId="77777777" w:rsidR="000A4996" w:rsidRPr="00B33AA4" w:rsidRDefault="000A4996" w:rsidP="00B0456B">
            <w:pPr>
              <w:pStyle w:val="15TableHeadCentred"/>
            </w:pPr>
          </w:p>
        </w:tc>
        <w:tc>
          <w:tcPr>
            <w:tcW w:w="1302" w:type="pct"/>
            <w:gridSpan w:val="3"/>
            <w:vMerge/>
          </w:tcPr>
          <w:p w14:paraId="2E10AFFE" w14:textId="77777777" w:rsidR="000A4996" w:rsidRPr="00B33AA4" w:rsidRDefault="000A4996" w:rsidP="00B0456B">
            <w:pPr>
              <w:pStyle w:val="15TableHeadCentred"/>
            </w:pPr>
          </w:p>
        </w:tc>
      </w:tr>
      <w:tr w:rsidR="00AE1F88" w:rsidRPr="005628AE" w14:paraId="23621977" w14:textId="77777777" w:rsidTr="00B0456B">
        <w:trPr>
          <w:cantSplit/>
          <w:tblHeader/>
        </w:trPr>
        <w:tc>
          <w:tcPr>
            <w:tcW w:w="1226" w:type="pct"/>
            <w:vAlign w:val="center"/>
          </w:tcPr>
          <w:p w14:paraId="13A20C5F" w14:textId="77777777" w:rsidR="00AE1F88" w:rsidRPr="00B33AA4" w:rsidRDefault="00AE1F88" w:rsidP="00B0456B">
            <w:pPr>
              <w:pStyle w:val="15TableHeadCentred"/>
            </w:pPr>
            <w:r w:rsidRPr="00B33AA4">
              <w:t>Description</w:t>
            </w:r>
          </w:p>
        </w:tc>
        <w:tc>
          <w:tcPr>
            <w:tcW w:w="488" w:type="pct"/>
            <w:shd w:val="clear" w:color="auto" w:fill="auto"/>
            <w:vAlign w:val="center"/>
          </w:tcPr>
          <w:p w14:paraId="4AC15DF8" w14:textId="77777777" w:rsidR="00AE1F88" w:rsidRPr="00B33AA4" w:rsidRDefault="00AE1F88" w:rsidP="00B0456B">
            <w:pPr>
              <w:pStyle w:val="15TableHeadCentred"/>
            </w:pPr>
            <w:r w:rsidRPr="00B33AA4">
              <w:t>Exercice considéré</w:t>
            </w:r>
          </w:p>
        </w:tc>
        <w:tc>
          <w:tcPr>
            <w:tcW w:w="374" w:type="pct"/>
            <w:shd w:val="clear" w:color="auto" w:fill="auto"/>
            <w:vAlign w:val="center"/>
          </w:tcPr>
          <w:p w14:paraId="773EDB8A" w14:textId="77777777" w:rsidR="00AE1F88" w:rsidRPr="00B33AA4" w:rsidRDefault="00AE1F88" w:rsidP="00B0456B">
            <w:pPr>
              <w:pStyle w:val="15TableHeadCentred"/>
            </w:pPr>
            <w:r w:rsidRPr="00B33AA4">
              <w:t>Capitaux propres</w:t>
            </w:r>
          </w:p>
        </w:tc>
        <w:tc>
          <w:tcPr>
            <w:tcW w:w="374" w:type="pct"/>
            <w:shd w:val="clear" w:color="auto" w:fill="auto"/>
            <w:vAlign w:val="center"/>
          </w:tcPr>
          <w:p w14:paraId="41794547" w14:textId="77777777" w:rsidR="00AE1F88" w:rsidRPr="00B33AA4" w:rsidRDefault="00B0456B" w:rsidP="00B0456B">
            <w:pPr>
              <w:pStyle w:val="15TableHeadCentred"/>
            </w:pPr>
            <w:r w:rsidRPr="00B33AA4">
              <w:t>Actifs courants</w:t>
            </w:r>
          </w:p>
        </w:tc>
        <w:tc>
          <w:tcPr>
            <w:tcW w:w="375" w:type="pct"/>
            <w:shd w:val="clear" w:color="auto" w:fill="auto"/>
            <w:vAlign w:val="center"/>
          </w:tcPr>
          <w:p w14:paraId="64639047" w14:textId="77777777" w:rsidR="00AE1F88" w:rsidRPr="00B33AA4" w:rsidRDefault="00AE1F88" w:rsidP="00B0456B">
            <w:pPr>
              <w:pStyle w:val="15TableHeadCentred"/>
            </w:pPr>
            <w:r w:rsidRPr="00B33AA4">
              <w:t>Actifs non courants</w:t>
            </w:r>
          </w:p>
        </w:tc>
        <w:tc>
          <w:tcPr>
            <w:tcW w:w="412" w:type="pct"/>
            <w:shd w:val="clear" w:color="auto" w:fill="auto"/>
            <w:vAlign w:val="center"/>
          </w:tcPr>
          <w:p w14:paraId="5AA2EBAD" w14:textId="77777777" w:rsidR="00AE1F88" w:rsidRPr="00B33AA4" w:rsidRDefault="00AE1F88" w:rsidP="00B0456B">
            <w:pPr>
              <w:pStyle w:val="15TableHeadCentred"/>
            </w:pPr>
            <w:r w:rsidRPr="00B33AA4">
              <w:t>Passifs courants</w:t>
            </w:r>
          </w:p>
        </w:tc>
        <w:tc>
          <w:tcPr>
            <w:tcW w:w="449" w:type="pct"/>
            <w:shd w:val="clear" w:color="auto" w:fill="auto"/>
            <w:vAlign w:val="center"/>
          </w:tcPr>
          <w:p w14:paraId="37383DAA" w14:textId="77777777" w:rsidR="00AE1F88" w:rsidRPr="00B33AA4" w:rsidRDefault="00AE1F88" w:rsidP="00B0456B">
            <w:pPr>
              <w:pStyle w:val="15TableHeadCentred"/>
            </w:pPr>
            <w:r w:rsidRPr="00B33AA4">
              <w:t>Passifs non courants</w:t>
            </w:r>
          </w:p>
        </w:tc>
        <w:tc>
          <w:tcPr>
            <w:tcW w:w="411" w:type="pct"/>
            <w:shd w:val="clear" w:color="auto" w:fill="auto"/>
            <w:vAlign w:val="center"/>
          </w:tcPr>
          <w:p w14:paraId="03A2793B" w14:textId="77777777" w:rsidR="00AE1F88" w:rsidRPr="00B33AA4" w:rsidRDefault="00AE1F88" w:rsidP="00B0456B">
            <w:pPr>
              <w:pStyle w:val="15TableHeadCentred"/>
            </w:pPr>
            <w:r w:rsidRPr="00B33AA4">
              <w:t>Activités d</w:t>
            </w:r>
            <w:r w:rsidR="00865E23" w:rsidRPr="00B33AA4">
              <w:t>’</w:t>
            </w:r>
            <w:r w:rsidRPr="00B33AA4">
              <w:t>exploitation</w:t>
            </w:r>
          </w:p>
        </w:tc>
        <w:tc>
          <w:tcPr>
            <w:tcW w:w="449" w:type="pct"/>
            <w:shd w:val="clear" w:color="auto" w:fill="auto"/>
            <w:vAlign w:val="center"/>
          </w:tcPr>
          <w:p w14:paraId="0B117114" w14:textId="77777777" w:rsidR="00AE1F88" w:rsidRPr="00B33AA4" w:rsidRDefault="00AE1F88" w:rsidP="00B0456B">
            <w:pPr>
              <w:pStyle w:val="15TableHeadCentred"/>
            </w:pPr>
            <w:r w:rsidRPr="00B33AA4">
              <w:t>Activités d</w:t>
            </w:r>
            <w:r w:rsidR="00865E23" w:rsidRPr="00B33AA4">
              <w:t>’</w:t>
            </w:r>
            <w:r w:rsidRPr="00B33AA4">
              <w:t>investissement</w:t>
            </w:r>
          </w:p>
        </w:tc>
        <w:tc>
          <w:tcPr>
            <w:tcW w:w="442" w:type="pct"/>
            <w:shd w:val="clear" w:color="auto" w:fill="auto"/>
            <w:vAlign w:val="center"/>
          </w:tcPr>
          <w:p w14:paraId="372BB8EC" w14:textId="77777777" w:rsidR="00AE1F88" w:rsidRPr="00B33AA4" w:rsidRDefault="00AE1F88" w:rsidP="00B0456B">
            <w:pPr>
              <w:pStyle w:val="15TableHeadCentred"/>
            </w:pPr>
            <w:r w:rsidRPr="00B33AA4">
              <w:t>Activités de financement</w:t>
            </w:r>
          </w:p>
        </w:tc>
      </w:tr>
      <w:tr w:rsidR="000A4996" w:rsidRPr="005628AE" w14:paraId="0B4ABA7B" w14:textId="77777777" w:rsidTr="00B0456B">
        <w:trPr>
          <w:cantSplit/>
        </w:trPr>
        <w:tc>
          <w:tcPr>
            <w:tcW w:w="1226" w:type="pct"/>
          </w:tcPr>
          <w:p w14:paraId="0577BB02" w14:textId="77777777" w:rsidR="000A4996" w:rsidRPr="00B33AA4" w:rsidRDefault="000A4996" w:rsidP="00B0456B">
            <w:pPr>
              <w:pStyle w:val="15TableHeadCentred"/>
              <w:rPr>
                <w:color w:val="000000" w:themeColor="text1"/>
              </w:rPr>
            </w:pPr>
          </w:p>
        </w:tc>
        <w:tc>
          <w:tcPr>
            <w:tcW w:w="488" w:type="pct"/>
          </w:tcPr>
          <w:p w14:paraId="5D4DE7DC" w14:textId="77777777" w:rsidR="000A4996" w:rsidRPr="00B33AA4" w:rsidRDefault="000A4996" w:rsidP="00B0456B">
            <w:pPr>
              <w:pStyle w:val="15TablePara"/>
            </w:pPr>
          </w:p>
        </w:tc>
        <w:tc>
          <w:tcPr>
            <w:tcW w:w="374" w:type="pct"/>
          </w:tcPr>
          <w:p w14:paraId="10C4BC3D" w14:textId="77777777" w:rsidR="000A4996" w:rsidRPr="00B33AA4" w:rsidRDefault="000A4996" w:rsidP="00B0456B">
            <w:pPr>
              <w:pStyle w:val="15TablePara"/>
            </w:pPr>
          </w:p>
        </w:tc>
        <w:tc>
          <w:tcPr>
            <w:tcW w:w="374" w:type="pct"/>
          </w:tcPr>
          <w:p w14:paraId="6676376A" w14:textId="77777777" w:rsidR="000A4996" w:rsidRPr="00B33AA4" w:rsidRDefault="000A4996" w:rsidP="00B0456B">
            <w:pPr>
              <w:pStyle w:val="15TablePara"/>
            </w:pPr>
          </w:p>
        </w:tc>
        <w:tc>
          <w:tcPr>
            <w:tcW w:w="375" w:type="pct"/>
          </w:tcPr>
          <w:p w14:paraId="6038D3BE" w14:textId="77777777" w:rsidR="000A4996" w:rsidRPr="00B33AA4" w:rsidRDefault="000A4996" w:rsidP="00B0456B">
            <w:pPr>
              <w:pStyle w:val="15TablePara"/>
            </w:pPr>
          </w:p>
        </w:tc>
        <w:tc>
          <w:tcPr>
            <w:tcW w:w="412" w:type="pct"/>
          </w:tcPr>
          <w:p w14:paraId="7F2011FC" w14:textId="77777777" w:rsidR="000A4996" w:rsidRPr="00B33AA4" w:rsidRDefault="000A4996" w:rsidP="00B0456B">
            <w:pPr>
              <w:pStyle w:val="15TablePara"/>
            </w:pPr>
          </w:p>
        </w:tc>
        <w:tc>
          <w:tcPr>
            <w:tcW w:w="449" w:type="pct"/>
          </w:tcPr>
          <w:p w14:paraId="0C5EFB51" w14:textId="77777777" w:rsidR="000A4996" w:rsidRPr="00B33AA4" w:rsidRDefault="000A4996" w:rsidP="00B0456B">
            <w:pPr>
              <w:pStyle w:val="15TablePara"/>
            </w:pPr>
          </w:p>
        </w:tc>
        <w:tc>
          <w:tcPr>
            <w:tcW w:w="411" w:type="pct"/>
          </w:tcPr>
          <w:p w14:paraId="32DC1530" w14:textId="77777777" w:rsidR="000A4996" w:rsidRPr="00B33AA4" w:rsidRDefault="000A4996" w:rsidP="00B0456B">
            <w:pPr>
              <w:pStyle w:val="15TablePara"/>
            </w:pPr>
          </w:p>
        </w:tc>
        <w:tc>
          <w:tcPr>
            <w:tcW w:w="449" w:type="pct"/>
          </w:tcPr>
          <w:p w14:paraId="4025A635" w14:textId="77777777" w:rsidR="000A4996" w:rsidRPr="00B33AA4" w:rsidRDefault="000A4996" w:rsidP="00B0456B">
            <w:pPr>
              <w:pStyle w:val="15TablePara"/>
            </w:pPr>
          </w:p>
        </w:tc>
        <w:tc>
          <w:tcPr>
            <w:tcW w:w="442" w:type="pct"/>
          </w:tcPr>
          <w:p w14:paraId="7F661BF0" w14:textId="77777777" w:rsidR="000A4996" w:rsidRPr="00B33AA4" w:rsidRDefault="000A4996" w:rsidP="00B0456B">
            <w:pPr>
              <w:pStyle w:val="15TablePara"/>
            </w:pPr>
          </w:p>
        </w:tc>
      </w:tr>
      <w:tr w:rsidR="000A4996" w:rsidRPr="005628AE" w14:paraId="0755ECE2" w14:textId="77777777" w:rsidTr="00B0456B">
        <w:trPr>
          <w:cantSplit/>
        </w:trPr>
        <w:tc>
          <w:tcPr>
            <w:tcW w:w="1226" w:type="pct"/>
          </w:tcPr>
          <w:p w14:paraId="4CE0B090" w14:textId="77777777" w:rsidR="000A4996" w:rsidRPr="00B33AA4" w:rsidRDefault="000A4996" w:rsidP="00B0456B">
            <w:pPr>
              <w:pStyle w:val="15TableHeadCentred"/>
              <w:rPr>
                <w:color w:val="000000" w:themeColor="text1"/>
              </w:rPr>
            </w:pPr>
          </w:p>
        </w:tc>
        <w:tc>
          <w:tcPr>
            <w:tcW w:w="488" w:type="pct"/>
          </w:tcPr>
          <w:p w14:paraId="62E260C6" w14:textId="77777777" w:rsidR="000A4996" w:rsidRPr="00B33AA4" w:rsidRDefault="000A4996" w:rsidP="00B0456B">
            <w:pPr>
              <w:pStyle w:val="15TablePara"/>
            </w:pPr>
          </w:p>
        </w:tc>
        <w:tc>
          <w:tcPr>
            <w:tcW w:w="374" w:type="pct"/>
          </w:tcPr>
          <w:p w14:paraId="21A76B51" w14:textId="77777777" w:rsidR="000A4996" w:rsidRPr="00B33AA4" w:rsidRDefault="000A4996" w:rsidP="00B0456B">
            <w:pPr>
              <w:pStyle w:val="15TablePara"/>
            </w:pPr>
          </w:p>
        </w:tc>
        <w:tc>
          <w:tcPr>
            <w:tcW w:w="374" w:type="pct"/>
          </w:tcPr>
          <w:p w14:paraId="2ECCBEAB" w14:textId="77777777" w:rsidR="000A4996" w:rsidRPr="00B33AA4" w:rsidRDefault="000A4996" w:rsidP="00B0456B">
            <w:pPr>
              <w:pStyle w:val="15TablePara"/>
            </w:pPr>
          </w:p>
        </w:tc>
        <w:tc>
          <w:tcPr>
            <w:tcW w:w="375" w:type="pct"/>
          </w:tcPr>
          <w:p w14:paraId="7FBB8175" w14:textId="77777777" w:rsidR="000A4996" w:rsidRPr="00B33AA4" w:rsidRDefault="000A4996" w:rsidP="00B0456B">
            <w:pPr>
              <w:pStyle w:val="15TablePara"/>
            </w:pPr>
          </w:p>
        </w:tc>
        <w:tc>
          <w:tcPr>
            <w:tcW w:w="412" w:type="pct"/>
          </w:tcPr>
          <w:p w14:paraId="57624F74" w14:textId="77777777" w:rsidR="000A4996" w:rsidRPr="00B33AA4" w:rsidRDefault="000A4996" w:rsidP="00B0456B">
            <w:pPr>
              <w:pStyle w:val="15TablePara"/>
            </w:pPr>
          </w:p>
        </w:tc>
        <w:tc>
          <w:tcPr>
            <w:tcW w:w="449" w:type="pct"/>
          </w:tcPr>
          <w:p w14:paraId="718EE8FC" w14:textId="77777777" w:rsidR="000A4996" w:rsidRPr="00B33AA4" w:rsidRDefault="000A4996" w:rsidP="00B0456B">
            <w:pPr>
              <w:pStyle w:val="15TablePara"/>
            </w:pPr>
          </w:p>
        </w:tc>
        <w:tc>
          <w:tcPr>
            <w:tcW w:w="411" w:type="pct"/>
          </w:tcPr>
          <w:p w14:paraId="128CEF34" w14:textId="77777777" w:rsidR="000A4996" w:rsidRPr="00B33AA4" w:rsidRDefault="000A4996" w:rsidP="00B0456B">
            <w:pPr>
              <w:pStyle w:val="15TablePara"/>
            </w:pPr>
          </w:p>
        </w:tc>
        <w:tc>
          <w:tcPr>
            <w:tcW w:w="449" w:type="pct"/>
          </w:tcPr>
          <w:p w14:paraId="43C167D8" w14:textId="77777777" w:rsidR="000A4996" w:rsidRPr="00B33AA4" w:rsidRDefault="000A4996" w:rsidP="00B0456B">
            <w:pPr>
              <w:pStyle w:val="15TablePara"/>
            </w:pPr>
          </w:p>
        </w:tc>
        <w:tc>
          <w:tcPr>
            <w:tcW w:w="442" w:type="pct"/>
          </w:tcPr>
          <w:p w14:paraId="6DB9AE05" w14:textId="77777777" w:rsidR="000A4996" w:rsidRPr="00B33AA4" w:rsidRDefault="000A4996" w:rsidP="00B0456B">
            <w:pPr>
              <w:pStyle w:val="15TablePara"/>
            </w:pPr>
          </w:p>
        </w:tc>
      </w:tr>
      <w:tr w:rsidR="000A4996" w:rsidRPr="005628AE" w14:paraId="4C6FFE5B" w14:textId="77777777" w:rsidTr="00B0456B">
        <w:trPr>
          <w:cantSplit/>
        </w:trPr>
        <w:tc>
          <w:tcPr>
            <w:tcW w:w="1226" w:type="pct"/>
            <w:tcBorders>
              <w:bottom w:val="double" w:sz="4" w:space="0" w:color="auto"/>
            </w:tcBorders>
          </w:tcPr>
          <w:p w14:paraId="066D3F58" w14:textId="77777777" w:rsidR="000A4996" w:rsidRPr="00B33AA4" w:rsidRDefault="000A4996" w:rsidP="00B0456B">
            <w:pPr>
              <w:pStyle w:val="15TableHeadCentred"/>
              <w:rPr>
                <w:color w:val="000000" w:themeColor="text1"/>
              </w:rPr>
            </w:pPr>
          </w:p>
        </w:tc>
        <w:tc>
          <w:tcPr>
            <w:tcW w:w="488" w:type="pct"/>
            <w:tcBorders>
              <w:bottom w:val="double" w:sz="4" w:space="0" w:color="auto"/>
            </w:tcBorders>
          </w:tcPr>
          <w:p w14:paraId="2823D103" w14:textId="77777777" w:rsidR="000A4996" w:rsidRPr="00B33AA4" w:rsidRDefault="000A4996" w:rsidP="00B0456B">
            <w:pPr>
              <w:pStyle w:val="15TablePara"/>
            </w:pPr>
          </w:p>
        </w:tc>
        <w:tc>
          <w:tcPr>
            <w:tcW w:w="374" w:type="pct"/>
            <w:tcBorders>
              <w:bottom w:val="double" w:sz="4" w:space="0" w:color="auto"/>
            </w:tcBorders>
          </w:tcPr>
          <w:p w14:paraId="011622DB" w14:textId="77777777" w:rsidR="000A4996" w:rsidRPr="00B33AA4" w:rsidRDefault="000A4996" w:rsidP="00B0456B">
            <w:pPr>
              <w:pStyle w:val="15TablePara"/>
            </w:pPr>
          </w:p>
        </w:tc>
        <w:tc>
          <w:tcPr>
            <w:tcW w:w="374" w:type="pct"/>
            <w:tcBorders>
              <w:bottom w:val="double" w:sz="4" w:space="0" w:color="auto"/>
            </w:tcBorders>
          </w:tcPr>
          <w:p w14:paraId="4943D8F7" w14:textId="77777777" w:rsidR="000A4996" w:rsidRPr="00B33AA4" w:rsidRDefault="000A4996" w:rsidP="00B0456B">
            <w:pPr>
              <w:pStyle w:val="15TablePara"/>
            </w:pPr>
          </w:p>
        </w:tc>
        <w:tc>
          <w:tcPr>
            <w:tcW w:w="375" w:type="pct"/>
            <w:tcBorders>
              <w:bottom w:val="double" w:sz="4" w:space="0" w:color="auto"/>
            </w:tcBorders>
          </w:tcPr>
          <w:p w14:paraId="4AE7586B" w14:textId="77777777" w:rsidR="000A4996" w:rsidRPr="00B33AA4" w:rsidRDefault="000A4996" w:rsidP="00B0456B">
            <w:pPr>
              <w:pStyle w:val="15TablePara"/>
            </w:pPr>
          </w:p>
        </w:tc>
        <w:tc>
          <w:tcPr>
            <w:tcW w:w="412" w:type="pct"/>
            <w:tcBorders>
              <w:bottom w:val="double" w:sz="4" w:space="0" w:color="auto"/>
            </w:tcBorders>
          </w:tcPr>
          <w:p w14:paraId="2837DA43" w14:textId="77777777" w:rsidR="000A4996" w:rsidRPr="00B33AA4" w:rsidRDefault="000A4996" w:rsidP="00B0456B">
            <w:pPr>
              <w:pStyle w:val="15TablePara"/>
            </w:pPr>
          </w:p>
        </w:tc>
        <w:tc>
          <w:tcPr>
            <w:tcW w:w="449" w:type="pct"/>
            <w:tcBorders>
              <w:bottom w:val="double" w:sz="4" w:space="0" w:color="auto"/>
            </w:tcBorders>
          </w:tcPr>
          <w:p w14:paraId="01BD0A92" w14:textId="77777777" w:rsidR="000A4996" w:rsidRPr="00B33AA4" w:rsidRDefault="000A4996" w:rsidP="00B0456B">
            <w:pPr>
              <w:pStyle w:val="15TablePara"/>
            </w:pPr>
          </w:p>
        </w:tc>
        <w:tc>
          <w:tcPr>
            <w:tcW w:w="411" w:type="pct"/>
            <w:tcBorders>
              <w:bottom w:val="double" w:sz="4" w:space="0" w:color="auto"/>
            </w:tcBorders>
          </w:tcPr>
          <w:p w14:paraId="4C4B286E" w14:textId="77777777" w:rsidR="000A4996" w:rsidRPr="00B33AA4" w:rsidRDefault="000A4996" w:rsidP="00B0456B">
            <w:pPr>
              <w:pStyle w:val="15TablePara"/>
            </w:pPr>
          </w:p>
        </w:tc>
        <w:tc>
          <w:tcPr>
            <w:tcW w:w="449" w:type="pct"/>
            <w:tcBorders>
              <w:bottom w:val="double" w:sz="4" w:space="0" w:color="auto"/>
            </w:tcBorders>
          </w:tcPr>
          <w:p w14:paraId="7A5ACFF0" w14:textId="77777777" w:rsidR="000A4996" w:rsidRPr="00B33AA4" w:rsidRDefault="000A4996" w:rsidP="00B0456B">
            <w:pPr>
              <w:pStyle w:val="15TablePara"/>
            </w:pPr>
          </w:p>
        </w:tc>
        <w:tc>
          <w:tcPr>
            <w:tcW w:w="442" w:type="pct"/>
            <w:tcBorders>
              <w:bottom w:val="double" w:sz="4" w:space="0" w:color="auto"/>
            </w:tcBorders>
          </w:tcPr>
          <w:p w14:paraId="08E82214" w14:textId="77777777" w:rsidR="000A4996" w:rsidRPr="00B33AA4" w:rsidRDefault="000A4996" w:rsidP="00B0456B">
            <w:pPr>
              <w:pStyle w:val="15TablePara"/>
            </w:pPr>
          </w:p>
        </w:tc>
      </w:tr>
      <w:tr w:rsidR="000A4996" w:rsidRPr="005628AE" w14:paraId="2D28C7EB" w14:textId="77777777" w:rsidTr="00B0456B">
        <w:trPr>
          <w:cantSplit/>
        </w:trPr>
        <w:tc>
          <w:tcPr>
            <w:tcW w:w="1226" w:type="pct"/>
            <w:tcBorders>
              <w:top w:val="double" w:sz="4" w:space="0" w:color="auto"/>
            </w:tcBorders>
          </w:tcPr>
          <w:p w14:paraId="7F7DBF86" w14:textId="77777777" w:rsidR="000A4996" w:rsidRPr="00B33AA4" w:rsidRDefault="00E1323B" w:rsidP="00B0456B">
            <w:pPr>
              <w:pStyle w:val="15TableHeadCentred"/>
              <w:rPr>
                <w:color w:val="000000" w:themeColor="text1"/>
              </w:rPr>
            </w:pPr>
            <w:r w:rsidRPr="00B33AA4">
              <w:rPr>
                <w:color w:val="000000" w:themeColor="text1"/>
              </w:rPr>
              <w:t>Montant t</w:t>
            </w:r>
            <w:r w:rsidR="000A4996" w:rsidRPr="00B33AA4">
              <w:rPr>
                <w:color w:val="000000" w:themeColor="text1"/>
              </w:rPr>
              <w:t xml:space="preserve">otal </w:t>
            </w:r>
            <w:r w:rsidRPr="00B33AA4">
              <w:rPr>
                <w:color w:val="000000" w:themeColor="text1"/>
              </w:rPr>
              <w:t>des a</w:t>
            </w:r>
            <w:r w:rsidR="000A4996" w:rsidRPr="00B33AA4">
              <w:rPr>
                <w:color w:val="000000" w:themeColor="text1"/>
              </w:rPr>
              <w:t>juste</w:t>
            </w:r>
            <w:r w:rsidRPr="00B33AA4">
              <w:rPr>
                <w:color w:val="000000" w:themeColor="text1"/>
              </w:rPr>
              <w:t>ments</w:t>
            </w:r>
          </w:p>
        </w:tc>
        <w:tc>
          <w:tcPr>
            <w:tcW w:w="488" w:type="pct"/>
            <w:tcBorders>
              <w:top w:val="double" w:sz="4" w:space="0" w:color="auto"/>
            </w:tcBorders>
          </w:tcPr>
          <w:p w14:paraId="1629690D" w14:textId="77777777" w:rsidR="000A4996" w:rsidRPr="00B33AA4" w:rsidRDefault="000A4996" w:rsidP="00B0456B">
            <w:pPr>
              <w:pStyle w:val="15TablePara"/>
            </w:pPr>
          </w:p>
        </w:tc>
        <w:tc>
          <w:tcPr>
            <w:tcW w:w="374" w:type="pct"/>
            <w:tcBorders>
              <w:top w:val="double" w:sz="4" w:space="0" w:color="auto"/>
            </w:tcBorders>
          </w:tcPr>
          <w:p w14:paraId="4DAFC474" w14:textId="77777777" w:rsidR="000A4996" w:rsidRPr="00B33AA4" w:rsidRDefault="000A4996" w:rsidP="00B0456B">
            <w:pPr>
              <w:pStyle w:val="15TablePara"/>
            </w:pPr>
          </w:p>
        </w:tc>
        <w:tc>
          <w:tcPr>
            <w:tcW w:w="374" w:type="pct"/>
            <w:tcBorders>
              <w:top w:val="double" w:sz="4" w:space="0" w:color="auto"/>
            </w:tcBorders>
          </w:tcPr>
          <w:p w14:paraId="6B1080D6" w14:textId="77777777" w:rsidR="000A4996" w:rsidRPr="00B33AA4" w:rsidRDefault="000A4996" w:rsidP="00B0456B">
            <w:pPr>
              <w:pStyle w:val="15TablePara"/>
            </w:pPr>
          </w:p>
        </w:tc>
        <w:tc>
          <w:tcPr>
            <w:tcW w:w="375" w:type="pct"/>
            <w:tcBorders>
              <w:top w:val="double" w:sz="4" w:space="0" w:color="auto"/>
            </w:tcBorders>
          </w:tcPr>
          <w:p w14:paraId="732B84C1" w14:textId="77777777" w:rsidR="000A4996" w:rsidRPr="00B33AA4" w:rsidRDefault="000A4996" w:rsidP="00B0456B">
            <w:pPr>
              <w:pStyle w:val="15TablePara"/>
            </w:pPr>
          </w:p>
        </w:tc>
        <w:tc>
          <w:tcPr>
            <w:tcW w:w="412" w:type="pct"/>
            <w:tcBorders>
              <w:top w:val="double" w:sz="4" w:space="0" w:color="auto"/>
            </w:tcBorders>
          </w:tcPr>
          <w:p w14:paraId="6790D96C" w14:textId="77777777" w:rsidR="000A4996" w:rsidRPr="00B33AA4" w:rsidRDefault="000A4996" w:rsidP="00B0456B">
            <w:pPr>
              <w:pStyle w:val="15TablePara"/>
            </w:pPr>
          </w:p>
        </w:tc>
        <w:tc>
          <w:tcPr>
            <w:tcW w:w="449" w:type="pct"/>
            <w:tcBorders>
              <w:top w:val="double" w:sz="4" w:space="0" w:color="auto"/>
            </w:tcBorders>
          </w:tcPr>
          <w:p w14:paraId="3AF1E112" w14:textId="77777777" w:rsidR="000A4996" w:rsidRPr="00B33AA4" w:rsidRDefault="000A4996" w:rsidP="00B0456B">
            <w:pPr>
              <w:pStyle w:val="15TablePara"/>
            </w:pPr>
          </w:p>
        </w:tc>
        <w:tc>
          <w:tcPr>
            <w:tcW w:w="411" w:type="pct"/>
            <w:tcBorders>
              <w:top w:val="double" w:sz="4" w:space="0" w:color="auto"/>
            </w:tcBorders>
          </w:tcPr>
          <w:p w14:paraId="6C544B66" w14:textId="77777777" w:rsidR="000A4996" w:rsidRPr="00B33AA4" w:rsidRDefault="000A4996" w:rsidP="00B0456B">
            <w:pPr>
              <w:pStyle w:val="15TablePara"/>
            </w:pPr>
          </w:p>
        </w:tc>
        <w:tc>
          <w:tcPr>
            <w:tcW w:w="449" w:type="pct"/>
            <w:tcBorders>
              <w:top w:val="double" w:sz="4" w:space="0" w:color="auto"/>
            </w:tcBorders>
          </w:tcPr>
          <w:p w14:paraId="78DD7C6A" w14:textId="77777777" w:rsidR="000A4996" w:rsidRPr="00B33AA4" w:rsidRDefault="000A4996" w:rsidP="00B0456B">
            <w:pPr>
              <w:pStyle w:val="15TablePara"/>
            </w:pPr>
          </w:p>
        </w:tc>
        <w:tc>
          <w:tcPr>
            <w:tcW w:w="442" w:type="pct"/>
            <w:tcBorders>
              <w:top w:val="double" w:sz="4" w:space="0" w:color="auto"/>
            </w:tcBorders>
          </w:tcPr>
          <w:p w14:paraId="63FAF228" w14:textId="77777777" w:rsidR="000A4996" w:rsidRPr="00B33AA4" w:rsidRDefault="000A4996" w:rsidP="00B0456B">
            <w:pPr>
              <w:pStyle w:val="15TablePara"/>
            </w:pPr>
          </w:p>
        </w:tc>
      </w:tr>
    </w:tbl>
    <w:p w14:paraId="108A3E9E" w14:textId="77777777" w:rsidR="000A4996" w:rsidRPr="00B33AA4" w:rsidRDefault="000A4996" w:rsidP="00B0456B">
      <w:pPr>
        <w:pStyle w:val="09Para"/>
      </w:pPr>
    </w:p>
    <w:p w14:paraId="2290E860" w14:textId="77777777" w:rsidR="00A72869" w:rsidRPr="00B33AA4" w:rsidRDefault="00A72869">
      <w:pPr>
        <w:rPr>
          <w:rFonts w:cs="Arial"/>
          <w:iCs/>
          <w:color w:val="000000"/>
          <w:lang w:val="fr-CA"/>
        </w:rPr>
      </w:pPr>
    </w:p>
    <w:p w14:paraId="2C2F6E76" w14:textId="77777777" w:rsidR="000A4996" w:rsidRPr="00B33AA4" w:rsidRDefault="000A4996">
      <w:pPr>
        <w:rPr>
          <w:rFonts w:cs="Arial"/>
          <w:iCs/>
          <w:color w:val="000000"/>
          <w:lang w:val="fr-CA"/>
        </w:rPr>
        <w:sectPr w:rsidR="000A4996" w:rsidRPr="00B33AA4" w:rsidSect="005B77D8">
          <w:headerReference w:type="default" r:id="rId16"/>
          <w:footerReference w:type="default" r:id="rId17"/>
          <w:headerReference w:type="first" r:id="rId18"/>
          <w:footerReference w:type="first" r:id="rId19"/>
          <w:pgSz w:w="20160" w:h="12240" w:orient="landscape" w:code="5"/>
          <w:pgMar w:top="1440" w:right="1440" w:bottom="1440" w:left="1440" w:header="562" w:footer="677" w:gutter="0"/>
          <w:cols w:space="720"/>
          <w:titlePg/>
          <w:docGrid w:linePitch="360"/>
        </w:sectPr>
      </w:pPr>
    </w:p>
    <w:p w14:paraId="32AD7890" w14:textId="10E951E2" w:rsidR="00A72869" w:rsidRPr="00B33AA4" w:rsidRDefault="00D026CC" w:rsidP="008F2193">
      <w:pPr>
        <w:pStyle w:val="Heading2"/>
        <w:spacing w:before="0" w:after="480"/>
        <w:rPr>
          <w:snapToGrid w:val="0"/>
        </w:rPr>
      </w:pPr>
      <w:r w:rsidRPr="00B33AA4">
        <w:rPr>
          <w:snapToGrid w:val="0"/>
          <w:color w:val="000000"/>
        </w:rPr>
        <w:lastRenderedPageBreak/>
        <w:t>Annexe </w:t>
      </w:r>
      <w:r w:rsidR="00A72869" w:rsidRPr="00B33AA4">
        <w:rPr>
          <w:snapToGrid w:val="0"/>
          <w:color w:val="000000"/>
        </w:rPr>
        <w:t>1</w:t>
      </w:r>
      <w:r w:rsidR="00AB5651" w:rsidRPr="00B33AA4">
        <w:rPr>
          <w:snapToGrid w:val="0"/>
          <w:color w:val="000000"/>
        </w:rPr>
        <w:t xml:space="preserve"> </w:t>
      </w:r>
      <w:r w:rsidR="008E5591" w:rsidRPr="00B33AA4">
        <w:rPr>
          <w:snapToGrid w:val="0"/>
          <w:color w:val="000000"/>
        </w:rPr>
        <w:t>—</w:t>
      </w:r>
      <w:r w:rsidR="00AB5651" w:rsidRPr="00B33AA4">
        <w:rPr>
          <w:snapToGrid w:val="0"/>
          <w:color w:val="000000"/>
        </w:rPr>
        <w:t xml:space="preserve"> </w:t>
      </w:r>
      <w:r w:rsidR="00AB5651" w:rsidRPr="00B33AA4">
        <w:rPr>
          <w:snapToGrid w:val="0"/>
        </w:rPr>
        <w:t>Exemples de déclarations additionnelles pouvant convenir aux</w:t>
      </w:r>
      <w:r w:rsidR="00AD5762">
        <w:rPr>
          <w:snapToGrid w:val="0"/>
        </w:rPr>
        <w:t> </w:t>
      </w:r>
      <w:r w:rsidR="00AB5651" w:rsidRPr="00B33AA4">
        <w:rPr>
          <w:snapToGrid w:val="0"/>
        </w:rPr>
        <w:t>états financiers [</w:t>
      </w:r>
      <w:r w:rsidR="00AB5651" w:rsidRPr="00B33AA4">
        <w:rPr>
          <w:snapToGrid w:val="0"/>
          <w:color w:val="3333FF"/>
        </w:rPr>
        <w:t>consolidés</w:t>
      </w:r>
      <w:r w:rsidR="00AB5651" w:rsidRPr="00B33AA4">
        <w:rPr>
          <w:snapToGrid w:val="0"/>
        </w:rPr>
        <w:t xml:space="preserve">] préparés conformément aux </w:t>
      </w:r>
      <w:r w:rsidR="00A72869" w:rsidRPr="00B33AA4">
        <w:rPr>
          <w:snapToGrid w:val="0"/>
        </w:rPr>
        <w:t>IFRS</w:t>
      </w:r>
    </w:p>
    <w:p w14:paraId="43F70208" w14:textId="77777777" w:rsidR="00AB5651" w:rsidRPr="00B33AA4" w:rsidRDefault="00AB5651" w:rsidP="008F2193">
      <w:pPr>
        <w:pStyle w:val="Heading2"/>
      </w:pPr>
      <w:r w:rsidRPr="00B33AA4">
        <w:t>INSTRUCTIONS À L</w:t>
      </w:r>
      <w:r w:rsidR="00865E23" w:rsidRPr="00B33AA4">
        <w:t>’</w:t>
      </w:r>
      <w:r w:rsidRPr="00B33AA4">
        <w:t>INTENTION DES AUDITEURS</w:t>
      </w:r>
    </w:p>
    <w:p w14:paraId="7615BEF3" w14:textId="38D2BD3B" w:rsidR="00AB5651" w:rsidRPr="00B33AA4" w:rsidRDefault="0032249D" w:rsidP="008F2193">
      <w:pPr>
        <w:pStyle w:val="09Para"/>
      </w:pPr>
      <w:r w:rsidRPr="00B33AA4">
        <w:rPr>
          <w:rFonts w:cs="Arial"/>
        </w:rPr>
        <w:t xml:space="preserve">La lettre d’affirmation </w:t>
      </w:r>
      <w:r w:rsidR="00F3242D">
        <w:rPr>
          <w:rFonts w:cs="Arial"/>
        </w:rPr>
        <w:t>doit</w:t>
      </w:r>
      <w:r w:rsidRPr="00B33AA4">
        <w:rPr>
          <w:rFonts w:cs="Arial"/>
        </w:rPr>
        <w:t xml:space="preserve"> être adaptée pour inclure toute déclaration supplémentaire de la direction</w:t>
      </w:r>
      <w:r w:rsidR="00AF7805" w:rsidRPr="00B33AA4">
        <w:rPr>
          <w:rFonts w:cs="Arial"/>
        </w:rPr>
        <w:t xml:space="preserve"> qui est appropriée</w:t>
      </w:r>
      <w:r w:rsidRPr="00B33AA4">
        <w:rPr>
          <w:rFonts w:cs="Arial"/>
        </w:rPr>
        <w:t>. Il peut s’agir notamment d’obtenir des déclarations sur des questions propres aux activités ou au secteur d’activité ou sur des assertions particulières contenues dans les états financiers, ou des déclarations qui corroborent d’autres éléments probants concernant les états financiers</w:t>
      </w:r>
      <w:r w:rsidR="00AB5651" w:rsidRPr="00B33AA4">
        <w:t>.</w:t>
      </w:r>
    </w:p>
    <w:p w14:paraId="3B4B6C82" w14:textId="5D5A50E0" w:rsidR="00AB5651" w:rsidRPr="00B33AA4" w:rsidRDefault="00AB5651" w:rsidP="008F2193">
      <w:pPr>
        <w:pStyle w:val="09Para"/>
      </w:pPr>
      <w:r w:rsidRPr="00B33AA4">
        <w:t xml:space="preserve">Les déclarations additionnelles présentées </w:t>
      </w:r>
      <w:r w:rsidR="006F742B" w:rsidRPr="00B33AA4">
        <w:t>à titre d’exemple</w:t>
      </w:r>
      <w:r w:rsidR="004C2EE4" w:rsidRPr="00B33AA4">
        <w:t xml:space="preserve"> </w:t>
      </w:r>
      <w:r w:rsidRPr="00B33AA4">
        <w:t>dans cette annexe doivent être revues afin de déterminer</w:t>
      </w:r>
      <w:r w:rsidR="004C2EE4" w:rsidRPr="00B33AA4">
        <w:t xml:space="preserve"> </w:t>
      </w:r>
      <w:r w:rsidR="005727E3" w:rsidRPr="00B33AA4">
        <w:t xml:space="preserve">les éléments qui s’appliquent </w:t>
      </w:r>
      <w:r w:rsidRPr="00B33AA4">
        <w:t>à la mission</w:t>
      </w:r>
      <w:r w:rsidR="005727E3" w:rsidRPr="00B33AA4">
        <w:t>. Ces éléments doivent être</w:t>
      </w:r>
      <w:r w:rsidR="00AD5762">
        <w:t> </w:t>
      </w:r>
      <w:r w:rsidRPr="00B33AA4">
        <w:t>ajoutés à la lettre d</w:t>
      </w:r>
      <w:r w:rsidR="00865E23" w:rsidRPr="00B33AA4">
        <w:t>’</w:t>
      </w:r>
      <w:r w:rsidRPr="00B33AA4">
        <w:t>affirmation de la direction. L</w:t>
      </w:r>
      <w:r w:rsidR="00865E23" w:rsidRPr="00B33AA4">
        <w:t>’</w:t>
      </w:r>
      <w:r w:rsidRPr="00B33AA4">
        <w:t>équipe de mission doit examiner les déclarations additionnelles de façon rigoureuse et les modifier de manière appropriée en tenant compte des circonstances propres à l</w:t>
      </w:r>
      <w:r w:rsidR="00865E23" w:rsidRPr="00B33AA4">
        <w:t>’</w:t>
      </w:r>
      <w:r w:rsidRPr="00B33AA4">
        <w:t>entité, des risques, jugements et estimations importants, des circonstances inhabituelles ou complexe</w:t>
      </w:r>
      <w:r w:rsidR="00C74C3B" w:rsidRPr="00B33AA4">
        <w:t>s et du seuil de signification.</w:t>
      </w:r>
    </w:p>
    <w:p w14:paraId="578E975C" w14:textId="77777777" w:rsidR="00AB5651" w:rsidRPr="00B33AA4" w:rsidRDefault="00AB5651" w:rsidP="008F2193">
      <w:pPr>
        <w:pStyle w:val="09Para"/>
      </w:pPr>
      <w:r w:rsidRPr="00B33AA4">
        <w:t>Les exemples fournis ci</w:t>
      </w:r>
      <w:r w:rsidR="002E2CB7" w:rsidRPr="00B33AA4">
        <w:noBreakHyphen/>
      </w:r>
      <w:r w:rsidRPr="00B33AA4">
        <w:t>après ne sont pas exhaustifs. Il pourrait être nécessaire d</w:t>
      </w:r>
      <w:r w:rsidR="00865E23" w:rsidRPr="00B33AA4">
        <w:t>’</w:t>
      </w:r>
      <w:r w:rsidRPr="00B33AA4">
        <w:t>ajouter d</w:t>
      </w:r>
      <w:r w:rsidR="00865E23" w:rsidRPr="00B33AA4">
        <w:t>’</w:t>
      </w:r>
      <w:r w:rsidRPr="00B33AA4">
        <w:t>autres éléments particuliers selon les activités de l</w:t>
      </w:r>
      <w:r w:rsidR="00865E23" w:rsidRPr="00B33AA4">
        <w:t>’</w:t>
      </w:r>
      <w:r w:rsidR="00C74C3B" w:rsidRPr="00B33AA4">
        <w:t>entité.</w:t>
      </w:r>
    </w:p>
    <w:p w14:paraId="14517FFD" w14:textId="77777777" w:rsidR="00AB5651" w:rsidRPr="00B33AA4" w:rsidRDefault="00AB5651" w:rsidP="008F2193">
      <w:pPr>
        <w:pStyle w:val="09Para"/>
      </w:pPr>
      <w:r w:rsidRPr="00B33AA4">
        <w:t>Chercher le terme [</w:t>
      </w:r>
      <w:r w:rsidRPr="00B33AA4">
        <w:rPr>
          <w:color w:val="0000FF"/>
        </w:rPr>
        <w:t>Entité</w:t>
      </w:r>
      <w:r w:rsidRPr="00B33AA4">
        <w:t>] et le remplacer par la dénomination abrégée de l</w:t>
      </w:r>
      <w:r w:rsidR="00865E23" w:rsidRPr="00B33AA4">
        <w:t>’</w:t>
      </w:r>
      <w:r w:rsidRPr="00B33AA4">
        <w:t>entité.</w:t>
      </w:r>
    </w:p>
    <w:p w14:paraId="15A7BF0A" w14:textId="77777777" w:rsidR="000676A6" w:rsidRPr="00B33AA4" w:rsidRDefault="00AB5651" w:rsidP="008F2193">
      <w:pPr>
        <w:pStyle w:val="09Para"/>
      </w:pPr>
      <w:r w:rsidRPr="00B33AA4">
        <w:t xml:space="preserve">Le texte en </w:t>
      </w:r>
      <w:r w:rsidRPr="00B33AA4">
        <w:rPr>
          <w:color w:val="0000FF"/>
        </w:rPr>
        <w:t>bleu</w:t>
      </w:r>
      <w:r w:rsidRPr="00B33AA4">
        <w:t xml:space="preserve"> doit être modifié ou supprimé s</w:t>
      </w:r>
      <w:r w:rsidR="00865E23" w:rsidRPr="00B33AA4">
        <w:t>’</w:t>
      </w:r>
      <w:r w:rsidRPr="00B33AA4">
        <w:t>il y a lieu</w:t>
      </w:r>
      <w:r w:rsidR="00A72869" w:rsidRPr="00B33AA4">
        <w:t>.</w:t>
      </w:r>
    </w:p>
    <w:p w14:paraId="5F58A9F7" w14:textId="77777777" w:rsidR="000676A6" w:rsidRPr="00B33AA4" w:rsidRDefault="00AB5651" w:rsidP="00C74C3B">
      <w:pPr>
        <w:pStyle w:val="Heading2"/>
      </w:pPr>
      <w:r w:rsidRPr="00B33AA4">
        <w:t>DÉCLARATIONS ADDITIONNELLES</w:t>
      </w:r>
    </w:p>
    <w:p w14:paraId="6F571831" w14:textId="77777777" w:rsidR="00E353AE" w:rsidRPr="00C55C35" w:rsidRDefault="00E353AE" w:rsidP="00E353AE">
      <w:pPr>
        <w:pStyle w:val="Heading3"/>
      </w:pPr>
      <w:r w:rsidRPr="00C55C35">
        <w:t>Nouvelles prises de position des IFRS</w:t>
      </w:r>
    </w:p>
    <w:p w14:paraId="7B480D14" w14:textId="09E573AE" w:rsidR="00E353AE" w:rsidRPr="00B33AA4" w:rsidRDefault="00E353AE" w:rsidP="00E353AE">
      <w:pPr>
        <w:pStyle w:val="09Para"/>
        <w:rPr>
          <w:i/>
          <w:color w:val="0000FF"/>
        </w:rPr>
      </w:pPr>
      <w:r w:rsidRPr="00B33AA4">
        <w:rPr>
          <w:i/>
          <w:color w:val="0000FF"/>
        </w:rPr>
        <w:t>Choisir l’un des paragraphes suivants :</w:t>
      </w:r>
    </w:p>
    <w:p w14:paraId="162AAD15" w14:textId="057F3F56" w:rsidR="00E353AE" w:rsidRPr="00B33AA4" w:rsidRDefault="00E353AE" w:rsidP="00E353AE">
      <w:pPr>
        <w:pStyle w:val="09Para"/>
      </w:pPr>
      <w:r w:rsidRPr="00B33AA4">
        <w:t>Nous n’avons pas terminé le processus d’évaluation de l’incidence qu’aura l’adoption de [</w:t>
      </w:r>
      <w:r w:rsidRPr="00B33AA4">
        <w:rPr>
          <w:color w:val="0000FF"/>
        </w:rPr>
        <w:t>ajouter la prise de position applicable</w:t>
      </w:r>
      <w:r w:rsidRPr="00B33AA4">
        <w:t xml:space="preserve">] </w:t>
      </w:r>
      <w:r w:rsidR="009116C8" w:rsidRPr="00B33AA4">
        <w:t>mentionné à la note [</w:t>
      </w:r>
      <w:r w:rsidR="009116C8" w:rsidRPr="00B33AA4">
        <w:rPr>
          <w:color w:val="0000FF"/>
        </w:rPr>
        <w:t>X</w:t>
      </w:r>
      <w:r w:rsidR="009116C8" w:rsidRPr="00B33AA4">
        <w:t>]</w:t>
      </w:r>
      <w:r w:rsidR="009116C8">
        <w:t xml:space="preserve"> afférente aux</w:t>
      </w:r>
      <w:r w:rsidR="009116C8" w:rsidRPr="00E74F82">
        <w:t xml:space="preserve"> </w:t>
      </w:r>
      <w:r w:rsidR="009116C8" w:rsidRPr="00B33AA4">
        <w:t>états financiers [</w:t>
      </w:r>
      <w:r w:rsidR="009116C8" w:rsidRPr="00B33AA4">
        <w:rPr>
          <w:color w:val="0000FF"/>
        </w:rPr>
        <w:t>consolidés</w:t>
      </w:r>
      <w:r w:rsidR="009116C8" w:rsidRPr="00B33AA4">
        <w:t>]</w:t>
      </w:r>
      <w:r w:rsidRPr="00B33AA4">
        <w:t>. Nous ne pouvons donc pas communiquer dans les états financiers [</w:t>
      </w:r>
      <w:r w:rsidRPr="00B33AA4">
        <w:rPr>
          <w:color w:val="0000FF"/>
        </w:rPr>
        <w:t>consolidés</w:t>
      </w:r>
      <w:r w:rsidRPr="00B33AA4">
        <w:t>] l’incidence qu’aura la [</w:t>
      </w:r>
      <w:r w:rsidRPr="00B33AA4">
        <w:rPr>
          <w:color w:val="0000FF"/>
        </w:rPr>
        <w:t>ajouter la prise de position applicable</w:t>
      </w:r>
      <w:r w:rsidRPr="00B33AA4">
        <w:t>] sur les états financiers [</w:t>
      </w:r>
      <w:r w:rsidRPr="00B33AA4">
        <w:rPr>
          <w:color w:val="0000FF"/>
        </w:rPr>
        <w:t>consolidés</w:t>
      </w:r>
      <w:r w:rsidRPr="00B33AA4">
        <w:t>] de [</w:t>
      </w:r>
      <w:r w:rsidRPr="00B33AA4">
        <w:rPr>
          <w:color w:val="0000FF"/>
        </w:rPr>
        <w:t>Entité</w:t>
      </w:r>
      <w:r w:rsidRPr="00B33AA4">
        <w:t>] au moment de son adoption.</w:t>
      </w:r>
    </w:p>
    <w:p w14:paraId="7E3EB8FF" w14:textId="77777777" w:rsidR="00E353AE" w:rsidRPr="00B33AA4" w:rsidRDefault="00E353AE" w:rsidP="00E353AE">
      <w:pPr>
        <w:pStyle w:val="09Para"/>
        <w:rPr>
          <w:i/>
        </w:rPr>
      </w:pPr>
      <w:r w:rsidRPr="00B33AA4">
        <w:rPr>
          <w:i/>
          <w:color w:val="0000FF"/>
        </w:rPr>
        <w:t>OU</w:t>
      </w:r>
    </w:p>
    <w:p w14:paraId="474BFB95" w14:textId="4ABDC30F" w:rsidR="00E353AE" w:rsidRPr="00B33AA4" w:rsidRDefault="00E353AE" w:rsidP="00E353AE">
      <w:pPr>
        <w:pStyle w:val="09Para"/>
      </w:pPr>
      <w:r w:rsidRPr="00B33AA4">
        <w:t>Nous n’avons pas terminé le processus d’évaluation de l’incidence qu’aura l’adoption de [</w:t>
      </w:r>
      <w:r w:rsidRPr="00B33AA4">
        <w:rPr>
          <w:color w:val="0000FF"/>
        </w:rPr>
        <w:t>ajouter la prise de position applicable</w:t>
      </w:r>
      <w:r w:rsidRPr="00B33AA4">
        <w:t xml:space="preserve">]. Nous avons cependant évalué certains secteurs d’incidence possible à ce jour, tel que communiqué dans la </w:t>
      </w:r>
      <w:r w:rsidR="00F47218" w:rsidRPr="00B33AA4">
        <w:t>note [</w:t>
      </w:r>
      <w:r w:rsidR="00F47218" w:rsidRPr="00B33AA4">
        <w:rPr>
          <w:color w:val="0000FF"/>
        </w:rPr>
        <w:t>X</w:t>
      </w:r>
      <w:r w:rsidR="00F47218" w:rsidRPr="00B33AA4">
        <w:t>]</w:t>
      </w:r>
      <w:r w:rsidR="00F47218" w:rsidRPr="00E74F82">
        <w:t xml:space="preserve"> </w:t>
      </w:r>
      <w:r w:rsidR="00F47218">
        <w:t>afférente aux</w:t>
      </w:r>
      <w:r w:rsidR="00F47218" w:rsidRPr="00E74F82">
        <w:t xml:space="preserve"> </w:t>
      </w:r>
      <w:r w:rsidR="00F47218" w:rsidRPr="00B33AA4">
        <w:t>états financiers [</w:t>
      </w:r>
      <w:r w:rsidR="00F47218" w:rsidRPr="00B33AA4">
        <w:rPr>
          <w:color w:val="0000FF"/>
        </w:rPr>
        <w:t>consolidés</w:t>
      </w:r>
      <w:r w:rsidR="00F47218" w:rsidRPr="00B33AA4">
        <w:t>].</w:t>
      </w:r>
    </w:p>
    <w:p w14:paraId="48FF612A" w14:textId="77777777" w:rsidR="00E353AE" w:rsidRPr="00B33AA4" w:rsidRDefault="00E353AE" w:rsidP="00A928BF">
      <w:pPr>
        <w:pStyle w:val="09Para"/>
        <w:keepNext/>
      </w:pPr>
      <w:r w:rsidRPr="00B33AA4">
        <w:rPr>
          <w:i/>
          <w:color w:val="0000FF"/>
        </w:rPr>
        <w:lastRenderedPageBreak/>
        <w:t>OU</w:t>
      </w:r>
    </w:p>
    <w:p w14:paraId="083F6087" w14:textId="0F0A76E1" w:rsidR="00E353AE" w:rsidRPr="00B33AA4" w:rsidRDefault="00E353AE" w:rsidP="00E353AE">
      <w:pPr>
        <w:pStyle w:val="09Para"/>
      </w:pPr>
      <w:r w:rsidRPr="00B33AA4">
        <w:t>Nous avons terminé le processus d’évaluation de l’incidence qu’aura l’adoption de [</w:t>
      </w:r>
      <w:r w:rsidRPr="00B33AA4">
        <w:rPr>
          <w:color w:val="0000FF"/>
        </w:rPr>
        <w:t>ajouter la</w:t>
      </w:r>
      <w:r w:rsidR="00AD5762">
        <w:rPr>
          <w:color w:val="0000FF"/>
        </w:rPr>
        <w:t> </w:t>
      </w:r>
      <w:r w:rsidRPr="00B33AA4">
        <w:rPr>
          <w:color w:val="0000FF"/>
        </w:rPr>
        <w:t>prise de position applicable</w:t>
      </w:r>
      <w:r w:rsidRPr="00B33AA4">
        <w:t xml:space="preserve">]. Cette incidence est communiquée dans la </w:t>
      </w:r>
      <w:r w:rsidR="00F47218" w:rsidRPr="00B33AA4">
        <w:t>note [</w:t>
      </w:r>
      <w:r w:rsidR="00F47218" w:rsidRPr="00B33AA4">
        <w:rPr>
          <w:color w:val="0000FF"/>
        </w:rPr>
        <w:t>X</w:t>
      </w:r>
      <w:r w:rsidR="00F47218" w:rsidRPr="00B33AA4">
        <w:t>]</w:t>
      </w:r>
      <w:r w:rsidR="00F47218" w:rsidRPr="00E74F82">
        <w:t xml:space="preserve"> </w:t>
      </w:r>
      <w:r w:rsidR="00F47218">
        <w:t>afférente aux </w:t>
      </w:r>
      <w:r w:rsidR="00F47218" w:rsidRPr="00B33AA4">
        <w:t>états financiers [</w:t>
      </w:r>
      <w:r w:rsidR="00F47218" w:rsidRPr="00B33AA4">
        <w:rPr>
          <w:color w:val="0000FF"/>
        </w:rPr>
        <w:t>consolidés</w:t>
      </w:r>
      <w:r w:rsidR="00F47218" w:rsidRPr="00B33AA4">
        <w:t>]</w:t>
      </w:r>
      <w:r w:rsidRPr="00B33AA4">
        <w:t>.</w:t>
      </w:r>
    </w:p>
    <w:p w14:paraId="0266CD79" w14:textId="11492F66" w:rsidR="00E353AE" w:rsidRPr="009B09C4" w:rsidRDefault="003B1756" w:rsidP="00E353AE">
      <w:pPr>
        <w:pStyle w:val="09Para"/>
      </w:pPr>
      <w:r w:rsidRPr="00B33AA4">
        <w:t>[</w:t>
      </w:r>
      <w:r w:rsidR="00E353AE" w:rsidRPr="00C55C35">
        <w:rPr>
          <w:color w:val="0000FF"/>
        </w:rPr>
        <w:t>S’il y a des problèmes ou des questions faisant appel au jugement à l’égard de la rigueur du</w:t>
      </w:r>
      <w:r w:rsidR="00BF6A61">
        <w:rPr>
          <w:color w:val="0000FF"/>
        </w:rPr>
        <w:t> </w:t>
      </w:r>
      <w:r w:rsidR="00E353AE" w:rsidRPr="00C55C35">
        <w:rPr>
          <w:color w:val="0000FF"/>
        </w:rPr>
        <w:t>processus d’évaluation de l’incidence qu’auront les nouvelles prises de position aux fins de</w:t>
      </w:r>
      <w:r w:rsidR="00BF6A61">
        <w:rPr>
          <w:color w:val="0000FF"/>
        </w:rPr>
        <w:t> </w:t>
      </w:r>
      <w:r w:rsidR="00E353AE" w:rsidRPr="00C55C35">
        <w:rPr>
          <w:color w:val="0000FF"/>
        </w:rPr>
        <w:t>l’IAS 8, paragraphe 30, Informations à fournir, il faudra peut-être obtenir des déclarations additionnelles de la direction. Il est recommandé de consulter les Services d’audit, le cas</w:t>
      </w:r>
      <w:r w:rsidR="00BF6A61">
        <w:rPr>
          <w:color w:val="0000FF"/>
        </w:rPr>
        <w:t> </w:t>
      </w:r>
      <w:r w:rsidR="00E353AE" w:rsidRPr="00C55C35">
        <w:rPr>
          <w:color w:val="0000FF"/>
        </w:rPr>
        <w:t>échéant.</w:t>
      </w:r>
      <w:r w:rsidR="00E353AE" w:rsidRPr="009B09C4">
        <w:t>]</w:t>
      </w:r>
    </w:p>
    <w:p w14:paraId="677D3F92" w14:textId="77777777" w:rsidR="00B10C34" w:rsidRPr="00B33AA4" w:rsidRDefault="00B10C34" w:rsidP="00C74C3B">
      <w:pPr>
        <w:pStyle w:val="Heading3"/>
      </w:pPr>
      <w:r w:rsidRPr="00B33AA4">
        <w:t>Trésorerie et comptes bancaires</w:t>
      </w:r>
    </w:p>
    <w:p w14:paraId="4AFCB1E2" w14:textId="48EAAE69" w:rsidR="00B10C34" w:rsidRPr="00B33AA4" w:rsidRDefault="00B10C34" w:rsidP="008F2193">
      <w:pPr>
        <w:pStyle w:val="09Para"/>
      </w:pPr>
      <w:r w:rsidRPr="00B33AA4">
        <w:t>Les livres et documents comptables reflètent adéquatement toutes les opérations influant sur la</w:t>
      </w:r>
      <w:r w:rsidR="00BF6A61">
        <w:t> </w:t>
      </w:r>
      <w:r w:rsidRPr="00B33AA4">
        <w:t>trésorerie, les comptes bancaires et la dette bancaire de [</w:t>
      </w:r>
      <w:r w:rsidRPr="00B33AA4">
        <w:rPr>
          <w:color w:val="0000FF"/>
        </w:rPr>
        <w:t>Entité</w:t>
      </w:r>
      <w:r w:rsidRPr="00B33AA4">
        <w:t>]</w:t>
      </w:r>
      <w:r w:rsidR="00500029" w:rsidRPr="00B33AA4">
        <w:t>.</w:t>
      </w:r>
    </w:p>
    <w:p w14:paraId="5B410FE1" w14:textId="7D38BD6F" w:rsidR="00B10C34" w:rsidRPr="00B33AA4" w:rsidRDefault="00B10C34" w:rsidP="008F2193">
      <w:pPr>
        <w:pStyle w:val="09Para"/>
      </w:pPr>
      <w:r w:rsidRPr="00B33AA4">
        <w:t>Les soldes de trésorerie sont tous contrôlés par [</w:t>
      </w:r>
      <w:r w:rsidRPr="00B33AA4">
        <w:rPr>
          <w:color w:val="0000FF"/>
        </w:rPr>
        <w:t>Entité</w:t>
      </w:r>
      <w:r w:rsidRPr="00B33AA4">
        <w:t>], et ils n</w:t>
      </w:r>
      <w:r w:rsidR="00865E23" w:rsidRPr="00B33AA4">
        <w:t>’</w:t>
      </w:r>
      <w:r w:rsidRPr="00B33AA4">
        <w:t xml:space="preserve">ont pas été donnés en garantie ni remis à titre de sûreté réelle et </w:t>
      </w:r>
      <w:r w:rsidR="004C2EE4" w:rsidRPr="00B33AA4">
        <w:t xml:space="preserve">ils </w:t>
      </w:r>
      <w:r w:rsidRPr="00B33AA4">
        <w:t xml:space="preserve">ne comportent aucune affectation quant à leur </w:t>
      </w:r>
      <w:proofErr w:type="gramStart"/>
      <w:r w:rsidRPr="00B33AA4">
        <w:t>utilisation</w:t>
      </w:r>
      <w:r w:rsidR="00756291">
        <w:t>[</w:t>
      </w:r>
      <w:proofErr w:type="gramEnd"/>
      <w:r w:rsidR="00B571A2">
        <w:t>, </w:t>
      </w:r>
      <w:r w:rsidRPr="00C55C35">
        <w:rPr>
          <w:color w:val="0000FF"/>
        </w:rPr>
        <w:t>exception faite de ce qui vous a été communiqué</w:t>
      </w:r>
      <w:r w:rsidR="00756291" w:rsidRPr="00C55C35">
        <w:t>]</w:t>
      </w:r>
      <w:r w:rsidRPr="00B33AA4">
        <w:t>.</w:t>
      </w:r>
    </w:p>
    <w:p w14:paraId="6A0B1057" w14:textId="0FA37307" w:rsidR="00B10C34" w:rsidRPr="00B33AA4" w:rsidRDefault="00B10C34" w:rsidP="008F2193">
      <w:pPr>
        <w:pStyle w:val="09Para"/>
      </w:pPr>
      <w:r w:rsidRPr="00B33AA4">
        <w:t>Le montant indiqué au titre des fonds en caisse ou des comptes bancaires ne comprend pas les</w:t>
      </w:r>
      <w:r w:rsidR="00AD2A18">
        <w:t> </w:t>
      </w:r>
      <w:r w:rsidRPr="00B33AA4">
        <w:t>montants détenus en fiducie ni d</w:t>
      </w:r>
      <w:r w:rsidR="00865E23" w:rsidRPr="00B33AA4">
        <w:t>’</w:t>
      </w:r>
      <w:r w:rsidRPr="00B33AA4">
        <w:t xml:space="preserve">autres montants qui </w:t>
      </w:r>
      <w:r w:rsidR="0032249D" w:rsidRPr="00B33AA4">
        <w:t xml:space="preserve">n’appartiennent </w:t>
      </w:r>
      <w:r w:rsidRPr="00B33AA4">
        <w:t xml:space="preserve">pas </w:t>
      </w:r>
      <w:r w:rsidR="0032249D" w:rsidRPr="00B33AA4">
        <w:t>à</w:t>
      </w:r>
      <w:r w:rsidRPr="00B33AA4">
        <w:t xml:space="preserve"> [</w:t>
      </w:r>
      <w:r w:rsidRPr="00B33AA4">
        <w:rPr>
          <w:color w:val="0000FF"/>
        </w:rPr>
        <w:t>Entité</w:t>
      </w:r>
      <w:r w:rsidRPr="00B33AA4">
        <w:t>].</w:t>
      </w:r>
    </w:p>
    <w:p w14:paraId="457EBF22" w14:textId="77777777" w:rsidR="00805412" w:rsidRPr="00B33AA4" w:rsidRDefault="00B10C34" w:rsidP="008F2193">
      <w:pPr>
        <w:pStyle w:val="09Para"/>
      </w:pPr>
      <w:r w:rsidRPr="00B33AA4">
        <w:t>Les accords avec des institutions financières visant des soldes compensateurs ou les autres accords comportant des affectations visant les soldes de trésorerie et les lignes de crédit, ou tout autre accord similaire</w:t>
      </w:r>
      <w:r w:rsidR="005727E3" w:rsidRPr="00B33AA4">
        <w:t>,</w:t>
      </w:r>
      <w:r w:rsidRPr="00B33AA4">
        <w:t xml:space="preserve"> </w:t>
      </w:r>
      <w:r w:rsidR="005727E3" w:rsidRPr="00B33AA4">
        <w:t xml:space="preserve">ont fait </w:t>
      </w:r>
      <w:r w:rsidR="0039708E" w:rsidRPr="00B33AA4">
        <w:t>l’objet d’informations adéquates</w:t>
      </w:r>
      <w:r w:rsidR="00805412" w:rsidRPr="00B33AA4">
        <w:t>.</w:t>
      </w:r>
    </w:p>
    <w:p w14:paraId="2A7759EA" w14:textId="67837125" w:rsidR="00805412" w:rsidRPr="00B33AA4" w:rsidRDefault="00B10C34" w:rsidP="008F2193">
      <w:pPr>
        <w:pStyle w:val="09Para"/>
      </w:pPr>
      <w:r w:rsidRPr="00B33AA4">
        <w:t>La totalité de la trésorerie et des comptes bancaires de [</w:t>
      </w:r>
      <w:r w:rsidRPr="00B33AA4">
        <w:rPr>
          <w:color w:val="0000FF"/>
        </w:rPr>
        <w:t>Entité</w:t>
      </w:r>
      <w:r w:rsidRPr="00B33AA4">
        <w:t xml:space="preserve">] sont inclus dans </w:t>
      </w:r>
      <w:r w:rsidR="00274713">
        <w:t>s</w:t>
      </w:r>
      <w:r w:rsidRPr="00B33AA4">
        <w:t>es états financiers [</w:t>
      </w:r>
      <w:r w:rsidRPr="00B33AA4">
        <w:rPr>
          <w:color w:val="0000FF"/>
        </w:rPr>
        <w:t>consolidés</w:t>
      </w:r>
      <w:r w:rsidRPr="00B33AA4">
        <w:t>]</w:t>
      </w:r>
      <w:r w:rsidR="00805412" w:rsidRPr="00B33AA4">
        <w:t>.</w:t>
      </w:r>
    </w:p>
    <w:p w14:paraId="473C9306" w14:textId="53A4E1D2" w:rsidR="00805412" w:rsidRPr="00B33AA4" w:rsidRDefault="000223FC" w:rsidP="00C74C3B">
      <w:pPr>
        <w:pStyle w:val="Heading3"/>
      </w:pPr>
      <w:r w:rsidRPr="00B33AA4">
        <w:t>Créances</w:t>
      </w:r>
      <w:r w:rsidR="005B77D8" w:rsidRPr="00B33AA4">
        <w:t xml:space="preserve"> </w:t>
      </w:r>
    </w:p>
    <w:p w14:paraId="79E12657" w14:textId="77777777" w:rsidR="00B10C34" w:rsidRPr="00B33AA4" w:rsidRDefault="00B10C34" w:rsidP="008F2193">
      <w:pPr>
        <w:pStyle w:val="09Para"/>
      </w:pPr>
      <w:r w:rsidRPr="00B33AA4">
        <w:t>Toutes les créances de [</w:t>
      </w:r>
      <w:r w:rsidRPr="00B33AA4">
        <w:rPr>
          <w:color w:val="0000FF"/>
        </w:rPr>
        <w:t>Entité</w:t>
      </w:r>
      <w:r w:rsidRPr="00B33AA4">
        <w:t xml:space="preserve">] ont été </w:t>
      </w:r>
      <w:r w:rsidR="0039708E" w:rsidRPr="00B33AA4">
        <w:t xml:space="preserve">comptabilisées </w:t>
      </w:r>
      <w:r w:rsidRPr="00B33AA4">
        <w:t>dans les livres et documents comptables.</w:t>
      </w:r>
    </w:p>
    <w:p w14:paraId="4D88DDA7" w14:textId="0C9DA49C" w:rsidR="000223FC" w:rsidRPr="00B33AA4" w:rsidRDefault="000223FC" w:rsidP="008F2193">
      <w:pPr>
        <w:pStyle w:val="09Para"/>
      </w:pPr>
      <w:r w:rsidRPr="00B33AA4">
        <w:t>Les créances comptabilisées dans les états financiers [</w:t>
      </w:r>
      <w:r w:rsidRPr="00B33AA4">
        <w:rPr>
          <w:color w:val="0000FF"/>
        </w:rPr>
        <w:t>consolidés</w:t>
      </w:r>
      <w:r w:rsidRPr="00B33AA4">
        <w:t>] représentent des créances valides sur des clients au titre de ventes conclues ou d’autres opérations qui se sont produites au plus tard à la date de l’état [</w:t>
      </w:r>
      <w:r w:rsidRPr="00B33AA4">
        <w:rPr>
          <w:color w:val="0000FF"/>
        </w:rPr>
        <w:t>consolidé</w:t>
      </w:r>
      <w:r w:rsidRPr="00B33AA4">
        <w:t>] de la situation financière, et elles ne sont pas visées par des escomptes, exception faite des escomptes de caisse normaux. Les créances classées dans les actifs courants ne comprennent pas de montants importants à percevoir au</w:t>
      </w:r>
      <w:r w:rsidRPr="00B33AA4">
        <w:noBreakHyphen/>
        <w:t>delà d’un an</w:t>
      </w:r>
      <w:r w:rsidR="00274713">
        <w:t xml:space="preserve"> </w:t>
      </w:r>
      <w:r w:rsidR="00274713" w:rsidRPr="006C4303">
        <w:rPr>
          <w:rStyle w:val="LetterRedPwC"/>
          <w:color w:val="auto"/>
        </w:rPr>
        <w:t>[</w:t>
      </w:r>
      <w:r w:rsidR="00274713" w:rsidRPr="00B73AD8">
        <w:rPr>
          <w:rStyle w:val="BlueText"/>
        </w:rPr>
        <w:t>o</w:t>
      </w:r>
      <w:r w:rsidR="0026377F">
        <w:rPr>
          <w:rStyle w:val="BlueText"/>
        </w:rPr>
        <w:t>u</w:t>
      </w:r>
      <w:r w:rsidR="00274713" w:rsidRPr="00B73AD8">
        <w:rPr>
          <w:rStyle w:val="BlueText"/>
        </w:rPr>
        <w:t xml:space="preserve"> </w:t>
      </w:r>
      <w:r w:rsidR="0026377F">
        <w:rPr>
          <w:rStyle w:val="BlueText"/>
        </w:rPr>
        <w:t>au-delà de son cycle d’exploitation normal, s’il dépasse un an</w:t>
      </w:r>
      <w:r w:rsidR="00274713" w:rsidRPr="006C4303">
        <w:rPr>
          <w:rStyle w:val="LetterRedPwC"/>
          <w:color w:val="auto"/>
        </w:rPr>
        <w:t>]</w:t>
      </w:r>
      <w:r w:rsidRPr="00B33AA4">
        <w:t>.</w:t>
      </w:r>
    </w:p>
    <w:p w14:paraId="4D6D5C8C" w14:textId="6B80E163" w:rsidR="00594AC2" w:rsidRPr="009D3150" w:rsidRDefault="00594AC2" w:rsidP="00594AC2">
      <w:pPr>
        <w:pStyle w:val="09Para"/>
      </w:pPr>
      <w:r w:rsidRPr="00F96EBA">
        <w:t>[</w:t>
      </w:r>
      <w:r w:rsidR="00C0060C" w:rsidRPr="00C55C35">
        <w:rPr>
          <w:color w:val="0000FF"/>
        </w:rPr>
        <w:t>Les trois prochains paragraphes s’appliquent uniquement aux entités qui comptabilisent leurs instruments financiers selon l’</w:t>
      </w:r>
      <w:r w:rsidR="00C55C35">
        <w:rPr>
          <w:snapToGrid w:val="0"/>
          <w:color w:val="0000FF"/>
        </w:rPr>
        <w:t>IFRS </w:t>
      </w:r>
      <w:r w:rsidRPr="005C64BD">
        <w:rPr>
          <w:snapToGrid w:val="0"/>
          <w:color w:val="0000FF"/>
        </w:rPr>
        <w:t>9.</w:t>
      </w:r>
      <w:r w:rsidRPr="00F96EBA">
        <w:t>]</w:t>
      </w:r>
    </w:p>
    <w:p w14:paraId="16AC27DD" w14:textId="6D8EB0C9" w:rsidR="005B77D8" w:rsidRPr="00B33AA4" w:rsidRDefault="005B77D8" w:rsidP="008F2193">
      <w:pPr>
        <w:pStyle w:val="09Para"/>
      </w:pPr>
      <w:r w:rsidRPr="00B33AA4">
        <w:t>Les créances sont comptabilisées en tant qu’actifs financiers selon l’IFRS 9</w:t>
      </w:r>
      <w:r w:rsidR="00C0060C">
        <w:t>, Instruments financiers</w:t>
      </w:r>
      <w:r w:rsidRPr="00B33AA4">
        <w:t>.</w:t>
      </w:r>
    </w:p>
    <w:p w14:paraId="6581F4BE" w14:textId="0E32C87F" w:rsidR="00B10C34" w:rsidRPr="00B33AA4" w:rsidRDefault="00B10C34" w:rsidP="008F2193">
      <w:pPr>
        <w:pStyle w:val="09Para"/>
      </w:pPr>
      <w:r w:rsidRPr="005C64BD">
        <w:lastRenderedPageBreak/>
        <w:t>Aucune créance n</w:t>
      </w:r>
      <w:r w:rsidR="00865E23" w:rsidRPr="005C64BD">
        <w:t>’</w:t>
      </w:r>
      <w:r w:rsidRPr="005C64BD">
        <w:t>a été remise en nantissement ou cédée en garantie d</w:t>
      </w:r>
      <w:r w:rsidR="00865E23" w:rsidRPr="005C64BD">
        <w:t>’</w:t>
      </w:r>
      <w:r w:rsidRPr="005C64BD">
        <w:t>avances consenties à</w:t>
      </w:r>
      <w:r w:rsidR="001E1CE0">
        <w:t> </w:t>
      </w:r>
      <w:r w:rsidRPr="005C64BD">
        <w:t>[</w:t>
      </w:r>
      <w:r w:rsidRPr="005C64BD">
        <w:rPr>
          <w:color w:val="0000FF"/>
        </w:rPr>
        <w:t>Entité</w:t>
      </w:r>
      <w:r w:rsidRPr="005C64BD">
        <w:t xml:space="preserve">], </w:t>
      </w:r>
      <w:r w:rsidR="00C0060C" w:rsidRPr="005C64BD">
        <w:t>[</w:t>
      </w:r>
      <w:r w:rsidR="00C0060C" w:rsidRPr="00C55C35">
        <w:rPr>
          <w:color w:val="0000FF"/>
        </w:rPr>
        <w:t>exception faite de ce qui est indiqué dans la présente</w:t>
      </w:r>
      <w:r w:rsidR="00C0060C" w:rsidRPr="00C55C35">
        <w:t>]</w:t>
      </w:r>
      <w:r w:rsidRPr="005C64BD">
        <w:t>.</w:t>
      </w:r>
    </w:p>
    <w:p w14:paraId="45970459" w14:textId="32A5B46C" w:rsidR="00805412" w:rsidRDefault="005B77D8" w:rsidP="008F2193">
      <w:pPr>
        <w:pStyle w:val="09Para"/>
      </w:pPr>
      <w:r w:rsidRPr="00B33AA4">
        <w:t>[</w:t>
      </w:r>
      <w:r w:rsidRPr="00B33AA4">
        <w:rPr>
          <w:color w:val="0000FF"/>
        </w:rPr>
        <w:t>Entité</w:t>
      </w:r>
      <w:r w:rsidRPr="00B33AA4">
        <w:t>] a comptabilisé et fourni des informations sur toutes les cessions de créances (y compris les titrisations) conformément aux dispositions de l’IFRS 9 et de l’IFRS 7, Instruments financiers : Informations à fournir.</w:t>
      </w:r>
    </w:p>
    <w:p w14:paraId="48CC1A6A" w14:textId="77777777" w:rsidR="00E2706E" w:rsidRPr="00B33AA4" w:rsidRDefault="00E2706E" w:rsidP="00E2706E">
      <w:pPr>
        <w:pStyle w:val="Heading3"/>
      </w:pPr>
      <w:r w:rsidRPr="00B33AA4">
        <w:t>Stocks</w:t>
      </w:r>
    </w:p>
    <w:p w14:paraId="591E328B" w14:textId="1D6681AA" w:rsidR="00E2706E" w:rsidRPr="00B33AA4" w:rsidRDefault="00E2706E" w:rsidP="00E2706E">
      <w:pPr>
        <w:pStyle w:val="09Para"/>
      </w:pPr>
      <w:r w:rsidRPr="00B33AA4">
        <w:t>Les stocks présentés dans les états financiers [</w:t>
      </w:r>
      <w:r w:rsidRPr="00B33AA4">
        <w:rPr>
          <w:color w:val="0000FF"/>
        </w:rPr>
        <w:t>consolidés</w:t>
      </w:r>
      <w:r w:rsidRPr="00B33AA4">
        <w:t>] sont inscrits au plus faible du coût ou de la valeur nette de réalisation. Le coût est alors calculé selon [</w:t>
      </w:r>
      <w:r w:rsidRPr="00B33AA4">
        <w:rPr>
          <w:color w:val="0000FF"/>
        </w:rPr>
        <w:t>PEPS ou coût moyen pondéré</w:t>
      </w:r>
      <w:r w:rsidR="00FE530A">
        <w:rPr>
          <w:color w:val="0000FF"/>
        </w:rPr>
        <w:t>, etc.</w:t>
      </w:r>
      <w:r w:rsidRPr="00B33AA4">
        <w:t>], et une provision adéquate est comptabilisée pour ramener tous les stocks endommagés, complètement ou partiellement obsolètes ou inutilisables à leur valeur nette de</w:t>
      </w:r>
      <w:r w:rsidR="001E1CE0">
        <w:t> </w:t>
      </w:r>
      <w:r w:rsidRPr="00B33AA4">
        <w:t>réalisation (prix de vente estimé, diminué des coûts estimés pour réaliser la vente).</w:t>
      </w:r>
    </w:p>
    <w:p w14:paraId="7685D6C2" w14:textId="293FB916" w:rsidR="00E2706E" w:rsidRPr="00B33AA4" w:rsidRDefault="00E2706E" w:rsidP="00E2706E">
      <w:pPr>
        <w:pStyle w:val="09Para"/>
      </w:pPr>
      <w:r w:rsidRPr="00B33AA4">
        <w:t xml:space="preserve">Les quantités détenues en stock à la </w:t>
      </w:r>
      <w:r w:rsidR="00960E92" w:rsidRPr="00B33AA4">
        <w:t>date de l’état [</w:t>
      </w:r>
      <w:r w:rsidR="00960E92" w:rsidRPr="00B33AA4">
        <w:rPr>
          <w:color w:val="0000FF"/>
        </w:rPr>
        <w:t>consolidé</w:t>
      </w:r>
      <w:r w:rsidR="00960E92" w:rsidRPr="00B33AA4">
        <w:t>] de la situation financière</w:t>
      </w:r>
      <w:r w:rsidR="00960E92" w:rsidRPr="00B33AA4" w:rsidDel="00960E92">
        <w:t xml:space="preserve"> </w:t>
      </w:r>
      <w:r w:rsidRPr="00B33AA4">
        <w:t>ont été établies au moyen de prises d’inventaire physiques ou des fichiers de l’inventaire permanent de [</w:t>
      </w:r>
      <w:r w:rsidRPr="00B33AA4">
        <w:rPr>
          <w:color w:val="0000FF"/>
        </w:rPr>
        <w:t>Entité</w:t>
      </w:r>
      <w:r w:rsidRPr="00B33AA4">
        <w:t>], ajustés en fonction des inventaires physiques effectués par des employés compétents [</w:t>
      </w:r>
      <w:r w:rsidRPr="00B33AA4">
        <w:rPr>
          <w:color w:val="0000FF"/>
        </w:rPr>
        <w:t>le/les</w:t>
      </w:r>
      <w:r w:rsidRPr="00B33AA4">
        <w:t>] [</w:t>
      </w:r>
      <w:r w:rsidRPr="00B33AA4">
        <w:rPr>
          <w:color w:val="0000FF"/>
        </w:rPr>
        <w:t>date(s) de l’inventaire physique ou à divers moments au cours de l’exercice</w:t>
      </w:r>
      <w:r w:rsidRPr="00B33AA4">
        <w:t xml:space="preserve">]. Les passifs relatifs aux montants impayés sont comptabilisés pour tous les articles en stock à </w:t>
      </w:r>
      <w:r w:rsidR="00960E92">
        <w:t xml:space="preserve">la </w:t>
      </w:r>
      <w:r w:rsidR="00960E92" w:rsidRPr="00B33AA4">
        <w:t>date de l’état [</w:t>
      </w:r>
      <w:r w:rsidR="00960E92" w:rsidRPr="00B33AA4">
        <w:rPr>
          <w:color w:val="0000FF"/>
        </w:rPr>
        <w:t>consolidé</w:t>
      </w:r>
      <w:r w:rsidR="00960E92" w:rsidRPr="00B33AA4">
        <w:t>] de la situation financière</w:t>
      </w:r>
      <w:r w:rsidR="00960E92" w:rsidRPr="00B33AA4" w:rsidDel="00960E92">
        <w:t xml:space="preserve"> </w:t>
      </w:r>
      <w:r w:rsidRPr="00B33AA4">
        <w:t xml:space="preserve">et toutes les quantités </w:t>
      </w:r>
      <w:r w:rsidR="00FE530A">
        <w:t>vendues</w:t>
      </w:r>
      <w:r w:rsidR="00FE530A" w:rsidRPr="00B33AA4">
        <w:t xml:space="preserve"> </w:t>
      </w:r>
      <w:r w:rsidRPr="00B33AA4">
        <w:t>aux clients à</w:t>
      </w:r>
      <w:r w:rsidR="001E1CE0">
        <w:t> </w:t>
      </w:r>
      <w:r w:rsidRPr="00B33AA4">
        <w:t>cette date sont exclues du solde des stocks.</w:t>
      </w:r>
    </w:p>
    <w:p w14:paraId="078CCFA2" w14:textId="77777777" w:rsidR="00E2706E" w:rsidRDefault="00E2706E" w:rsidP="00E2706E">
      <w:pPr>
        <w:pStyle w:val="09Para"/>
      </w:pPr>
      <w:r w:rsidRPr="00B33AA4">
        <w:t>Dans le cas des contrats déficitaires, une provision a été comptabilisée pour ramener les stocks à leur valeur nette de réalisation estimative, conformément à l’IAS 37, Provisions, passifs éventuels et actifs éventuels.</w:t>
      </w:r>
    </w:p>
    <w:p w14:paraId="26AE0D4C" w14:textId="5C714F7F" w:rsidR="00FE530A" w:rsidRDefault="006D1EEA" w:rsidP="00E2706E">
      <w:pPr>
        <w:pStyle w:val="09Para"/>
      </w:pPr>
      <w:r>
        <w:rPr>
          <w:rFonts w:cs="Arial"/>
          <w:snapToGrid w:val="0"/>
        </w:rPr>
        <w:t xml:space="preserve">À la clôture de l’exercice, </w:t>
      </w:r>
      <w:r w:rsidR="00B64359">
        <w:rPr>
          <w:rFonts w:cs="Arial"/>
          <w:snapToGrid w:val="0"/>
        </w:rPr>
        <w:t xml:space="preserve">il n’y avait pas de stocks détenus au nom des clients ni de stocks appartenant à des clients conservés dans des entrepôts de </w:t>
      </w:r>
      <w:r w:rsidR="00FE530A" w:rsidRPr="0088764B">
        <w:rPr>
          <w:rFonts w:cs="Arial"/>
          <w:snapToGrid w:val="0"/>
        </w:rPr>
        <w:t>[</w:t>
      </w:r>
      <w:r w:rsidR="00B64359">
        <w:rPr>
          <w:rStyle w:val="BlueText"/>
          <w:rFonts w:cs="Arial"/>
        </w:rPr>
        <w:t>Entité</w:t>
      </w:r>
      <w:r w:rsidR="00FE530A" w:rsidRPr="0088764B">
        <w:rPr>
          <w:rFonts w:cs="Arial"/>
          <w:snapToGrid w:val="0"/>
        </w:rPr>
        <w:t>]</w:t>
      </w:r>
      <w:r w:rsidR="00FE530A" w:rsidRPr="00312524">
        <w:rPr>
          <w:rFonts w:cs="Arial"/>
          <w:snapToGrid w:val="0"/>
        </w:rPr>
        <w:t xml:space="preserve"> o</w:t>
      </w:r>
      <w:r w:rsidR="00B64359">
        <w:rPr>
          <w:rFonts w:cs="Arial"/>
          <w:snapToGrid w:val="0"/>
        </w:rPr>
        <w:t xml:space="preserve">u d’une tierce partie sous contrat avec </w:t>
      </w:r>
      <w:r w:rsidR="00FE530A" w:rsidRPr="0088764B">
        <w:rPr>
          <w:rFonts w:cs="Arial"/>
          <w:snapToGrid w:val="0"/>
        </w:rPr>
        <w:t>[</w:t>
      </w:r>
      <w:r w:rsidR="00B64359">
        <w:rPr>
          <w:rStyle w:val="BlueText"/>
          <w:rFonts w:cs="Arial"/>
        </w:rPr>
        <w:t>Entité</w:t>
      </w:r>
      <w:r w:rsidR="00FE530A" w:rsidRPr="0088764B">
        <w:rPr>
          <w:rFonts w:cs="Arial"/>
          <w:snapToGrid w:val="0"/>
        </w:rPr>
        <w:t>]</w:t>
      </w:r>
      <w:r w:rsidR="00FE530A" w:rsidRPr="00312524">
        <w:rPr>
          <w:rFonts w:cs="Arial"/>
          <w:snapToGrid w:val="0"/>
        </w:rPr>
        <w:t>, [</w:t>
      </w:r>
      <w:r w:rsidR="00B64359">
        <w:rPr>
          <w:rStyle w:val="BlueText"/>
        </w:rPr>
        <w:t>sauf les stocks qui vous ont été communiqué</w:t>
      </w:r>
      <w:r w:rsidR="007B1313">
        <w:rPr>
          <w:rStyle w:val="BlueText"/>
        </w:rPr>
        <w:t>s</w:t>
      </w:r>
      <w:r w:rsidR="00FE530A" w:rsidRPr="004B1584">
        <w:rPr>
          <w:rStyle w:val="BlueText"/>
        </w:rPr>
        <w:t xml:space="preserve">. </w:t>
      </w:r>
      <w:r w:rsidR="00FE530A" w:rsidRPr="00F96EBA">
        <w:rPr>
          <w:rStyle w:val="BlueText"/>
          <w:color w:val="auto"/>
        </w:rPr>
        <w:t>[</w:t>
      </w:r>
      <w:proofErr w:type="gramStart"/>
      <w:r w:rsidR="00B64359">
        <w:rPr>
          <w:rStyle w:val="BlueText"/>
        </w:rPr>
        <w:t>fournir</w:t>
      </w:r>
      <w:proofErr w:type="gramEnd"/>
      <w:r w:rsidR="00B64359">
        <w:rPr>
          <w:rStyle w:val="BlueText"/>
        </w:rPr>
        <w:t xml:space="preserve"> des informations précises, s’il y a lieu</w:t>
      </w:r>
      <w:r w:rsidR="00FE530A" w:rsidRPr="00F96EBA">
        <w:rPr>
          <w:rStyle w:val="BlueText"/>
          <w:color w:val="auto"/>
        </w:rPr>
        <w:t>]</w:t>
      </w:r>
      <w:r w:rsidR="00FE530A" w:rsidRPr="00312524">
        <w:rPr>
          <w:rFonts w:cs="Arial"/>
          <w:snapToGrid w:val="0"/>
        </w:rPr>
        <w:t>]</w:t>
      </w:r>
      <w:r w:rsidR="00FE530A">
        <w:rPr>
          <w:rFonts w:cs="Arial"/>
          <w:snapToGrid w:val="0"/>
        </w:rPr>
        <w:t>.</w:t>
      </w:r>
    </w:p>
    <w:p w14:paraId="400636C5" w14:textId="77777777" w:rsidR="00E2706E" w:rsidRPr="00B33AA4" w:rsidRDefault="00E2706E" w:rsidP="00E2706E">
      <w:pPr>
        <w:pStyle w:val="Heading3"/>
      </w:pPr>
      <w:r w:rsidRPr="00B33AA4">
        <w:t>Actifs financiers comptabilisés selon l’IFRS 9</w:t>
      </w:r>
    </w:p>
    <w:p w14:paraId="6679460C" w14:textId="77777777" w:rsidR="00E2706E" w:rsidRPr="00C55C35" w:rsidRDefault="00E2706E" w:rsidP="00C55C35">
      <w:pPr>
        <w:pStyle w:val="09Para"/>
        <w:rPr>
          <w:i/>
        </w:rPr>
      </w:pPr>
      <w:r w:rsidRPr="00C55C35">
        <w:rPr>
          <w:i/>
        </w:rPr>
        <w:t>Évaluation initiale des actifs financiers</w:t>
      </w:r>
    </w:p>
    <w:p w14:paraId="558137CA" w14:textId="40EC2D2A" w:rsidR="00E2706E" w:rsidRPr="00B33AA4" w:rsidRDefault="00E2706E" w:rsidP="00E2706E">
      <w:pPr>
        <w:pStyle w:val="09Para"/>
      </w:pPr>
      <w:r w:rsidRPr="00B33AA4">
        <w:t>[</w:t>
      </w:r>
      <w:r w:rsidR="00B50E0F" w:rsidRPr="00F96EBA">
        <w:t>[</w:t>
      </w:r>
      <w:r w:rsidR="00B50E0F">
        <w:rPr>
          <w:color w:val="0000FF"/>
        </w:rPr>
        <w:t>E</w:t>
      </w:r>
      <w:r w:rsidRPr="00B33AA4">
        <w:rPr>
          <w:color w:val="0000FF"/>
        </w:rPr>
        <w:t>ntité</w:t>
      </w:r>
      <w:r w:rsidRPr="00F96EBA">
        <w:t>]</w:t>
      </w:r>
      <w:r w:rsidRPr="00C55C35">
        <w:rPr>
          <w:color w:val="0000FF"/>
        </w:rPr>
        <w:t xml:space="preserve"> a évalué les créances clients qui ne comportaient pas </w:t>
      </w:r>
      <w:proofErr w:type="gramStart"/>
      <w:r w:rsidRPr="00C55C35">
        <w:rPr>
          <w:color w:val="0000FF"/>
        </w:rPr>
        <w:t>une composante</w:t>
      </w:r>
      <w:proofErr w:type="gramEnd"/>
      <w:r w:rsidRPr="00C55C35">
        <w:rPr>
          <w:color w:val="0000FF"/>
        </w:rPr>
        <w:t xml:space="preserve"> financement importante (selon l’IFRS 15) à leur prix de transaction (selon la définition de l’IFRS 15).</w:t>
      </w:r>
      <w:r w:rsidR="008C6EBB" w:rsidRPr="00C55C35">
        <w:t>]</w:t>
      </w:r>
    </w:p>
    <w:p w14:paraId="59461CC5" w14:textId="3F8D6D2A" w:rsidR="00E2706E" w:rsidRDefault="00E2706E" w:rsidP="00E2706E">
      <w:pPr>
        <w:pStyle w:val="09Para"/>
      </w:pPr>
      <w:r w:rsidRPr="00B33AA4">
        <w:t>[</w:t>
      </w:r>
      <w:r w:rsidRPr="00B33AA4">
        <w:rPr>
          <w:color w:val="0000FF"/>
        </w:rPr>
        <w:t xml:space="preserve">À l’exception des créances client qui n’ont pas </w:t>
      </w:r>
      <w:proofErr w:type="gramStart"/>
      <w:r w:rsidRPr="00B33AA4">
        <w:rPr>
          <w:color w:val="0000FF"/>
        </w:rPr>
        <w:t>une composante</w:t>
      </w:r>
      <w:proofErr w:type="gramEnd"/>
      <w:r w:rsidRPr="00B33AA4">
        <w:rPr>
          <w:color w:val="0000FF"/>
        </w:rPr>
        <w:t xml:space="preserve"> financement importante,</w:t>
      </w:r>
      <w:r w:rsidRPr="00B33AA4">
        <w:t>] lors de la comptabilisation initiale, [</w:t>
      </w:r>
      <w:r w:rsidRPr="00B33AA4">
        <w:rPr>
          <w:color w:val="0000FF"/>
        </w:rPr>
        <w:t>Entité</w:t>
      </w:r>
      <w:r w:rsidRPr="00B33AA4">
        <w:t xml:space="preserve">] a évalué ses actifs financiers à </w:t>
      </w:r>
      <w:r w:rsidR="008C6EBB">
        <w:t>l</w:t>
      </w:r>
      <w:r w:rsidRPr="00B33AA4">
        <w:t>a juste valeur majorée ou minorée, dans le cas d’un actif financier qui n’est pas à la juste valeur par le biais du résultat net, des coûts de transaction directement attribuables à l’acquisition ou à l’émission de cet actif financier.</w:t>
      </w:r>
    </w:p>
    <w:p w14:paraId="34B5D1B4" w14:textId="77777777" w:rsidR="00B64359" w:rsidRPr="009D3150" w:rsidRDefault="00B64359" w:rsidP="00B64359">
      <w:pPr>
        <w:pStyle w:val="09Para"/>
        <w:keepNext/>
        <w:keepLines/>
        <w:rPr>
          <w:i/>
        </w:rPr>
      </w:pPr>
      <w:proofErr w:type="spellStart"/>
      <w:r w:rsidRPr="009D3150">
        <w:rPr>
          <w:i/>
        </w:rPr>
        <w:t>Décomptabilisation</w:t>
      </w:r>
      <w:proofErr w:type="spellEnd"/>
    </w:p>
    <w:p w14:paraId="3E3AB597" w14:textId="77777777" w:rsidR="00B64359" w:rsidRPr="00B33AA4" w:rsidRDefault="00B64359" w:rsidP="00B64359">
      <w:pPr>
        <w:pStyle w:val="09Para"/>
      </w:pPr>
      <w:r w:rsidRPr="00B33AA4">
        <w:t xml:space="preserve">Nous avons </w:t>
      </w:r>
      <w:proofErr w:type="spellStart"/>
      <w:r w:rsidRPr="00B33AA4">
        <w:t>décomptabilisé</w:t>
      </w:r>
      <w:proofErr w:type="spellEnd"/>
      <w:r w:rsidRPr="00B33AA4">
        <w:t xml:space="preserve"> un actif financier dans l’un ou l’autre des cas suivants :</w:t>
      </w:r>
    </w:p>
    <w:p w14:paraId="6D553B78" w14:textId="5F231C65" w:rsidR="00B64359" w:rsidRPr="00B33AA4" w:rsidRDefault="00B64359" w:rsidP="000E4CFF">
      <w:pPr>
        <w:pStyle w:val="09ParaBullet1"/>
      </w:pPr>
      <w:r w:rsidRPr="00B33AA4">
        <w:lastRenderedPageBreak/>
        <w:t>les droits contractuels sur les flux de trésorerie de l’actif financier sont arrivés à</w:t>
      </w:r>
      <w:r w:rsidR="002D63D4">
        <w:t> </w:t>
      </w:r>
      <w:r w:rsidRPr="00B33AA4">
        <w:t>expiration;</w:t>
      </w:r>
    </w:p>
    <w:p w14:paraId="79D74DB8" w14:textId="1FC26621" w:rsidR="00B64359" w:rsidRPr="00B33AA4" w:rsidRDefault="00B64359" w:rsidP="000E4CFF">
      <w:pPr>
        <w:pStyle w:val="09ParaBullet1"/>
      </w:pPr>
      <w:r w:rsidRPr="00B33AA4">
        <w:t>nous avons transféré l’actif financier et ce transfert répondait aux co</w:t>
      </w:r>
      <w:r>
        <w:t>nditions de</w:t>
      </w:r>
      <w:r w:rsidR="002D63D4">
        <w:t> </w:t>
      </w:r>
      <w:proofErr w:type="spellStart"/>
      <w:r>
        <w:t>décomptabilisation</w:t>
      </w:r>
      <w:proofErr w:type="spellEnd"/>
      <w:r>
        <w:t>.</w:t>
      </w:r>
    </w:p>
    <w:p w14:paraId="44173590" w14:textId="77777777" w:rsidR="00E2706E" w:rsidRPr="00B33AA4" w:rsidRDefault="00E2706E" w:rsidP="00E2706E">
      <w:pPr>
        <w:pStyle w:val="09Para"/>
        <w:keepNext/>
        <w:keepLines/>
        <w:rPr>
          <w:b/>
        </w:rPr>
      </w:pPr>
      <w:r w:rsidRPr="00B33AA4">
        <w:rPr>
          <w:b/>
        </w:rPr>
        <w:t>Instruments d’emprunt comptabilisés selon l’IFRS 9</w:t>
      </w:r>
    </w:p>
    <w:p w14:paraId="1246291C" w14:textId="041E93D7" w:rsidR="00E2706E" w:rsidRPr="00B33AA4" w:rsidRDefault="00E2706E" w:rsidP="00E2706E">
      <w:pPr>
        <w:pStyle w:val="09Para"/>
      </w:pPr>
      <w:r w:rsidRPr="00B33AA4">
        <w:t>[</w:t>
      </w:r>
      <w:r w:rsidRPr="00B33AA4">
        <w:rPr>
          <w:color w:val="0000FF"/>
        </w:rPr>
        <w:t>Entité</w:t>
      </w:r>
      <w:r w:rsidRPr="00B33AA4">
        <w:t>] a classé et évalué de manière appropriée tous les instruments d’emprunt conformément à l’IFRS 9, soit au coût amorti, soit à la juste valeur par le biais des autres éléments du résultat global (JVAERG), soit à la juste valeur par le biais du résultat net (JVRN).</w:t>
      </w:r>
    </w:p>
    <w:p w14:paraId="28A3E2A0" w14:textId="095C1057" w:rsidR="00E2706E" w:rsidRPr="00B33AA4" w:rsidRDefault="00E2706E" w:rsidP="000E4CFF">
      <w:pPr>
        <w:pStyle w:val="09ParaBullet1"/>
      </w:pPr>
      <w:r w:rsidRPr="00B33AA4">
        <w:t>Nous avons déterminé que notre modèle économique [</w:t>
      </w:r>
      <w:r w:rsidRPr="00B33AA4">
        <w:rPr>
          <w:color w:val="0000FF"/>
        </w:rPr>
        <w:t>nos modèles économiques</w:t>
      </w:r>
      <w:r w:rsidRPr="00B33AA4">
        <w:t>] s’inscrit [</w:t>
      </w:r>
      <w:r w:rsidRPr="00B571A2">
        <w:rPr>
          <w:color w:val="0000FF"/>
        </w:rPr>
        <w:t>s’inscrivent</w:t>
      </w:r>
      <w:r w:rsidRPr="00B33AA4">
        <w:t>] dans un modèle de type « détention aux fins de la perception », de type « détention aux fins de la perception et de la vente » ou de type « autres modèles économiques » en tenant compte, sans nous y limiter, d’indicateurs de rendement, des risques et de la gestion de ceux-ci, de la rémunération de la direction et la fréquence de</w:t>
      </w:r>
      <w:r w:rsidR="003614BC">
        <w:t> </w:t>
      </w:r>
      <w:r w:rsidRPr="00B33AA4">
        <w:t>la vente d’actifs.</w:t>
      </w:r>
    </w:p>
    <w:p w14:paraId="3239EA98" w14:textId="600CBB70" w:rsidR="00E2706E" w:rsidRPr="00B33AA4" w:rsidRDefault="00E2706E" w:rsidP="000E4CFF">
      <w:pPr>
        <w:pStyle w:val="09ParaBullet1"/>
      </w:pPr>
      <w:r w:rsidRPr="00B33AA4">
        <w:t>Pour tous les instruments d’emprunt évalués au coût amorti ou à la JVAERG, nous avons évalué si les flux de trésorerie contractuels de l’instrument correspondent uniquement à des remboursements de principal et à des versements d’intérêts. Les intérêts payés, le cas échéant, se composent seulement d’une contrepartie pour la valeur temps de l’argent, le risque de crédit et les frais qui se rattachent à un prêt ainsi que d’une marge, et concordent avec les caractéristique</w:t>
      </w:r>
      <w:r w:rsidR="009D3150">
        <w:t>s d’un contrat de prêt de base.</w:t>
      </w:r>
    </w:p>
    <w:p w14:paraId="48175639" w14:textId="30E05C8F" w:rsidR="00E67627" w:rsidRDefault="00E67627" w:rsidP="00E2706E">
      <w:pPr>
        <w:pStyle w:val="09Para"/>
        <w:rPr>
          <w:color w:val="0000FF"/>
        </w:rPr>
      </w:pPr>
      <w:r w:rsidRPr="00F96EBA">
        <w:t>[</w:t>
      </w:r>
      <w:r w:rsidRPr="00E67627">
        <w:rPr>
          <w:color w:val="0000FF"/>
        </w:rPr>
        <w:t>Nous avons désigné irrévocablement les instruments d’emprunt comme étant évalués à la</w:t>
      </w:r>
      <w:r w:rsidR="00C40213">
        <w:rPr>
          <w:color w:val="0000FF"/>
        </w:rPr>
        <w:t> </w:t>
      </w:r>
      <w:r w:rsidRPr="00E67627">
        <w:rPr>
          <w:color w:val="0000FF"/>
        </w:rPr>
        <w:t>JVRN au moyen de l’option de juste valeur lors de la comptabilisation initiale seulement si cette</w:t>
      </w:r>
      <w:r w:rsidR="007F7672">
        <w:rPr>
          <w:color w:val="0000FF"/>
        </w:rPr>
        <w:t> </w:t>
      </w:r>
      <w:r w:rsidRPr="00E67627">
        <w:rPr>
          <w:color w:val="0000FF"/>
        </w:rPr>
        <w:t>désignation éliminait ou réduisait sensiblement une incohérence dans l’évaluation ou la comptabilisation (parfois appelée « non-concordance comptable ») qui, autrement, découlerait de l’évaluation d’actifs ou de passifs ou de la comptabilisation des profits ou pertes sur ceux</w:t>
      </w:r>
      <w:r w:rsidR="00C40213">
        <w:rPr>
          <w:color w:val="0000FF"/>
        </w:rPr>
        <w:noBreakHyphen/>
      </w:r>
      <w:r w:rsidRPr="00E67627">
        <w:rPr>
          <w:color w:val="0000FF"/>
        </w:rPr>
        <w:t>ci sur des bases différentes</w:t>
      </w:r>
      <w:r w:rsidRPr="00F96EBA">
        <w:t>]</w:t>
      </w:r>
      <w:r w:rsidRPr="00A237E1">
        <w:rPr>
          <w:color w:val="0000FF"/>
        </w:rPr>
        <w:t>.</w:t>
      </w:r>
    </w:p>
    <w:p w14:paraId="22A6E3E3" w14:textId="36EB07B3" w:rsidR="00E2706E" w:rsidRPr="00B33AA4" w:rsidRDefault="00E2706E" w:rsidP="00E2706E">
      <w:pPr>
        <w:pStyle w:val="09Para"/>
      </w:pPr>
      <w:r w:rsidRPr="00B33AA4">
        <w:t>Tous les produits tirés des actifs financiers ont été comptabilisés et les produits d’intérêts ont</w:t>
      </w:r>
      <w:r w:rsidR="002D63D4">
        <w:t> </w:t>
      </w:r>
      <w:r w:rsidRPr="00B33AA4">
        <w:t>été comptabilisés selon la méthode du taux d’intérêt effectif. [</w:t>
      </w:r>
      <w:r w:rsidRPr="00B33AA4">
        <w:rPr>
          <w:color w:val="0000FF"/>
        </w:rPr>
        <w:t>Pour les actifs financiers considérés comme étant dépréciés dès leur acquisition ou leur création lors de la comptabilisation initiale, nous avons calculé les pertes de crédit attendues pour la durée de</w:t>
      </w:r>
      <w:r w:rsidR="002D63D4">
        <w:rPr>
          <w:color w:val="0000FF"/>
        </w:rPr>
        <w:t> </w:t>
      </w:r>
      <w:r w:rsidRPr="00B33AA4">
        <w:rPr>
          <w:color w:val="0000FF"/>
        </w:rPr>
        <w:t>vie</w:t>
      </w:r>
      <w:r w:rsidR="002D63D4">
        <w:rPr>
          <w:color w:val="0000FF"/>
        </w:rPr>
        <w:t> </w:t>
      </w:r>
      <w:r w:rsidRPr="00B33AA4">
        <w:rPr>
          <w:color w:val="0000FF"/>
        </w:rPr>
        <w:t>initiales en actualisant les flux de trésorerie estimés à un taux d’intérêt effectif qui a</w:t>
      </w:r>
      <w:r w:rsidR="007F7672">
        <w:rPr>
          <w:color w:val="0000FF"/>
        </w:rPr>
        <w:t> </w:t>
      </w:r>
      <w:r w:rsidRPr="00B33AA4">
        <w:rPr>
          <w:color w:val="0000FF"/>
        </w:rPr>
        <w:t>été</w:t>
      </w:r>
      <w:r w:rsidR="002D63D4">
        <w:rPr>
          <w:color w:val="0000FF"/>
        </w:rPr>
        <w:t> </w:t>
      </w:r>
      <w:r w:rsidRPr="00B33AA4">
        <w:rPr>
          <w:color w:val="0000FF"/>
        </w:rPr>
        <w:t>ajusté en fonction de la qualité de crédit</w:t>
      </w:r>
      <w:r w:rsidRPr="00B33AA4">
        <w:t>.]</w:t>
      </w:r>
    </w:p>
    <w:p w14:paraId="77812E6A" w14:textId="77777777" w:rsidR="00E2706E" w:rsidRPr="00C55C35" w:rsidRDefault="00E2706E" w:rsidP="00E2706E">
      <w:pPr>
        <w:pStyle w:val="09Para"/>
        <w:keepNext/>
        <w:keepLines/>
        <w:rPr>
          <w:i/>
        </w:rPr>
      </w:pPr>
      <w:r w:rsidRPr="00C55C35">
        <w:rPr>
          <w:i/>
        </w:rPr>
        <w:t>Reclassement d’un instrument d’emprunt</w:t>
      </w:r>
    </w:p>
    <w:p w14:paraId="31DE8621" w14:textId="4C0FE40D" w:rsidR="00E2706E" w:rsidRPr="00B33AA4" w:rsidRDefault="00E2706E" w:rsidP="00E2706E">
      <w:pPr>
        <w:pStyle w:val="09Para"/>
      </w:pPr>
      <w:r w:rsidRPr="00B33AA4">
        <w:t>[</w:t>
      </w:r>
      <w:r w:rsidRPr="00B33AA4">
        <w:rPr>
          <w:color w:val="0000FF"/>
        </w:rPr>
        <w:t>Entité</w:t>
      </w:r>
      <w:r w:rsidRPr="00B33AA4">
        <w:t>] a constamment surveillé son modèle économique [</w:t>
      </w:r>
      <w:r w:rsidRPr="00B33AA4">
        <w:rPr>
          <w:color w:val="0000FF"/>
        </w:rPr>
        <w:t>ses modèles économiques</w:t>
      </w:r>
      <w:r w:rsidRPr="00B33AA4">
        <w:t>] lié[s] aux</w:t>
      </w:r>
      <w:r w:rsidR="002D63D4">
        <w:t> </w:t>
      </w:r>
      <w:r w:rsidRPr="00B33AA4">
        <w:t>instruments d’emprunt et [</w:t>
      </w:r>
      <w:r w:rsidRPr="00B33AA4">
        <w:rPr>
          <w:color w:val="0000FF"/>
        </w:rPr>
        <w:t>n’a reclassé aucun actif financier</w:t>
      </w:r>
      <w:r w:rsidRPr="00B33AA4">
        <w:t xml:space="preserve">.] </w:t>
      </w:r>
      <w:r w:rsidRPr="00B33AA4">
        <w:rPr>
          <w:i/>
          <w:color w:val="0000FF"/>
        </w:rPr>
        <w:t>ou</w:t>
      </w:r>
      <w:r w:rsidRPr="00B33AA4">
        <w:rPr>
          <w:color w:val="0000FF"/>
        </w:rPr>
        <w:t xml:space="preserve"> </w:t>
      </w:r>
      <w:r w:rsidRPr="00B33AA4">
        <w:t>[</w:t>
      </w:r>
      <w:r w:rsidRPr="00B33AA4">
        <w:rPr>
          <w:color w:val="0000FF"/>
        </w:rPr>
        <w:t>a reclassé tous les actifs financiers touchés uniquement en raison de changements qui résultent d’une décision prise par</w:t>
      </w:r>
      <w:r w:rsidR="002D63D4">
        <w:rPr>
          <w:color w:val="0000FF"/>
        </w:rPr>
        <w:t> </w:t>
      </w:r>
      <w:r w:rsidRPr="00B33AA4">
        <w:rPr>
          <w:color w:val="0000FF"/>
        </w:rPr>
        <w:t xml:space="preserve">la haute direction à la suite de changements externes ou internes. Ces changements sont importants par rapport aux activités de </w:t>
      </w:r>
      <w:r w:rsidRPr="00B33AA4">
        <w:t>[</w:t>
      </w:r>
      <w:r w:rsidRPr="00B33AA4">
        <w:rPr>
          <w:color w:val="0000FF"/>
        </w:rPr>
        <w:t>Entité</w:t>
      </w:r>
      <w:r w:rsidRPr="00B33AA4">
        <w:t>]</w:t>
      </w:r>
      <w:r w:rsidRPr="00B33AA4">
        <w:rPr>
          <w:color w:val="0000FF"/>
        </w:rPr>
        <w:t xml:space="preserve"> et on peut en faire la preuve devant des parties externes.</w:t>
      </w:r>
      <w:r w:rsidRPr="00B33AA4">
        <w:t xml:space="preserve">] </w:t>
      </w:r>
    </w:p>
    <w:p w14:paraId="40CC6FF0" w14:textId="77777777" w:rsidR="00E2706E" w:rsidRPr="00C55C35" w:rsidRDefault="00E2706E" w:rsidP="00E2706E">
      <w:pPr>
        <w:pStyle w:val="09Para"/>
        <w:keepNext/>
        <w:keepLines/>
        <w:rPr>
          <w:i/>
        </w:rPr>
      </w:pPr>
      <w:r w:rsidRPr="00C55C35">
        <w:rPr>
          <w:i/>
        </w:rPr>
        <w:lastRenderedPageBreak/>
        <w:t>Modification</w:t>
      </w:r>
    </w:p>
    <w:p w14:paraId="58364FD0" w14:textId="7193225C" w:rsidR="002D63D4" w:rsidRDefault="00E2706E" w:rsidP="007F7672">
      <w:pPr>
        <w:pStyle w:val="09Para"/>
      </w:pPr>
      <w:r w:rsidRPr="00B33AA4">
        <w:t xml:space="preserve">Pour les actifs financiers dont les flux de trésorerie contractuels ont été renégociés ou autrement modifiés et dans le cas desquels la renégociation ou la modification n’a pas donné lieu à la </w:t>
      </w:r>
      <w:proofErr w:type="spellStart"/>
      <w:r w:rsidRPr="00B33AA4">
        <w:t>décomptabilisation</w:t>
      </w:r>
      <w:proofErr w:type="spellEnd"/>
      <w:r w:rsidRPr="00B33AA4">
        <w:t xml:space="preserve"> de cet actif financier, nous avons recalculé la valeur comptable</w:t>
      </w:r>
      <w:r w:rsidR="002D63D4" w:rsidRPr="00747F7B">
        <w:br w:type="page"/>
      </w:r>
    </w:p>
    <w:p w14:paraId="7DEF1CC1" w14:textId="36A0C1B2" w:rsidR="00E2706E" w:rsidRPr="00B33AA4" w:rsidRDefault="00E2706E" w:rsidP="00E2706E">
      <w:pPr>
        <w:pStyle w:val="09Para"/>
      </w:pPr>
      <w:proofErr w:type="gramStart"/>
      <w:r w:rsidRPr="00B33AA4">
        <w:lastRenderedPageBreak/>
        <w:t>brute</w:t>
      </w:r>
      <w:proofErr w:type="gramEnd"/>
      <w:r w:rsidRPr="00B33AA4">
        <w:t xml:space="preserve"> de l’actif financier et comptabilisé un profit ou une perte sur modification du résultat net. Nous confirmons que les coûts ou les honoraires engagés, le cas échéant, ont constitué un ajustement de la valeur comptable de l’actif financier modifié et ont été amortis sur la durée résiduelle de ce dernier.</w:t>
      </w:r>
    </w:p>
    <w:p w14:paraId="6A8469C3" w14:textId="77777777" w:rsidR="00E2706E" w:rsidRPr="00B33AA4" w:rsidRDefault="00E2706E" w:rsidP="00E2706E">
      <w:pPr>
        <w:pStyle w:val="09Para"/>
        <w:keepNext/>
        <w:keepLines/>
        <w:rPr>
          <w:b/>
        </w:rPr>
      </w:pPr>
      <w:r w:rsidRPr="00B33AA4">
        <w:rPr>
          <w:b/>
        </w:rPr>
        <w:t>Instruments de capitaux propres comptabilisés selon l’IFRS 9</w:t>
      </w:r>
    </w:p>
    <w:p w14:paraId="74A20858" w14:textId="77777777" w:rsidR="00E2706E" w:rsidRPr="00B33AA4" w:rsidRDefault="00E2706E" w:rsidP="00E2706E">
      <w:pPr>
        <w:pStyle w:val="09Para"/>
      </w:pPr>
      <w:r w:rsidRPr="00B33AA4">
        <w:t>Les instruments de capitaux propres visés par l’IFRS 9 que nous n’avons pas désignés irrévocablement comme étant évalués à la juste valeur par le biais des autres éléments du résultat global (JVAERG) ont été adéquatement évalués à la juste valeur, avec comptabilisation des variations en résultat net.</w:t>
      </w:r>
    </w:p>
    <w:p w14:paraId="07270298" w14:textId="165B99A3" w:rsidR="00E2706E" w:rsidRPr="00B33AA4" w:rsidRDefault="00E2706E" w:rsidP="00E2706E">
      <w:pPr>
        <w:pStyle w:val="09Para"/>
      </w:pPr>
      <w:r w:rsidRPr="00B33AA4">
        <w:t>Nous confirmons que nous n’avons pas reclassé de montants comptabilisés dans les autres éléments du résultat global au résultat net et qu’il n’y a pas de considérations concernant la dépréciation pour les instruments de capitaux propres désignés irrévocablement comme étant évalués à la JVAERG. Nous confirmons également que, pour ces instruments, seuls les dividendes qui ne représentent pas la récupération d’une partie du coût du placement ont été</w:t>
      </w:r>
      <w:r w:rsidR="007F7672">
        <w:t> </w:t>
      </w:r>
      <w:r w:rsidRPr="00B33AA4">
        <w:t>comptabilisés en résultat net.</w:t>
      </w:r>
    </w:p>
    <w:p w14:paraId="7E9B46F9" w14:textId="28B583FD" w:rsidR="00E2706E" w:rsidRPr="00B33AA4" w:rsidRDefault="00B64359" w:rsidP="00E2706E">
      <w:pPr>
        <w:pStyle w:val="09Para"/>
        <w:keepNext/>
        <w:keepLines/>
        <w:rPr>
          <w:b/>
        </w:rPr>
      </w:pPr>
      <w:r>
        <w:rPr>
          <w:b/>
        </w:rPr>
        <w:t xml:space="preserve">Présentation </w:t>
      </w:r>
      <w:r>
        <w:t xml:space="preserve">– </w:t>
      </w:r>
      <w:r>
        <w:rPr>
          <w:b/>
        </w:rPr>
        <w:t>Compensation d’a</w:t>
      </w:r>
      <w:r w:rsidR="00E2706E" w:rsidRPr="00B33AA4">
        <w:rPr>
          <w:b/>
        </w:rPr>
        <w:t xml:space="preserve">ctifs financiers </w:t>
      </w:r>
      <w:r>
        <w:rPr>
          <w:b/>
        </w:rPr>
        <w:t>et de passifs financiers</w:t>
      </w:r>
    </w:p>
    <w:p w14:paraId="72C761F4" w14:textId="3FFDB2C7" w:rsidR="00CD26DA" w:rsidRPr="00B571A2" w:rsidRDefault="00CD26DA" w:rsidP="00E2706E">
      <w:pPr>
        <w:pStyle w:val="09Para"/>
      </w:pPr>
      <w:bookmarkStart w:id="8" w:name="lt_pId455"/>
      <w:r w:rsidRPr="00871F3A">
        <w:t>Pour ce qui est des [</w:t>
      </w:r>
      <w:r w:rsidRPr="00871F3A">
        <w:rPr>
          <w:color w:val="0000FF"/>
        </w:rPr>
        <w:t>préciser les actifs financiers</w:t>
      </w:r>
      <w:r w:rsidR="004A68EC">
        <w:rPr>
          <w:color w:val="0000FF"/>
        </w:rPr>
        <w:t xml:space="preserve"> pertinents</w:t>
      </w:r>
      <w:r w:rsidRPr="00871F3A">
        <w:t>] dont le montant net a été présenté après leur compensation avec [préciser les passifs financiers] nous confirmons que nous sommes convaincus de l’existence d’un droit juridique de compensation selon [</w:t>
      </w:r>
      <w:r w:rsidRPr="00871F3A">
        <w:rPr>
          <w:color w:val="0000FF"/>
        </w:rPr>
        <w:t>administration</w:t>
      </w:r>
      <w:r w:rsidRPr="00871F3A">
        <w:t>] et que nous avons l’intention soit de régler le montant net, soit de réaliser l’actif et de régler le passif simultanément.</w:t>
      </w:r>
      <w:bookmarkEnd w:id="8"/>
      <w:r w:rsidRPr="00CD26DA">
        <w:t xml:space="preserve"> </w:t>
      </w:r>
      <w:r w:rsidRPr="00871F3A">
        <w:t>Les informations fournies sur les compensations sont appropriées</w:t>
      </w:r>
      <w:r w:rsidRPr="00CD26DA">
        <w:rPr>
          <w:color w:val="0000FF"/>
        </w:rPr>
        <w:t>.</w:t>
      </w:r>
    </w:p>
    <w:p w14:paraId="3983441B" w14:textId="5999F1FB" w:rsidR="00E2706E" w:rsidRPr="00B33AA4" w:rsidRDefault="00E2706E" w:rsidP="00871F3A">
      <w:pPr>
        <w:pStyle w:val="09Para"/>
        <w:rPr>
          <w:b/>
        </w:rPr>
      </w:pPr>
      <w:r w:rsidRPr="00B33AA4">
        <w:rPr>
          <w:b/>
        </w:rPr>
        <w:t>IFRS 9, Dépréciation — Comptabilisation des pertes de crédit attendues</w:t>
      </w:r>
    </w:p>
    <w:p w14:paraId="3C580BD6" w14:textId="4FB433EE" w:rsidR="00E2706E" w:rsidRPr="00B33AA4" w:rsidRDefault="00E2706E" w:rsidP="00E2706E">
      <w:pPr>
        <w:pStyle w:val="09Para"/>
      </w:pPr>
      <w:r w:rsidRPr="00B33AA4">
        <w:t>Nous avons comptabilisé une correction de valeur pour pertes au titre des pertes de crédit attendues sur les instruments d’emprunt qui ont été évalués au coût amorti ou à la juste valeur par le biais des autres éléments du résultat global (JVAERG), sur les créances locatives</w:t>
      </w:r>
      <w:r w:rsidR="00CD26DA">
        <w:t xml:space="preserve"> (y compris les </w:t>
      </w:r>
      <w:r w:rsidR="00CD26DA" w:rsidRPr="00764D50">
        <w:t>créances résultant de contrats de location-financement et de contrats de location simple)</w:t>
      </w:r>
      <w:r w:rsidRPr="00764D50">
        <w:t>, sur les</w:t>
      </w:r>
      <w:r w:rsidRPr="00B33AA4">
        <w:t xml:space="preserve"> actifs sur contrat ou encore sur les engagements de prêt ou sur les contrats de</w:t>
      </w:r>
      <w:r w:rsidR="007F7672">
        <w:t> </w:t>
      </w:r>
      <w:r w:rsidRPr="00B33AA4">
        <w:t>garantie financière auxquels s’appliquent les dispositi</w:t>
      </w:r>
      <w:r w:rsidR="009D3150">
        <w:t>ons en matière de dépréciation.</w:t>
      </w:r>
    </w:p>
    <w:p w14:paraId="18CADB73" w14:textId="0BDCE9EE" w:rsidR="00E2706E" w:rsidRPr="00B33AA4" w:rsidRDefault="00E2706E" w:rsidP="00E2706E">
      <w:pPr>
        <w:pStyle w:val="09Para"/>
      </w:pPr>
      <w:r w:rsidRPr="00B33AA4">
        <w:t>Nous avons comptabilisé les variations de la correction de valeur pour pertes au titre des pertes de crédit attendues dans [</w:t>
      </w:r>
      <w:r w:rsidRPr="00B33AA4">
        <w:rPr>
          <w:color w:val="0000FF"/>
        </w:rPr>
        <w:t xml:space="preserve">l’état </w:t>
      </w:r>
      <w:r w:rsidR="00E67627" w:rsidRPr="00F96EBA">
        <w:t>[</w:t>
      </w:r>
      <w:r w:rsidR="00E67627">
        <w:rPr>
          <w:color w:val="0000FF"/>
        </w:rPr>
        <w:t>consolidé</w:t>
      </w:r>
      <w:r w:rsidR="00E67627" w:rsidRPr="00F96EBA">
        <w:t>]</w:t>
      </w:r>
      <w:r w:rsidR="00E67627">
        <w:rPr>
          <w:color w:val="0000FF"/>
        </w:rPr>
        <w:t xml:space="preserve"> </w:t>
      </w:r>
      <w:r w:rsidRPr="00B33AA4">
        <w:rPr>
          <w:color w:val="0000FF"/>
        </w:rPr>
        <w:t>du résultat global</w:t>
      </w:r>
      <w:r w:rsidRPr="00B33AA4">
        <w:t>], y compris les variations de la correction de valeur pour pertes des instruments d’emprunt classés dans la classe d’évaluation JVAERG. Toutefois, pour les actifs financiers évalués à la JVAERG, nous avons comptabilisé la correction de valeur pour pertes dans les autres éléments du résultat global, au lieu de réduire la valeur comptable de l’actif financier dans [</w:t>
      </w:r>
      <w:r w:rsidRPr="00B33AA4">
        <w:rPr>
          <w:color w:val="0000FF"/>
        </w:rPr>
        <w:t xml:space="preserve">l’état </w:t>
      </w:r>
      <w:r w:rsidR="00E67627" w:rsidRPr="00F96EBA">
        <w:t>[</w:t>
      </w:r>
      <w:r w:rsidR="00E67627">
        <w:rPr>
          <w:color w:val="0000FF"/>
        </w:rPr>
        <w:t>consolidé</w:t>
      </w:r>
      <w:r w:rsidR="00F96EBA" w:rsidRPr="00F96EBA">
        <w:t>]</w:t>
      </w:r>
      <w:r w:rsidR="00E67627">
        <w:rPr>
          <w:color w:val="0000FF"/>
        </w:rPr>
        <w:t xml:space="preserve"> </w:t>
      </w:r>
      <w:r w:rsidRPr="00B33AA4">
        <w:rPr>
          <w:color w:val="0000FF"/>
        </w:rPr>
        <w:t>de la situation financière</w:t>
      </w:r>
      <w:r w:rsidR="009D3150">
        <w:t>].</w:t>
      </w:r>
    </w:p>
    <w:p w14:paraId="395181ED" w14:textId="7C1EF04F" w:rsidR="002D63D4" w:rsidRDefault="00E2706E" w:rsidP="00E2706E">
      <w:pPr>
        <w:pStyle w:val="09Para"/>
      </w:pPr>
      <w:r w:rsidRPr="00B33AA4">
        <w:t>Nous confirmons que le calcul des pertes de crédit attendues reflète un montant objectif, actualisé et fondé sur des pondérations probabilistes, qui est déterminé par l’évaluation d’un</w:t>
      </w:r>
      <w:r w:rsidR="002D63D4">
        <w:t> </w:t>
      </w:r>
      <w:r w:rsidRPr="00B33AA4">
        <w:t>intervalle de résultats possibles, ainsi que des informations raisonnables et justifiables sur</w:t>
      </w:r>
      <w:r w:rsidR="002D63D4">
        <w:t> </w:t>
      </w:r>
      <w:r w:rsidRPr="00B33AA4">
        <w:t xml:space="preserve">des événements passés, des circonstances actuelles et des prévisions de la conjoncture économique encore à venir, qu’il est possible, à la date </w:t>
      </w:r>
      <w:r w:rsidR="00E67627">
        <w:t xml:space="preserve">de l’état </w:t>
      </w:r>
      <w:r w:rsidR="00E67627" w:rsidRPr="00007202">
        <w:t>[</w:t>
      </w:r>
      <w:r w:rsidR="00E67627">
        <w:rPr>
          <w:color w:val="0000FF"/>
        </w:rPr>
        <w:t>consolidé</w:t>
      </w:r>
      <w:r w:rsidR="00E67627" w:rsidRPr="00007202">
        <w:t xml:space="preserve">] </w:t>
      </w:r>
      <w:r w:rsidRPr="00B33AA4">
        <w:t xml:space="preserve">de </w:t>
      </w:r>
      <w:r w:rsidR="00E67627">
        <w:t>la situation financière</w:t>
      </w:r>
      <w:r w:rsidRPr="00B33AA4">
        <w:t>, d’obtenir sans devoir engager des coûts ou des efforts déraisonnables.</w:t>
      </w:r>
    </w:p>
    <w:p w14:paraId="49F61074" w14:textId="77777777" w:rsidR="002D63D4" w:rsidRDefault="002D63D4">
      <w:pPr>
        <w:rPr>
          <w:lang w:val="fr-CA" w:eastAsia="en-US"/>
        </w:rPr>
      </w:pPr>
      <w:r w:rsidRPr="00747F7B">
        <w:rPr>
          <w:lang w:val="fr-CA"/>
        </w:rPr>
        <w:lastRenderedPageBreak/>
        <w:br w:type="page"/>
      </w:r>
    </w:p>
    <w:p w14:paraId="06F22EF4" w14:textId="77777777" w:rsidR="00E2706E" w:rsidRPr="00B33AA4" w:rsidRDefault="00E2706E" w:rsidP="007F7672">
      <w:pPr>
        <w:pStyle w:val="09Para"/>
        <w:keepNext/>
        <w:rPr>
          <w:i/>
          <w:color w:val="0000FF"/>
        </w:rPr>
      </w:pPr>
      <w:r w:rsidRPr="00B33AA4">
        <w:lastRenderedPageBreak/>
        <w:t>[</w:t>
      </w:r>
      <w:r w:rsidRPr="00B33AA4">
        <w:rPr>
          <w:i/>
          <w:color w:val="0000FF"/>
        </w:rPr>
        <w:t>Ajouter une des méthodes suivantes :</w:t>
      </w:r>
    </w:p>
    <w:p w14:paraId="13FFEF8E" w14:textId="77777777" w:rsidR="00E2706E" w:rsidRPr="00B33AA4" w:rsidRDefault="00E2706E" w:rsidP="0073586F">
      <w:pPr>
        <w:pStyle w:val="09Para"/>
        <w:keepNext/>
        <w:keepLines/>
      </w:pPr>
      <w:r w:rsidRPr="00B33AA4">
        <w:rPr>
          <w:i/>
          <w:color w:val="0000FF"/>
        </w:rPr>
        <w:t>Méthode simplifiée :</w:t>
      </w:r>
    </w:p>
    <w:p w14:paraId="5C95D4CE" w14:textId="67E49EE9" w:rsidR="00E2706E" w:rsidRPr="00B33AA4" w:rsidRDefault="004A5F56" w:rsidP="00E2706E">
      <w:pPr>
        <w:pStyle w:val="09Para"/>
      </w:pPr>
      <w:r w:rsidRPr="00007202">
        <w:t>[</w:t>
      </w:r>
      <w:r w:rsidR="00E2706E" w:rsidRPr="00B33AA4">
        <w:t>Nous confirmons que nous avons évalué la correction de valeur pour pertes à un montant correspondant aux pertes de crédit attendues pour la durée de vie en utilisant la méthode simplifiée pour [</w:t>
      </w:r>
      <w:r w:rsidR="00E2706E" w:rsidRPr="00B33AA4">
        <w:rPr>
          <w:i/>
          <w:color w:val="0000FF"/>
        </w:rPr>
        <w:t>conserver les points pertinents</w:t>
      </w:r>
      <w:r w:rsidR="00E2706E" w:rsidRPr="00B33AA4">
        <w:t>] :</w:t>
      </w:r>
    </w:p>
    <w:p w14:paraId="7B11C1D7" w14:textId="43731016" w:rsidR="00E2706E" w:rsidRPr="00B33AA4" w:rsidRDefault="00F96EBA" w:rsidP="000E4CFF">
      <w:pPr>
        <w:pStyle w:val="09ParaBullet1"/>
      </w:pPr>
      <w:r w:rsidRPr="00F96EBA">
        <w:t>[</w:t>
      </w:r>
      <w:r w:rsidR="00E2706E" w:rsidRPr="00B33AA4">
        <w:rPr>
          <w:color w:val="0000FF"/>
        </w:rPr>
        <w:t>les créances clients et/ou les actifs sur contrat</w:t>
      </w:r>
      <w:r w:rsidRPr="00F96EBA">
        <w:t>]</w:t>
      </w:r>
      <w:r w:rsidR="00E2706E" w:rsidRPr="00B33AA4">
        <w:t xml:space="preserve"> qui découlent de transactions entrant dans le champ d’application de l’IFRS 15</w:t>
      </w:r>
      <w:r w:rsidR="008E7230" w:rsidRPr="00B33AA4">
        <w:t xml:space="preserve">, Produits des activités ordinaires tirés de contrats conclus avec des clients, </w:t>
      </w:r>
      <w:r w:rsidR="00E2706E" w:rsidRPr="00B33AA4">
        <w:t>et qui, selon le cas :</w:t>
      </w:r>
    </w:p>
    <w:p w14:paraId="73466198" w14:textId="41E05C39" w:rsidR="00E2706E" w:rsidRPr="00B33AA4" w:rsidRDefault="00E2706E" w:rsidP="000E4CFF">
      <w:pPr>
        <w:pStyle w:val="09ParaBullet2"/>
      </w:pPr>
      <w:r w:rsidRPr="00B33AA4">
        <w:t>ne comportent pas de composante financement importante (ou lorsque nous avons appliqué la mesure comptable pour les contrats qui n’excèd</w:t>
      </w:r>
      <w:r w:rsidR="00C55C35">
        <w:t>ent pas un an) selon l’IFRS 15;</w:t>
      </w:r>
    </w:p>
    <w:p w14:paraId="6E1AF43C" w14:textId="1E6736B2" w:rsidR="00E2706E" w:rsidRPr="00B33AA4" w:rsidRDefault="00E2706E" w:rsidP="000E4CFF">
      <w:pPr>
        <w:pStyle w:val="09ParaBullet2"/>
      </w:pPr>
      <w:r w:rsidRPr="00B33AA4">
        <w:t xml:space="preserve">comportent </w:t>
      </w:r>
      <w:proofErr w:type="gramStart"/>
      <w:r w:rsidRPr="00B33AA4">
        <w:t>une composante</w:t>
      </w:r>
      <w:proofErr w:type="gramEnd"/>
      <w:r w:rsidRPr="00B33AA4">
        <w:t xml:space="preserve"> financement importante selon l’IFRS 15, si nous avons choisi comme méthode comptable d’évaluer la correction de valeur pour pertes au montant des pertes de crédit attendues pour la durée de vie, auquel cas cette méthode comptable doit être appliquée à toutes ces créances clients ou à tous ces actifs sur contrat, mais peut être appliquée séparément aux créances clients et aux actifs sur contrat.</w:t>
      </w:r>
      <w:r w:rsidR="00E67627" w:rsidRPr="00007202">
        <w:t>]</w:t>
      </w:r>
    </w:p>
    <w:p w14:paraId="1B1890EB" w14:textId="0D85ABBD" w:rsidR="00E2706E" w:rsidRPr="00B33AA4" w:rsidRDefault="00E67627" w:rsidP="000E4CFF">
      <w:pPr>
        <w:pStyle w:val="09ParaBullet1"/>
      </w:pPr>
      <w:r w:rsidRPr="00007202">
        <w:t>[</w:t>
      </w:r>
      <w:r w:rsidR="00E2706E" w:rsidRPr="00B33AA4">
        <w:t>les créances locatives découlant de transactions qui entrent dans le champ d’application de l’I</w:t>
      </w:r>
      <w:r w:rsidR="008E7230" w:rsidRPr="00B33AA4">
        <w:t>FRS</w:t>
      </w:r>
      <w:r w:rsidR="00E2706E" w:rsidRPr="00B33AA4">
        <w:t> 1</w:t>
      </w:r>
      <w:r w:rsidR="008E7230" w:rsidRPr="00B33AA4">
        <w:t>6</w:t>
      </w:r>
      <w:r w:rsidR="00E2706E" w:rsidRPr="00B33AA4">
        <w:t xml:space="preserve">, </w:t>
      </w:r>
      <w:r>
        <w:t xml:space="preserve">Contrats de location, </w:t>
      </w:r>
      <w:r w:rsidR="00E2706E" w:rsidRPr="00B33AA4">
        <w:t>si nous avons choisi comme méthode comptable d’évaluer la correction de valeur pour pertes au montant des pertes de crédit attendues pour la durée de vie, auquel cas cette méthode comptable doit être appliquée à toutes les créances locatives, mais peut être appliquée séparément aux créances sur contrat de location-financement et aux créances sur contrat de location simple.</w:t>
      </w:r>
      <w:r w:rsidR="00F91A67" w:rsidRPr="00007202">
        <w:t>]</w:t>
      </w:r>
    </w:p>
    <w:p w14:paraId="187C493C" w14:textId="77777777" w:rsidR="00E2706E" w:rsidRPr="00B33AA4" w:rsidRDefault="00E2706E" w:rsidP="00E2706E">
      <w:pPr>
        <w:pStyle w:val="09Para"/>
        <w:rPr>
          <w:i/>
          <w:color w:val="0000FF"/>
        </w:rPr>
      </w:pPr>
      <w:r w:rsidRPr="00B33AA4">
        <w:rPr>
          <w:i/>
          <w:color w:val="0000FF"/>
        </w:rPr>
        <w:t>OU méthode générale :</w:t>
      </w:r>
    </w:p>
    <w:p w14:paraId="73124FAC" w14:textId="47075D9E" w:rsidR="00E2706E" w:rsidRPr="00B33AA4" w:rsidRDefault="00F91A67" w:rsidP="00E2706E">
      <w:pPr>
        <w:pStyle w:val="09Para"/>
      </w:pPr>
      <w:r w:rsidRPr="00007202">
        <w:t>[</w:t>
      </w:r>
      <w:r w:rsidR="00CD26DA" w:rsidRPr="002D63D4">
        <w:rPr>
          <w:color w:val="0000FF"/>
        </w:rPr>
        <w:t>À la date de la clôture de l’exercice</w:t>
      </w:r>
      <w:r w:rsidR="00CD26DA" w:rsidRPr="00871F3A">
        <w:t>, n</w:t>
      </w:r>
      <w:r w:rsidR="00E2706E" w:rsidRPr="00CD26DA">
        <w:t xml:space="preserve">ous </w:t>
      </w:r>
      <w:r w:rsidR="00E2706E" w:rsidRPr="00B33AA4">
        <w:t>avons évalué la correction de valeur pour pertes pour un instrument financier à un montant correspondant aux pertes de crédit attendues pour la durée de vie si le risque de crédit que comporte l’instrument financier en question a augmenté de manière importante depuis la comptabilisation initiale.</w:t>
      </w:r>
    </w:p>
    <w:p w14:paraId="20876143" w14:textId="009F43BB" w:rsidR="00E2706E" w:rsidRPr="00B33AA4" w:rsidRDefault="00CD26DA" w:rsidP="00E2706E">
      <w:pPr>
        <w:pStyle w:val="09Para"/>
      </w:pPr>
      <w:r w:rsidRPr="00DA69C1">
        <w:t xml:space="preserve">À la date de la clôture de l’exercice, </w:t>
      </w:r>
      <w:r>
        <w:t>n</w:t>
      </w:r>
      <w:r w:rsidR="00E2706E" w:rsidRPr="00B33AA4">
        <w:t>ous avons évalué la correction de valeur pour pertes pour un instrument financier au montant des pertes de crédit attendues pour les 12 mois à venir si le risque de crédit que comporte l’instrument financier n’a pas augmenté de façon importante depuis la comptabilisation initiale.</w:t>
      </w:r>
    </w:p>
    <w:p w14:paraId="04AB10D9" w14:textId="1756A763" w:rsidR="00E2706E" w:rsidRPr="00007202" w:rsidRDefault="00E2706E" w:rsidP="00E2706E">
      <w:pPr>
        <w:pStyle w:val="09Para"/>
      </w:pPr>
      <w:r w:rsidRPr="00B33AA4">
        <w:t>Une perte de crédit attendue pour la durée de vie a été comptabilisée pour les actifs financiers pour lesquels il existe une indication objective de dépréciation à</w:t>
      </w:r>
      <w:r w:rsidR="004A5F56" w:rsidRPr="00B33AA4">
        <w:t xml:space="preserve"> la date </w:t>
      </w:r>
      <w:r w:rsidR="004A5F56">
        <w:t xml:space="preserve">de l’état </w:t>
      </w:r>
      <w:r w:rsidR="004A5F56" w:rsidRPr="00007202">
        <w:t>[</w:t>
      </w:r>
      <w:r w:rsidR="004A5F56">
        <w:rPr>
          <w:color w:val="0000FF"/>
        </w:rPr>
        <w:t>consolidé</w:t>
      </w:r>
      <w:r w:rsidR="004A5F56" w:rsidRPr="00007202">
        <w:t>]</w:t>
      </w:r>
      <w:r w:rsidR="004A5F56">
        <w:rPr>
          <w:color w:val="0000FF"/>
        </w:rPr>
        <w:t xml:space="preserve"> </w:t>
      </w:r>
      <w:r w:rsidR="004A5F56" w:rsidRPr="00B33AA4">
        <w:t xml:space="preserve">de </w:t>
      </w:r>
      <w:r w:rsidR="004A5F56">
        <w:t>la situation financière</w:t>
      </w:r>
      <w:r w:rsidRPr="00B33AA4">
        <w:t>.</w:t>
      </w:r>
      <w:r w:rsidR="00F91A67" w:rsidRPr="00007202">
        <w:t>]</w:t>
      </w:r>
      <w:r w:rsidR="00FD590A">
        <w:t>]</w:t>
      </w:r>
    </w:p>
    <w:p w14:paraId="31B20F94" w14:textId="5547A0BA" w:rsidR="00E2706E" w:rsidRPr="00B33AA4" w:rsidRDefault="00F96EBA" w:rsidP="007F7672">
      <w:pPr>
        <w:pStyle w:val="09Para"/>
        <w:keepNext/>
      </w:pPr>
      <w:r w:rsidRPr="00F96EBA">
        <w:t>[</w:t>
      </w:r>
      <w:r w:rsidR="00E2706E" w:rsidRPr="00B33AA4">
        <w:rPr>
          <w:i/>
          <w:color w:val="0000FF"/>
        </w:rPr>
        <w:t>Si les dispositions sur le risque de crédit faible s’appliquent :</w:t>
      </w:r>
    </w:p>
    <w:p w14:paraId="170C63D4" w14:textId="4A27FA18" w:rsidR="00E2706E" w:rsidRPr="00B33AA4" w:rsidRDefault="00E2706E" w:rsidP="00E2706E">
      <w:pPr>
        <w:pStyle w:val="09Para"/>
      </w:pPr>
      <w:r w:rsidRPr="00B33AA4">
        <w:t xml:space="preserve">Nous avons supposé que les instruments financiers pour lesquels nous avons déterminé qu’ils comportaient un risque de crédit faible à la </w:t>
      </w:r>
      <w:r w:rsidR="004A5F56" w:rsidRPr="00B33AA4">
        <w:t xml:space="preserve">date </w:t>
      </w:r>
      <w:r w:rsidR="004A5F56">
        <w:t xml:space="preserve">de l’état </w:t>
      </w:r>
      <w:r w:rsidR="004A5F56" w:rsidRPr="00007202">
        <w:t>[</w:t>
      </w:r>
      <w:r w:rsidR="004A5F56">
        <w:rPr>
          <w:color w:val="0000FF"/>
        </w:rPr>
        <w:t>consolidé</w:t>
      </w:r>
      <w:r w:rsidR="004A5F56" w:rsidRPr="00007202">
        <w:t>]</w:t>
      </w:r>
      <w:r w:rsidR="004A5F56">
        <w:rPr>
          <w:color w:val="0000FF"/>
        </w:rPr>
        <w:t xml:space="preserve"> </w:t>
      </w:r>
      <w:r w:rsidR="004A5F56" w:rsidRPr="00B33AA4">
        <w:t xml:space="preserve">de </w:t>
      </w:r>
      <w:r w:rsidR="004A5F56">
        <w:t>la situation financière</w:t>
      </w:r>
      <w:r w:rsidR="007B1313">
        <w:t xml:space="preserve"> </w:t>
      </w:r>
      <w:r w:rsidRPr="00B33AA4">
        <w:lastRenderedPageBreak/>
        <w:t>n’ont pas connu d’augmentation importante du risque de crédit depui</w:t>
      </w:r>
      <w:r w:rsidR="00744878" w:rsidRPr="00B33AA4">
        <w:t>s la comptabilisation initiale.</w:t>
      </w:r>
    </w:p>
    <w:p w14:paraId="515E854B" w14:textId="6B2221AB" w:rsidR="00E2706E" w:rsidRPr="00B33AA4" w:rsidRDefault="00E2706E" w:rsidP="00E2706E">
      <w:pPr>
        <w:pStyle w:val="09Para"/>
      </w:pPr>
      <w:r w:rsidRPr="00B33AA4">
        <w:t xml:space="preserve">Nous confirmons que les pertes de crédit attendues pour la durée de vie d’un instrument financier n’ont pas été comptabilisées simplement parce qu’il était considéré comme présentant un risque de crédit faible au cours de la période de présentation de l’information financière précédente et qu’il ne l’est pas </w:t>
      </w:r>
      <w:r w:rsidR="004A5F56" w:rsidRPr="00B33AA4">
        <w:t xml:space="preserve">à la date </w:t>
      </w:r>
      <w:r w:rsidR="004A5F56">
        <w:t xml:space="preserve">de l’état </w:t>
      </w:r>
      <w:r w:rsidR="004A5F56" w:rsidRPr="00007202">
        <w:t>[</w:t>
      </w:r>
      <w:r w:rsidR="004A5F56">
        <w:rPr>
          <w:color w:val="0000FF"/>
        </w:rPr>
        <w:t>consolidé</w:t>
      </w:r>
      <w:r w:rsidR="004A5F56" w:rsidRPr="00007202">
        <w:t xml:space="preserve">] </w:t>
      </w:r>
      <w:r w:rsidR="004A5F56" w:rsidRPr="00B33AA4">
        <w:t xml:space="preserve">de </w:t>
      </w:r>
      <w:r w:rsidR="004A5F56">
        <w:t>la situation financière</w:t>
      </w:r>
      <w:r w:rsidRPr="00B33AA4">
        <w:t>. En pareil cas, nous avons déterminé si une augmentation importante du risque de crédit est survenue depuis la comptabilisation initiale et, par conséquent, s’il est obligatoire de comptabiliser les pertes de crédit attendues pour la durée de vie.</w:t>
      </w:r>
      <w:r w:rsidR="00F96EBA" w:rsidRPr="00F96EBA">
        <w:t>]</w:t>
      </w:r>
    </w:p>
    <w:p w14:paraId="322C80D0" w14:textId="3E85F71B" w:rsidR="00E2706E" w:rsidRPr="00B33AA4" w:rsidRDefault="00F96EBA" w:rsidP="0006625E">
      <w:pPr>
        <w:pStyle w:val="09Para"/>
        <w:keepNext/>
      </w:pPr>
      <w:r w:rsidRPr="00F96EBA">
        <w:t>[</w:t>
      </w:r>
      <w:r w:rsidR="00E2706E" w:rsidRPr="00B33AA4">
        <w:rPr>
          <w:i/>
          <w:color w:val="0000FF"/>
        </w:rPr>
        <w:t>Si les dispositions sur les engagements de prêt s’appliquent :</w:t>
      </w:r>
    </w:p>
    <w:p w14:paraId="70567AFC" w14:textId="77777777" w:rsidR="00E2706E" w:rsidRPr="00B33AA4" w:rsidRDefault="00E2706E" w:rsidP="00E2706E">
      <w:pPr>
        <w:pStyle w:val="09Para"/>
      </w:pPr>
      <w:r w:rsidRPr="00B33AA4">
        <w:t>Pour les instruments financiers ne comportant aucune composante non utilisée, nous confirmons que la période maximale à prendre en considération pour évaluer les pertes de crédit attendues est la période contractuelle maximale (y compris les options de prolongation) pendant laquelle nous sommes exposés au risque de crédit et non pas une période plus longue, même si cette période plus longue correspond à une pratique commerciale.</w:t>
      </w:r>
    </w:p>
    <w:p w14:paraId="40B90411" w14:textId="09649E24" w:rsidR="00E2706E" w:rsidRPr="00B33AA4" w:rsidRDefault="00E2706E" w:rsidP="00E2706E">
      <w:pPr>
        <w:pStyle w:val="09Para"/>
      </w:pPr>
      <w:r w:rsidRPr="00B33AA4">
        <w:t>Pour les instruments financiers qui comprennent une composante de prêt et une composante d’engagement de prêt non utilisée et lorsque notre capacité contractuelle d’exiger un remboursement et d’annuler l’engagement de prêt non utilisé ne limite pas notre exposition aux pertes de crédit à la période de préavis contractuelle, nous avons évalué les pertes de crédit attendues sur la période pendant laquelle l’entité est exposée au risque de crédit. Les pertes de</w:t>
      </w:r>
      <w:r w:rsidR="002D63D4">
        <w:t> </w:t>
      </w:r>
      <w:r w:rsidRPr="00B33AA4">
        <w:t>crédit attendues ne seront pas atténuées par des mesures de gestion des risques de crédit, même si cette période s’étend au-delà de la période contractuelle maximale.</w:t>
      </w:r>
      <w:r w:rsidR="00F96EBA" w:rsidRPr="00F96EBA">
        <w:t>]</w:t>
      </w:r>
    </w:p>
    <w:p w14:paraId="14DDD705" w14:textId="345FE8A8" w:rsidR="00805412" w:rsidRPr="00B33AA4" w:rsidRDefault="00093338" w:rsidP="00476A7C">
      <w:pPr>
        <w:pStyle w:val="Heading3"/>
      </w:pPr>
      <w:r w:rsidRPr="00B33AA4">
        <w:t>Contrats de location</w:t>
      </w:r>
      <w:r w:rsidR="00C55C35">
        <w:t xml:space="preserve"> (IFRS 16)</w:t>
      </w:r>
    </w:p>
    <w:p w14:paraId="03F52264" w14:textId="23A2853C" w:rsidR="008E7230" w:rsidRPr="00D17C6D" w:rsidRDefault="004807E5" w:rsidP="008E7230">
      <w:pPr>
        <w:pStyle w:val="LetterBodyPwC"/>
        <w:rPr>
          <w:rFonts w:ascii="Arial" w:hAnsi="Arial" w:cs="Times New Roman"/>
          <w:color w:val="auto"/>
          <w:sz w:val="22"/>
          <w:szCs w:val="22"/>
          <w:lang w:val="fr-CA"/>
        </w:rPr>
      </w:pPr>
      <w:bookmarkStart w:id="9" w:name="Paragraph_1523"/>
      <w:r w:rsidRPr="00D17C6D">
        <w:rPr>
          <w:rFonts w:ascii="Arial" w:hAnsi="Arial" w:cs="Times New Roman"/>
          <w:color w:val="auto"/>
          <w:sz w:val="22"/>
          <w:szCs w:val="22"/>
          <w:lang w:val="fr-CA"/>
        </w:rPr>
        <w:t xml:space="preserve">Nous avons évalué, comptabilisé et décrit dans les états financiers </w:t>
      </w:r>
      <w:r w:rsidRPr="00D17C6D">
        <w:rPr>
          <w:rFonts w:ascii="Arial" w:hAnsi="Arial"/>
          <w:snapToGrid w:val="0"/>
          <w:sz w:val="22"/>
          <w:szCs w:val="22"/>
          <w:lang w:val="fr-CA"/>
        </w:rPr>
        <w:t>[</w:t>
      </w:r>
      <w:r w:rsidRPr="00D17C6D">
        <w:rPr>
          <w:rStyle w:val="BlueText"/>
          <w:rFonts w:ascii="Arial" w:hAnsi="Arial"/>
          <w:sz w:val="22"/>
          <w:szCs w:val="22"/>
          <w:lang w:val="fr-CA"/>
        </w:rPr>
        <w:t>consolidés</w:t>
      </w:r>
      <w:r w:rsidRPr="00D17C6D">
        <w:rPr>
          <w:rFonts w:ascii="Arial" w:hAnsi="Arial"/>
          <w:snapToGrid w:val="0"/>
          <w:sz w:val="22"/>
          <w:szCs w:val="22"/>
          <w:lang w:val="fr-CA"/>
        </w:rPr>
        <w:t>]</w:t>
      </w:r>
      <w:r w:rsidRPr="00D17C6D">
        <w:rPr>
          <w:rFonts w:ascii="Arial" w:hAnsi="Arial"/>
          <w:color w:val="auto"/>
          <w:sz w:val="22"/>
          <w:szCs w:val="22"/>
          <w:lang w:val="fr-CA"/>
        </w:rPr>
        <w:t xml:space="preserve"> tous les contrats qui entrent dans le champ d’application de l’</w:t>
      </w:r>
      <w:r w:rsidR="00C55C35">
        <w:rPr>
          <w:rFonts w:ascii="Arial" w:hAnsi="Arial" w:cs="Times New Roman"/>
          <w:color w:val="auto"/>
          <w:sz w:val="22"/>
          <w:szCs w:val="22"/>
          <w:lang w:val="fr-CA"/>
        </w:rPr>
        <w:t>IFRS </w:t>
      </w:r>
      <w:r w:rsidR="008E7230" w:rsidRPr="00D17C6D">
        <w:rPr>
          <w:rFonts w:ascii="Arial" w:hAnsi="Arial" w:cs="Times New Roman"/>
          <w:color w:val="auto"/>
          <w:sz w:val="22"/>
          <w:szCs w:val="22"/>
          <w:lang w:val="fr-CA"/>
        </w:rPr>
        <w:t>16,</w:t>
      </w:r>
      <w:r w:rsidR="004A5F56">
        <w:rPr>
          <w:rFonts w:ascii="Arial" w:hAnsi="Arial" w:cs="Times New Roman"/>
          <w:color w:val="auto"/>
          <w:sz w:val="22"/>
          <w:szCs w:val="22"/>
          <w:lang w:val="fr-CA"/>
        </w:rPr>
        <w:t xml:space="preserve"> Contrats de location</w:t>
      </w:r>
      <w:r w:rsidR="008E7230" w:rsidRPr="00D17C6D">
        <w:rPr>
          <w:rFonts w:ascii="Arial" w:hAnsi="Arial" w:cs="Times New Roman"/>
          <w:color w:val="auto"/>
          <w:sz w:val="22"/>
          <w:szCs w:val="22"/>
          <w:lang w:val="fr-CA"/>
        </w:rPr>
        <w:t xml:space="preserve"> </w:t>
      </w:r>
      <w:r w:rsidRPr="00D17C6D">
        <w:rPr>
          <w:rFonts w:ascii="Arial" w:hAnsi="Arial" w:cs="Times New Roman"/>
          <w:color w:val="auto"/>
          <w:sz w:val="22"/>
          <w:szCs w:val="22"/>
          <w:lang w:val="fr-CA"/>
        </w:rPr>
        <w:t>en tenant compte des</w:t>
      </w:r>
      <w:r w:rsidR="002F6B99" w:rsidRPr="00D17C6D">
        <w:rPr>
          <w:rFonts w:ascii="Arial" w:hAnsi="Arial" w:cs="Times New Roman"/>
          <w:color w:val="auto"/>
          <w:sz w:val="22"/>
          <w:szCs w:val="22"/>
          <w:lang w:val="fr-CA"/>
        </w:rPr>
        <w:t xml:space="preserve"> éléments</w:t>
      </w:r>
      <w:r w:rsidRPr="00D17C6D">
        <w:rPr>
          <w:rFonts w:ascii="Arial" w:hAnsi="Arial" w:cs="Times New Roman"/>
          <w:color w:val="auto"/>
          <w:sz w:val="22"/>
          <w:szCs w:val="22"/>
          <w:lang w:val="fr-CA"/>
        </w:rPr>
        <w:t xml:space="preserve"> ci-après, sans toutefois nous y limiter</w:t>
      </w:r>
      <w:r w:rsidR="00D17C6D">
        <w:rPr>
          <w:rFonts w:ascii="Arial" w:hAnsi="Arial" w:cs="Times New Roman"/>
          <w:color w:val="auto"/>
          <w:sz w:val="22"/>
          <w:szCs w:val="22"/>
          <w:lang w:val="fr-CA"/>
        </w:rPr>
        <w:t> </w:t>
      </w:r>
      <w:r w:rsidRPr="00D17C6D">
        <w:rPr>
          <w:rFonts w:ascii="Arial" w:hAnsi="Arial" w:cs="Times New Roman"/>
          <w:color w:val="auto"/>
          <w:sz w:val="22"/>
          <w:szCs w:val="22"/>
          <w:lang w:val="fr-CA"/>
        </w:rPr>
        <w:t>:</w:t>
      </w:r>
      <w:r w:rsidR="008E7230" w:rsidRPr="00D17C6D">
        <w:rPr>
          <w:rFonts w:ascii="Arial" w:hAnsi="Arial" w:cs="Times New Roman"/>
          <w:color w:val="auto"/>
          <w:sz w:val="22"/>
          <w:szCs w:val="22"/>
          <w:lang w:val="fr-CA"/>
        </w:rPr>
        <w:t xml:space="preserve"> [</w:t>
      </w:r>
      <w:r w:rsidR="005628AE" w:rsidRPr="00B33AA4">
        <w:rPr>
          <w:rStyle w:val="BlueItalText"/>
          <w:rFonts w:ascii="Arial" w:hAnsi="Arial"/>
          <w:sz w:val="22"/>
          <w:szCs w:val="22"/>
          <w:lang w:val="fr-CA"/>
        </w:rPr>
        <w:t xml:space="preserve">ajouter les déclarations pertinentes </w:t>
      </w:r>
      <w:r w:rsidRPr="00D17C6D">
        <w:rPr>
          <w:rStyle w:val="BlueItalText"/>
          <w:rFonts w:ascii="Arial" w:hAnsi="Arial"/>
          <w:sz w:val="22"/>
          <w:szCs w:val="22"/>
          <w:lang w:val="fr-CA"/>
        </w:rPr>
        <w:t>en fonction des circonstances et faits propres au client</w:t>
      </w:r>
      <w:r w:rsidR="008E7230" w:rsidRPr="00D17C6D">
        <w:rPr>
          <w:rStyle w:val="BlueItalText"/>
          <w:rFonts w:ascii="Arial" w:hAnsi="Arial"/>
          <w:sz w:val="22"/>
          <w:szCs w:val="22"/>
          <w:lang w:val="fr-CA"/>
        </w:rPr>
        <w:t>.</w:t>
      </w:r>
      <w:r w:rsidR="008E7230" w:rsidRPr="00007202">
        <w:rPr>
          <w:rStyle w:val="BlueItalText"/>
          <w:i w:val="0"/>
          <w:color w:val="auto"/>
          <w:lang w:val="fr-CA"/>
        </w:rPr>
        <w:t>]</w:t>
      </w:r>
      <w:bookmarkEnd w:id="9"/>
    </w:p>
    <w:p w14:paraId="6E351591" w14:textId="66E10EAC" w:rsidR="008E7230" w:rsidRPr="00C55C35" w:rsidRDefault="002F6B99" w:rsidP="000E4CFF">
      <w:pPr>
        <w:pStyle w:val="09ParaBullet1"/>
        <w:rPr>
          <w:rStyle w:val="BlueItalText"/>
          <w:rFonts w:cs="Arial"/>
          <w:i w:val="0"/>
        </w:rPr>
      </w:pPr>
      <w:bookmarkStart w:id="10" w:name="Paragraph_1474"/>
      <w:r w:rsidRPr="00C55C35">
        <w:rPr>
          <w:rStyle w:val="BlueItalText"/>
          <w:rFonts w:cs="Arial"/>
          <w:i w:val="0"/>
        </w:rPr>
        <w:t>des accords qui contiennent un contra</w:t>
      </w:r>
      <w:r w:rsidR="00C55C35">
        <w:rPr>
          <w:rStyle w:val="BlueItalText"/>
          <w:rFonts w:cs="Arial"/>
          <w:i w:val="0"/>
        </w:rPr>
        <w:t>t, conformément aux paragraphes </w:t>
      </w:r>
      <w:r w:rsidRPr="00C55C35">
        <w:rPr>
          <w:rStyle w:val="BlueItalText"/>
          <w:rFonts w:cs="Arial"/>
          <w:i w:val="0"/>
        </w:rPr>
        <w:t>9 à 11 et B9</w:t>
      </w:r>
      <w:r w:rsidR="002D63D4">
        <w:rPr>
          <w:rStyle w:val="BlueItalText"/>
          <w:rFonts w:cs="Arial"/>
          <w:i w:val="0"/>
        </w:rPr>
        <w:t> </w:t>
      </w:r>
      <w:r w:rsidRPr="00C55C35">
        <w:rPr>
          <w:rStyle w:val="BlueItalText"/>
          <w:rFonts w:cs="Arial"/>
          <w:i w:val="0"/>
        </w:rPr>
        <w:t>à</w:t>
      </w:r>
      <w:r w:rsidR="002D63D4">
        <w:rPr>
          <w:rStyle w:val="BlueItalText"/>
          <w:rFonts w:cs="Arial"/>
          <w:i w:val="0"/>
        </w:rPr>
        <w:t> </w:t>
      </w:r>
      <w:r w:rsidRPr="00C55C35">
        <w:rPr>
          <w:rStyle w:val="BlueItalText"/>
          <w:rFonts w:cs="Arial"/>
          <w:i w:val="0"/>
        </w:rPr>
        <w:t>B31 de l’</w:t>
      </w:r>
      <w:r w:rsidR="00C55C35">
        <w:rPr>
          <w:rStyle w:val="BlueItalText"/>
          <w:rFonts w:cs="Arial"/>
          <w:i w:val="0"/>
        </w:rPr>
        <w:t>IFRS </w:t>
      </w:r>
      <w:r w:rsidR="008E7230" w:rsidRPr="00C55C35">
        <w:rPr>
          <w:rStyle w:val="BlueItalText"/>
          <w:rFonts w:cs="Arial"/>
          <w:i w:val="0"/>
        </w:rPr>
        <w:t xml:space="preserve">16, </w:t>
      </w:r>
      <w:r w:rsidRPr="00C55C35">
        <w:rPr>
          <w:rStyle w:val="BlueItalText"/>
          <w:rFonts w:cs="Arial"/>
          <w:i w:val="0"/>
        </w:rPr>
        <w:t>« </w:t>
      </w:r>
      <w:r w:rsidR="008E7230" w:rsidRPr="00C55C35">
        <w:rPr>
          <w:rStyle w:val="BlueItalText"/>
          <w:rFonts w:cs="Arial"/>
          <w:i w:val="0"/>
        </w:rPr>
        <w:t>Identif</w:t>
      </w:r>
      <w:r w:rsidRPr="00C55C35">
        <w:rPr>
          <w:rStyle w:val="BlueItalText"/>
          <w:rFonts w:cs="Arial"/>
          <w:i w:val="0"/>
        </w:rPr>
        <w:t>ication d’un contrat de location »</w:t>
      </w:r>
      <w:r w:rsidR="008E7230" w:rsidRPr="00C55C35">
        <w:rPr>
          <w:rStyle w:val="BlueItalText"/>
          <w:rFonts w:cs="Arial"/>
          <w:i w:val="0"/>
        </w:rPr>
        <w:t>;</w:t>
      </w:r>
      <w:bookmarkEnd w:id="10"/>
    </w:p>
    <w:p w14:paraId="05894135" w14:textId="711DEB93" w:rsidR="008E7230" w:rsidRPr="00C55C35" w:rsidRDefault="002F6B99" w:rsidP="000E4CFF">
      <w:pPr>
        <w:pStyle w:val="09ParaBullet1"/>
        <w:rPr>
          <w:rStyle w:val="BlueItalText"/>
          <w:rFonts w:cs="Arial"/>
          <w:i w:val="0"/>
        </w:rPr>
      </w:pPr>
      <w:bookmarkStart w:id="11" w:name="Paragraph_1452"/>
      <w:r w:rsidRPr="00C55C35">
        <w:rPr>
          <w:rStyle w:val="BlueItalText"/>
          <w:rFonts w:cs="Arial"/>
          <w:i w:val="0"/>
        </w:rPr>
        <w:t>des accords qui contiennent plusieurs composantes, la séparation des composantes et</w:t>
      </w:r>
      <w:r w:rsidR="002D63D4">
        <w:rPr>
          <w:rStyle w:val="BlueItalText"/>
          <w:rFonts w:cs="Arial"/>
          <w:i w:val="0"/>
        </w:rPr>
        <w:t> </w:t>
      </w:r>
      <w:r w:rsidRPr="00C55C35">
        <w:rPr>
          <w:rStyle w:val="BlueItalText"/>
          <w:rFonts w:cs="Arial"/>
          <w:i w:val="0"/>
        </w:rPr>
        <w:t>la répartition de la contrepartie entre les composante</w:t>
      </w:r>
      <w:r w:rsidR="00C55C35">
        <w:rPr>
          <w:rStyle w:val="BlueItalText"/>
          <w:rFonts w:cs="Arial"/>
          <w:i w:val="0"/>
        </w:rPr>
        <w:t>s, conformément aux paragraphes </w:t>
      </w:r>
      <w:r w:rsidRPr="00C55C35">
        <w:rPr>
          <w:rStyle w:val="BlueItalText"/>
          <w:rFonts w:cs="Arial"/>
          <w:i w:val="0"/>
        </w:rPr>
        <w:t>12 à 17 et B32 et B33 de l’</w:t>
      </w:r>
      <w:r w:rsidR="00C55C35">
        <w:rPr>
          <w:rStyle w:val="BlueItalText"/>
          <w:rFonts w:cs="Arial"/>
          <w:i w:val="0"/>
        </w:rPr>
        <w:t>IFRS </w:t>
      </w:r>
      <w:r w:rsidR="008E7230" w:rsidRPr="00C55C35">
        <w:rPr>
          <w:rStyle w:val="BlueItalText"/>
          <w:rFonts w:cs="Arial"/>
          <w:i w:val="0"/>
        </w:rPr>
        <w:t xml:space="preserve">16, </w:t>
      </w:r>
      <w:r w:rsidRPr="00C55C35">
        <w:rPr>
          <w:rStyle w:val="BlueItalText"/>
          <w:rFonts w:cs="Arial"/>
          <w:i w:val="0"/>
        </w:rPr>
        <w:t>« Séparation des composantes d’un</w:t>
      </w:r>
      <w:r w:rsidR="002D63D4">
        <w:rPr>
          <w:rStyle w:val="BlueItalText"/>
          <w:rFonts w:cs="Arial"/>
          <w:i w:val="0"/>
        </w:rPr>
        <w:t> </w:t>
      </w:r>
      <w:r w:rsidRPr="00C55C35">
        <w:rPr>
          <w:rStyle w:val="BlueItalText"/>
          <w:rFonts w:cs="Arial"/>
          <w:i w:val="0"/>
        </w:rPr>
        <w:t>contrat »;</w:t>
      </w:r>
      <w:bookmarkEnd w:id="11"/>
    </w:p>
    <w:p w14:paraId="7D974686" w14:textId="2B81AC2B" w:rsidR="008E7230" w:rsidRPr="00C55C35" w:rsidRDefault="002F6B99" w:rsidP="000E4CFF">
      <w:pPr>
        <w:pStyle w:val="09ParaBullet1"/>
        <w:rPr>
          <w:rStyle w:val="BlueItalText"/>
          <w:rFonts w:cs="Arial"/>
          <w:i w:val="0"/>
        </w:rPr>
      </w:pPr>
      <w:bookmarkStart w:id="12" w:name="Paragraph_1395"/>
      <w:r w:rsidRPr="00C55C35">
        <w:rPr>
          <w:rStyle w:val="BlueItalText"/>
          <w:rFonts w:cs="Arial"/>
          <w:i w:val="0"/>
        </w:rPr>
        <w:t>toute option de prolongation, de résiliation ou d’achat que le preneur a la certitude raisonnable d’exercer ou qui dépend de la volonté du bailleur été prise en compte pour</w:t>
      </w:r>
      <w:r w:rsidR="002D63D4">
        <w:rPr>
          <w:rStyle w:val="BlueItalText"/>
          <w:rFonts w:cs="Arial"/>
          <w:i w:val="0"/>
        </w:rPr>
        <w:t> </w:t>
      </w:r>
      <w:r w:rsidRPr="00C55C35">
        <w:rPr>
          <w:rStyle w:val="BlueItalText"/>
          <w:rFonts w:cs="Arial"/>
          <w:i w:val="0"/>
        </w:rPr>
        <w:t xml:space="preserve">établir la durée des contrats, conformément </w:t>
      </w:r>
      <w:r w:rsidR="00C55C35">
        <w:rPr>
          <w:rStyle w:val="BlueItalText"/>
          <w:rFonts w:cs="Arial"/>
          <w:i w:val="0"/>
        </w:rPr>
        <w:t>aux paragraphes </w:t>
      </w:r>
      <w:r w:rsidRPr="00C55C35">
        <w:rPr>
          <w:rStyle w:val="BlueItalText"/>
          <w:rFonts w:cs="Arial"/>
          <w:i w:val="0"/>
        </w:rPr>
        <w:t>18 à 21 et</w:t>
      </w:r>
      <w:r w:rsidR="007719D8">
        <w:rPr>
          <w:rStyle w:val="BlueItalText"/>
          <w:rFonts w:cs="Arial"/>
          <w:i w:val="0"/>
        </w:rPr>
        <w:t> </w:t>
      </w:r>
      <w:r w:rsidRPr="00C55C35">
        <w:rPr>
          <w:rStyle w:val="BlueItalText"/>
          <w:rFonts w:cs="Arial"/>
          <w:i w:val="0"/>
        </w:rPr>
        <w:t>B34 à</w:t>
      </w:r>
      <w:r w:rsidR="002D63D4">
        <w:rPr>
          <w:rStyle w:val="BlueItalText"/>
          <w:rFonts w:cs="Arial"/>
          <w:i w:val="0"/>
        </w:rPr>
        <w:t> </w:t>
      </w:r>
      <w:r w:rsidRPr="00C55C35">
        <w:rPr>
          <w:rStyle w:val="BlueItalText"/>
          <w:rFonts w:cs="Arial"/>
          <w:i w:val="0"/>
        </w:rPr>
        <w:t>B41</w:t>
      </w:r>
      <w:r w:rsidR="002D63D4">
        <w:rPr>
          <w:rStyle w:val="BlueItalText"/>
          <w:rFonts w:cs="Arial"/>
          <w:i w:val="0"/>
        </w:rPr>
        <w:t> </w:t>
      </w:r>
      <w:r w:rsidRPr="00C55C35">
        <w:rPr>
          <w:rStyle w:val="BlueItalText"/>
          <w:rFonts w:cs="Arial"/>
          <w:i w:val="0"/>
        </w:rPr>
        <w:t>de l’</w:t>
      </w:r>
      <w:r w:rsidR="008E7230" w:rsidRPr="00C55C35">
        <w:rPr>
          <w:rStyle w:val="BlueItalText"/>
          <w:rFonts w:cs="Arial"/>
          <w:i w:val="0"/>
        </w:rPr>
        <w:t>IFRS</w:t>
      </w:r>
      <w:r w:rsidR="00C55C35">
        <w:rPr>
          <w:rStyle w:val="BlueItalText"/>
          <w:rFonts w:cs="Arial"/>
          <w:i w:val="0"/>
        </w:rPr>
        <w:t> </w:t>
      </w:r>
      <w:r w:rsidR="008E7230" w:rsidRPr="00C55C35">
        <w:rPr>
          <w:rStyle w:val="BlueItalText"/>
          <w:rFonts w:cs="Arial"/>
          <w:i w:val="0"/>
        </w:rPr>
        <w:t xml:space="preserve">16, </w:t>
      </w:r>
      <w:r w:rsidRPr="00C55C35">
        <w:rPr>
          <w:rStyle w:val="BlueItalText"/>
          <w:rFonts w:cs="Arial"/>
          <w:i w:val="0"/>
        </w:rPr>
        <w:t>« Durée du contrat de location »;</w:t>
      </w:r>
      <w:bookmarkEnd w:id="12"/>
    </w:p>
    <w:p w14:paraId="2F796C54" w14:textId="7772B1E8" w:rsidR="008E7230" w:rsidRPr="00C55C35" w:rsidRDefault="002F6B99" w:rsidP="000E4CFF">
      <w:pPr>
        <w:pStyle w:val="09ParaBullet1"/>
        <w:rPr>
          <w:rStyle w:val="BlueItalText"/>
          <w:rFonts w:cs="Arial"/>
          <w:i w:val="0"/>
        </w:rPr>
      </w:pPr>
      <w:bookmarkStart w:id="13" w:name="Paragraph_1273"/>
      <w:r w:rsidRPr="00C55C35">
        <w:rPr>
          <w:rStyle w:val="BlueItalText"/>
          <w:rFonts w:cs="Arial"/>
          <w:i w:val="0"/>
        </w:rPr>
        <w:t>l’évaluation initiale des paiements de loyers a été effectu</w:t>
      </w:r>
      <w:r w:rsidR="00C55C35">
        <w:rPr>
          <w:rStyle w:val="BlueItalText"/>
          <w:rFonts w:cs="Arial"/>
          <w:i w:val="0"/>
        </w:rPr>
        <w:t>ée conformément aux paragraphes </w:t>
      </w:r>
      <w:r w:rsidRPr="00C55C35">
        <w:rPr>
          <w:rStyle w:val="BlueItalText"/>
          <w:rFonts w:cs="Arial"/>
          <w:i w:val="0"/>
        </w:rPr>
        <w:t>26 à 2</w:t>
      </w:r>
      <w:r w:rsidR="000307AE" w:rsidRPr="00C55C35">
        <w:rPr>
          <w:rStyle w:val="BlueItalText"/>
          <w:rFonts w:cs="Arial"/>
          <w:i w:val="0"/>
        </w:rPr>
        <w:t>8</w:t>
      </w:r>
      <w:r w:rsidRPr="00C55C35">
        <w:rPr>
          <w:rStyle w:val="BlueItalText"/>
          <w:rFonts w:cs="Arial"/>
          <w:i w:val="0"/>
        </w:rPr>
        <w:t xml:space="preserve"> (preneur) et 70</w:t>
      </w:r>
      <w:r w:rsidR="00C55C35">
        <w:rPr>
          <w:rStyle w:val="BlueItalText"/>
          <w:rFonts w:cs="Arial"/>
          <w:i w:val="0"/>
        </w:rPr>
        <w:t> </w:t>
      </w:r>
      <w:r w:rsidRPr="00C55C35">
        <w:rPr>
          <w:rStyle w:val="BlueItalText"/>
          <w:rFonts w:cs="Arial"/>
          <w:i w:val="0"/>
        </w:rPr>
        <w:t>(bailleur) de l’</w:t>
      </w:r>
      <w:r w:rsidR="00C55C35">
        <w:rPr>
          <w:rStyle w:val="BlueItalText"/>
          <w:rFonts w:cs="Arial"/>
          <w:i w:val="0"/>
        </w:rPr>
        <w:t>IFRS 1</w:t>
      </w:r>
      <w:r w:rsidR="008E7230" w:rsidRPr="00C55C35">
        <w:rPr>
          <w:rStyle w:val="BlueItalText"/>
          <w:rFonts w:cs="Arial"/>
          <w:i w:val="0"/>
        </w:rPr>
        <w:t>6;</w:t>
      </w:r>
      <w:bookmarkEnd w:id="13"/>
    </w:p>
    <w:p w14:paraId="603DB0D9" w14:textId="746A3C0E" w:rsidR="008E7230" w:rsidRPr="00C55C35" w:rsidRDefault="00CE0540" w:rsidP="000E4CFF">
      <w:pPr>
        <w:pStyle w:val="09ParaBullet1"/>
        <w:rPr>
          <w:rStyle w:val="BlueItalText"/>
          <w:rFonts w:cs="Arial"/>
          <w:i w:val="0"/>
        </w:rPr>
      </w:pPr>
      <w:bookmarkStart w:id="14" w:name="Paragraph_1283"/>
      <w:r w:rsidRPr="00C55C35">
        <w:rPr>
          <w:rStyle w:val="BlueItalText"/>
          <w:rFonts w:cs="Arial"/>
          <w:i w:val="0"/>
        </w:rPr>
        <w:lastRenderedPageBreak/>
        <w:t>les coûts directs initiaux ont été pris en com</w:t>
      </w:r>
      <w:r w:rsidR="00C55C35">
        <w:rPr>
          <w:rStyle w:val="BlueItalText"/>
          <w:rFonts w:cs="Arial"/>
          <w:i w:val="0"/>
        </w:rPr>
        <w:t>pte, conformément au paragraphe 24 (preneur) et aux paragraphes </w:t>
      </w:r>
      <w:r w:rsidRPr="00C55C35">
        <w:rPr>
          <w:rStyle w:val="BlueItalText"/>
          <w:rFonts w:cs="Arial"/>
          <w:i w:val="0"/>
        </w:rPr>
        <w:t xml:space="preserve">69 </w:t>
      </w:r>
      <w:r w:rsidR="00A05485" w:rsidRPr="00C55C35">
        <w:rPr>
          <w:rStyle w:val="BlueItalText"/>
          <w:rFonts w:cs="Arial"/>
          <w:i w:val="0"/>
        </w:rPr>
        <w:t xml:space="preserve">et </w:t>
      </w:r>
      <w:r w:rsidRPr="00C55C35">
        <w:rPr>
          <w:rStyle w:val="BlueItalText"/>
          <w:rFonts w:cs="Arial"/>
          <w:i w:val="0"/>
        </w:rPr>
        <w:t>74</w:t>
      </w:r>
      <w:r w:rsidR="00C55C35">
        <w:rPr>
          <w:rStyle w:val="BlueItalText"/>
          <w:rFonts w:cs="Arial"/>
          <w:i w:val="0"/>
        </w:rPr>
        <w:t> </w:t>
      </w:r>
      <w:r w:rsidRPr="00C55C35">
        <w:rPr>
          <w:rStyle w:val="BlueItalText"/>
          <w:rFonts w:cs="Arial"/>
          <w:i w:val="0"/>
        </w:rPr>
        <w:t>(bailleur) de l’</w:t>
      </w:r>
      <w:r w:rsidR="00C55C35">
        <w:rPr>
          <w:rStyle w:val="BlueItalText"/>
          <w:rFonts w:cs="Arial"/>
          <w:i w:val="0"/>
        </w:rPr>
        <w:t>IFRS </w:t>
      </w:r>
      <w:r w:rsidR="008E7230" w:rsidRPr="00C55C35">
        <w:rPr>
          <w:rStyle w:val="BlueItalText"/>
          <w:rFonts w:cs="Arial"/>
          <w:i w:val="0"/>
        </w:rPr>
        <w:t>16</w:t>
      </w:r>
      <w:bookmarkEnd w:id="14"/>
      <w:r w:rsidR="008E7230" w:rsidRPr="00C55C35">
        <w:rPr>
          <w:rStyle w:val="BlueItalText"/>
          <w:rFonts w:cs="Arial"/>
          <w:i w:val="0"/>
        </w:rPr>
        <w:t>;</w:t>
      </w:r>
    </w:p>
    <w:p w14:paraId="39B668F9" w14:textId="04E7A5FF" w:rsidR="008E7230" w:rsidRPr="00C55C35" w:rsidRDefault="00CE0540" w:rsidP="000E4CFF">
      <w:pPr>
        <w:pStyle w:val="09ParaBullet1"/>
        <w:rPr>
          <w:rStyle w:val="BlueItalText"/>
          <w:rFonts w:cs="Arial"/>
          <w:i w:val="0"/>
        </w:rPr>
      </w:pPr>
      <w:bookmarkStart w:id="15" w:name="Paragraph_1581"/>
      <w:r w:rsidRPr="00C55C35">
        <w:rPr>
          <w:rStyle w:val="BlueItalText"/>
          <w:rFonts w:cs="Arial"/>
          <w:i w:val="0"/>
        </w:rPr>
        <w:t>les taux d’actualisation ont été établis en fonction des définitions du taux d’intérêt implicite du contrat de location ou du taux d’emprunt m</w:t>
      </w:r>
      <w:r w:rsidR="00C55C35">
        <w:rPr>
          <w:rStyle w:val="BlueItalText"/>
          <w:rFonts w:cs="Arial"/>
          <w:i w:val="0"/>
        </w:rPr>
        <w:t>arginal du preneur de l’Annexe</w:t>
      </w:r>
      <w:r w:rsidR="002D63D4">
        <w:rPr>
          <w:rStyle w:val="BlueItalText"/>
          <w:rFonts w:cs="Arial"/>
          <w:i w:val="0"/>
        </w:rPr>
        <w:t> </w:t>
      </w:r>
      <w:r w:rsidRPr="00C55C35">
        <w:rPr>
          <w:rStyle w:val="BlueItalText"/>
          <w:rFonts w:cs="Arial"/>
          <w:i w:val="0"/>
        </w:rPr>
        <w:t>A de l’</w:t>
      </w:r>
      <w:r w:rsidR="00C55C35">
        <w:rPr>
          <w:rStyle w:val="BlueItalText"/>
          <w:rFonts w:cs="Arial"/>
          <w:i w:val="0"/>
        </w:rPr>
        <w:t>IFRS </w:t>
      </w:r>
      <w:r w:rsidR="008E7230" w:rsidRPr="00C55C35">
        <w:rPr>
          <w:rStyle w:val="BlueItalText"/>
          <w:rFonts w:cs="Arial"/>
          <w:i w:val="0"/>
        </w:rPr>
        <w:t>16;</w:t>
      </w:r>
      <w:bookmarkEnd w:id="15"/>
    </w:p>
    <w:p w14:paraId="25E5E0C4" w14:textId="459475B3" w:rsidR="008E7230" w:rsidRPr="00C55C35" w:rsidRDefault="00153F9C" w:rsidP="000E4CFF">
      <w:pPr>
        <w:pStyle w:val="09ParaBullet1"/>
        <w:rPr>
          <w:rStyle w:val="BlueItalText"/>
          <w:rFonts w:cs="Arial"/>
          <w:i w:val="0"/>
        </w:rPr>
      </w:pPr>
      <w:bookmarkStart w:id="16" w:name="Paragraph_1763"/>
      <w:r w:rsidRPr="00C55C35">
        <w:rPr>
          <w:rStyle w:val="BlueItalText"/>
          <w:rFonts w:cs="Arial"/>
          <w:i w:val="0"/>
        </w:rPr>
        <w:t>aux fins de l’application des dispositions qui ont trait à la comptabilité du bailleur, la juste valeur a été estimée en fonction de la définition de</w:t>
      </w:r>
      <w:r w:rsidR="000E6B7D" w:rsidRPr="00C55C35">
        <w:rPr>
          <w:rStyle w:val="BlueItalText"/>
          <w:rFonts w:cs="Arial"/>
          <w:i w:val="0"/>
        </w:rPr>
        <w:t xml:space="preserve"> la</w:t>
      </w:r>
      <w:r w:rsidRPr="00C55C35">
        <w:rPr>
          <w:rStyle w:val="BlueItalText"/>
          <w:rFonts w:cs="Arial"/>
          <w:i w:val="0"/>
        </w:rPr>
        <w:t xml:space="preserve"> « juste valeur » </w:t>
      </w:r>
      <w:r w:rsidR="000E6B7D" w:rsidRPr="00C55C35">
        <w:rPr>
          <w:rStyle w:val="BlueItalText"/>
          <w:rFonts w:cs="Arial"/>
          <w:i w:val="0"/>
        </w:rPr>
        <w:t xml:space="preserve">qui est </w:t>
      </w:r>
      <w:r w:rsidR="00C55C35">
        <w:rPr>
          <w:rStyle w:val="BlueItalText"/>
          <w:rFonts w:cs="Arial"/>
          <w:i w:val="0"/>
        </w:rPr>
        <w:t>donnée à l’Annexe </w:t>
      </w:r>
      <w:r w:rsidRPr="00C55C35">
        <w:rPr>
          <w:rStyle w:val="BlueItalText"/>
          <w:rFonts w:cs="Arial"/>
          <w:i w:val="0"/>
        </w:rPr>
        <w:t>A de l’I</w:t>
      </w:r>
      <w:r w:rsidR="00C55C35">
        <w:rPr>
          <w:rStyle w:val="BlueItalText"/>
          <w:rFonts w:cs="Arial"/>
          <w:i w:val="0"/>
        </w:rPr>
        <w:t>FRS </w:t>
      </w:r>
      <w:r w:rsidR="008E7230" w:rsidRPr="00C55C35">
        <w:rPr>
          <w:rStyle w:val="BlueItalText"/>
          <w:rFonts w:cs="Arial"/>
          <w:i w:val="0"/>
        </w:rPr>
        <w:t>16;</w:t>
      </w:r>
      <w:bookmarkEnd w:id="16"/>
    </w:p>
    <w:p w14:paraId="7EEC7D8A" w14:textId="6412E8FD" w:rsidR="008E7230" w:rsidRPr="00C55C35" w:rsidRDefault="00153F9C" w:rsidP="000E4CFF">
      <w:pPr>
        <w:pStyle w:val="09ParaBullet1"/>
        <w:rPr>
          <w:rStyle w:val="BlueItalText"/>
          <w:rFonts w:cs="Arial"/>
          <w:i w:val="0"/>
        </w:rPr>
      </w:pPr>
      <w:bookmarkStart w:id="17" w:name="Paragraph_1503"/>
      <w:r w:rsidRPr="00C55C35">
        <w:rPr>
          <w:rStyle w:val="BlueItalText"/>
          <w:rFonts w:cs="Arial"/>
          <w:i w:val="0"/>
        </w:rPr>
        <w:t>tout événement ou situation survenu qui est à l’origine d’une réévaluation des paiements de loyer</w:t>
      </w:r>
      <w:r w:rsidR="00C55C35">
        <w:rPr>
          <w:rStyle w:val="BlueItalText"/>
          <w:rFonts w:cs="Arial"/>
          <w:i w:val="0"/>
        </w:rPr>
        <w:t>s, conformément aux paragraphes </w:t>
      </w:r>
      <w:r w:rsidRPr="00C55C35">
        <w:rPr>
          <w:rStyle w:val="BlueItalText"/>
          <w:rFonts w:cs="Arial"/>
          <w:i w:val="0"/>
        </w:rPr>
        <w:t>39 à 43</w:t>
      </w:r>
      <w:r w:rsidR="00C55C35">
        <w:rPr>
          <w:rStyle w:val="BlueItalText"/>
          <w:rFonts w:cs="Arial"/>
          <w:i w:val="0"/>
        </w:rPr>
        <w:t> </w:t>
      </w:r>
      <w:r w:rsidRPr="00C55C35">
        <w:rPr>
          <w:rStyle w:val="BlueItalText"/>
          <w:rFonts w:cs="Arial"/>
          <w:i w:val="0"/>
        </w:rPr>
        <w:t>(preneur) de l’</w:t>
      </w:r>
      <w:r w:rsidR="00C55C35">
        <w:rPr>
          <w:rStyle w:val="BlueItalText"/>
          <w:rFonts w:cs="Arial"/>
          <w:i w:val="0"/>
        </w:rPr>
        <w:t>IFRS </w:t>
      </w:r>
      <w:r w:rsidR="008E7230" w:rsidRPr="00C55C35">
        <w:rPr>
          <w:rStyle w:val="BlueItalText"/>
          <w:rFonts w:cs="Arial"/>
          <w:i w:val="0"/>
        </w:rPr>
        <w:t>16;</w:t>
      </w:r>
      <w:bookmarkEnd w:id="17"/>
    </w:p>
    <w:p w14:paraId="51991C21" w14:textId="52C86C4D" w:rsidR="008E7230" w:rsidRDefault="00153F9C" w:rsidP="000E4CFF">
      <w:pPr>
        <w:pStyle w:val="09ParaBullet1"/>
        <w:rPr>
          <w:rStyle w:val="BlueItalText"/>
          <w:rFonts w:cs="Arial"/>
          <w:i w:val="0"/>
        </w:rPr>
      </w:pPr>
      <w:bookmarkStart w:id="18" w:name="Paragraph_1656"/>
      <w:r w:rsidRPr="00C55C35">
        <w:rPr>
          <w:rStyle w:val="BlueItalText"/>
          <w:rFonts w:cs="Arial"/>
          <w:i w:val="0"/>
        </w:rPr>
        <w:t xml:space="preserve">toute modification au contrat de location qui s’est produite et la comptabilisation de la modification </w:t>
      </w:r>
      <w:r w:rsidR="00C55C35">
        <w:rPr>
          <w:rStyle w:val="BlueItalText"/>
          <w:rFonts w:cs="Arial"/>
          <w:i w:val="0"/>
        </w:rPr>
        <w:t>effectuée selon les paragraphes </w:t>
      </w:r>
      <w:r w:rsidRPr="00C55C35">
        <w:rPr>
          <w:rStyle w:val="BlueItalText"/>
          <w:rFonts w:cs="Arial"/>
          <w:i w:val="0"/>
        </w:rPr>
        <w:t xml:space="preserve">44 à 46 (preneur) et </w:t>
      </w:r>
      <w:r w:rsidR="00C55C35">
        <w:rPr>
          <w:rStyle w:val="BlueItalText"/>
          <w:rFonts w:cs="Arial"/>
          <w:i w:val="0"/>
        </w:rPr>
        <w:t>les paragraphes </w:t>
      </w:r>
      <w:r w:rsidRPr="00C55C35">
        <w:rPr>
          <w:rStyle w:val="BlueItalText"/>
          <w:rFonts w:cs="Arial"/>
          <w:i w:val="0"/>
        </w:rPr>
        <w:t xml:space="preserve">79 </w:t>
      </w:r>
      <w:r w:rsidR="000307AE" w:rsidRPr="00C55C35">
        <w:rPr>
          <w:rStyle w:val="BlueItalText"/>
          <w:rFonts w:cs="Arial"/>
          <w:i w:val="0"/>
        </w:rPr>
        <w:t>à</w:t>
      </w:r>
      <w:r w:rsidR="00C55C35">
        <w:rPr>
          <w:rStyle w:val="BlueItalText"/>
          <w:rFonts w:cs="Arial"/>
          <w:i w:val="0"/>
        </w:rPr>
        <w:t> </w:t>
      </w:r>
      <w:r w:rsidRPr="00C55C35">
        <w:rPr>
          <w:rStyle w:val="BlueItalText"/>
          <w:rFonts w:cs="Arial"/>
          <w:i w:val="0"/>
        </w:rPr>
        <w:t xml:space="preserve">80 </w:t>
      </w:r>
      <w:r w:rsidR="000307AE" w:rsidRPr="00C55C35">
        <w:rPr>
          <w:rStyle w:val="BlueItalText"/>
          <w:rFonts w:cs="Arial"/>
          <w:i w:val="0"/>
        </w:rPr>
        <w:t>et 87</w:t>
      </w:r>
      <w:r w:rsidR="00C55C35">
        <w:rPr>
          <w:rStyle w:val="BlueItalText"/>
          <w:rFonts w:cs="Arial"/>
          <w:i w:val="0"/>
        </w:rPr>
        <w:t> </w:t>
      </w:r>
      <w:r w:rsidRPr="00C55C35">
        <w:rPr>
          <w:rStyle w:val="BlueItalText"/>
          <w:rFonts w:cs="Arial"/>
          <w:i w:val="0"/>
        </w:rPr>
        <w:t>(bailleur), « Modifications de c</w:t>
      </w:r>
      <w:r w:rsidR="00C55C35">
        <w:rPr>
          <w:rStyle w:val="BlueItalText"/>
          <w:rFonts w:cs="Arial"/>
          <w:i w:val="0"/>
        </w:rPr>
        <w:t>ontrat de location », de l’IFRS </w:t>
      </w:r>
      <w:r w:rsidRPr="00C55C35">
        <w:rPr>
          <w:rStyle w:val="BlueItalText"/>
          <w:rFonts w:cs="Arial"/>
          <w:i w:val="0"/>
        </w:rPr>
        <w:t xml:space="preserve">16; </w:t>
      </w:r>
      <w:bookmarkEnd w:id="18"/>
    </w:p>
    <w:p w14:paraId="2511FA46" w14:textId="78546462" w:rsidR="00F91A67" w:rsidRPr="00065851" w:rsidRDefault="004A5F56" w:rsidP="000E4CFF">
      <w:pPr>
        <w:pStyle w:val="09ParaBullet1"/>
      </w:pPr>
      <w:r w:rsidRPr="0073586F">
        <w:rPr>
          <w:rStyle w:val="BlueItalText"/>
          <w:rFonts w:cs="Arial"/>
          <w:i w:val="0"/>
        </w:rPr>
        <w:t xml:space="preserve">la mesure de simplification pour les preneurs </w:t>
      </w:r>
      <w:r w:rsidR="003A5E35" w:rsidRPr="0073586F">
        <w:rPr>
          <w:rStyle w:val="BlueItalText"/>
          <w:rFonts w:cs="Arial"/>
          <w:i w:val="0"/>
        </w:rPr>
        <w:t xml:space="preserve">qui s’applique aux allégements de loyer liés à la </w:t>
      </w:r>
      <w:r w:rsidR="00C55C35" w:rsidRPr="0073586F">
        <w:rPr>
          <w:rStyle w:val="BlueItalText"/>
          <w:rFonts w:cs="Arial"/>
          <w:i w:val="0"/>
        </w:rPr>
        <w:t>COVID</w:t>
      </w:r>
      <w:r w:rsidR="00C55C35" w:rsidRPr="0073586F">
        <w:rPr>
          <w:rStyle w:val="BlueItalText"/>
          <w:rFonts w:cs="Arial"/>
          <w:i w:val="0"/>
        </w:rPr>
        <w:noBreakHyphen/>
      </w:r>
      <w:r w:rsidR="00F91A67" w:rsidRPr="0073586F">
        <w:rPr>
          <w:rStyle w:val="BlueItalText"/>
          <w:rFonts w:cs="Arial"/>
          <w:i w:val="0"/>
        </w:rPr>
        <w:t>19</w:t>
      </w:r>
      <w:r w:rsidR="003A5E35" w:rsidRPr="0073586F">
        <w:rPr>
          <w:rStyle w:val="BlueItalText"/>
          <w:rFonts w:cs="Arial"/>
          <w:i w:val="0"/>
        </w:rPr>
        <w:t xml:space="preserve"> </w:t>
      </w:r>
      <w:r w:rsidRPr="0073586F">
        <w:rPr>
          <w:rStyle w:val="BlueItalText"/>
          <w:rFonts w:cs="Arial"/>
          <w:i w:val="0"/>
        </w:rPr>
        <w:t xml:space="preserve">selon les </w:t>
      </w:r>
      <w:r w:rsidR="00F91A67" w:rsidRPr="0073586F">
        <w:rPr>
          <w:rStyle w:val="BlueItalText"/>
          <w:rFonts w:cs="Arial"/>
          <w:i w:val="0"/>
        </w:rPr>
        <w:t>paragraph</w:t>
      </w:r>
      <w:r w:rsidRPr="0073586F">
        <w:rPr>
          <w:rStyle w:val="BlueItalText"/>
          <w:rFonts w:cs="Arial"/>
          <w:i w:val="0"/>
        </w:rPr>
        <w:t>e</w:t>
      </w:r>
      <w:r w:rsidR="00C55C35" w:rsidRPr="0073586F">
        <w:rPr>
          <w:rStyle w:val="BlueItalText"/>
          <w:rFonts w:cs="Arial"/>
          <w:i w:val="0"/>
        </w:rPr>
        <w:t>s </w:t>
      </w:r>
      <w:r w:rsidR="00F91A67" w:rsidRPr="0073586F">
        <w:rPr>
          <w:rStyle w:val="BlueItalText"/>
          <w:rFonts w:cs="Arial"/>
          <w:i w:val="0"/>
        </w:rPr>
        <w:t>46A</w:t>
      </w:r>
      <w:r w:rsidRPr="0073586F">
        <w:rPr>
          <w:rStyle w:val="BlueItalText"/>
          <w:rFonts w:cs="Arial"/>
          <w:i w:val="0"/>
        </w:rPr>
        <w:t xml:space="preserve"> et </w:t>
      </w:r>
      <w:r w:rsidR="00F91A67" w:rsidRPr="0073586F">
        <w:rPr>
          <w:rStyle w:val="BlueItalText"/>
          <w:rFonts w:cs="Arial"/>
          <w:i w:val="0"/>
        </w:rPr>
        <w:t>46B</w:t>
      </w:r>
      <w:r w:rsidRPr="0073586F">
        <w:rPr>
          <w:rStyle w:val="BlueItalText"/>
          <w:rFonts w:cs="Arial"/>
          <w:i w:val="0"/>
        </w:rPr>
        <w:t xml:space="preserve"> de l’IFRS 16</w:t>
      </w:r>
      <w:r w:rsidR="00065851">
        <w:rPr>
          <w:rStyle w:val="BlueItalText"/>
          <w:rFonts w:cs="Arial"/>
          <w:i w:val="0"/>
        </w:rPr>
        <w:t xml:space="preserve"> (publication en</w:t>
      </w:r>
      <w:r w:rsidR="00687AA9">
        <w:rPr>
          <w:rStyle w:val="BlueItalText"/>
          <w:rFonts w:cs="Arial"/>
          <w:i w:val="0"/>
        </w:rPr>
        <w:t> </w:t>
      </w:r>
      <w:r w:rsidR="00065851">
        <w:rPr>
          <w:rStyle w:val="BlueItalText"/>
          <w:rFonts w:cs="Arial"/>
          <w:i w:val="0"/>
        </w:rPr>
        <w:t xml:space="preserve">mai 2020 </w:t>
      </w:r>
      <w:r w:rsidR="0047150B">
        <w:rPr>
          <w:rStyle w:val="BlueItalText"/>
          <w:rFonts w:cs="Arial"/>
          <w:i w:val="0"/>
        </w:rPr>
        <w:t>d’</w:t>
      </w:r>
      <w:r w:rsidR="0047150B" w:rsidRPr="0047150B">
        <w:rPr>
          <w:rStyle w:val="BlueItalText"/>
          <w:rFonts w:cs="Arial"/>
        </w:rPr>
        <w:t>Allégements de loyer liés à la COVID</w:t>
      </w:r>
      <w:r w:rsidR="0047150B" w:rsidRPr="0047150B">
        <w:rPr>
          <w:rStyle w:val="BlueItalText"/>
          <w:rFonts w:cs="Arial"/>
        </w:rPr>
        <w:noBreakHyphen/>
        <w:t>19</w:t>
      </w:r>
      <w:r w:rsidR="0047150B">
        <w:rPr>
          <w:rStyle w:val="BlueItalText"/>
          <w:rFonts w:cs="Arial"/>
          <w:i w:val="0"/>
        </w:rPr>
        <w:t xml:space="preserve">, </w:t>
      </w:r>
      <w:r w:rsidR="003A5E35" w:rsidRPr="0073586F">
        <w:rPr>
          <w:rStyle w:val="BlueItalText"/>
          <w:rFonts w:cs="Arial"/>
          <w:i w:val="0"/>
        </w:rPr>
        <w:t>en vigueur pour les périodes ouvertes à compter du 1</w:t>
      </w:r>
      <w:r w:rsidR="003A5E35" w:rsidRPr="00E341B4">
        <w:rPr>
          <w:rStyle w:val="BlueItalText"/>
          <w:rFonts w:cs="Arial"/>
          <w:i w:val="0"/>
          <w:vertAlign w:val="superscript"/>
        </w:rPr>
        <w:t>er</w:t>
      </w:r>
      <w:r w:rsidR="00C55C35" w:rsidRPr="0073586F">
        <w:rPr>
          <w:rStyle w:val="BlueItalText"/>
          <w:rFonts w:cs="Arial"/>
          <w:i w:val="0"/>
        </w:rPr>
        <w:t> </w:t>
      </w:r>
      <w:r w:rsidR="003A5E35" w:rsidRPr="0073586F">
        <w:rPr>
          <w:rStyle w:val="BlueItalText"/>
          <w:rFonts w:cs="Arial"/>
          <w:i w:val="0"/>
        </w:rPr>
        <w:t>juin</w:t>
      </w:r>
      <w:r w:rsidR="00C55C35" w:rsidRPr="0073586F">
        <w:rPr>
          <w:rStyle w:val="BlueItalText"/>
          <w:rFonts w:cs="Arial"/>
          <w:i w:val="0"/>
        </w:rPr>
        <w:t> </w:t>
      </w:r>
      <w:r w:rsidR="00F91A67" w:rsidRPr="0073586F">
        <w:rPr>
          <w:rStyle w:val="BlueItalText"/>
          <w:rFonts w:cs="Arial"/>
          <w:i w:val="0"/>
        </w:rPr>
        <w:t>2020</w:t>
      </w:r>
      <w:r w:rsidR="0047150B">
        <w:rPr>
          <w:rStyle w:val="BlueItalText"/>
          <w:rFonts w:cs="Arial"/>
          <w:i w:val="0"/>
        </w:rPr>
        <w:t>, et publication en mars 2021 d’</w:t>
      </w:r>
      <w:r w:rsidR="0047150B" w:rsidRPr="0047150B">
        <w:rPr>
          <w:rStyle w:val="BlueItalText"/>
          <w:rFonts w:cs="Arial"/>
        </w:rPr>
        <w:t xml:space="preserve">Allégements de loyer liés à la </w:t>
      </w:r>
      <w:r w:rsidR="0047150B" w:rsidRPr="001E4826">
        <w:rPr>
          <w:rStyle w:val="BlueItalText"/>
          <w:rFonts w:cs="Arial"/>
        </w:rPr>
        <w:t>COVID</w:t>
      </w:r>
      <w:r w:rsidR="0047150B" w:rsidRPr="001E4826">
        <w:rPr>
          <w:rStyle w:val="BlueItalText"/>
          <w:rFonts w:cs="Arial"/>
        </w:rPr>
        <w:noBreakHyphen/>
        <w:t>19 au</w:t>
      </w:r>
      <w:r w:rsidR="0047150B" w:rsidRPr="001E4826">
        <w:rPr>
          <w:rStyle w:val="BlueItalText"/>
          <w:rFonts w:cs="Arial"/>
        </w:rPr>
        <w:noBreakHyphen/>
        <w:t>delà du 30 juin 2021</w:t>
      </w:r>
      <w:r w:rsidR="0047150B">
        <w:rPr>
          <w:rStyle w:val="BlueItalText"/>
          <w:rFonts w:cs="Arial"/>
          <w:i w:val="0"/>
        </w:rPr>
        <w:t>, en vigueur pour les périodes ouvertes à compter du 1</w:t>
      </w:r>
      <w:r w:rsidR="0047150B" w:rsidRPr="0073586F">
        <w:rPr>
          <w:rStyle w:val="BlueItalText"/>
          <w:rFonts w:cs="Arial"/>
          <w:i w:val="0"/>
          <w:vertAlign w:val="superscript"/>
        </w:rPr>
        <w:t>er</w:t>
      </w:r>
      <w:r w:rsidR="0047150B">
        <w:rPr>
          <w:rStyle w:val="BlueItalText"/>
          <w:rFonts w:cs="Arial"/>
          <w:i w:val="0"/>
        </w:rPr>
        <w:t> avril 2021</w:t>
      </w:r>
      <w:r w:rsidR="00F91A67" w:rsidRPr="0073586F">
        <w:rPr>
          <w:rStyle w:val="BlueItalText"/>
          <w:rFonts w:cs="Arial"/>
          <w:i w:val="0"/>
        </w:rPr>
        <w:t>);</w:t>
      </w:r>
    </w:p>
    <w:p w14:paraId="79D907B5" w14:textId="65D37375" w:rsidR="008E7230" w:rsidRPr="00C55C35" w:rsidRDefault="009B7269" w:rsidP="000E4CFF">
      <w:pPr>
        <w:pStyle w:val="09ParaBullet1"/>
        <w:rPr>
          <w:rStyle w:val="BlueItalText"/>
          <w:rFonts w:cs="Arial"/>
          <w:i w:val="0"/>
        </w:rPr>
      </w:pPr>
      <w:bookmarkStart w:id="19" w:name="Paragraph_1650"/>
      <w:r w:rsidRPr="00C55C35">
        <w:rPr>
          <w:rStyle w:val="BlueItalText"/>
          <w:rFonts w:cs="Arial"/>
          <w:i w:val="0"/>
        </w:rPr>
        <w:t>deux contrats ou plus qui devraient être regrou</w:t>
      </w:r>
      <w:r w:rsidR="00C55C35">
        <w:rPr>
          <w:rStyle w:val="BlueItalText"/>
          <w:rFonts w:cs="Arial"/>
          <w:i w:val="0"/>
        </w:rPr>
        <w:t>pés, conformément au paragraphe </w:t>
      </w:r>
      <w:r w:rsidRPr="00C55C35">
        <w:rPr>
          <w:rStyle w:val="BlueItalText"/>
          <w:rFonts w:cs="Arial"/>
          <w:i w:val="0"/>
        </w:rPr>
        <w:t>B2, « Regrou</w:t>
      </w:r>
      <w:r w:rsidR="00C55C35">
        <w:rPr>
          <w:rStyle w:val="BlueItalText"/>
          <w:rFonts w:cs="Arial"/>
          <w:i w:val="0"/>
        </w:rPr>
        <w:t>pement de contrats », de l’IFRS </w:t>
      </w:r>
      <w:r w:rsidR="008E7230" w:rsidRPr="00C55C35">
        <w:rPr>
          <w:rStyle w:val="BlueItalText"/>
          <w:rFonts w:cs="Arial"/>
          <w:i w:val="0"/>
        </w:rPr>
        <w:t>16;</w:t>
      </w:r>
      <w:bookmarkEnd w:id="19"/>
    </w:p>
    <w:p w14:paraId="1609B646" w14:textId="0FFB3C59" w:rsidR="008E7230" w:rsidRPr="00C55C35" w:rsidRDefault="009B7269" w:rsidP="000E4CFF">
      <w:pPr>
        <w:pStyle w:val="09ParaBullet1"/>
        <w:rPr>
          <w:rStyle w:val="BlueItalText"/>
          <w:rFonts w:cs="Arial"/>
          <w:i w:val="0"/>
        </w:rPr>
      </w:pPr>
      <w:bookmarkStart w:id="20" w:name="Paragraph_1669"/>
      <w:r w:rsidRPr="00C55C35">
        <w:rPr>
          <w:rStyle w:val="BlueItalText"/>
          <w:rFonts w:cs="Arial"/>
          <w:i w:val="0"/>
        </w:rPr>
        <w:t>toute dépréciation d’un actif au titre du droit d’utilisatio</w:t>
      </w:r>
      <w:r w:rsidR="005D7E9F" w:rsidRPr="00C55C35">
        <w:rPr>
          <w:rStyle w:val="BlueItalText"/>
          <w:rFonts w:cs="Arial"/>
          <w:i w:val="0"/>
        </w:rPr>
        <w:t>n, conformément aux paragraphes </w:t>
      </w:r>
      <w:r w:rsidRPr="00C55C35">
        <w:rPr>
          <w:rStyle w:val="BlueItalText"/>
          <w:rFonts w:cs="Arial"/>
          <w:i w:val="0"/>
        </w:rPr>
        <w:t xml:space="preserve">30 </w:t>
      </w:r>
      <w:r w:rsidR="005511CB" w:rsidRPr="00C55C35">
        <w:rPr>
          <w:rStyle w:val="BlueItalText"/>
          <w:rFonts w:cs="Arial"/>
          <w:i w:val="0"/>
        </w:rPr>
        <w:t>et</w:t>
      </w:r>
      <w:r w:rsidR="00C55C35">
        <w:rPr>
          <w:rStyle w:val="BlueItalText"/>
          <w:rFonts w:cs="Arial"/>
          <w:i w:val="0"/>
        </w:rPr>
        <w:t> </w:t>
      </w:r>
      <w:r w:rsidRPr="00C55C35">
        <w:rPr>
          <w:rStyle w:val="BlueItalText"/>
          <w:rFonts w:cs="Arial"/>
          <w:i w:val="0"/>
        </w:rPr>
        <w:t>33 de l’IFRS</w:t>
      </w:r>
      <w:r w:rsidR="00C55C35">
        <w:rPr>
          <w:rStyle w:val="BlueItalText"/>
          <w:rFonts w:cs="Arial"/>
          <w:i w:val="0"/>
        </w:rPr>
        <w:t> </w:t>
      </w:r>
      <w:r w:rsidR="008E7230" w:rsidRPr="00C55C35">
        <w:rPr>
          <w:rStyle w:val="BlueItalText"/>
          <w:rFonts w:cs="Arial"/>
          <w:i w:val="0"/>
        </w:rPr>
        <w:t xml:space="preserve">16, </w:t>
      </w:r>
      <w:r w:rsidRPr="00C55C35">
        <w:rPr>
          <w:rStyle w:val="BlueItalText"/>
          <w:rFonts w:cs="Arial"/>
          <w:i w:val="0"/>
        </w:rPr>
        <w:t>lorsque nous agissons à titre de preneur;</w:t>
      </w:r>
      <w:bookmarkEnd w:id="20"/>
    </w:p>
    <w:p w14:paraId="0DA2574D" w14:textId="0AA9D1AE" w:rsidR="008E7230" w:rsidRPr="00C55C35" w:rsidRDefault="009B7269" w:rsidP="000E4CFF">
      <w:pPr>
        <w:pStyle w:val="09ParaBullet1"/>
        <w:rPr>
          <w:rStyle w:val="BlueItalText"/>
          <w:rFonts w:cs="Arial"/>
          <w:i w:val="0"/>
        </w:rPr>
      </w:pPr>
      <w:bookmarkStart w:id="21" w:name="Paragraph_1646"/>
      <w:r w:rsidRPr="00C55C35">
        <w:rPr>
          <w:rStyle w:val="BlueItalText"/>
          <w:rFonts w:cs="Arial"/>
          <w:i w:val="0"/>
        </w:rPr>
        <w:t>toute dépréciation d’un</w:t>
      </w:r>
      <w:r w:rsidR="008E7230" w:rsidRPr="00C55C35">
        <w:rPr>
          <w:rStyle w:val="BlueItalText"/>
          <w:rFonts w:cs="Arial"/>
          <w:i w:val="0"/>
        </w:rPr>
        <w:t xml:space="preserve"> </w:t>
      </w:r>
      <w:r w:rsidRPr="00C55C35">
        <w:rPr>
          <w:rStyle w:val="BlueItalText"/>
          <w:rFonts w:cs="Arial"/>
          <w:i w:val="0"/>
        </w:rPr>
        <w:t xml:space="preserve">investissement net dans un contrat, </w:t>
      </w:r>
      <w:r w:rsidR="00C55C35">
        <w:rPr>
          <w:rStyle w:val="BlueItalText"/>
          <w:rFonts w:cs="Arial"/>
          <w:i w:val="0"/>
        </w:rPr>
        <w:t>conformément au paragraphe </w:t>
      </w:r>
      <w:r w:rsidRPr="00C55C35">
        <w:rPr>
          <w:rStyle w:val="BlueItalText"/>
          <w:rFonts w:cs="Arial"/>
          <w:i w:val="0"/>
        </w:rPr>
        <w:t>77 de l’</w:t>
      </w:r>
      <w:r w:rsidR="00C55C35">
        <w:rPr>
          <w:rStyle w:val="BlueItalText"/>
          <w:rFonts w:cs="Arial"/>
          <w:i w:val="0"/>
        </w:rPr>
        <w:t>IFRS </w:t>
      </w:r>
      <w:r w:rsidR="008E7230" w:rsidRPr="00C55C35">
        <w:rPr>
          <w:rStyle w:val="BlueItalText"/>
          <w:rFonts w:cs="Arial"/>
          <w:i w:val="0"/>
        </w:rPr>
        <w:t xml:space="preserve">16, </w:t>
      </w:r>
      <w:r w:rsidRPr="00C55C35">
        <w:rPr>
          <w:rStyle w:val="BlueItalText"/>
          <w:rFonts w:cs="Arial"/>
          <w:i w:val="0"/>
        </w:rPr>
        <w:t>lorsque nous agisson</w:t>
      </w:r>
      <w:r w:rsidR="00B33AA4" w:rsidRPr="00C55C35">
        <w:rPr>
          <w:rStyle w:val="BlueItalText"/>
          <w:rFonts w:cs="Arial"/>
          <w:i w:val="0"/>
        </w:rPr>
        <w:t xml:space="preserve">s </w:t>
      </w:r>
      <w:r w:rsidRPr="00C55C35">
        <w:rPr>
          <w:rStyle w:val="BlueItalText"/>
          <w:rFonts w:cs="Arial"/>
          <w:i w:val="0"/>
        </w:rPr>
        <w:t>à titre de bailleur</w:t>
      </w:r>
      <w:r w:rsidR="008E7230" w:rsidRPr="00C55C35">
        <w:rPr>
          <w:rStyle w:val="BlueItalText"/>
          <w:rFonts w:cs="Arial"/>
          <w:i w:val="0"/>
        </w:rPr>
        <w:t>;</w:t>
      </w:r>
      <w:bookmarkEnd w:id="21"/>
    </w:p>
    <w:p w14:paraId="27FBDD78" w14:textId="3B7A66C9" w:rsidR="008E7230" w:rsidRPr="00C55C35" w:rsidRDefault="009B7269" w:rsidP="000E4CFF">
      <w:pPr>
        <w:pStyle w:val="09ParaBullet1"/>
        <w:rPr>
          <w:rStyle w:val="BlueItalText"/>
          <w:rFonts w:cs="Arial"/>
          <w:i w:val="0"/>
        </w:rPr>
      </w:pPr>
      <w:bookmarkStart w:id="22" w:name="Paragraph_1611"/>
      <w:r w:rsidRPr="00C55C35">
        <w:rPr>
          <w:rStyle w:val="BlueItalText"/>
          <w:rFonts w:cs="Arial"/>
          <w:i w:val="0"/>
        </w:rPr>
        <w:t xml:space="preserve">le preneur </w:t>
      </w:r>
      <w:r w:rsidR="00E63379" w:rsidRPr="00C55C35">
        <w:rPr>
          <w:rStyle w:val="BlueItalText"/>
          <w:rFonts w:cs="Arial"/>
          <w:i w:val="0"/>
        </w:rPr>
        <w:t xml:space="preserve">initial dans tout </w:t>
      </w:r>
      <w:r w:rsidRPr="00C55C35">
        <w:rPr>
          <w:rStyle w:val="BlueItalText"/>
          <w:rFonts w:cs="Arial"/>
          <w:i w:val="0"/>
        </w:rPr>
        <w:t xml:space="preserve">contrat de sous-location </w:t>
      </w:r>
      <w:r w:rsidR="00E63379" w:rsidRPr="00C55C35">
        <w:rPr>
          <w:rStyle w:val="BlueItalText"/>
          <w:rFonts w:cs="Arial"/>
          <w:i w:val="0"/>
        </w:rPr>
        <w:t>a comptabilisé l’actif au titre du droit d’utilisation lié au contrat de sous-location, conformément aux paragraph</w:t>
      </w:r>
      <w:r w:rsidR="00C55C35">
        <w:rPr>
          <w:rStyle w:val="BlueItalText"/>
          <w:rFonts w:cs="Arial"/>
          <w:i w:val="0"/>
        </w:rPr>
        <w:t>es </w:t>
      </w:r>
      <w:r w:rsidR="00E63379" w:rsidRPr="00C55C35">
        <w:rPr>
          <w:rStyle w:val="BlueItalText"/>
          <w:rFonts w:cs="Arial"/>
          <w:i w:val="0"/>
        </w:rPr>
        <w:t>3, 68 et</w:t>
      </w:r>
      <w:r w:rsidR="007719D8">
        <w:rPr>
          <w:rStyle w:val="BlueItalText"/>
          <w:rFonts w:cs="Arial"/>
          <w:i w:val="0"/>
        </w:rPr>
        <w:t> </w:t>
      </w:r>
      <w:r w:rsidR="00E63379" w:rsidRPr="00C55C35">
        <w:rPr>
          <w:rStyle w:val="BlueItalText"/>
          <w:rFonts w:cs="Arial"/>
          <w:i w:val="0"/>
        </w:rPr>
        <w:t>B58 de l’</w:t>
      </w:r>
      <w:r w:rsidR="008E7230" w:rsidRPr="00C55C35">
        <w:rPr>
          <w:rStyle w:val="BlueItalText"/>
          <w:rFonts w:cs="Arial"/>
          <w:i w:val="0"/>
        </w:rPr>
        <w:t>IFRS</w:t>
      </w:r>
      <w:r w:rsidR="00C55C35">
        <w:rPr>
          <w:rStyle w:val="BlueItalText"/>
          <w:rFonts w:cs="Arial"/>
          <w:i w:val="0"/>
        </w:rPr>
        <w:t> </w:t>
      </w:r>
      <w:r w:rsidR="008E7230" w:rsidRPr="00C55C35">
        <w:rPr>
          <w:rStyle w:val="BlueItalText"/>
          <w:rFonts w:cs="Arial"/>
          <w:i w:val="0"/>
        </w:rPr>
        <w:t>16.</w:t>
      </w:r>
      <w:bookmarkEnd w:id="22"/>
    </w:p>
    <w:p w14:paraId="046C1CCA" w14:textId="4B9BA900" w:rsidR="008E7230" w:rsidRPr="00D17C6D" w:rsidRDefault="00E63379" w:rsidP="008E7230">
      <w:pPr>
        <w:pStyle w:val="LetterBodyPwC"/>
        <w:rPr>
          <w:rFonts w:ascii="Arial" w:hAnsi="Arial" w:cs="Times New Roman"/>
          <w:color w:val="auto"/>
          <w:sz w:val="22"/>
          <w:szCs w:val="22"/>
          <w:lang w:val="fr-CA"/>
        </w:rPr>
      </w:pPr>
      <w:bookmarkStart w:id="23" w:name="Paragraph_1537"/>
      <w:r w:rsidRPr="00D17C6D">
        <w:rPr>
          <w:rFonts w:ascii="Arial" w:hAnsi="Arial" w:cs="Times New Roman"/>
          <w:color w:val="auto"/>
          <w:sz w:val="22"/>
          <w:szCs w:val="22"/>
          <w:lang w:val="fr-CA"/>
        </w:rPr>
        <w:t xml:space="preserve">Nous avons évalué, comptabilisé et décrit dans les états financiers </w:t>
      </w:r>
      <w:r w:rsidRPr="00D17C6D">
        <w:rPr>
          <w:rFonts w:ascii="Arial" w:hAnsi="Arial"/>
          <w:snapToGrid w:val="0"/>
          <w:sz w:val="22"/>
          <w:szCs w:val="22"/>
          <w:lang w:val="fr-CA"/>
        </w:rPr>
        <w:t>[</w:t>
      </w:r>
      <w:r w:rsidRPr="00D17C6D">
        <w:rPr>
          <w:rStyle w:val="BlueText"/>
          <w:rFonts w:ascii="Arial" w:hAnsi="Arial"/>
          <w:sz w:val="22"/>
          <w:szCs w:val="22"/>
          <w:lang w:val="fr-CA"/>
        </w:rPr>
        <w:t>consolidés</w:t>
      </w:r>
      <w:r w:rsidRPr="00D17C6D">
        <w:rPr>
          <w:rFonts w:ascii="Arial" w:hAnsi="Arial"/>
          <w:snapToGrid w:val="0"/>
          <w:sz w:val="22"/>
          <w:szCs w:val="22"/>
          <w:lang w:val="fr-CA"/>
        </w:rPr>
        <w:t xml:space="preserve">] toutes les transactions de </w:t>
      </w:r>
      <w:proofErr w:type="spellStart"/>
      <w:r w:rsidRPr="00D17C6D">
        <w:rPr>
          <w:rFonts w:ascii="Arial" w:hAnsi="Arial"/>
          <w:snapToGrid w:val="0"/>
          <w:sz w:val="22"/>
          <w:szCs w:val="22"/>
          <w:lang w:val="fr-CA"/>
        </w:rPr>
        <w:t>cession-bail</w:t>
      </w:r>
      <w:proofErr w:type="spellEnd"/>
      <w:r w:rsidRPr="00D17C6D">
        <w:rPr>
          <w:rFonts w:ascii="Arial" w:hAnsi="Arial"/>
          <w:snapToGrid w:val="0"/>
          <w:sz w:val="22"/>
          <w:szCs w:val="22"/>
          <w:lang w:val="fr-CA"/>
        </w:rPr>
        <w:t>, notamment la question de savoir si la cession du bien constitue une vent</w:t>
      </w:r>
      <w:r w:rsidR="00C55C35">
        <w:rPr>
          <w:rFonts w:ascii="Arial" w:hAnsi="Arial"/>
          <w:snapToGrid w:val="0"/>
          <w:sz w:val="22"/>
          <w:szCs w:val="22"/>
          <w:lang w:val="fr-CA"/>
        </w:rPr>
        <w:t>e, conformément aux paragraphes </w:t>
      </w:r>
      <w:r w:rsidRPr="00D17C6D">
        <w:rPr>
          <w:rFonts w:ascii="Arial" w:hAnsi="Arial"/>
          <w:snapToGrid w:val="0"/>
          <w:sz w:val="22"/>
          <w:szCs w:val="22"/>
          <w:lang w:val="fr-CA"/>
        </w:rPr>
        <w:t xml:space="preserve">98 à 103, </w:t>
      </w:r>
      <w:r w:rsidRPr="00B33AA4">
        <w:rPr>
          <w:rFonts w:ascii="Arial" w:hAnsi="Arial"/>
          <w:snapToGrid w:val="0"/>
          <w:sz w:val="22"/>
          <w:szCs w:val="22"/>
          <w:lang w:val="fr-CA"/>
        </w:rPr>
        <w:t>« </w:t>
      </w:r>
      <w:r w:rsidRPr="00D17C6D">
        <w:rPr>
          <w:rFonts w:ascii="Arial" w:hAnsi="Arial"/>
          <w:snapToGrid w:val="0"/>
          <w:sz w:val="22"/>
          <w:szCs w:val="22"/>
          <w:lang w:val="fr-CA"/>
        </w:rPr>
        <w:t xml:space="preserve">Transactions de </w:t>
      </w:r>
      <w:proofErr w:type="spellStart"/>
      <w:r w:rsidRPr="00D17C6D">
        <w:rPr>
          <w:rFonts w:ascii="Arial" w:hAnsi="Arial"/>
          <w:snapToGrid w:val="0"/>
          <w:sz w:val="22"/>
          <w:szCs w:val="22"/>
          <w:lang w:val="fr-CA"/>
        </w:rPr>
        <w:t>cession-bail</w:t>
      </w:r>
      <w:proofErr w:type="spellEnd"/>
      <w:r w:rsidR="00C55C35">
        <w:rPr>
          <w:rFonts w:ascii="Arial" w:hAnsi="Arial"/>
          <w:snapToGrid w:val="0"/>
          <w:sz w:val="22"/>
          <w:szCs w:val="22"/>
          <w:lang w:val="fr-CA"/>
        </w:rPr>
        <w:t> », de l’IFRS </w:t>
      </w:r>
      <w:r w:rsidR="008E7230" w:rsidRPr="00D17C6D">
        <w:rPr>
          <w:rFonts w:ascii="Arial" w:hAnsi="Arial" w:cs="Times New Roman"/>
          <w:color w:val="auto"/>
          <w:sz w:val="22"/>
          <w:szCs w:val="22"/>
          <w:lang w:val="fr-CA"/>
        </w:rPr>
        <w:t>16.</w:t>
      </w:r>
      <w:bookmarkEnd w:id="23"/>
    </w:p>
    <w:p w14:paraId="42991CD7" w14:textId="06B2A58E" w:rsidR="008E7230" w:rsidRPr="00D17C6D" w:rsidRDefault="00E63379" w:rsidP="007719D8">
      <w:pPr>
        <w:pStyle w:val="LetterBodyPwC"/>
        <w:keepNext/>
        <w:rPr>
          <w:rFonts w:ascii="Arial" w:hAnsi="Arial" w:cs="Times New Roman"/>
          <w:color w:val="auto"/>
          <w:sz w:val="22"/>
          <w:szCs w:val="22"/>
          <w:lang w:val="fr-CA"/>
        </w:rPr>
      </w:pPr>
      <w:bookmarkStart w:id="24" w:name="Paragraph_1527"/>
      <w:r w:rsidRPr="00B33AA4">
        <w:rPr>
          <w:rFonts w:ascii="Arial" w:hAnsi="Arial" w:cs="Times New Roman"/>
          <w:color w:val="auto"/>
          <w:sz w:val="22"/>
          <w:szCs w:val="22"/>
          <w:lang w:val="fr-CA"/>
        </w:rPr>
        <w:t xml:space="preserve">Nous avons évalué, comptabilisé et décrit dans les états financiers </w:t>
      </w:r>
      <w:r w:rsidRPr="00B33AA4">
        <w:rPr>
          <w:rFonts w:ascii="Arial" w:hAnsi="Arial"/>
          <w:snapToGrid w:val="0"/>
          <w:sz w:val="22"/>
          <w:szCs w:val="22"/>
          <w:lang w:val="fr-CA"/>
        </w:rPr>
        <w:t>[</w:t>
      </w:r>
      <w:r w:rsidRPr="00B33AA4">
        <w:rPr>
          <w:rStyle w:val="BlueText"/>
          <w:rFonts w:ascii="Arial" w:hAnsi="Arial"/>
          <w:sz w:val="22"/>
          <w:szCs w:val="22"/>
          <w:lang w:val="fr-CA"/>
        </w:rPr>
        <w:t>consolidés</w:t>
      </w:r>
      <w:r w:rsidRPr="00B33AA4">
        <w:rPr>
          <w:rFonts w:ascii="Arial" w:hAnsi="Arial"/>
          <w:snapToGrid w:val="0"/>
          <w:sz w:val="22"/>
          <w:szCs w:val="22"/>
          <w:lang w:val="fr-CA"/>
        </w:rPr>
        <w:t>] l’application de</w:t>
      </w:r>
      <w:r w:rsidR="002D63D4">
        <w:rPr>
          <w:rFonts w:ascii="Arial" w:hAnsi="Arial"/>
          <w:snapToGrid w:val="0"/>
          <w:sz w:val="22"/>
          <w:szCs w:val="22"/>
          <w:lang w:val="fr-CA"/>
        </w:rPr>
        <w:t> </w:t>
      </w:r>
      <w:r w:rsidR="008E7230" w:rsidRPr="00D17C6D">
        <w:rPr>
          <w:rFonts w:ascii="Arial" w:hAnsi="Arial" w:cs="Times New Roman"/>
          <w:color w:val="auto"/>
          <w:sz w:val="22"/>
          <w:szCs w:val="22"/>
          <w:lang w:val="fr-CA"/>
        </w:rPr>
        <w:t>[</w:t>
      </w:r>
      <w:r w:rsidRPr="002D63D4">
        <w:rPr>
          <w:rFonts w:ascii="Arial" w:hAnsi="Arial" w:cs="Times New Roman"/>
          <w:i/>
          <w:color w:val="0000FF"/>
          <w:sz w:val="22"/>
          <w:szCs w:val="22"/>
          <w:lang w:val="fr-CA"/>
        </w:rPr>
        <w:t>ajouter ce qui suit en fonction des circonstances et faits propres au client</w:t>
      </w:r>
      <w:bookmarkEnd w:id="24"/>
      <w:r w:rsidR="00D17C6D">
        <w:rPr>
          <w:rFonts w:ascii="Arial" w:hAnsi="Arial" w:cs="Times New Roman"/>
          <w:color w:val="auto"/>
          <w:sz w:val="22"/>
          <w:szCs w:val="22"/>
          <w:lang w:val="fr-CA"/>
        </w:rPr>
        <w:t> </w:t>
      </w:r>
      <w:r w:rsidR="008E7230" w:rsidRPr="00D17C6D">
        <w:rPr>
          <w:rFonts w:ascii="Arial" w:hAnsi="Arial" w:cs="Times New Roman"/>
          <w:color w:val="auto"/>
          <w:sz w:val="22"/>
          <w:szCs w:val="22"/>
          <w:lang w:val="fr-CA"/>
        </w:rPr>
        <w:t>:</w:t>
      </w:r>
    </w:p>
    <w:p w14:paraId="06F44B6F" w14:textId="7301A752" w:rsidR="008E7230" w:rsidRPr="00C55C35" w:rsidRDefault="00E63379" w:rsidP="000E4CFF">
      <w:pPr>
        <w:pStyle w:val="09ParaBullet1"/>
      </w:pPr>
      <w:bookmarkStart w:id="25" w:name="Paragraph_1410"/>
      <w:r w:rsidRPr="002D63D4">
        <w:rPr>
          <w:color w:val="0000FF"/>
        </w:rPr>
        <w:t>l’</w:t>
      </w:r>
      <w:r w:rsidR="00C55C35" w:rsidRPr="002D63D4">
        <w:rPr>
          <w:color w:val="0000FF"/>
        </w:rPr>
        <w:t>IFRS </w:t>
      </w:r>
      <w:r w:rsidR="008E7230" w:rsidRPr="002D63D4">
        <w:rPr>
          <w:color w:val="0000FF"/>
        </w:rPr>
        <w:t xml:space="preserve">16 </w:t>
      </w:r>
      <w:r w:rsidRPr="002D63D4">
        <w:rPr>
          <w:color w:val="0000FF"/>
        </w:rPr>
        <w:t xml:space="preserve">à un portefeuille de contrats, aux termes du </w:t>
      </w:r>
      <w:r w:rsidR="008E7230" w:rsidRPr="002D63D4">
        <w:rPr>
          <w:color w:val="0000FF"/>
        </w:rPr>
        <w:t>paragraph</w:t>
      </w:r>
      <w:r w:rsidR="00C55C35" w:rsidRPr="002D63D4">
        <w:rPr>
          <w:color w:val="0000FF"/>
        </w:rPr>
        <w:t>e </w:t>
      </w:r>
      <w:r w:rsidRPr="002D63D4">
        <w:rPr>
          <w:color w:val="0000FF"/>
        </w:rPr>
        <w:t>B1;</w:t>
      </w:r>
      <w:bookmarkEnd w:id="25"/>
    </w:p>
    <w:p w14:paraId="64FEA74E" w14:textId="4EDB6DAB" w:rsidR="008E7230" w:rsidRPr="00C55C35" w:rsidRDefault="00E63379" w:rsidP="000E4CFF">
      <w:pPr>
        <w:pStyle w:val="09ParaBullet1"/>
      </w:pPr>
      <w:bookmarkStart w:id="26" w:name="Paragraph_1735"/>
      <w:r w:rsidRPr="002D63D4">
        <w:rPr>
          <w:color w:val="0000FF"/>
        </w:rPr>
        <w:t>l’</w:t>
      </w:r>
      <w:r w:rsidR="00C55C35" w:rsidRPr="002D63D4">
        <w:rPr>
          <w:color w:val="0000FF"/>
        </w:rPr>
        <w:t>IFRS </w:t>
      </w:r>
      <w:r w:rsidR="008E7230" w:rsidRPr="002D63D4">
        <w:rPr>
          <w:color w:val="0000FF"/>
        </w:rPr>
        <w:t xml:space="preserve">16 </w:t>
      </w:r>
      <w:r w:rsidRPr="002D63D4">
        <w:rPr>
          <w:color w:val="0000FF"/>
        </w:rPr>
        <w:t>à des contrats dont le bien sous-jacent est de faible valeur, aux termes des</w:t>
      </w:r>
      <w:r w:rsidR="00805298">
        <w:rPr>
          <w:color w:val="0000FF"/>
        </w:rPr>
        <w:t> </w:t>
      </w:r>
      <w:r w:rsidR="008E7230" w:rsidRPr="002D63D4">
        <w:rPr>
          <w:color w:val="0000FF"/>
        </w:rPr>
        <w:t>paragraph</w:t>
      </w:r>
      <w:r w:rsidRPr="002D63D4">
        <w:rPr>
          <w:color w:val="0000FF"/>
        </w:rPr>
        <w:t>e</w:t>
      </w:r>
      <w:r w:rsidR="00C55C35" w:rsidRPr="002D63D4">
        <w:rPr>
          <w:color w:val="0000FF"/>
        </w:rPr>
        <w:t>s </w:t>
      </w:r>
      <w:r w:rsidR="008E7230" w:rsidRPr="002D63D4">
        <w:rPr>
          <w:color w:val="0000FF"/>
        </w:rPr>
        <w:t>5</w:t>
      </w:r>
      <w:r w:rsidR="00C55C35" w:rsidRPr="002D63D4">
        <w:rPr>
          <w:color w:val="0000FF"/>
        </w:rPr>
        <w:t xml:space="preserve"> à </w:t>
      </w:r>
      <w:r w:rsidR="008E7230" w:rsidRPr="002D63D4">
        <w:rPr>
          <w:color w:val="0000FF"/>
        </w:rPr>
        <w:t xml:space="preserve">8 </w:t>
      </w:r>
      <w:r w:rsidRPr="002D63D4">
        <w:rPr>
          <w:color w:val="0000FF"/>
        </w:rPr>
        <w:t>et</w:t>
      </w:r>
      <w:r w:rsidR="008E7230" w:rsidRPr="002D63D4">
        <w:rPr>
          <w:color w:val="0000FF"/>
        </w:rPr>
        <w:t xml:space="preserve"> B3</w:t>
      </w:r>
      <w:r w:rsidR="00C55C35" w:rsidRPr="002D63D4">
        <w:rPr>
          <w:color w:val="0000FF"/>
        </w:rPr>
        <w:t xml:space="preserve"> à </w:t>
      </w:r>
      <w:r w:rsidR="008E7230" w:rsidRPr="002D63D4">
        <w:rPr>
          <w:color w:val="0000FF"/>
        </w:rPr>
        <w:t>B8</w:t>
      </w:r>
      <w:r w:rsidRPr="002D63D4">
        <w:rPr>
          <w:color w:val="0000FF"/>
        </w:rPr>
        <w:t>;</w:t>
      </w:r>
      <w:bookmarkStart w:id="27" w:name="Paragraph_1633"/>
      <w:bookmarkEnd w:id="26"/>
    </w:p>
    <w:p w14:paraId="18654E34" w14:textId="10BBD72A" w:rsidR="008E7230" w:rsidRPr="00C55C35" w:rsidRDefault="00C55C35" w:rsidP="000E4CFF">
      <w:pPr>
        <w:pStyle w:val="09ParaBullet1"/>
      </w:pPr>
      <w:r w:rsidRPr="002D63D4">
        <w:rPr>
          <w:color w:val="0000FF"/>
        </w:rPr>
        <w:lastRenderedPageBreak/>
        <w:t>l’IFRS </w:t>
      </w:r>
      <w:r w:rsidR="00E63379" w:rsidRPr="002D63D4">
        <w:rPr>
          <w:color w:val="0000FF"/>
        </w:rPr>
        <w:t xml:space="preserve">16 à des contrats à court terme, aux termes des </w:t>
      </w:r>
      <w:r w:rsidR="008E7230" w:rsidRPr="002D63D4">
        <w:rPr>
          <w:color w:val="0000FF"/>
        </w:rPr>
        <w:t>paragraph</w:t>
      </w:r>
      <w:r w:rsidR="00E63379" w:rsidRPr="002D63D4">
        <w:rPr>
          <w:color w:val="0000FF"/>
        </w:rPr>
        <w:t>e</w:t>
      </w:r>
      <w:r w:rsidRPr="002D63D4">
        <w:rPr>
          <w:color w:val="0000FF"/>
        </w:rPr>
        <w:t>s </w:t>
      </w:r>
      <w:r w:rsidR="008E7230" w:rsidRPr="002D63D4">
        <w:rPr>
          <w:color w:val="0000FF"/>
        </w:rPr>
        <w:t>5</w:t>
      </w:r>
      <w:r w:rsidR="00E63379" w:rsidRPr="002D63D4">
        <w:rPr>
          <w:color w:val="0000FF"/>
        </w:rPr>
        <w:t xml:space="preserve"> à 8</w:t>
      </w:r>
      <w:r w:rsidR="008E7230" w:rsidRPr="002D63D4">
        <w:rPr>
          <w:color w:val="0000FF"/>
        </w:rPr>
        <w:t>.</w:t>
      </w:r>
      <w:bookmarkEnd w:id="27"/>
      <w:r w:rsidR="00F96EBA" w:rsidRPr="002D63D4">
        <w:rPr>
          <w:color w:val="0000FF"/>
        </w:rPr>
        <w:t>]</w:t>
      </w:r>
    </w:p>
    <w:p w14:paraId="41477AE0" w14:textId="0143853C" w:rsidR="001E4826" w:rsidRPr="0073735D" w:rsidRDefault="001E4826" w:rsidP="001E4826">
      <w:pPr>
        <w:pStyle w:val="Heading3"/>
      </w:pPr>
      <w:bookmarkStart w:id="28" w:name="lt_pId504"/>
      <w:bookmarkStart w:id="29" w:name="Paragraph_1050"/>
      <w:r w:rsidRPr="001E4826">
        <w:t>R</w:t>
      </w:r>
      <w:r w:rsidRPr="0073735D">
        <w:t>éforme des taux d’intérêt de référence</w:t>
      </w:r>
      <w:r w:rsidR="000B1FCE">
        <w:t xml:space="preserve"> (réforme des</w:t>
      </w:r>
      <w:r w:rsidR="00A869DB">
        <w:t xml:space="preserve"> taux interbancaires offerts [</w:t>
      </w:r>
      <w:r w:rsidR="000B1FCE">
        <w:t>TIO</w:t>
      </w:r>
      <w:r w:rsidR="00A869DB">
        <w:t>]</w:t>
      </w:r>
      <w:r w:rsidR="000B1FCE">
        <w:t>)</w:t>
      </w:r>
    </w:p>
    <w:p w14:paraId="6E41BB57" w14:textId="2246752E" w:rsidR="001E4826" w:rsidRPr="0073586F" w:rsidRDefault="007719D8" w:rsidP="001E4826">
      <w:pPr>
        <w:pStyle w:val="09Para"/>
        <w:tabs>
          <w:tab w:val="left" w:pos="360"/>
        </w:tabs>
      </w:pPr>
      <w:r w:rsidRPr="0073586F">
        <w:t xml:space="preserve">Nous avons </w:t>
      </w:r>
      <w:r>
        <w:t>tenu compte de</w:t>
      </w:r>
      <w:r w:rsidRPr="0073586F">
        <w:t xml:space="preserve"> la réforme des taux d’intérêt de r</w:t>
      </w:r>
      <w:r>
        <w:t>éfé</w:t>
      </w:r>
      <w:r w:rsidRPr="0073586F">
        <w:t xml:space="preserve">rence </w:t>
      </w:r>
      <w:r>
        <w:t xml:space="preserve">(réforme des TIO) </w:t>
      </w:r>
      <w:r w:rsidRPr="0073586F">
        <w:t xml:space="preserve">conformément aux exigences des modifications de la phase 2, </w:t>
      </w:r>
      <w:r>
        <w:t>à l’égard de</w:t>
      </w:r>
      <w:r w:rsidRPr="0073586F">
        <w:t xml:space="preserve"> [</w:t>
      </w:r>
      <w:r w:rsidRPr="0073586F">
        <w:rPr>
          <w:i/>
          <w:color w:val="0000FF"/>
        </w:rPr>
        <w:t xml:space="preserve">sélectionner ou retenir seulement les normes d’information financière qui </w:t>
      </w:r>
      <w:r>
        <w:rPr>
          <w:i/>
          <w:color w:val="0000FF"/>
        </w:rPr>
        <w:t>s</w:t>
      </w:r>
      <w:r w:rsidRPr="0073586F">
        <w:rPr>
          <w:i/>
          <w:color w:val="0000FF"/>
        </w:rPr>
        <w:t xml:space="preserve">ont </w:t>
      </w:r>
      <w:r>
        <w:rPr>
          <w:i/>
          <w:color w:val="0000FF"/>
        </w:rPr>
        <w:t>pertinentes pour</w:t>
      </w:r>
      <w:r w:rsidRPr="0073586F">
        <w:rPr>
          <w:i/>
          <w:color w:val="0000FF"/>
        </w:rPr>
        <w:t xml:space="preserve"> la mission d’audit :</w:t>
      </w:r>
      <w:r>
        <w:t xml:space="preserve">] </w:t>
      </w:r>
      <w:r w:rsidRPr="0073586F">
        <w:rPr>
          <w:color w:val="0000FF"/>
        </w:rPr>
        <w:t>l’IFRS</w:t>
      </w:r>
      <w:r>
        <w:rPr>
          <w:color w:val="0000FF"/>
        </w:rPr>
        <w:t> </w:t>
      </w:r>
      <w:r w:rsidRPr="0073586F">
        <w:rPr>
          <w:color w:val="0000FF"/>
        </w:rPr>
        <w:t>9,</w:t>
      </w:r>
      <w:r w:rsidRPr="0073586F">
        <w:rPr>
          <w:i/>
          <w:color w:val="0000FF"/>
        </w:rPr>
        <w:t xml:space="preserve"> Instruments financiers</w:t>
      </w:r>
      <w:r w:rsidRPr="0073586F">
        <w:rPr>
          <w:color w:val="0000FF"/>
        </w:rPr>
        <w:t xml:space="preserve">, </w:t>
      </w:r>
      <w:r>
        <w:rPr>
          <w:color w:val="0000FF"/>
        </w:rPr>
        <w:t>l’</w:t>
      </w:r>
      <w:r w:rsidRPr="0073586F">
        <w:rPr>
          <w:color w:val="0000FF"/>
        </w:rPr>
        <w:t>IFRS</w:t>
      </w:r>
      <w:r>
        <w:rPr>
          <w:color w:val="0000FF"/>
        </w:rPr>
        <w:t> </w:t>
      </w:r>
      <w:r w:rsidRPr="0073586F">
        <w:rPr>
          <w:color w:val="0000FF"/>
        </w:rPr>
        <w:t>7,</w:t>
      </w:r>
      <w:r w:rsidRPr="0073586F">
        <w:rPr>
          <w:i/>
          <w:color w:val="0000FF"/>
        </w:rPr>
        <w:t xml:space="preserve"> Instruments financiers : informations à fournir</w:t>
      </w:r>
      <w:r w:rsidRPr="0073586F">
        <w:rPr>
          <w:color w:val="0000FF"/>
        </w:rPr>
        <w:t xml:space="preserve"> et </w:t>
      </w:r>
      <w:r>
        <w:rPr>
          <w:color w:val="0000FF"/>
        </w:rPr>
        <w:t>l’</w:t>
      </w:r>
      <w:r w:rsidRPr="0073586F">
        <w:rPr>
          <w:color w:val="0000FF"/>
        </w:rPr>
        <w:t>IFRS</w:t>
      </w:r>
      <w:r>
        <w:rPr>
          <w:color w:val="0000FF"/>
        </w:rPr>
        <w:t> </w:t>
      </w:r>
      <w:r w:rsidRPr="0073586F">
        <w:rPr>
          <w:color w:val="0000FF"/>
        </w:rPr>
        <w:t>16,</w:t>
      </w:r>
      <w:r w:rsidRPr="0073586F">
        <w:rPr>
          <w:i/>
          <w:color w:val="0000FF"/>
        </w:rPr>
        <w:t xml:space="preserve"> Contrats de location,</w:t>
      </w:r>
      <w:r>
        <w:t xml:space="preserve"> y compris des exigences relatives aux informations à fournir connexes</w:t>
      </w:r>
      <w:r w:rsidRPr="0073586F">
        <w:t>.</w:t>
      </w:r>
    </w:p>
    <w:p w14:paraId="6ABCDBE2" w14:textId="0B2EA562" w:rsidR="001E4826" w:rsidRPr="0073586F" w:rsidRDefault="000B1FCE" w:rsidP="001E4826">
      <w:pPr>
        <w:pStyle w:val="09Para"/>
        <w:tabs>
          <w:tab w:val="left" w:pos="360"/>
        </w:tabs>
      </w:pPr>
      <w:r>
        <w:t xml:space="preserve">Nous avons </w:t>
      </w:r>
      <w:r w:rsidR="00005FC1">
        <w:t>établi</w:t>
      </w:r>
      <w:r w:rsidR="00DE5D67">
        <w:t xml:space="preserve"> et vous avons communiqué la</w:t>
      </w:r>
      <w:r>
        <w:t xml:space="preserve"> liste</w:t>
      </w:r>
      <w:r w:rsidR="00DE5D67">
        <w:t xml:space="preserve"> complète</w:t>
      </w:r>
      <w:r w:rsidR="00005FC1">
        <w:t xml:space="preserve"> d</w:t>
      </w:r>
      <w:r>
        <w:t>es [</w:t>
      </w:r>
      <w:r w:rsidRPr="00C05D6B">
        <w:rPr>
          <w:i/>
          <w:color w:val="0000FF"/>
        </w:rPr>
        <w:t xml:space="preserve">sélectionner ou retenir seulement les </w:t>
      </w:r>
      <w:r>
        <w:rPr>
          <w:i/>
          <w:color w:val="0000FF"/>
        </w:rPr>
        <w:t xml:space="preserve">éléments de la réforme des </w:t>
      </w:r>
      <w:r w:rsidR="00DE5D67">
        <w:rPr>
          <w:i/>
          <w:color w:val="0000FF"/>
        </w:rPr>
        <w:t>TIO</w:t>
      </w:r>
      <w:r w:rsidRPr="00C05D6B">
        <w:rPr>
          <w:i/>
          <w:color w:val="0000FF"/>
        </w:rPr>
        <w:t xml:space="preserve"> qui </w:t>
      </w:r>
      <w:r>
        <w:rPr>
          <w:i/>
          <w:color w:val="0000FF"/>
        </w:rPr>
        <w:t>s</w:t>
      </w:r>
      <w:r w:rsidRPr="00C05D6B">
        <w:rPr>
          <w:i/>
          <w:color w:val="0000FF"/>
        </w:rPr>
        <w:t xml:space="preserve">ont </w:t>
      </w:r>
      <w:r>
        <w:rPr>
          <w:i/>
          <w:color w:val="0000FF"/>
        </w:rPr>
        <w:t>pertinents pour</w:t>
      </w:r>
      <w:r w:rsidRPr="00C05D6B">
        <w:rPr>
          <w:i/>
          <w:color w:val="0000FF"/>
        </w:rPr>
        <w:t xml:space="preserve"> la mission d’audit</w:t>
      </w:r>
      <w:r w:rsidR="003066D4">
        <w:rPr>
          <w:i/>
          <w:color w:val="0000FF"/>
        </w:rPr>
        <w:t xml:space="preserve"> après avoir tenu compte du seuil de signification et/ou de la pertinence de l’incidence de la réforme des TIO </w:t>
      </w:r>
      <w:r w:rsidR="00B61308">
        <w:rPr>
          <w:i/>
          <w:color w:val="0000FF"/>
        </w:rPr>
        <w:t>po</w:t>
      </w:r>
      <w:r w:rsidR="003066D4">
        <w:rPr>
          <w:i/>
          <w:color w:val="0000FF"/>
        </w:rPr>
        <w:t>ur la mission d’audit </w:t>
      </w:r>
      <w:r w:rsidRPr="00C05D6B">
        <w:rPr>
          <w:i/>
          <w:color w:val="0000FF"/>
        </w:rPr>
        <w:t>:</w:t>
      </w:r>
      <w:r>
        <w:t xml:space="preserve">] </w:t>
      </w:r>
      <w:r w:rsidRPr="0073586F">
        <w:rPr>
          <w:color w:val="0000FF"/>
        </w:rPr>
        <w:t xml:space="preserve">contrats, modèles d’évaluation, et relations </w:t>
      </w:r>
      <w:r w:rsidR="003066D4">
        <w:rPr>
          <w:color w:val="0000FF"/>
        </w:rPr>
        <w:t>aux fins de comptabilité de</w:t>
      </w:r>
      <w:r w:rsidRPr="0073586F">
        <w:rPr>
          <w:color w:val="0000FF"/>
        </w:rPr>
        <w:t xml:space="preserve"> couverture </w:t>
      </w:r>
      <w:r w:rsidRPr="00A72F56">
        <w:t>associés</w:t>
      </w:r>
      <w:r>
        <w:t xml:space="preserve"> aux instruments financiers directement ou indirectement liés aux taux </w:t>
      </w:r>
      <w:r w:rsidR="003066D4">
        <w:t>TIO</w:t>
      </w:r>
      <w:r>
        <w:t xml:space="preserve"> et donc assujettis à la réforme des </w:t>
      </w:r>
      <w:r w:rsidR="00E125F1">
        <w:t>TIO</w:t>
      </w:r>
      <w:r w:rsidR="001E4826" w:rsidRPr="0073586F">
        <w:t>.</w:t>
      </w:r>
    </w:p>
    <w:p w14:paraId="6A4C60DD" w14:textId="11264FCC" w:rsidR="001E4826" w:rsidRPr="0073586F" w:rsidRDefault="00005FC1" w:rsidP="001E4826">
      <w:pPr>
        <w:pStyle w:val="09Para"/>
        <w:tabs>
          <w:tab w:val="left" w:pos="360"/>
        </w:tabs>
      </w:pPr>
      <w:r>
        <w:t xml:space="preserve">Nous </w:t>
      </w:r>
      <w:r w:rsidR="007F06CC">
        <w:t xml:space="preserve">vous </w:t>
      </w:r>
      <w:r>
        <w:t xml:space="preserve">avons communiqué la liste complète des activités de contrôle nouvelles et modifiées </w:t>
      </w:r>
      <w:r w:rsidR="007F06CC">
        <w:t>liées</w:t>
      </w:r>
      <w:r>
        <w:t xml:space="preserve"> aux incidences pertinentes de la réforme des TIO, y compris [</w:t>
      </w:r>
      <w:r w:rsidRPr="0073586F">
        <w:rPr>
          <w:i/>
          <w:color w:val="0000FF"/>
        </w:rPr>
        <w:t xml:space="preserve">sélectionner ou retenir seulement les éléments de la réforme des TIO qui sont pertinents pour la mission d’audit après avoir tenu compte du seuil de signification et/ou de la pertinence de l’incidence de la réforme des TIO </w:t>
      </w:r>
      <w:r w:rsidR="00B61308">
        <w:rPr>
          <w:i/>
          <w:color w:val="0000FF"/>
        </w:rPr>
        <w:t>po</w:t>
      </w:r>
      <w:r w:rsidRPr="0073586F">
        <w:rPr>
          <w:i/>
          <w:color w:val="0000FF"/>
        </w:rPr>
        <w:t>ur la mission d’audit</w:t>
      </w:r>
      <w:r>
        <w:t xml:space="preserve"> :] </w:t>
      </w:r>
      <w:r w:rsidRPr="0073586F">
        <w:rPr>
          <w:color w:val="0000FF"/>
        </w:rPr>
        <w:t xml:space="preserve">les modifications </w:t>
      </w:r>
      <w:r w:rsidR="007F06CC">
        <w:rPr>
          <w:color w:val="0000FF"/>
        </w:rPr>
        <w:t>de</w:t>
      </w:r>
      <w:r w:rsidRPr="0073586F">
        <w:rPr>
          <w:color w:val="0000FF"/>
        </w:rPr>
        <w:t xml:space="preserve"> contrat</w:t>
      </w:r>
      <w:r>
        <w:rPr>
          <w:color w:val="0000FF"/>
        </w:rPr>
        <w:t>s</w:t>
      </w:r>
      <w:r w:rsidRPr="0073586F">
        <w:rPr>
          <w:color w:val="0000FF"/>
        </w:rPr>
        <w:t>, les modèles d’évaluation, les</w:t>
      </w:r>
      <w:r w:rsidRPr="00005FC1">
        <w:rPr>
          <w:color w:val="0000FF"/>
        </w:rPr>
        <w:t xml:space="preserve"> </w:t>
      </w:r>
      <w:r w:rsidRPr="00C05D6B">
        <w:rPr>
          <w:color w:val="0000FF"/>
        </w:rPr>
        <w:t xml:space="preserve">relations </w:t>
      </w:r>
      <w:r>
        <w:rPr>
          <w:color w:val="0000FF"/>
        </w:rPr>
        <w:t>aux fins de comptabilité de</w:t>
      </w:r>
      <w:r w:rsidRPr="00C05D6B">
        <w:rPr>
          <w:color w:val="0000FF"/>
        </w:rPr>
        <w:t xml:space="preserve"> couverture</w:t>
      </w:r>
      <w:r>
        <w:rPr>
          <w:color w:val="0000FF"/>
        </w:rPr>
        <w:t xml:space="preserve"> et les informations fournies dans les états financiers</w:t>
      </w:r>
      <w:r w:rsidR="001E4826" w:rsidRPr="001A4A6D">
        <w:rPr>
          <w:color w:val="0000FF"/>
        </w:rPr>
        <w:t>.</w:t>
      </w:r>
    </w:p>
    <w:p w14:paraId="0F2CF07B" w14:textId="159D4E62" w:rsidR="001E4826" w:rsidRPr="00064A03" w:rsidRDefault="001E4826" w:rsidP="007719D8">
      <w:pPr>
        <w:pStyle w:val="09Para"/>
        <w:keepNext/>
        <w:tabs>
          <w:tab w:val="left" w:pos="360"/>
        </w:tabs>
        <w:rPr>
          <w:color w:val="0000FF"/>
        </w:rPr>
      </w:pPr>
      <w:r w:rsidRPr="00015195">
        <w:t>[</w:t>
      </w:r>
      <w:r w:rsidR="00F06F5F" w:rsidRPr="0073586F">
        <w:rPr>
          <w:i/>
          <w:color w:val="0000FF"/>
        </w:rPr>
        <w:t xml:space="preserve">Ajouter </w:t>
      </w:r>
      <w:r w:rsidR="00B56821">
        <w:rPr>
          <w:i/>
          <w:color w:val="0000FF"/>
        </w:rPr>
        <w:t>la</w:t>
      </w:r>
      <w:r w:rsidR="00F06F5F" w:rsidRPr="0073586F">
        <w:rPr>
          <w:i/>
          <w:color w:val="0000FF"/>
        </w:rPr>
        <w:t xml:space="preserve"> déclaration</w:t>
      </w:r>
      <w:r w:rsidR="00B56821">
        <w:rPr>
          <w:i/>
          <w:color w:val="0000FF"/>
        </w:rPr>
        <w:t xml:space="preserve"> suivante</w:t>
      </w:r>
      <w:r w:rsidR="00F06F5F" w:rsidRPr="0073586F">
        <w:rPr>
          <w:i/>
          <w:color w:val="0000FF"/>
        </w:rPr>
        <w:t xml:space="preserve"> </w:t>
      </w:r>
      <w:r w:rsidR="0050340D" w:rsidRPr="0065172C">
        <w:rPr>
          <w:i/>
          <w:color w:val="0000FF"/>
        </w:rPr>
        <w:t>selon</w:t>
      </w:r>
      <w:r w:rsidR="00F06F5F" w:rsidRPr="0073586F">
        <w:rPr>
          <w:i/>
          <w:color w:val="0000FF"/>
        </w:rPr>
        <w:t xml:space="preserve"> l’importance des modifications contractuelles, </w:t>
      </w:r>
      <w:r w:rsidR="00F06F5F" w:rsidRPr="0065172C">
        <w:rPr>
          <w:i/>
          <w:color w:val="0000FF"/>
        </w:rPr>
        <w:t>en fonction de</w:t>
      </w:r>
      <w:r w:rsidR="00F06F5F" w:rsidRPr="0073586F">
        <w:rPr>
          <w:i/>
          <w:color w:val="0000FF"/>
        </w:rPr>
        <w:t xml:space="preserve"> la réforme des TIO, </w:t>
      </w:r>
      <w:r w:rsidR="00B61308">
        <w:rPr>
          <w:i/>
          <w:color w:val="0000FF"/>
        </w:rPr>
        <w:t>pour</w:t>
      </w:r>
      <w:r w:rsidR="00F06F5F" w:rsidRPr="0073586F">
        <w:rPr>
          <w:i/>
          <w:color w:val="0000FF"/>
        </w:rPr>
        <w:t xml:space="preserve"> la mission d’audit </w:t>
      </w:r>
      <w:r w:rsidRPr="0065172C">
        <w:rPr>
          <w:i/>
          <w:color w:val="0000FF"/>
        </w:rPr>
        <w:t>:</w:t>
      </w:r>
      <w:r w:rsidRPr="0065172C">
        <w:t>]</w:t>
      </w:r>
    </w:p>
    <w:p w14:paraId="4A124B44" w14:textId="04C16520" w:rsidR="001E4826" w:rsidRPr="0073586F" w:rsidRDefault="00B56821" w:rsidP="001E4826">
      <w:pPr>
        <w:pStyle w:val="09Para"/>
        <w:tabs>
          <w:tab w:val="left" w:pos="360"/>
        </w:tabs>
      </w:pPr>
      <w:r>
        <w:t xml:space="preserve">En </w:t>
      </w:r>
      <w:r w:rsidR="0065172C">
        <w:t>ce qui concerne le changement</w:t>
      </w:r>
      <w:r>
        <w:t xml:space="preserve">, s’il y a lieu, </w:t>
      </w:r>
      <w:r w:rsidR="0065172C">
        <w:t>de base de détermination des flux de trésorerie contractuels des actifs financiers ou des passifs financiers en conséquence de la réforme des</w:t>
      </w:r>
      <w:r w:rsidR="003614BC">
        <w:t> </w:t>
      </w:r>
      <w:r w:rsidR="0065172C">
        <w:t>TIO :</w:t>
      </w:r>
    </w:p>
    <w:p w14:paraId="3ADE4C77" w14:textId="0E584D1C" w:rsidR="001E4826" w:rsidRPr="0073586F" w:rsidRDefault="001E4826" w:rsidP="007719D8">
      <w:pPr>
        <w:pStyle w:val="09Para"/>
        <w:keepNext/>
      </w:pPr>
      <w:r w:rsidRPr="00015195">
        <w:t>[</w:t>
      </w:r>
      <w:r w:rsidR="0065172C" w:rsidRPr="00064A03">
        <w:rPr>
          <w:i/>
          <w:color w:val="0000FF"/>
        </w:rPr>
        <w:t>En l</w:t>
      </w:r>
      <w:r w:rsidR="0065172C" w:rsidRPr="0093571F">
        <w:rPr>
          <w:i/>
          <w:color w:val="0000FF"/>
        </w:rPr>
        <w:t>’absence d</w:t>
      </w:r>
      <w:r w:rsidR="0065172C" w:rsidRPr="00640096">
        <w:rPr>
          <w:i/>
          <w:color w:val="0000FF"/>
        </w:rPr>
        <w:t xml:space="preserve">’un tel changement ou de telles modifications contractuelles, </w:t>
      </w:r>
      <w:r w:rsidR="0065172C" w:rsidRPr="00CE11A0">
        <w:rPr>
          <w:i/>
          <w:color w:val="0000FF"/>
        </w:rPr>
        <w:t>ajouter ce qui suit</w:t>
      </w:r>
      <w:r w:rsidR="0065172C" w:rsidRPr="00C41A84">
        <w:rPr>
          <w:i/>
          <w:color w:val="0000FF"/>
        </w:rPr>
        <w:t> </w:t>
      </w:r>
      <w:r w:rsidRPr="00C41A84">
        <w:rPr>
          <w:color w:val="0000FF"/>
        </w:rPr>
        <w:t>:</w:t>
      </w:r>
      <w:r w:rsidRPr="00C41A84">
        <w:t>]</w:t>
      </w:r>
      <w:r w:rsidRPr="0073586F">
        <w:t xml:space="preserve"> </w:t>
      </w:r>
    </w:p>
    <w:p w14:paraId="7D28461F" w14:textId="47CCC167" w:rsidR="001E4826" w:rsidRPr="0073586F" w:rsidRDefault="0025200D" w:rsidP="001E4826">
      <w:pPr>
        <w:pStyle w:val="09Para"/>
      </w:pPr>
      <w:r>
        <w:t xml:space="preserve">Nous confirmons qu’aucun changement ou </w:t>
      </w:r>
      <w:r w:rsidR="00064A03">
        <w:t xml:space="preserve">aucune </w:t>
      </w:r>
      <w:r>
        <w:t xml:space="preserve">modification contractuelle </w:t>
      </w:r>
      <w:r w:rsidR="00064A03">
        <w:t xml:space="preserve">n’ont été </w:t>
      </w:r>
      <w:r w:rsidR="0093571F">
        <w:t>apportés</w:t>
      </w:r>
      <w:r w:rsidR="00064A03">
        <w:t xml:space="preserve"> </w:t>
      </w:r>
      <w:r w:rsidRPr="00640096">
        <w:t>en conséquence de la réforme des TIO</w:t>
      </w:r>
      <w:r w:rsidRPr="00CE11A0">
        <w:t xml:space="preserve"> et, par conséquent, nous continuons de </w:t>
      </w:r>
      <w:r w:rsidR="00064A03" w:rsidRPr="00CE11A0">
        <w:t>c</w:t>
      </w:r>
      <w:r w:rsidR="00064A03" w:rsidRPr="00C41A84">
        <w:t>omptabiliser le ou les</w:t>
      </w:r>
      <w:r w:rsidRPr="0093571F">
        <w:t xml:space="preserve"> instruments financiers connexes selon la méthode habituelle.</w:t>
      </w:r>
    </w:p>
    <w:p w14:paraId="0D170BC0" w14:textId="0D597600" w:rsidR="001E4826" w:rsidRPr="00A928BF" w:rsidRDefault="001E4826" w:rsidP="001E4826">
      <w:pPr>
        <w:pStyle w:val="09Para"/>
        <w:rPr>
          <w:i/>
          <w:color w:val="0000FF"/>
        </w:rPr>
      </w:pPr>
      <w:r w:rsidRPr="00A928BF">
        <w:rPr>
          <w:i/>
          <w:color w:val="0000FF"/>
        </w:rPr>
        <w:t>O</w:t>
      </w:r>
      <w:r w:rsidR="0073735D" w:rsidRPr="00A928BF">
        <w:rPr>
          <w:i/>
          <w:color w:val="0000FF"/>
        </w:rPr>
        <w:t>U</w:t>
      </w:r>
    </w:p>
    <w:p w14:paraId="482A7B39" w14:textId="4E214BE1" w:rsidR="001E4826" w:rsidRPr="0093571F" w:rsidRDefault="001E4826" w:rsidP="007719D8">
      <w:pPr>
        <w:pStyle w:val="09Para"/>
        <w:keepNext/>
        <w:rPr>
          <w:color w:val="0000FF"/>
        </w:rPr>
      </w:pPr>
      <w:r w:rsidRPr="00CE11A0">
        <w:t>[</w:t>
      </w:r>
      <w:r w:rsidR="0093571F" w:rsidRPr="00C41A84">
        <w:rPr>
          <w:i/>
          <w:color w:val="0000FF"/>
        </w:rPr>
        <w:t>S</w:t>
      </w:r>
      <w:r w:rsidR="0093571F">
        <w:rPr>
          <w:i/>
          <w:color w:val="0000FF"/>
        </w:rPr>
        <w:t>’il y a eu apport de</w:t>
      </w:r>
      <w:r w:rsidR="0093571F" w:rsidRPr="00640096">
        <w:rPr>
          <w:i/>
          <w:color w:val="0000FF"/>
        </w:rPr>
        <w:t xml:space="preserve"> changements ou de</w:t>
      </w:r>
      <w:r w:rsidR="0093571F" w:rsidRPr="00CE11A0">
        <w:rPr>
          <w:i/>
          <w:color w:val="0000FF"/>
        </w:rPr>
        <w:t xml:space="preserve"> modifications contractuelles</w:t>
      </w:r>
      <w:r w:rsidR="0093571F" w:rsidRPr="00C41A84">
        <w:rPr>
          <w:i/>
          <w:color w:val="0000FF"/>
        </w:rPr>
        <w:t>, ajouter ce qui suit </w:t>
      </w:r>
      <w:r w:rsidRPr="00C41A84">
        <w:rPr>
          <w:color w:val="0000FF"/>
        </w:rPr>
        <w:t>:</w:t>
      </w:r>
      <w:r w:rsidRPr="0093571F">
        <w:t>]</w:t>
      </w:r>
    </w:p>
    <w:p w14:paraId="20C61592" w14:textId="5A898986" w:rsidR="001E4826" w:rsidRPr="0073586F" w:rsidRDefault="0093571F" w:rsidP="007719D8">
      <w:pPr>
        <w:pStyle w:val="09Para"/>
        <w:keepNext/>
        <w:rPr>
          <w:b/>
        </w:rPr>
      </w:pPr>
      <w:r>
        <w:t>Nous avons évalué s</w:t>
      </w:r>
      <w:r w:rsidR="0016506F">
        <w:t xml:space="preserve">i la mesure de simplification s’appliquait à </w:t>
      </w:r>
      <w:r>
        <w:t xml:space="preserve">tous </w:t>
      </w:r>
      <w:r w:rsidR="0016506F">
        <w:t>l</w:t>
      </w:r>
      <w:r>
        <w:t>es changements</w:t>
      </w:r>
      <w:r w:rsidR="0016506F">
        <w:t xml:space="preserve"> en question</w:t>
      </w:r>
      <w:r>
        <w:t xml:space="preserve"> dans leur entièreté en examinant :</w:t>
      </w:r>
    </w:p>
    <w:p w14:paraId="6A36500A" w14:textId="114E47DB" w:rsidR="001E4826" w:rsidRPr="00015195" w:rsidRDefault="0016506F" w:rsidP="001E4826">
      <w:pPr>
        <w:pStyle w:val="09ParaBullet1"/>
        <w:numPr>
          <w:ilvl w:val="0"/>
          <w:numId w:val="5"/>
        </w:numPr>
        <w:tabs>
          <w:tab w:val="clear" w:pos="1495"/>
          <w:tab w:val="num" w:pos="720"/>
        </w:tabs>
        <w:ind w:left="720"/>
        <w:rPr>
          <w:rFonts w:cs="Arial"/>
        </w:rPr>
      </w:pPr>
      <w:r>
        <w:rPr>
          <w:rFonts w:cs="Arial"/>
        </w:rPr>
        <w:t>si la nécessité de procéder à tous les changements en question était une conséquence directe de la réforme des TIO;</w:t>
      </w:r>
    </w:p>
    <w:p w14:paraId="40A96CD8" w14:textId="0744AF28" w:rsidR="001E4826" w:rsidRPr="00015195" w:rsidRDefault="0016506F" w:rsidP="001E4826">
      <w:pPr>
        <w:pStyle w:val="09ParaBullet1"/>
        <w:numPr>
          <w:ilvl w:val="0"/>
          <w:numId w:val="5"/>
        </w:numPr>
        <w:tabs>
          <w:tab w:val="clear" w:pos="1495"/>
          <w:tab w:val="num" w:pos="720"/>
        </w:tabs>
        <w:ind w:left="720"/>
        <w:rPr>
          <w:rFonts w:cs="Arial"/>
        </w:rPr>
      </w:pPr>
      <w:r w:rsidRPr="00217343">
        <w:rPr>
          <w:rFonts w:cs="Arial"/>
        </w:rPr>
        <w:lastRenderedPageBreak/>
        <w:t xml:space="preserve">si tous les changements en question </w:t>
      </w:r>
      <w:r w:rsidR="00726625" w:rsidRPr="0073586F">
        <w:rPr>
          <w:rFonts w:cs="Arial"/>
        </w:rPr>
        <w:t>font en sorte que la</w:t>
      </w:r>
      <w:r w:rsidR="00646CB9" w:rsidRPr="00217343">
        <w:rPr>
          <w:rFonts w:cs="Arial"/>
        </w:rPr>
        <w:t xml:space="preserve"> nouvelle base de détermination des flux de trésorerie</w:t>
      </w:r>
      <w:r w:rsidR="00640096" w:rsidRPr="00217343">
        <w:rPr>
          <w:rFonts w:cs="Arial"/>
        </w:rPr>
        <w:t xml:space="preserve"> </w:t>
      </w:r>
      <w:r w:rsidR="00AE3EA3" w:rsidRPr="00217343">
        <w:rPr>
          <w:rFonts w:cs="Arial"/>
        </w:rPr>
        <w:t>provenant</w:t>
      </w:r>
      <w:r w:rsidR="00AE3EA3">
        <w:rPr>
          <w:rFonts w:cs="Arial"/>
        </w:rPr>
        <w:t xml:space="preserve"> </w:t>
      </w:r>
      <w:r w:rsidR="00640096">
        <w:rPr>
          <w:rFonts w:cs="Arial"/>
        </w:rPr>
        <w:t>du contrat modifié est économiquement équivalente à l’ancienne base</w:t>
      </w:r>
      <w:r w:rsidR="001E4826" w:rsidRPr="00015195">
        <w:rPr>
          <w:rFonts w:cs="Arial"/>
        </w:rPr>
        <w:t>.</w:t>
      </w:r>
    </w:p>
    <w:p w14:paraId="3EC172CF" w14:textId="059AE7B6" w:rsidR="001E4826" w:rsidRPr="0073586F" w:rsidRDefault="001E4826" w:rsidP="001E4826">
      <w:pPr>
        <w:pStyle w:val="09Para"/>
        <w:tabs>
          <w:tab w:val="left" w:pos="360"/>
        </w:tabs>
      </w:pPr>
      <w:r w:rsidRPr="00CE11A0">
        <w:t>[</w:t>
      </w:r>
      <w:r w:rsidR="00202083" w:rsidRPr="00CE11A0">
        <w:rPr>
          <w:i/>
          <w:color w:val="0000FF"/>
        </w:rPr>
        <w:t>S</w:t>
      </w:r>
      <w:r w:rsidR="00202083" w:rsidRPr="00C41A84">
        <w:rPr>
          <w:i/>
          <w:color w:val="0000FF"/>
        </w:rPr>
        <w:t xml:space="preserve">i </w:t>
      </w:r>
      <w:r w:rsidR="00AE3EA3" w:rsidRPr="0073586F">
        <w:rPr>
          <w:i/>
          <w:color w:val="0000FF"/>
        </w:rPr>
        <w:t>tous les changements apportés ou toutes les modifications contractuelles</w:t>
      </w:r>
      <w:r w:rsidR="00202083" w:rsidRPr="00CE11A0">
        <w:rPr>
          <w:i/>
          <w:color w:val="0000FF"/>
        </w:rPr>
        <w:t xml:space="preserve"> </w:t>
      </w:r>
      <w:r w:rsidR="00BA2D43">
        <w:rPr>
          <w:i/>
          <w:color w:val="0000FF"/>
        </w:rPr>
        <w:t>remplissent les conditions relatives</w:t>
      </w:r>
      <w:r w:rsidR="00202083" w:rsidRPr="00CE11A0">
        <w:rPr>
          <w:i/>
          <w:color w:val="0000FF"/>
        </w:rPr>
        <w:t xml:space="preserve"> à la mesure de simplification</w:t>
      </w:r>
      <w:r w:rsidR="00AE3EA3" w:rsidRPr="0073586F">
        <w:rPr>
          <w:i/>
          <w:color w:val="0000FF"/>
        </w:rPr>
        <w:t>, ajouter ce qui suit</w:t>
      </w:r>
      <w:r w:rsidR="00AE3EA3" w:rsidRPr="00CE11A0">
        <w:t> </w:t>
      </w:r>
      <w:r w:rsidRPr="00CE11A0">
        <w:rPr>
          <w:color w:val="0000FF"/>
        </w:rPr>
        <w:t>:</w:t>
      </w:r>
      <w:r w:rsidRPr="00C41A84">
        <w:t>]</w:t>
      </w:r>
      <w:r w:rsidRPr="0073586F">
        <w:t xml:space="preserve"> </w:t>
      </w:r>
    </w:p>
    <w:p w14:paraId="1E5E4EF6" w14:textId="2709CED3" w:rsidR="001E4826" w:rsidRPr="0073586F" w:rsidRDefault="00202083" w:rsidP="001E4826">
      <w:pPr>
        <w:pStyle w:val="09Para"/>
        <w:tabs>
          <w:tab w:val="left" w:pos="360"/>
        </w:tabs>
        <w:rPr>
          <w:b/>
        </w:rPr>
      </w:pPr>
      <w:r w:rsidRPr="00CE11A0">
        <w:t>Nous avons</w:t>
      </w:r>
      <w:r w:rsidRPr="00C41A84">
        <w:t xml:space="preserve"> appliqué </w:t>
      </w:r>
      <w:r w:rsidR="006675D8" w:rsidRPr="00C41A84">
        <w:t>ad</w:t>
      </w:r>
      <w:r w:rsidR="006675D8" w:rsidRPr="003225BA">
        <w:t>équatement</w:t>
      </w:r>
      <w:r w:rsidRPr="003225BA">
        <w:t xml:space="preserve"> la mesure de simplification et mis à jour le taux d’intérêt effectif des instruments financiers connexes en fonction du taux de référence alternatif</w:t>
      </w:r>
      <w:r w:rsidR="001E4826" w:rsidRPr="0073586F">
        <w:t>.</w:t>
      </w:r>
    </w:p>
    <w:p w14:paraId="2307EC17" w14:textId="5200D0DD" w:rsidR="001E4826" w:rsidRPr="003614BC" w:rsidRDefault="001E4826" w:rsidP="001E4826">
      <w:pPr>
        <w:pStyle w:val="09Para"/>
        <w:rPr>
          <w:i/>
          <w:color w:val="0000FF"/>
        </w:rPr>
      </w:pPr>
      <w:r w:rsidRPr="003614BC">
        <w:rPr>
          <w:i/>
          <w:color w:val="0000FF"/>
        </w:rPr>
        <w:t>O</w:t>
      </w:r>
      <w:r w:rsidR="0073735D" w:rsidRPr="003614BC">
        <w:rPr>
          <w:i/>
          <w:color w:val="0000FF"/>
        </w:rPr>
        <w:t>U</w:t>
      </w:r>
    </w:p>
    <w:p w14:paraId="01F8F518" w14:textId="5F6887F8" w:rsidR="001E4826" w:rsidRPr="0073586F" w:rsidRDefault="001E4826" w:rsidP="001E4826">
      <w:pPr>
        <w:pStyle w:val="09Para"/>
      </w:pPr>
      <w:r w:rsidRPr="003225BA">
        <w:t>[</w:t>
      </w:r>
      <w:r w:rsidR="003225BA">
        <w:rPr>
          <w:i/>
          <w:color w:val="0000FF"/>
        </w:rPr>
        <w:t>Si la mesure de simplification s’appliquait seulement à certains des changements apportés ou à certaines des modifications contractuelles, ajouter ce qui suit </w:t>
      </w:r>
      <w:r>
        <w:rPr>
          <w:color w:val="0000FF"/>
        </w:rPr>
        <w:t>:</w:t>
      </w:r>
      <w:r w:rsidRPr="00015195">
        <w:t>]</w:t>
      </w:r>
      <w:r w:rsidRPr="0073586F">
        <w:t xml:space="preserve"> </w:t>
      </w:r>
    </w:p>
    <w:p w14:paraId="46DF38D0" w14:textId="3E5039A9" w:rsidR="001E4826" w:rsidRPr="0073586F" w:rsidRDefault="00BA2D43" w:rsidP="001E4826">
      <w:pPr>
        <w:pStyle w:val="09Para"/>
        <w:rPr>
          <w:b/>
        </w:rPr>
      </w:pPr>
      <w:r w:rsidRPr="00C05D6B">
        <w:t>Nous avons appliqué adéquatement la mesure de simplification</w:t>
      </w:r>
      <w:r>
        <w:t xml:space="preserve"> aux modifications contractuelles </w:t>
      </w:r>
      <w:r w:rsidRPr="00CE11A0">
        <w:t>qui remplissaient les conditions requises</w:t>
      </w:r>
      <w:r w:rsidRPr="00C41A84">
        <w:t xml:space="preserve"> d’abord</w:t>
      </w:r>
      <w:r w:rsidRPr="007D1DEC">
        <w:t>, puis nous avons mis à jour le taux d’intérêt effectif des instruments financiers connexes en fonction du taux de référence alternatif</w:t>
      </w:r>
      <w:r w:rsidR="001E4826" w:rsidRPr="0073586F">
        <w:t>.</w:t>
      </w:r>
    </w:p>
    <w:p w14:paraId="7C936C03" w14:textId="790D2519" w:rsidR="001E4826" w:rsidRPr="0073586F" w:rsidRDefault="007D1DEC" w:rsidP="001E4826">
      <w:pPr>
        <w:pStyle w:val="09Para"/>
        <w:tabs>
          <w:tab w:val="left" w:pos="360"/>
        </w:tabs>
      </w:pPr>
      <w:r>
        <w:t xml:space="preserve">En ce qui concerne les modifications contractuelles qui ne remplissaient pas les conditions </w:t>
      </w:r>
      <w:r w:rsidR="008C7B3C">
        <w:t>requises pour</w:t>
      </w:r>
      <w:r>
        <w:t xml:space="preserve"> l’application de la mesure de simplification, nous avons </w:t>
      </w:r>
      <w:r w:rsidR="00081E9D">
        <w:t xml:space="preserve">déterminé que </w:t>
      </w:r>
      <w:r>
        <w:t>les modifications contractuelles en question :</w:t>
      </w:r>
    </w:p>
    <w:p w14:paraId="3EA3A7E0" w14:textId="10DD7D41" w:rsidR="001E4826" w:rsidRPr="00015195" w:rsidRDefault="00081E9D" w:rsidP="001E4826">
      <w:pPr>
        <w:pStyle w:val="09ParaBullet1"/>
        <w:numPr>
          <w:ilvl w:val="0"/>
          <w:numId w:val="5"/>
        </w:numPr>
        <w:tabs>
          <w:tab w:val="clear" w:pos="1495"/>
          <w:tab w:val="num" w:pos="720"/>
        </w:tabs>
        <w:ind w:left="720"/>
        <w:rPr>
          <w:rFonts w:cs="Arial"/>
        </w:rPr>
      </w:pPr>
      <w:r>
        <w:rPr>
          <w:rFonts w:cs="Arial"/>
        </w:rPr>
        <w:t xml:space="preserve">ou bien </w:t>
      </w:r>
      <w:r w:rsidR="00CE11A0">
        <w:rPr>
          <w:rFonts w:cs="Arial"/>
        </w:rPr>
        <w:t xml:space="preserve">faisaient en sorte que les critères de </w:t>
      </w:r>
      <w:proofErr w:type="spellStart"/>
      <w:r w:rsidR="00CE11A0">
        <w:rPr>
          <w:rFonts w:cs="Arial"/>
        </w:rPr>
        <w:t>décomptabilisation</w:t>
      </w:r>
      <w:proofErr w:type="spellEnd"/>
      <w:r w:rsidR="00CE11A0">
        <w:rPr>
          <w:rFonts w:cs="Arial"/>
        </w:rPr>
        <w:t xml:space="preserve"> de l’IFRS</w:t>
      </w:r>
      <w:r w:rsidR="005C7F8B">
        <w:rPr>
          <w:rFonts w:cs="Arial"/>
        </w:rPr>
        <w:t> </w:t>
      </w:r>
      <w:r w:rsidR="00CE11A0">
        <w:rPr>
          <w:rFonts w:cs="Arial"/>
        </w:rPr>
        <w:t xml:space="preserve">9 étaient remplis et </w:t>
      </w:r>
      <w:r w:rsidR="00666FD9">
        <w:rPr>
          <w:rFonts w:cs="Arial"/>
        </w:rPr>
        <w:t>applicables</w:t>
      </w:r>
      <w:r>
        <w:rPr>
          <w:rFonts w:cs="Arial"/>
        </w:rPr>
        <w:t>, auquel cas nous</w:t>
      </w:r>
      <w:r w:rsidR="00666FD9">
        <w:rPr>
          <w:rFonts w:cs="Arial"/>
        </w:rPr>
        <w:t xml:space="preserve"> avons effectué</w:t>
      </w:r>
      <w:r w:rsidR="00CE11A0">
        <w:rPr>
          <w:rFonts w:cs="Arial"/>
        </w:rPr>
        <w:t xml:space="preserve"> le traitement comptable de la </w:t>
      </w:r>
      <w:proofErr w:type="spellStart"/>
      <w:r w:rsidR="00CE11A0">
        <w:rPr>
          <w:rFonts w:cs="Arial"/>
        </w:rPr>
        <w:t>décomptabilisation</w:t>
      </w:r>
      <w:proofErr w:type="spellEnd"/>
      <w:r w:rsidR="00666FD9">
        <w:rPr>
          <w:rFonts w:cs="Arial"/>
        </w:rPr>
        <w:t xml:space="preserve"> </w:t>
      </w:r>
      <w:r w:rsidR="00CE11A0">
        <w:rPr>
          <w:rFonts w:cs="Arial"/>
        </w:rPr>
        <w:t>conformément à ces exigences;</w:t>
      </w:r>
    </w:p>
    <w:p w14:paraId="276C0EB9" w14:textId="52603633" w:rsidR="001E4826" w:rsidRPr="00015195" w:rsidRDefault="00081E9D" w:rsidP="001E4826">
      <w:pPr>
        <w:pStyle w:val="09ParaBullet1"/>
        <w:numPr>
          <w:ilvl w:val="0"/>
          <w:numId w:val="5"/>
        </w:numPr>
        <w:tabs>
          <w:tab w:val="clear" w:pos="1495"/>
          <w:tab w:val="num" w:pos="720"/>
        </w:tabs>
        <w:ind w:left="720"/>
        <w:rPr>
          <w:rFonts w:cs="Arial"/>
        </w:rPr>
      </w:pPr>
      <w:r>
        <w:rPr>
          <w:rFonts w:cs="Arial"/>
        </w:rPr>
        <w:t xml:space="preserve">ou bien </w:t>
      </w:r>
      <w:r w:rsidR="00666FD9">
        <w:rPr>
          <w:rFonts w:cs="Arial"/>
        </w:rPr>
        <w:t>ne faisaient</w:t>
      </w:r>
      <w:r w:rsidR="00CE11A0">
        <w:rPr>
          <w:rFonts w:cs="Arial"/>
        </w:rPr>
        <w:t xml:space="preserve"> pas en sorte que les critères de </w:t>
      </w:r>
      <w:proofErr w:type="spellStart"/>
      <w:r w:rsidR="00CE11A0">
        <w:rPr>
          <w:rFonts w:cs="Arial"/>
        </w:rPr>
        <w:t>décomptabilisation</w:t>
      </w:r>
      <w:proofErr w:type="spellEnd"/>
      <w:r w:rsidR="00CE11A0">
        <w:rPr>
          <w:rFonts w:cs="Arial"/>
        </w:rPr>
        <w:t xml:space="preserve"> de l’IFRS</w:t>
      </w:r>
      <w:r w:rsidR="005C7F8B">
        <w:rPr>
          <w:rFonts w:cs="Arial"/>
        </w:rPr>
        <w:t> </w:t>
      </w:r>
      <w:r w:rsidR="00CE11A0">
        <w:rPr>
          <w:rFonts w:cs="Arial"/>
        </w:rPr>
        <w:t xml:space="preserve">9 étaient remplis et </w:t>
      </w:r>
      <w:r w:rsidR="00666FD9">
        <w:rPr>
          <w:rFonts w:cs="Arial"/>
        </w:rPr>
        <w:t>applicables</w:t>
      </w:r>
      <w:r w:rsidR="00CE11A0">
        <w:rPr>
          <w:rFonts w:cs="Arial"/>
        </w:rPr>
        <w:t xml:space="preserve">, </w:t>
      </w:r>
      <w:r w:rsidR="00666FD9">
        <w:rPr>
          <w:rFonts w:cs="Arial"/>
        </w:rPr>
        <w:t xml:space="preserve">auquel cas nous avons </w:t>
      </w:r>
      <w:r w:rsidR="00CE11A0">
        <w:rPr>
          <w:rFonts w:cs="Arial"/>
        </w:rPr>
        <w:t xml:space="preserve">recalculé </w:t>
      </w:r>
      <w:r w:rsidR="00666FD9">
        <w:rPr>
          <w:rFonts w:cs="Arial"/>
        </w:rPr>
        <w:t>la valeur comptable</w:t>
      </w:r>
      <w:r w:rsidR="002B06B4">
        <w:rPr>
          <w:rFonts w:cs="Arial"/>
        </w:rPr>
        <w:t xml:space="preserve"> </w:t>
      </w:r>
      <w:r w:rsidR="00CE11A0">
        <w:rPr>
          <w:rFonts w:cs="Arial"/>
        </w:rPr>
        <w:t xml:space="preserve">des instruments financiers </w:t>
      </w:r>
      <w:r w:rsidR="00E741A9">
        <w:rPr>
          <w:rFonts w:cs="Arial"/>
        </w:rPr>
        <w:t>concern</w:t>
      </w:r>
      <w:r w:rsidR="00236893">
        <w:rPr>
          <w:rFonts w:cs="Arial"/>
        </w:rPr>
        <w:t>és</w:t>
      </w:r>
      <w:r w:rsidR="00CE11A0">
        <w:rPr>
          <w:rFonts w:cs="Arial"/>
        </w:rPr>
        <w:t xml:space="preserve"> et avons </w:t>
      </w:r>
      <w:r w:rsidR="00E741A9">
        <w:rPr>
          <w:rFonts w:cs="Arial"/>
        </w:rPr>
        <w:t>comptabilisé</w:t>
      </w:r>
      <w:r w:rsidR="00CE11A0">
        <w:rPr>
          <w:rFonts w:cs="Arial"/>
        </w:rPr>
        <w:t xml:space="preserve"> un </w:t>
      </w:r>
      <w:r w:rsidR="00E741A9">
        <w:rPr>
          <w:rFonts w:cs="Arial"/>
        </w:rPr>
        <w:t>profit ou une perte</w:t>
      </w:r>
      <w:r w:rsidR="00CE11A0">
        <w:rPr>
          <w:rFonts w:cs="Arial"/>
        </w:rPr>
        <w:t xml:space="preserve"> dans l’état des </w:t>
      </w:r>
      <w:r w:rsidR="00236893">
        <w:rPr>
          <w:rFonts w:cs="Arial"/>
        </w:rPr>
        <w:t>résultats</w:t>
      </w:r>
      <w:r w:rsidR="00CE11A0">
        <w:rPr>
          <w:rFonts w:cs="Arial"/>
        </w:rPr>
        <w:t>, tout en continuant de comptabiliser le</w:t>
      </w:r>
      <w:r w:rsidR="00E81CF3">
        <w:rPr>
          <w:rFonts w:cs="Arial"/>
        </w:rPr>
        <w:t xml:space="preserve"> produit ou la charge d’inté</w:t>
      </w:r>
      <w:r w:rsidR="00CE11A0">
        <w:rPr>
          <w:rFonts w:cs="Arial"/>
        </w:rPr>
        <w:t>rêt</w:t>
      </w:r>
      <w:r w:rsidR="00E81CF3">
        <w:rPr>
          <w:rFonts w:cs="Arial"/>
        </w:rPr>
        <w:t>s</w:t>
      </w:r>
      <w:r w:rsidR="00CE11A0">
        <w:rPr>
          <w:rFonts w:cs="Arial"/>
        </w:rPr>
        <w:t xml:space="preserve"> au moyen du taux d’intérêt effectif </w:t>
      </w:r>
      <w:r w:rsidR="00E81CF3">
        <w:rPr>
          <w:rFonts w:cs="Arial"/>
        </w:rPr>
        <w:t>initial</w:t>
      </w:r>
      <w:r w:rsidR="001E4826" w:rsidRPr="00015195">
        <w:rPr>
          <w:rFonts w:cs="Arial"/>
        </w:rPr>
        <w:t>.</w:t>
      </w:r>
    </w:p>
    <w:p w14:paraId="262A4E79" w14:textId="29D44713" w:rsidR="001E4826" w:rsidRPr="0073586F" w:rsidRDefault="001E4826" w:rsidP="001E4826">
      <w:pPr>
        <w:pStyle w:val="09Para"/>
        <w:tabs>
          <w:tab w:val="left" w:pos="360"/>
        </w:tabs>
      </w:pPr>
      <w:r w:rsidRPr="005012C5">
        <w:t>[</w:t>
      </w:r>
      <w:r w:rsidR="00A13D6A" w:rsidRPr="005012C5">
        <w:rPr>
          <w:i/>
          <w:color w:val="0000FF"/>
        </w:rPr>
        <w:t>B</w:t>
      </w:r>
      <w:r w:rsidR="00A13D6A" w:rsidRPr="00BF20B2">
        <w:rPr>
          <w:i/>
          <w:color w:val="0000FF"/>
        </w:rPr>
        <w:t>AILLEUR</w:t>
      </w:r>
      <w:r w:rsidR="00CA7DB5" w:rsidRPr="00BF20B2">
        <w:rPr>
          <w:i/>
          <w:color w:val="0000FF"/>
        </w:rPr>
        <w:t xml:space="preserve"> </w:t>
      </w:r>
      <w:r w:rsidRPr="00AE7694">
        <w:rPr>
          <w:rFonts w:cs="Arial"/>
          <w:i/>
          <w:color w:val="0000FF"/>
        </w:rPr>
        <w:t>—</w:t>
      </w:r>
      <w:r w:rsidR="00CA7DB5" w:rsidRPr="00D027DF">
        <w:rPr>
          <w:rFonts w:cs="Arial"/>
          <w:i/>
          <w:color w:val="0000FF"/>
        </w:rPr>
        <w:t xml:space="preserve"> </w:t>
      </w:r>
      <w:r w:rsidR="00CA7DB5" w:rsidRPr="00D027DF">
        <w:rPr>
          <w:i/>
          <w:color w:val="0000FF"/>
        </w:rPr>
        <w:t>A</w:t>
      </w:r>
      <w:r w:rsidR="00CA7DB5" w:rsidRPr="00831C02">
        <w:rPr>
          <w:i/>
          <w:color w:val="0000FF"/>
        </w:rPr>
        <w:t xml:space="preserve">jouter </w:t>
      </w:r>
      <w:r w:rsidR="00CA7DB5" w:rsidRPr="00F03EC5">
        <w:rPr>
          <w:i/>
          <w:color w:val="0000FF"/>
        </w:rPr>
        <w:t>la déclaration qui suit, selon l’importance et/ou la pertinence de</w:t>
      </w:r>
      <w:r w:rsidR="002D307E" w:rsidRPr="00F03EC5">
        <w:rPr>
          <w:i/>
          <w:color w:val="0000FF"/>
        </w:rPr>
        <w:t>s contrats de location</w:t>
      </w:r>
      <w:r w:rsidR="002D307E" w:rsidRPr="00F03EC5">
        <w:rPr>
          <w:i/>
          <w:color w:val="0000FF"/>
        </w:rPr>
        <w:noBreakHyphen/>
        <w:t xml:space="preserve">financement </w:t>
      </w:r>
      <w:r w:rsidR="00611C64">
        <w:rPr>
          <w:i/>
          <w:color w:val="0000FF"/>
        </w:rPr>
        <w:t>pour</w:t>
      </w:r>
      <w:r w:rsidR="00CA7DB5" w:rsidRPr="005012C5">
        <w:rPr>
          <w:i/>
          <w:color w:val="0000FF"/>
        </w:rPr>
        <w:t xml:space="preserve"> la mission d’</w:t>
      </w:r>
      <w:r w:rsidR="00CA7DB5" w:rsidRPr="00BF20B2">
        <w:rPr>
          <w:i/>
          <w:color w:val="0000FF"/>
        </w:rPr>
        <w:t>audit </w:t>
      </w:r>
      <w:r w:rsidRPr="00AE7694">
        <w:rPr>
          <w:color w:val="0000FF"/>
        </w:rPr>
        <w:t>:</w:t>
      </w:r>
      <w:r w:rsidRPr="00D027DF">
        <w:t>]</w:t>
      </w:r>
      <w:r w:rsidRPr="0073586F">
        <w:t xml:space="preserve"> </w:t>
      </w:r>
    </w:p>
    <w:p w14:paraId="40115192" w14:textId="178B63F7" w:rsidR="001E4826" w:rsidRPr="0073586F" w:rsidRDefault="00F03EC5" w:rsidP="001E4826">
      <w:pPr>
        <w:pStyle w:val="09Para"/>
        <w:tabs>
          <w:tab w:val="left" w:pos="360"/>
        </w:tabs>
        <w:rPr>
          <w:b/>
        </w:rPr>
      </w:pPr>
      <w:r w:rsidRPr="005012C5">
        <w:t xml:space="preserve">En ce qui </w:t>
      </w:r>
      <w:r>
        <w:t>a trait aux</w:t>
      </w:r>
      <w:r w:rsidRPr="005012C5">
        <w:t xml:space="preserve"> modifications apportées aux contrats de location</w:t>
      </w:r>
      <w:r w:rsidRPr="005012C5">
        <w:noBreakHyphen/>
      </w:r>
      <w:r w:rsidRPr="00BF20B2">
        <w:t xml:space="preserve">financement, nous avons adéquatement appliqué </w:t>
      </w:r>
      <w:r w:rsidRPr="00AE7694">
        <w:t>l</w:t>
      </w:r>
      <w:r w:rsidRPr="00D027DF">
        <w:t>’allégement</w:t>
      </w:r>
      <w:r w:rsidRPr="00831C02">
        <w:t xml:space="preserve"> </w:t>
      </w:r>
      <w:r w:rsidRPr="00F03EC5">
        <w:t>offert par la mesure de simplification pour le changement de base de la détermination des flux de trésorerie contractuels des actifs financiers et des passifs financiers, conformément aux exigences de l’IFRS</w:t>
      </w:r>
      <w:r w:rsidR="005C7F8B">
        <w:t> </w:t>
      </w:r>
      <w:r w:rsidRPr="00F03EC5">
        <w:t>9.</w:t>
      </w:r>
      <w:r w:rsidR="001E4826" w:rsidRPr="0073586F">
        <w:rPr>
          <w:b/>
        </w:rPr>
        <w:t xml:space="preserve"> </w:t>
      </w:r>
      <w:r w:rsidR="001E4826" w:rsidRPr="0073586F">
        <w:t>[</w:t>
      </w:r>
      <w:r w:rsidRPr="005012C5">
        <w:rPr>
          <w:i/>
          <w:color w:val="0000FF"/>
        </w:rPr>
        <w:t xml:space="preserve">Ajouter </w:t>
      </w:r>
      <w:r w:rsidRPr="00BF20B2">
        <w:rPr>
          <w:i/>
          <w:color w:val="0000FF"/>
        </w:rPr>
        <w:t>la déclaration qui suit, selon l</w:t>
      </w:r>
      <w:r w:rsidRPr="00AE7694">
        <w:rPr>
          <w:i/>
          <w:color w:val="0000FF"/>
        </w:rPr>
        <w:t>’</w:t>
      </w:r>
      <w:r w:rsidRPr="00D027DF">
        <w:rPr>
          <w:i/>
          <w:color w:val="0000FF"/>
        </w:rPr>
        <w:t xml:space="preserve">importance et/ou la pertinence </w:t>
      </w:r>
      <w:r w:rsidRPr="00831C02">
        <w:rPr>
          <w:i/>
          <w:color w:val="0000FF"/>
        </w:rPr>
        <w:t>d</w:t>
      </w:r>
      <w:r w:rsidRPr="00F03EC5">
        <w:rPr>
          <w:i/>
          <w:color w:val="0000FF"/>
        </w:rPr>
        <w:t xml:space="preserve">es contrats de location simple </w:t>
      </w:r>
      <w:r w:rsidR="00611C64">
        <w:rPr>
          <w:i/>
          <w:color w:val="0000FF"/>
        </w:rPr>
        <w:t>pour</w:t>
      </w:r>
      <w:r w:rsidRPr="005012C5">
        <w:rPr>
          <w:i/>
          <w:color w:val="0000FF"/>
        </w:rPr>
        <w:t xml:space="preserve"> la mission d’</w:t>
      </w:r>
      <w:r w:rsidRPr="00BF20B2">
        <w:rPr>
          <w:i/>
          <w:color w:val="0000FF"/>
        </w:rPr>
        <w:t>audit </w:t>
      </w:r>
      <w:r w:rsidR="001E4826" w:rsidRPr="0073586F">
        <w:t>:]</w:t>
      </w:r>
      <w:r w:rsidR="001E4826" w:rsidRPr="0073586F">
        <w:rPr>
          <w:i/>
        </w:rPr>
        <w:t xml:space="preserve"> </w:t>
      </w:r>
      <w:r w:rsidR="00611C64" w:rsidRPr="005012C5">
        <w:t>Pour ce qui est de</w:t>
      </w:r>
      <w:r w:rsidR="00611C64" w:rsidRPr="00BF20B2">
        <w:t xml:space="preserve"> l’</w:t>
      </w:r>
      <w:r w:rsidR="00611C64" w:rsidRPr="00AE7694">
        <w:t>apport de</w:t>
      </w:r>
      <w:r w:rsidRPr="00D027DF">
        <w:t xml:space="preserve"> modifications aux contrats de location simple, nous avons continué </w:t>
      </w:r>
      <w:r w:rsidR="00611C64" w:rsidRPr="00831C02">
        <w:t>d</w:t>
      </w:r>
      <w:r w:rsidR="00611C64" w:rsidRPr="00611C64">
        <w:t>e mettre en application l’orientation fournie à cet égard à l’IFRS</w:t>
      </w:r>
      <w:r w:rsidR="005C7F8B">
        <w:t> </w:t>
      </w:r>
      <w:r w:rsidR="00D45470">
        <w:t>16</w:t>
      </w:r>
      <w:r w:rsidR="00611C64" w:rsidRPr="00611C64">
        <w:t>.</w:t>
      </w:r>
    </w:p>
    <w:p w14:paraId="7373312B" w14:textId="60B55565" w:rsidR="001E4826" w:rsidRPr="00611C64" w:rsidRDefault="001E4826" w:rsidP="001E4826">
      <w:pPr>
        <w:pStyle w:val="09Para"/>
        <w:tabs>
          <w:tab w:val="left" w:pos="360"/>
        </w:tabs>
        <w:rPr>
          <w:color w:val="0000FF"/>
        </w:rPr>
      </w:pPr>
      <w:r w:rsidRPr="005012C5">
        <w:t>[</w:t>
      </w:r>
      <w:r w:rsidR="00A13D6A" w:rsidRPr="005012C5">
        <w:rPr>
          <w:i/>
          <w:color w:val="0000FF"/>
        </w:rPr>
        <w:t>P</w:t>
      </w:r>
      <w:r w:rsidR="00A13D6A" w:rsidRPr="00BF20B2">
        <w:rPr>
          <w:i/>
          <w:color w:val="0000FF"/>
        </w:rPr>
        <w:t>RENEUR</w:t>
      </w:r>
      <w:r w:rsidR="00CA7DB5" w:rsidRPr="00AE7694">
        <w:rPr>
          <w:i/>
          <w:color w:val="0000FF"/>
        </w:rPr>
        <w:t xml:space="preserve"> </w:t>
      </w:r>
      <w:r w:rsidRPr="00D027DF">
        <w:rPr>
          <w:i/>
          <w:color w:val="0000FF"/>
        </w:rPr>
        <w:t>—</w:t>
      </w:r>
      <w:r w:rsidR="00CA7DB5" w:rsidRPr="00D027DF">
        <w:rPr>
          <w:i/>
          <w:color w:val="0000FF"/>
        </w:rPr>
        <w:t xml:space="preserve"> </w:t>
      </w:r>
      <w:r w:rsidR="00CA7DB5" w:rsidRPr="00831C02">
        <w:rPr>
          <w:i/>
          <w:color w:val="0000FF"/>
        </w:rPr>
        <w:t>A</w:t>
      </w:r>
      <w:r w:rsidR="00CA7DB5" w:rsidRPr="00611C64">
        <w:rPr>
          <w:i/>
          <w:color w:val="0000FF"/>
        </w:rPr>
        <w:t>jouter la déclaration qui suit, selon l’importance et/ou la pertinence d</w:t>
      </w:r>
      <w:r w:rsidR="002D307E" w:rsidRPr="00611C64">
        <w:rPr>
          <w:i/>
          <w:color w:val="0000FF"/>
        </w:rPr>
        <w:t xml:space="preserve">es contrats de location </w:t>
      </w:r>
      <w:r w:rsidR="00611C64" w:rsidRPr="00611C64">
        <w:rPr>
          <w:i/>
          <w:color w:val="0000FF"/>
        </w:rPr>
        <w:t>pour</w:t>
      </w:r>
      <w:r w:rsidR="00CA7DB5" w:rsidRPr="00611C64">
        <w:rPr>
          <w:i/>
          <w:color w:val="0000FF"/>
        </w:rPr>
        <w:t xml:space="preserve"> la mission d’audit </w:t>
      </w:r>
      <w:r w:rsidRPr="00611C64">
        <w:rPr>
          <w:color w:val="0000FF"/>
        </w:rPr>
        <w:t>:</w:t>
      </w:r>
      <w:r w:rsidRPr="00611C64">
        <w:t>]</w:t>
      </w:r>
    </w:p>
    <w:p w14:paraId="25322460" w14:textId="4999186E" w:rsidR="001E4826" w:rsidRPr="0073586F" w:rsidRDefault="00611C64" w:rsidP="001E4826">
      <w:pPr>
        <w:pStyle w:val="09Para"/>
        <w:tabs>
          <w:tab w:val="left" w:pos="360"/>
        </w:tabs>
        <w:rPr>
          <w:b/>
        </w:rPr>
      </w:pPr>
      <w:r w:rsidRPr="00611C64">
        <w:t>En ce qui concerne les modifications de contrat de location entraînées par la réforme des TIO :</w:t>
      </w:r>
    </w:p>
    <w:p w14:paraId="0FAA4421" w14:textId="44A75208" w:rsidR="001E4826" w:rsidRPr="0073586F" w:rsidRDefault="00611C64" w:rsidP="00AE2CEF">
      <w:pPr>
        <w:pStyle w:val="09Para"/>
        <w:keepNext/>
      </w:pPr>
      <w:r>
        <w:lastRenderedPageBreak/>
        <w:t xml:space="preserve">Nous avons déterminé </w:t>
      </w:r>
      <w:r w:rsidR="00DD6952">
        <w:t xml:space="preserve">si la mesure de simplification s’appliquait </w:t>
      </w:r>
      <w:r w:rsidR="005C7F8B">
        <w:t xml:space="preserve">dans son entièreté </w:t>
      </w:r>
      <w:r w:rsidR="00DD6952">
        <w:t xml:space="preserve">à toutes les </w:t>
      </w:r>
      <w:r w:rsidR="00DD6952" w:rsidRPr="001D57D0">
        <w:t>modifications de contrat de location</w:t>
      </w:r>
      <w:r w:rsidR="00DD6952">
        <w:t xml:space="preserve"> en question en examinant :</w:t>
      </w:r>
    </w:p>
    <w:p w14:paraId="120463E2" w14:textId="6FB2482A" w:rsidR="001E4826" w:rsidRPr="00015195" w:rsidRDefault="00DD6952" w:rsidP="001E4826">
      <w:pPr>
        <w:pStyle w:val="09ParaBullet1"/>
        <w:numPr>
          <w:ilvl w:val="0"/>
          <w:numId w:val="5"/>
        </w:numPr>
        <w:tabs>
          <w:tab w:val="clear" w:pos="1495"/>
          <w:tab w:val="num" w:pos="720"/>
        </w:tabs>
        <w:ind w:left="720"/>
        <w:rPr>
          <w:rFonts w:cs="Arial"/>
        </w:rPr>
      </w:pPr>
      <w:r>
        <w:rPr>
          <w:rFonts w:cs="Arial"/>
        </w:rPr>
        <w:t>si la nécessité de procéder à tou</w:t>
      </w:r>
      <w:r w:rsidR="00117CD1">
        <w:rPr>
          <w:rFonts w:cs="Arial"/>
        </w:rPr>
        <w:t>te</w:t>
      </w:r>
      <w:r>
        <w:rPr>
          <w:rFonts w:cs="Arial"/>
        </w:rPr>
        <w:t xml:space="preserve">s les </w:t>
      </w:r>
      <w:r w:rsidR="00117CD1">
        <w:rPr>
          <w:rFonts w:cs="Arial"/>
        </w:rPr>
        <w:t>modifications de contrat</w:t>
      </w:r>
      <w:r>
        <w:rPr>
          <w:rFonts w:cs="Arial"/>
        </w:rPr>
        <w:t xml:space="preserve"> en question était une conséquence directe de la réforme des TIO;</w:t>
      </w:r>
    </w:p>
    <w:p w14:paraId="4D7889ED" w14:textId="6202E37B" w:rsidR="001E4826" w:rsidRPr="00015195" w:rsidRDefault="00DD6952" w:rsidP="001E4826">
      <w:pPr>
        <w:pStyle w:val="09ParaBullet1"/>
        <w:numPr>
          <w:ilvl w:val="0"/>
          <w:numId w:val="5"/>
        </w:numPr>
        <w:tabs>
          <w:tab w:val="clear" w:pos="1495"/>
          <w:tab w:val="num" w:pos="720"/>
        </w:tabs>
        <w:ind w:left="720"/>
        <w:rPr>
          <w:rFonts w:cs="Arial"/>
        </w:rPr>
      </w:pPr>
      <w:r w:rsidRPr="00217343">
        <w:rPr>
          <w:rFonts w:cs="Arial"/>
        </w:rPr>
        <w:t xml:space="preserve">si </w:t>
      </w:r>
      <w:r w:rsidR="00117CD1" w:rsidRPr="00217343">
        <w:rPr>
          <w:rFonts w:cs="Arial"/>
        </w:rPr>
        <w:t>toutes les modifications de contrat</w:t>
      </w:r>
      <w:r w:rsidR="0085203B" w:rsidRPr="00217343">
        <w:rPr>
          <w:rFonts w:cs="Arial"/>
        </w:rPr>
        <w:t xml:space="preserve"> de location</w:t>
      </w:r>
      <w:r w:rsidR="00117CD1" w:rsidRPr="00726625">
        <w:rPr>
          <w:rFonts w:cs="Arial"/>
        </w:rPr>
        <w:t xml:space="preserve"> en question</w:t>
      </w:r>
      <w:r w:rsidRPr="00726625">
        <w:rPr>
          <w:rFonts w:cs="Arial"/>
        </w:rPr>
        <w:t xml:space="preserve"> </w:t>
      </w:r>
      <w:r w:rsidR="005643EF" w:rsidRPr="00726625">
        <w:rPr>
          <w:rFonts w:cs="Arial"/>
        </w:rPr>
        <w:t>font en sorte que</w:t>
      </w:r>
      <w:r w:rsidR="0085203B" w:rsidRPr="00726625">
        <w:rPr>
          <w:rFonts w:cs="Arial"/>
        </w:rPr>
        <w:t xml:space="preserve"> la</w:t>
      </w:r>
      <w:r w:rsidRPr="00726625">
        <w:rPr>
          <w:rFonts w:cs="Arial"/>
        </w:rPr>
        <w:t xml:space="preserve"> nouvelle base de détermination des</w:t>
      </w:r>
      <w:r w:rsidR="00117CD1" w:rsidRPr="00726625">
        <w:rPr>
          <w:rFonts w:cs="Arial"/>
        </w:rPr>
        <w:t xml:space="preserve"> paiements de loyers</w:t>
      </w:r>
      <w:r w:rsidRPr="00726625">
        <w:rPr>
          <w:rFonts w:cs="Arial"/>
        </w:rPr>
        <w:t xml:space="preserve"> </w:t>
      </w:r>
      <w:r w:rsidR="0085203B" w:rsidRPr="00726625">
        <w:rPr>
          <w:rFonts w:cs="Arial"/>
        </w:rPr>
        <w:t xml:space="preserve">découlant </w:t>
      </w:r>
      <w:r w:rsidRPr="00726625">
        <w:rPr>
          <w:rFonts w:cs="Arial"/>
        </w:rPr>
        <w:t xml:space="preserve">du contrat </w:t>
      </w:r>
      <w:r w:rsidR="00117CD1" w:rsidRPr="00726625">
        <w:rPr>
          <w:rFonts w:cs="Arial"/>
        </w:rPr>
        <w:t xml:space="preserve">de location </w:t>
      </w:r>
      <w:r w:rsidRPr="00726625">
        <w:rPr>
          <w:rFonts w:cs="Arial"/>
        </w:rPr>
        <w:t>modifié est économiquement équivalente à l’ancienne base</w:t>
      </w:r>
      <w:r>
        <w:rPr>
          <w:rFonts w:cs="Arial"/>
        </w:rPr>
        <w:t>.</w:t>
      </w:r>
    </w:p>
    <w:p w14:paraId="2450251D" w14:textId="558942E7" w:rsidR="001E4826" w:rsidRPr="0073586F" w:rsidRDefault="001E4826" w:rsidP="001E4826">
      <w:pPr>
        <w:pStyle w:val="09Para"/>
      </w:pPr>
      <w:r w:rsidRPr="00015195">
        <w:t>[</w:t>
      </w:r>
      <w:r w:rsidR="00DD6952" w:rsidRPr="00CE11A0">
        <w:rPr>
          <w:i/>
          <w:color w:val="0000FF"/>
        </w:rPr>
        <w:t>S</w:t>
      </w:r>
      <w:r w:rsidR="00DD6952" w:rsidRPr="00C41A84">
        <w:rPr>
          <w:i/>
          <w:color w:val="0000FF"/>
        </w:rPr>
        <w:t xml:space="preserve">i </w:t>
      </w:r>
      <w:r w:rsidR="00DD6952" w:rsidRPr="001D57D0">
        <w:rPr>
          <w:i/>
          <w:color w:val="0000FF"/>
        </w:rPr>
        <w:t>tous les changements apportés ou toutes les modifications contractuelles</w:t>
      </w:r>
      <w:r w:rsidR="00DD6952" w:rsidRPr="00CE11A0">
        <w:rPr>
          <w:i/>
          <w:color w:val="0000FF"/>
        </w:rPr>
        <w:t xml:space="preserve"> </w:t>
      </w:r>
      <w:r w:rsidR="00DD6952">
        <w:rPr>
          <w:i/>
          <w:color w:val="0000FF"/>
        </w:rPr>
        <w:t>remplissent les conditions relatives</w:t>
      </w:r>
      <w:r w:rsidR="00DD6952" w:rsidRPr="00CE11A0">
        <w:rPr>
          <w:i/>
          <w:color w:val="0000FF"/>
        </w:rPr>
        <w:t xml:space="preserve"> à la mesure de simplification</w:t>
      </w:r>
      <w:r w:rsidR="00DD6952" w:rsidRPr="001D57D0">
        <w:rPr>
          <w:i/>
          <w:color w:val="0000FF"/>
        </w:rPr>
        <w:t>, ajouter ce qui suit</w:t>
      </w:r>
      <w:r w:rsidR="00DD6952" w:rsidRPr="00CE11A0">
        <w:t> </w:t>
      </w:r>
      <w:r>
        <w:rPr>
          <w:color w:val="0000FF"/>
        </w:rPr>
        <w:t>:</w:t>
      </w:r>
      <w:r w:rsidRPr="00015195">
        <w:t>]</w:t>
      </w:r>
      <w:r w:rsidRPr="0073586F">
        <w:t xml:space="preserve"> </w:t>
      </w:r>
      <w:r w:rsidR="00DD6952" w:rsidRPr="00CE11A0">
        <w:t>Nous avons</w:t>
      </w:r>
      <w:r w:rsidR="00DD6952" w:rsidRPr="00C41A84">
        <w:t xml:space="preserve"> appliqué ad</w:t>
      </w:r>
      <w:r w:rsidR="00DD6952" w:rsidRPr="003225BA">
        <w:t xml:space="preserve">équatement la mesure de simplification et </w:t>
      </w:r>
      <w:r w:rsidR="0085203B">
        <w:t xml:space="preserve">réévalué les obligations locatives en </w:t>
      </w:r>
      <w:r w:rsidR="00EA50E6">
        <w:t>actualisant les</w:t>
      </w:r>
      <w:r w:rsidR="00EA1216">
        <w:t> </w:t>
      </w:r>
      <w:r w:rsidR="0085203B">
        <w:t xml:space="preserve">paiements de loyers </w:t>
      </w:r>
      <w:r w:rsidR="00EA50E6">
        <w:t>révisés</w:t>
      </w:r>
      <w:r w:rsidR="0085203B">
        <w:t xml:space="preserve"> </w:t>
      </w:r>
      <w:r w:rsidR="00EA50E6">
        <w:t xml:space="preserve">à </w:t>
      </w:r>
      <w:r w:rsidR="0085203B">
        <w:t xml:space="preserve">un taux d’actualisation </w:t>
      </w:r>
      <w:r w:rsidR="00EA50E6">
        <w:t>qui tient</w:t>
      </w:r>
      <w:r w:rsidR="0085203B">
        <w:t xml:space="preserve"> compte de la modification du</w:t>
      </w:r>
      <w:r w:rsidR="00EA1216">
        <w:t> </w:t>
      </w:r>
      <w:r w:rsidR="0085203B">
        <w:t>taux d’intérêt.</w:t>
      </w:r>
    </w:p>
    <w:p w14:paraId="31AC7F1C" w14:textId="6AEA2651" w:rsidR="001E4826" w:rsidRPr="003614BC" w:rsidRDefault="001E4826" w:rsidP="001E4826">
      <w:pPr>
        <w:pStyle w:val="09Para"/>
        <w:rPr>
          <w:i/>
          <w:color w:val="0000FF"/>
        </w:rPr>
      </w:pPr>
      <w:r w:rsidRPr="003614BC">
        <w:rPr>
          <w:i/>
          <w:color w:val="0000FF"/>
        </w:rPr>
        <w:t>O</w:t>
      </w:r>
      <w:r w:rsidR="0073735D" w:rsidRPr="003614BC">
        <w:rPr>
          <w:i/>
          <w:color w:val="0000FF"/>
        </w:rPr>
        <w:t>U</w:t>
      </w:r>
    </w:p>
    <w:p w14:paraId="41952A24" w14:textId="4798E2B8" w:rsidR="001E4826" w:rsidRPr="0073586F" w:rsidRDefault="001E4826" w:rsidP="001E4826">
      <w:pPr>
        <w:pStyle w:val="09Para"/>
      </w:pPr>
      <w:r w:rsidRPr="00015195">
        <w:t>[</w:t>
      </w:r>
      <w:r w:rsidR="00EA50E6" w:rsidRPr="00CE11A0">
        <w:rPr>
          <w:i/>
          <w:color w:val="0000FF"/>
        </w:rPr>
        <w:t>S</w:t>
      </w:r>
      <w:r w:rsidR="00EA50E6" w:rsidRPr="00C41A84">
        <w:rPr>
          <w:i/>
          <w:color w:val="0000FF"/>
        </w:rPr>
        <w:t xml:space="preserve">i </w:t>
      </w:r>
      <w:r w:rsidR="00253DCF">
        <w:rPr>
          <w:i/>
          <w:color w:val="0000FF"/>
        </w:rPr>
        <w:t>les conditions relatives</w:t>
      </w:r>
      <w:r w:rsidR="00253DCF" w:rsidRPr="00CE11A0">
        <w:rPr>
          <w:i/>
          <w:color w:val="0000FF"/>
        </w:rPr>
        <w:t xml:space="preserve"> à la mesure de simplification</w:t>
      </w:r>
      <w:r w:rsidR="00253DCF" w:rsidRPr="001D57D0">
        <w:rPr>
          <w:i/>
          <w:color w:val="0000FF"/>
        </w:rPr>
        <w:t xml:space="preserve"> </w:t>
      </w:r>
      <w:r w:rsidR="00253DCF">
        <w:rPr>
          <w:i/>
          <w:color w:val="0000FF"/>
        </w:rPr>
        <w:t xml:space="preserve">NE sont PAS remplies </w:t>
      </w:r>
      <w:r w:rsidR="00C52662">
        <w:rPr>
          <w:i/>
          <w:color w:val="0000FF"/>
        </w:rPr>
        <w:t xml:space="preserve">dans leur intégralité </w:t>
      </w:r>
      <w:r w:rsidR="00253DCF">
        <w:rPr>
          <w:i/>
          <w:color w:val="0000FF"/>
        </w:rPr>
        <w:t xml:space="preserve">par </w:t>
      </w:r>
      <w:r w:rsidR="00EA50E6" w:rsidRPr="001D57D0">
        <w:rPr>
          <w:i/>
          <w:color w:val="0000FF"/>
        </w:rPr>
        <w:t>tous les changements apportés ou toutes les modifications contractuelles, ajouter</w:t>
      </w:r>
      <w:r w:rsidR="00EA1216">
        <w:rPr>
          <w:i/>
          <w:color w:val="0000FF"/>
        </w:rPr>
        <w:t> </w:t>
      </w:r>
      <w:r w:rsidR="00EA50E6" w:rsidRPr="001D57D0">
        <w:rPr>
          <w:i/>
          <w:color w:val="0000FF"/>
        </w:rPr>
        <w:t>ce qui suit</w:t>
      </w:r>
      <w:r w:rsidR="00EA50E6">
        <w:rPr>
          <w:i/>
          <w:color w:val="0000FF"/>
        </w:rPr>
        <w:t> </w:t>
      </w:r>
      <w:r>
        <w:rPr>
          <w:color w:val="0000FF"/>
        </w:rPr>
        <w:t>:</w:t>
      </w:r>
      <w:r w:rsidRPr="00015195">
        <w:t>]</w:t>
      </w:r>
      <w:r w:rsidRPr="0073586F">
        <w:t xml:space="preserve"> </w:t>
      </w:r>
    </w:p>
    <w:p w14:paraId="127E802C" w14:textId="2F317D2F" w:rsidR="001E4826" w:rsidRPr="0073586F" w:rsidRDefault="00EA50E6" w:rsidP="001E4826">
      <w:pPr>
        <w:pStyle w:val="09Para"/>
        <w:rPr>
          <w:b/>
        </w:rPr>
      </w:pPr>
      <w:r w:rsidRPr="00CE11A0">
        <w:t>Nous avons</w:t>
      </w:r>
      <w:r w:rsidRPr="00C41A84">
        <w:t xml:space="preserve"> appliqué ad</w:t>
      </w:r>
      <w:r w:rsidRPr="003225BA">
        <w:t>équatement</w:t>
      </w:r>
      <w:r>
        <w:t xml:space="preserve"> les exigences de l’IFRS</w:t>
      </w:r>
      <w:r w:rsidR="00C52662">
        <w:t> </w:t>
      </w:r>
      <w:r w:rsidR="00D45470">
        <w:t>16</w:t>
      </w:r>
      <w:r>
        <w:t xml:space="preserve"> applicables </w:t>
      </w:r>
      <w:r w:rsidR="00556CC7">
        <w:t>afin de</w:t>
      </w:r>
      <w:r>
        <w:t xml:space="preserve"> comptabiliser </w:t>
      </w:r>
      <w:r w:rsidRPr="005012C5">
        <w:t xml:space="preserve">toutes les modifications de contrat de location apportées </w:t>
      </w:r>
      <w:r w:rsidR="00556CC7" w:rsidRPr="00BF20B2">
        <w:t>en</w:t>
      </w:r>
      <w:r w:rsidRPr="00AE7694">
        <w:t xml:space="preserve"> même </w:t>
      </w:r>
      <w:r w:rsidR="00556CC7" w:rsidRPr="00D027DF">
        <w:t>temps</w:t>
      </w:r>
      <w:r w:rsidRPr="00AF2CC2">
        <w:t>, y</w:t>
      </w:r>
      <w:r w:rsidR="00EA1216">
        <w:t> </w:t>
      </w:r>
      <w:r w:rsidRPr="00AF2CC2">
        <w:t xml:space="preserve">compris celles requises par la réforme des </w:t>
      </w:r>
      <w:r w:rsidRPr="00556CC7">
        <w:t>TIO.</w:t>
      </w:r>
    </w:p>
    <w:p w14:paraId="1A07CA57" w14:textId="4458D737" w:rsidR="001E4826" w:rsidRPr="0073586F" w:rsidRDefault="001E4826" w:rsidP="001E4826">
      <w:pPr>
        <w:pStyle w:val="09Para"/>
      </w:pPr>
      <w:r w:rsidRPr="005012C5">
        <w:t>[</w:t>
      </w:r>
      <w:r w:rsidR="00556CC7" w:rsidRPr="005012C5">
        <w:rPr>
          <w:i/>
          <w:color w:val="0000FF"/>
        </w:rPr>
        <w:t>A</w:t>
      </w:r>
      <w:r w:rsidR="00556CC7" w:rsidRPr="00BF20B2">
        <w:rPr>
          <w:i/>
          <w:color w:val="0000FF"/>
        </w:rPr>
        <w:t>jouter la déclaration qui suit</w:t>
      </w:r>
      <w:r w:rsidR="00556CC7" w:rsidRPr="00AE7694">
        <w:rPr>
          <w:i/>
          <w:color w:val="0000FF"/>
        </w:rPr>
        <w:t>, selon l’</w:t>
      </w:r>
      <w:r w:rsidR="00556CC7" w:rsidRPr="00D027DF">
        <w:rPr>
          <w:i/>
          <w:color w:val="0000FF"/>
        </w:rPr>
        <w:t xml:space="preserve">importance et/ou la pertinence </w:t>
      </w:r>
      <w:r w:rsidR="00556CC7" w:rsidRPr="00AF2CC2">
        <w:rPr>
          <w:i/>
          <w:color w:val="0000FF"/>
        </w:rPr>
        <w:t>d</w:t>
      </w:r>
      <w:r w:rsidR="00556CC7" w:rsidRPr="00556CC7">
        <w:rPr>
          <w:i/>
          <w:color w:val="0000FF"/>
        </w:rPr>
        <w:t>e la comptabilité de couverture, en fonction de la réforme des TIO, pour la mission d’audit </w:t>
      </w:r>
      <w:r w:rsidRPr="00556CC7">
        <w:rPr>
          <w:color w:val="0000FF"/>
        </w:rPr>
        <w:t>:</w:t>
      </w:r>
      <w:r w:rsidRPr="00556CC7">
        <w:t>]</w:t>
      </w:r>
      <w:r w:rsidRPr="0073586F">
        <w:t xml:space="preserve"> </w:t>
      </w:r>
    </w:p>
    <w:p w14:paraId="37EA217B" w14:textId="01DE6D15" w:rsidR="001E4826" w:rsidRPr="0073586F" w:rsidRDefault="00556CC7" w:rsidP="001E4826">
      <w:pPr>
        <w:pStyle w:val="09Para"/>
      </w:pPr>
      <w:r w:rsidRPr="005012C5">
        <w:t>En ce qui concerne les m</w:t>
      </w:r>
      <w:r w:rsidRPr="00BF20B2">
        <w:t xml:space="preserve">odifications </w:t>
      </w:r>
      <w:r>
        <w:t>apportées aux relations de couverture à la suite de l</w:t>
      </w:r>
      <w:r w:rsidRPr="005012C5">
        <w:t xml:space="preserve">a réforme des </w:t>
      </w:r>
      <w:r w:rsidRPr="00D027DF">
        <w:t>TIO </w:t>
      </w:r>
      <w:r w:rsidR="001E4826" w:rsidRPr="0073586F">
        <w:t>:</w:t>
      </w:r>
    </w:p>
    <w:p w14:paraId="2C13362A" w14:textId="4380B50E" w:rsidR="001E4826" w:rsidRPr="005012C5" w:rsidRDefault="001E4826" w:rsidP="001E4826">
      <w:pPr>
        <w:pStyle w:val="09Para"/>
        <w:rPr>
          <w:color w:val="0000FF"/>
        </w:rPr>
      </w:pPr>
      <w:r w:rsidRPr="00015195">
        <w:t>[</w:t>
      </w:r>
      <w:r w:rsidR="00556CC7" w:rsidRPr="00BF20B2">
        <w:rPr>
          <w:i/>
          <w:color w:val="0000FF"/>
        </w:rPr>
        <w:t xml:space="preserve">Ajouter </w:t>
      </w:r>
      <w:r w:rsidR="00556CC7" w:rsidRPr="00AE7694">
        <w:rPr>
          <w:i/>
          <w:color w:val="0000FF"/>
        </w:rPr>
        <w:t xml:space="preserve">la déclaration qui suit </w:t>
      </w:r>
      <w:r w:rsidR="00556CC7" w:rsidRPr="00D027DF">
        <w:rPr>
          <w:i/>
          <w:color w:val="0000FF"/>
        </w:rPr>
        <w:t>si la désignation f</w:t>
      </w:r>
      <w:r w:rsidR="00556CC7" w:rsidRPr="00AF2CC2">
        <w:rPr>
          <w:i/>
          <w:color w:val="0000FF"/>
        </w:rPr>
        <w:t>ormelle</w:t>
      </w:r>
      <w:r w:rsidR="00556CC7" w:rsidRPr="005012C5">
        <w:rPr>
          <w:i/>
          <w:color w:val="0000FF"/>
        </w:rPr>
        <w:t xml:space="preserve"> des relations de couverture a été modifiée </w:t>
      </w:r>
      <w:r w:rsidRPr="005012C5">
        <w:rPr>
          <w:color w:val="0000FF"/>
        </w:rPr>
        <w:t>:</w:t>
      </w:r>
      <w:r w:rsidRPr="005012C5">
        <w:t>]</w:t>
      </w:r>
    </w:p>
    <w:p w14:paraId="7811B1DC" w14:textId="246ACF3A" w:rsidR="00EA1216" w:rsidRDefault="005012C5" w:rsidP="001E4826">
      <w:pPr>
        <w:pStyle w:val="09Para"/>
      </w:pPr>
      <w:r>
        <w:t>Nous avons uniquement modifié la désignation formelle de nos relations de couverture pour tenir compte des changements ci</w:t>
      </w:r>
      <w:r>
        <w:noBreakHyphen/>
        <w:t xml:space="preserve">après requis </w:t>
      </w:r>
      <w:r w:rsidR="000441F6">
        <w:t>par</w:t>
      </w:r>
      <w:r>
        <w:t xml:space="preserve"> la réforme des TIO. </w:t>
      </w:r>
      <w:r w:rsidR="00CB464B">
        <w:t>La modification de</w:t>
      </w:r>
      <w:r>
        <w:t xml:space="preserve"> la </w:t>
      </w:r>
      <w:r w:rsidRPr="00BF20B2">
        <w:t xml:space="preserve">désignation formelle de nos relations de couverture </w:t>
      </w:r>
      <w:r w:rsidR="00CB464B" w:rsidRPr="00AE7694">
        <w:t xml:space="preserve">ne signifiait </w:t>
      </w:r>
      <w:r w:rsidRPr="00D027DF">
        <w:t>pas l</w:t>
      </w:r>
      <w:r w:rsidRPr="00AF2CC2">
        <w:t>’</w:t>
      </w:r>
      <w:r w:rsidRPr="00930AFD">
        <w:t>abandon des relations de</w:t>
      </w:r>
      <w:r w:rsidR="00EA1216">
        <w:t> </w:t>
      </w:r>
      <w:r w:rsidRPr="00930AFD">
        <w:t xml:space="preserve">couverture ni la désignation </w:t>
      </w:r>
      <w:r w:rsidR="00CB464B" w:rsidRPr="00930AFD">
        <w:t>de nouvelles</w:t>
      </w:r>
      <w:r w:rsidRPr="00930AFD">
        <w:t xml:space="preserve"> relation</w:t>
      </w:r>
      <w:r w:rsidR="00CB464B" w:rsidRPr="00930AFD">
        <w:t>s</w:t>
      </w:r>
      <w:r w:rsidRPr="00930AFD">
        <w:t xml:space="preserve"> de couverture.</w:t>
      </w:r>
    </w:p>
    <w:p w14:paraId="59E1457F" w14:textId="0B8E0CBF" w:rsidR="001E4826" w:rsidRPr="0073586F" w:rsidRDefault="001E4826" w:rsidP="001E4826">
      <w:pPr>
        <w:pStyle w:val="09Para"/>
        <w:rPr>
          <w:b/>
        </w:rPr>
      </w:pPr>
      <w:r w:rsidRPr="00BB6DB5">
        <w:t>[</w:t>
      </w:r>
      <w:r w:rsidRPr="00BF20B2">
        <w:rPr>
          <w:i/>
          <w:color w:val="0000FF"/>
        </w:rPr>
        <w:t>S</w:t>
      </w:r>
      <w:r w:rsidR="006B4C5B" w:rsidRPr="00BF20B2">
        <w:rPr>
          <w:i/>
          <w:color w:val="0000FF"/>
        </w:rPr>
        <w:t>électionn</w:t>
      </w:r>
      <w:r w:rsidR="006B4C5B" w:rsidRPr="00AE7694">
        <w:rPr>
          <w:i/>
          <w:color w:val="0000FF"/>
        </w:rPr>
        <w:t>er ou retenir seulement</w:t>
      </w:r>
      <w:r w:rsidR="006B4C5B" w:rsidRPr="00D027DF">
        <w:rPr>
          <w:i/>
          <w:color w:val="0000FF"/>
        </w:rPr>
        <w:t xml:space="preserve"> les </w:t>
      </w:r>
      <w:r w:rsidR="006B4C5B" w:rsidRPr="00AF2CC2">
        <w:rPr>
          <w:i/>
          <w:color w:val="0000FF"/>
        </w:rPr>
        <w:t>m</w:t>
      </w:r>
      <w:r w:rsidR="006B4C5B" w:rsidRPr="00930AFD">
        <w:rPr>
          <w:i/>
          <w:color w:val="0000FF"/>
        </w:rPr>
        <w:t>odifications qui sont pertinentes pour la mission d’audit </w:t>
      </w:r>
      <w:r w:rsidRPr="00930AFD">
        <w:rPr>
          <w:color w:val="0000FF"/>
        </w:rPr>
        <w:t>:</w:t>
      </w:r>
      <w:r w:rsidRPr="00BB6DB5">
        <w:t>]</w:t>
      </w:r>
    </w:p>
    <w:p w14:paraId="32340DA7" w14:textId="11C69043" w:rsidR="001E4826" w:rsidRPr="00015195" w:rsidRDefault="00930AFD" w:rsidP="001E4826">
      <w:pPr>
        <w:pStyle w:val="09ParaBullet1"/>
        <w:numPr>
          <w:ilvl w:val="0"/>
          <w:numId w:val="5"/>
        </w:numPr>
        <w:tabs>
          <w:tab w:val="clear" w:pos="1495"/>
          <w:tab w:val="num" w:pos="720"/>
        </w:tabs>
        <w:ind w:left="720"/>
        <w:rPr>
          <w:rFonts w:cs="Arial"/>
        </w:rPr>
      </w:pPr>
      <w:r>
        <w:rPr>
          <w:rFonts w:cs="Arial"/>
        </w:rPr>
        <w:t xml:space="preserve">Désigner un taux de référence alternatif </w:t>
      </w:r>
      <w:r w:rsidR="000441F6">
        <w:rPr>
          <w:rFonts w:cs="Arial"/>
        </w:rPr>
        <w:t>comme</w:t>
      </w:r>
      <w:r>
        <w:rPr>
          <w:rFonts w:cs="Arial"/>
        </w:rPr>
        <w:t xml:space="preserve"> risque couvert;</w:t>
      </w:r>
    </w:p>
    <w:p w14:paraId="11FC8475" w14:textId="054306F2" w:rsidR="001E4826" w:rsidRPr="00BF20B2" w:rsidRDefault="00930AFD" w:rsidP="001E4826">
      <w:pPr>
        <w:pStyle w:val="09ParaBullet1"/>
        <w:numPr>
          <w:ilvl w:val="0"/>
          <w:numId w:val="5"/>
        </w:numPr>
        <w:tabs>
          <w:tab w:val="clear" w:pos="1495"/>
          <w:tab w:val="num" w:pos="720"/>
        </w:tabs>
        <w:ind w:left="720"/>
        <w:rPr>
          <w:rFonts w:cs="Arial"/>
        </w:rPr>
      </w:pPr>
      <w:r>
        <w:rPr>
          <w:rFonts w:cs="Arial"/>
        </w:rPr>
        <w:t xml:space="preserve">modifier la description de l’élément couvert (y compris </w:t>
      </w:r>
      <w:r w:rsidR="000441F6">
        <w:rPr>
          <w:rFonts w:cs="Arial"/>
        </w:rPr>
        <w:t>celle</w:t>
      </w:r>
      <w:r>
        <w:rPr>
          <w:rFonts w:cs="Arial"/>
        </w:rPr>
        <w:t xml:space="preserve"> de la </w:t>
      </w:r>
      <w:r w:rsidR="000441F6">
        <w:rPr>
          <w:rFonts w:cs="Arial"/>
        </w:rPr>
        <w:t>partie des</w:t>
      </w:r>
      <w:r>
        <w:rPr>
          <w:rFonts w:cs="Arial"/>
        </w:rPr>
        <w:t xml:space="preserve"> flux de</w:t>
      </w:r>
      <w:r w:rsidR="00EA1216">
        <w:rPr>
          <w:rFonts w:cs="Arial"/>
        </w:rPr>
        <w:t> </w:t>
      </w:r>
      <w:r w:rsidRPr="00AE7694">
        <w:rPr>
          <w:rFonts w:cs="Arial"/>
        </w:rPr>
        <w:t>trésorerie ou de la juste valeur</w:t>
      </w:r>
      <w:r w:rsidR="000441F6" w:rsidRPr="00D027DF">
        <w:rPr>
          <w:rFonts w:cs="Arial"/>
        </w:rPr>
        <w:t xml:space="preserve"> désignée comme</w:t>
      </w:r>
      <w:r w:rsidRPr="00D027DF">
        <w:rPr>
          <w:rFonts w:cs="Arial"/>
        </w:rPr>
        <w:t xml:space="preserve"> couverte</w:t>
      </w:r>
      <w:r w:rsidRPr="00AF2CC2">
        <w:rPr>
          <w:rFonts w:cs="Arial"/>
        </w:rPr>
        <w:t>)</w:t>
      </w:r>
      <w:r w:rsidRPr="00BF20B2">
        <w:rPr>
          <w:rFonts w:cs="Arial"/>
        </w:rPr>
        <w:t>;</w:t>
      </w:r>
    </w:p>
    <w:p w14:paraId="1F72263E" w14:textId="74A4F454" w:rsidR="001E4826" w:rsidRPr="00BF20B2" w:rsidRDefault="00930AFD" w:rsidP="001E4826">
      <w:pPr>
        <w:pStyle w:val="09ParaBullet1"/>
        <w:numPr>
          <w:ilvl w:val="0"/>
          <w:numId w:val="5"/>
        </w:numPr>
        <w:tabs>
          <w:tab w:val="clear" w:pos="1495"/>
          <w:tab w:val="num" w:pos="720"/>
        </w:tabs>
        <w:ind w:left="720"/>
        <w:rPr>
          <w:rFonts w:cs="Arial"/>
        </w:rPr>
      </w:pPr>
      <w:r w:rsidRPr="00BF20B2">
        <w:rPr>
          <w:rFonts w:cs="Arial"/>
        </w:rPr>
        <w:t>modifier la description de l’</w:t>
      </w:r>
      <w:r w:rsidR="000441F6" w:rsidRPr="00BF20B2">
        <w:rPr>
          <w:rFonts w:cs="Arial"/>
        </w:rPr>
        <w:t>instrument de couverture;</w:t>
      </w:r>
    </w:p>
    <w:p w14:paraId="7931D2AA" w14:textId="4966ABC4" w:rsidR="001E4826" w:rsidRPr="00BF20B2" w:rsidRDefault="00930AFD" w:rsidP="001E4826">
      <w:pPr>
        <w:pStyle w:val="09ParaBullet1"/>
        <w:numPr>
          <w:ilvl w:val="0"/>
          <w:numId w:val="5"/>
        </w:numPr>
        <w:tabs>
          <w:tab w:val="clear" w:pos="1495"/>
          <w:tab w:val="num" w:pos="720"/>
        </w:tabs>
        <w:ind w:left="720"/>
        <w:rPr>
          <w:rFonts w:cs="Arial"/>
        </w:rPr>
      </w:pPr>
      <w:r w:rsidRPr="00BF20B2">
        <w:rPr>
          <w:rFonts w:cs="Arial"/>
        </w:rPr>
        <w:t>modifier la description de la manière dont nous évaluerons l’efficacité de la couverture.</w:t>
      </w:r>
    </w:p>
    <w:p w14:paraId="076BC22A" w14:textId="05AE895C" w:rsidR="001E4826" w:rsidRPr="0073586F" w:rsidRDefault="001E4826" w:rsidP="001E4826">
      <w:pPr>
        <w:pStyle w:val="09Para"/>
      </w:pPr>
      <w:r w:rsidRPr="0073586F">
        <w:lastRenderedPageBreak/>
        <w:t>[</w:t>
      </w:r>
      <w:r w:rsidR="000441F6" w:rsidRPr="00AE7694">
        <w:rPr>
          <w:i/>
          <w:color w:val="0000FF"/>
        </w:rPr>
        <w:t xml:space="preserve">Ajouter </w:t>
      </w:r>
      <w:r w:rsidR="000441F6" w:rsidRPr="00B50E05">
        <w:rPr>
          <w:i/>
          <w:color w:val="0000FF"/>
        </w:rPr>
        <w:t>la déclaration qui suit</w:t>
      </w:r>
      <w:r w:rsidR="000441F6" w:rsidRPr="00D027DF">
        <w:rPr>
          <w:i/>
          <w:color w:val="0000FF"/>
        </w:rPr>
        <w:t xml:space="preserve"> si la d</w:t>
      </w:r>
      <w:r w:rsidR="000441F6" w:rsidRPr="00AF2CC2">
        <w:rPr>
          <w:i/>
          <w:color w:val="0000FF"/>
        </w:rPr>
        <w:t xml:space="preserve">escription </w:t>
      </w:r>
      <w:r w:rsidR="000441F6" w:rsidRPr="00BF20B2">
        <w:rPr>
          <w:i/>
          <w:color w:val="0000FF"/>
        </w:rPr>
        <w:t>des instruments de couverture a été modifiée </w:t>
      </w:r>
      <w:r w:rsidRPr="00BF20B2">
        <w:rPr>
          <w:i/>
          <w:color w:val="0000FF"/>
        </w:rPr>
        <w:t>:</w:t>
      </w:r>
      <w:r w:rsidRPr="0073586F">
        <w:t xml:space="preserve">] </w:t>
      </w:r>
    </w:p>
    <w:p w14:paraId="4C048938" w14:textId="7CF9AB36" w:rsidR="001E4826" w:rsidRPr="0073586F" w:rsidRDefault="00BF20B2" w:rsidP="009E4F8A">
      <w:pPr>
        <w:pStyle w:val="09Para"/>
        <w:keepNext/>
      </w:pPr>
      <w:r w:rsidRPr="00AE7694">
        <w:t xml:space="preserve">Nous </w:t>
      </w:r>
      <w:r w:rsidRPr="00B50E05">
        <w:t>avons modifié</w:t>
      </w:r>
      <w:r w:rsidRPr="00D027DF">
        <w:t xml:space="preserve"> la description des instrumen</w:t>
      </w:r>
      <w:r w:rsidRPr="00AF2CC2">
        <w:t>t</w:t>
      </w:r>
      <w:r w:rsidRPr="00BF20B2">
        <w:t>s de couverture</w:t>
      </w:r>
      <w:r>
        <w:t>, car</w:t>
      </w:r>
      <w:r w:rsidRPr="00AE7694">
        <w:t xml:space="preserve"> les trois conditions ci</w:t>
      </w:r>
      <w:r w:rsidRPr="00AE7694">
        <w:noBreakHyphen/>
      </w:r>
      <w:r w:rsidRPr="00B50E05">
        <w:t>apr</w:t>
      </w:r>
      <w:r w:rsidRPr="00D027DF">
        <w:t>ès étaient r</w:t>
      </w:r>
      <w:r>
        <w:t>éunies</w:t>
      </w:r>
      <w:r w:rsidRPr="00AE7694">
        <w:t> </w:t>
      </w:r>
      <w:r w:rsidR="001E4826" w:rsidRPr="0073586F">
        <w:t>:</w:t>
      </w:r>
    </w:p>
    <w:p w14:paraId="6510F984" w14:textId="2A443686" w:rsidR="001E4826" w:rsidRPr="00015195" w:rsidRDefault="00BF20B2" w:rsidP="001E4826">
      <w:pPr>
        <w:pStyle w:val="09ParaBullet1"/>
        <w:numPr>
          <w:ilvl w:val="0"/>
          <w:numId w:val="5"/>
        </w:numPr>
        <w:tabs>
          <w:tab w:val="clear" w:pos="1495"/>
          <w:tab w:val="num" w:pos="720"/>
        </w:tabs>
        <w:ind w:left="720"/>
        <w:rPr>
          <w:rFonts w:cs="Arial"/>
        </w:rPr>
      </w:pPr>
      <w:r>
        <w:rPr>
          <w:rFonts w:cs="Arial"/>
        </w:rPr>
        <w:t>le ou les changements requis par la réforme des TIO ont été apportés en recourant à une autre méthode qu’un changement de la base de détermination des flux de trésorerie contractuels de l’instrument de couverture;</w:t>
      </w:r>
    </w:p>
    <w:p w14:paraId="5741246E" w14:textId="2205C98F" w:rsidR="001E4826" w:rsidRPr="00015195" w:rsidRDefault="00BF20B2" w:rsidP="001E4826">
      <w:pPr>
        <w:pStyle w:val="09ParaBullet1"/>
        <w:numPr>
          <w:ilvl w:val="0"/>
          <w:numId w:val="5"/>
        </w:numPr>
        <w:tabs>
          <w:tab w:val="clear" w:pos="1495"/>
          <w:tab w:val="num" w:pos="720"/>
        </w:tabs>
        <w:ind w:left="720"/>
        <w:rPr>
          <w:rFonts w:cs="Arial"/>
        </w:rPr>
      </w:pPr>
      <w:r>
        <w:rPr>
          <w:rFonts w:cs="Arial"/>
        </w:rPr>
        <w:t>l’in</w:t>
      </w:r>
      <w:r w:rsidR="00C52662">
        <w:rPr>
          <w:rFonts w:cs="Arial"/>
        </w:rPr>
        <w:t>s</w:t>
      </w:r>
      <w:r>
        <w:rPr>
          <w:rFonts w:cs="Arial"/>
        </w:rPr>
        <w:t xml:space="preserve">trument de couverture initial n’est pas </w:t>
      </w:r>
      <w:proofErr w:type="spellStart"/>
      <w:r>
        <w:rPr>
          <w:rFonts w:cs="Arial"/>
        </w:rPr>
        <w:t>décomptabilisé</w:t>
      </w:r>
      <w:proofErr w:type="spellEnd"/>
      <w:r>
        <w:rPr>
          <w:rFonts w:cs="Arial"/>
        </w:rPr>
        <w:t>;</w:t>
      </w:r>
    </w:p>
    <w:p w14:paraId="791F63E1" w14:textId="53F74E4B" w:rsidR="001E4826" w:rsidRPr="00BF20B2" w:rsidRDefault="00BF20B2" w:rsidP="001E4826">
      <w:pPr>
        <w:pStyle w:val="09ParaBullet1"/>
        <w:numPr>
          <w:ilvl w:val="0"/>
          <w:numId w:val="5"/>
        </w:numPr>
        <w:tabs>
          <w:tab w:val="clear" w:pos="1495"/>
          <w:tab w:val="num" w:pos="720"/>
        </w:tabs>
        <w:ind w:left="720"/>
        <w:rPr>
          <w:rFonts w:cs="Arial"/>
        </w:rPr>
      </w:pPr>
      <w:r w:rsidRPr="00AE7694">
        <w:rPr>
          <w:rFonts w:cs="Arial"/>
        </w:rPr>
        <w:t>la mét</w:t>
      </w:r>
      <w:r w:rsidRPr="00B50E05">
        <w:rPr>
          <w:rFonts w:cs="Arial"/>
        </w:rPr>
        <w:t>hode</w:t>
      </w:r>
      <w:r w:rsidRPr="00D027DF">
        <w:rPr>
          <w:rFonts w:cs="Arial"/>
        </w:rPr>
        <w:t xml:space="preserve"> est économiquement équivalente au changement de la base de détermination des flux de trésorerie contractuel</w:t>
      </w:r>
      <w:r w:rsidRPr="00BF20B2">
        <w:rPr>
          <w:rFonts w:cs="Arial"/>
        </w:rPr>
        <w:t>s de l’instrument de couverture initial.</w:t>
      </w:r>
    </w:p>
    <w:p w14:paraId="4447995C" w14:textId="44DC8E96" w:rsidR="001E4826" w:rsidRPr="0073586F" w:rsidRDefault="001E4826" w:rsidP="001E4826">
      <w:pPr>
        <w:pStyle w:val="09Para"/>
        <w:tabs>
          <w:tab w:val="left" w:pos="360"/>
        </w:tabs>
      </w:pPr>
      <w:r w:rsidRPr="0073586F">
        <w:t>[</w:t>
      </w:r>
      <w:r w:rsidR="00BF20B2" w:rsidRPr="0073586F">
        <w:rPr>
          <w:i/>
          <w:color w:val="0000FF"/>
        </w:rPr>
        <w:t>Ajouter la déclaration qui suit,</w:t>
      </w:r>
      <w:r w:rsidR="00BF20B2">
        <w:rPr>
          <w:i/>
          <w:color w:val="0000FF"/>
        </w:rPr>
        <w:t xml:space="preserve"> selon la pertinence et l’importance pour la mission d’audit de</w:t>
      </w:r>
      <w:r w:rsidR="009E4F8A">
        <w:rPr>
          <w:i/>
          <w:color w:val="0000FF"/>
        </w:rPr>
        <w:t> </w:t>
      </w:r>
      <w:r w:rsidR="00BF20B2">
        <w:rPr>
          <w:i/>
          <w:color w:val="0000FF"/>
        </w:rPr>
        <w:t>tout</w:t>
      </w:r>
      <w:r w:rsidR="00EA1216">
        <w:rPr>
          <w:i/>
          <w:color w:val="0000FF"/>
        </w:rPr>
        <w:t> </w:t>
      </w:r>
      <w:r w:rsidR="00BF20B2">
        <w:rPr>
          <w:i/>
          <w:color w:val="0000FF"/>
        </w:rPr>
        <w:t xml:space="preserve">taux de référence alternatif désigné comme </w:t>
      </w:r>
      <w:r w:rsidR="00651BEB">
        <w:rPr>
          <w:i/>
          <w:color w:val="0000FF"/>
        </w:rPr>
        <w:t xml:space="preserve">composante de risque non spécifiée contractuellement qui n’est pas isolable à la date de sa désignation dans une relation de </w:t>
      </w:r>
      <w:r w:rsidR="00651BEB" w:rsidRPr="00AE7694">
        <w:rPr>
          <w:i/>
          <w:color w:val="0000FF"/>
        </w:rPr>
        <w:t>couverture </w:t>
      </w:r>
      <w:r w:rsidRPr="00B50E05">
        <w:rPr>
          <w:i/>
          <w:color w:val="0000FF"/>
        </w:rPr>
        <w:t>:</w:t>
      </w:r>
      <w:r w:rsidRPr="0073586F">
        <w:t>]</w:t>
      </w:r>
    </w:p>
    <w:p w14:paraId="09D34A8C" w14:textId="0AC50EF2" w:rsidR="001E4826" w:rsidRPr="0073586F" w:rsidRDefault="00BE0E28" w:rsidP="001E4826">
      <w:pPr>
        <w:pStyle w:val="09Para"/>
        <w:tabs>
          <w:tab w:val="left" w:pos="360"/>
        </w:tabs>
        <w:rPr>
          <w:b/>
        </w:rPr>
      </w:pPr>
      <w:r>
        <w:t xml:space="preserve">En ce qui concerne </w:t>
      </w:r>
      <w:r w:rsidRPr="00015195">
        <w:rPr>
          <w:i/>
          <w:color w:val="0000FF"/>
        </w:rPr>
        <w:t>[</w:t>
      </w:r>
      <w:r>
        <w:rPr>
          <w:i/>
          <w:color w:val="0000FF"/>
        </w:rPr>
        <w:t>ajouter tout taux de référence alternatif désigné</w:t>
      </w:r>
      <w:r w:rsidRPr="00BE0E28">
        <w:rPr>
          <w:i/>
          <w:color w:val="0000FF"/>
        </w:rPr>
        <w:t xml:space="preserve"> </w:t>
      </w:r>
      <w:r>
        <w:rPr>
          <w:i/>
          <w:color w:val="0000FF"/>
        </w:rPr>
        <w:t>comme composante de</w:t>
      </w:r>
      <w:r w:rsidR="009E4F8A">
        <w:rPr>
          <w:i/>
          <w:color w:val="0000FF"/>
        </w:rPr>
        <w:t> </w:t>
      </w:r>
      <w:r>
        <w:rPr>
          <w:i/>
          <w:color w:val="0000FF"/>
        </w:rPr>
        <w:t>risque non spécifiée contractuellement qui n’est pas isolable à la date de sa désignation, p.</w:t>
      </w:r>
      <w:r w:rsidR="00EA1216">
        <w:rPr>
          <w:i/>
          <w:color w:val="0000FF"/>
        </w:rPr>
        <w:t> </w:t>
      </w:r>
      <w:r>
        <w:rPr>
          <w:i/>
          <w:color w:val="0000FF"/>
        </w:rPr>
        <w:t>ex. :</w:t>
      </w:r>
      <w:r w:rsidR="00EA1216">
        <w:rPr>
          <w:i/>
          <w:color w:val="0000FF"/>
        </w:rPr>
        <w:t> </w:t>
      </w:r>
      <w:r>
        <w:rPr>
          <w:i/>
          <w:color w:val="0000FF"/>
        </w:rPr>
        <w:t>le taux BBSW, le taux E</w:t>
      </w:r>
      <w:r w:rsidR="00A72F56">
        <w:rPr>
          <w:i/>
          <w:color w:val="0000FF"/>
        </w:rPr>
        <w:t>URIBOR</w:t>
      </w:r>
      <w:r>
        <w:rPr>
          <w:i/>
          <w:color w:val="0000FF"/>
        </w:rPr>
        <w:t xml:space="preserve"> et le taux CDOR</w:t>
      </w:r>
      <w:r w:rsidRPr="00015195">
        <w:rPr>
          <w:i/>
          <w:color w:val="0000FF"/>
        </w:rPr>
        <w:t>]</w:t>
      </w:r>
      <w:r>
        <w:t>, nous nous attendons à ce que cette</w:t>
      </w:r>
      <w:r w:rsidR="00EA1216">
        <w:t> </w:t>
      </w:r>
      <w:r>
        <w:t xml:space="preserve">composante de risque soit </w:t>
      </w:r>
      <w:r w:rsidR="008515B9">
        <w:t>isolable</w:t>
      </w:r>
      <w:r>
        <w:t xml:space="preserve"> dans les 24 mois suivant la date de désignation, et</w:t>
      </w:r>
      <w:r w:rsidR="00EA1216">
        <w:t> </w:t>
      </w:r>
      <w:r>
        <w:t xml:space="preserve">nous </w:t>
      </w:r>
      <w:r w:rsidRPr="00AE7694">
        <w:t xml:space="preserve">confirmons </w:t>
      </w:r>
      <w:r w:rsidR="008515B9" w:rsidRPr="00AE7694">
        <w:t xml:space="preserve">que cette composante de risque peut </w:t>
      </w:r>
      <w:r w:rsidR="008515B9" w:rsidRPr="00B50E05">
        <w:t xml:space="preserve">être </w:t>
      </w:r>
      <w:r w:rsidR="008515B9" w:rsidRPr="00D027DF">
        <w:t>évaluée de fa</w:t>
      </w:r>
      <w:r w:rsidR="008515B9" w:rsidRPr="00AF2CC2">
        <w:t>çon fiable</w:t>
      </w:r>
      <w:r w:rsidR="001E4826" w:rsidRPr="0073586F">
        <w:t>.</w:t>
      </w:r>
    </w:p>
    <w:p w14:paraId="09DF9476" w14:textId="30701496" w:rsidR="001E4826" w:rsidRPr="0073586F" w:rsidRDefault="001E4826" w:rsidP="001E4826">
      <w:pPr>
        <w:pStyle w:val="09Para"/>
        <w:tabs>
          <w:tab w:val="left" w:pos="360"/>
        </w:tabs>
      </w:pPr>
      <w:r w:rsidRPr="0073586F">
        <w:t>[</w:t>
      </w:r>
      <w:r w:rsidR="00AD05E6">
        <w:rPr>
          <w:i/>
          <w:color w:val="0000FF"/>
        </w:rPr>
        <w:t xml:space="preserve">Ajouter la déclaration </w:t>
      </w:r>
      <w:r w:rsidR="00E822AD">
        <w:rPr>
          <w:i/>
          <w:color w:val="0000FF"/>
        </w:rPr>
        <w:t>qui suit</w:t>
      </w:r>
      <w:r w:rsidR="00AD05E6">
        <w:rPr>
          <w:i/>
          <w:color w:val="0000FF"/>
        </w:rPr>
        <w:t>, selon la pertinence et l’importance pour la mission d’audit de la</w:t>
      </w:r>
      <w:r w:rsidR="009E4F8A">
        <w:rPr>
          <w:i/>
          <w:color w:val="0000FF"/>
        </w:rPr>
        <w:t> </w:t>
      </w:r>
      <w:r w:rsidR="00AD05E6" w:rsidRPr="00AE7694">
        <w:rPr>
          <w:i/>
          <w:color w:val="0000FF"/>
        </w:rPr>
        <w:t>comptabilité de couverture mise en œuvre</w:t>
      </w:r>
      <w:r w:rsidR="00AD05E6" w:rsidRPr="00B50E05">
        <w:rPr>
          <w:i/>
          <w:color w:val="0000FF"/>
        </w:rPr>
        <w:t xml:space="preserve"> </w:t>
      </w:r>
      <w:r w:rsidR="00B12B50" w:rsidRPr="00D027DF">
        <w:rPr>
          <w:i/>
          <w:color w:val="0000FF"/>
        </w:rPr>
        <w:t>en fonction d</w:t>
      </w:r>
      <w:r w:rsidR="00B12B50" w:rsidRPr="00AF2CC2">
        <w:rPr>
          <w:i/>
          <w:color w:val="0000FF"/>
        </w:rPr>
        <w:t>’</w:t>
      </w:r>
      <w:r w:rsidR="00E822AD" w:rsidRPr="00B12B50">
        <w:rPr>
          <w:i/>
          <w:color w:val="0000FF"/>
        </w:rPr>
        <w:t>un</w:t>
      </w:r>
      <w:r w:rsidR="00AD05E6" w:rsidRPr="00B12B50">
        <w:rPr>
          <w:i/>
          <w:color w:val="0000FF"/>
        </w:rPr>
        <w:t xml:space="preserve"> portefeuille ou </w:t>
      </w:r>
      <w:r w:rsidR="00E822AD" w:rsidRPr="00B12B50">
        <w:rPr>
          <w:i/>
          <w:color w:val="0000FF"/>
        </w:rPr>
        <w:t>sur la base d’un regroupement</w:t>
      </w:r>
      <w:r w:rsidR="00AD05E6" w:rsidRPr="00B12B50">
        <w:rPr>
          <w:i/>
          <w:color w:val="0000FF"/>
        </w:rPr>
        <w:t> </w:t>
      </w:r>
      <w:r w:rsidRPr="00B12B50">
        <w:rPr>
          <w:i/>
          <w:color w:val="0000FF"/>
        </w:rPr>
        <w:t>:</w:t>
      </w:r>
      <w:r w:rsidRPr="0073586F">
        <w:t xml:space="preserve">] </w:t>
      </w:r>
    </w:p>
    <w:p w14:paraId="614F1DCD" w14:textId="7DD1444F" w:rsidR="001E4826" w:rsidRPr="0067061C" w:rsidRDefault="00B12B50" w:rsidP="001E4826">
      <w:pPr>
        <w:pStyle w:val="09Para"/>
        <w:tabs>
          <w:tab w:val="left" w:pos="360"/>
        </w:tabs>
        <w:rPr>
          <w:b/>
          <w:lang w:val="en-US"/>
        </w:rPr>
      </w:pPr>
      <w:r>
        <w:t xml:space="preserve">En ce qui concerne les modifications apportées à la désignation formelle des relations de couverture, les éléments couverts sont </w:t>
      </w:r>
      <w:r w:rsidR="00BB3739">
        <w:t>répartis en</w:t>
      </w:r>
      <w:r>
        <w:t xml:space="preserve"> sous</w:t>
      </w:r>
      <w:r>
        <w:noBreakHyphen/>
        <w:t>groupes d</w:t>
      </w:r>
      <w:r w:rsidR="00BB3739">
        <w:t>e l’ensemble d</w:t>
      </w:r>
      <w:r>
        <w:t xml:space="preserve">u portefeuille </w:t>
      </w:r>
      <w:r w:rsidR="004B3DC0">
        <w:t>de couverture</w:t>
      </w:r>
      <w:r>
        <w:t xml:space="preserve"> </w:t>
      </w:r>
      <w:r w:rsidR="00BB3739">
        <w:t>en fonction du</w:t>
      </w:r>
      <w:r>
        <w:t xml:space="preserve"> taux de référence couvert, et le taux de référence </w:t>
      </w:r>
      <w:r w:rsidR="00BB3739">
        <w:t>pour</w:t>
      </w:r>
      <w:r>
        <w:t xml:space="preserve"> chaque sous</w:t>
      </w:r>
      <w:r w:rsidR="00C52662">
        <w:t>-gr</w:t>
      </w:r>
      <w:r>
        <w:t>oupe est désigné comme risque couvert. De plus, nous reconnaissons que :</w:t>
      </w:r>
    </w:p>
    <w:p w14:paraId="33371E63" w14:textId="71BEFCAC" w:rsidR="001E4826" w:rsidRPr="00015195" w:rsidRDefault="004B3DC0" w:rsidP="001E4826">
      <w:pPr>
        <w:pStyle w:val="09ParaBullet1"/>
        <w:numPr>
          <w:ilvl w:val="0"/>
          <w:numId w:val="5"/>
        </w:numPr>
        <w:tabs>
          <w:tab w:val="clear" w:pos="1495"/>
          <w:tab w:val="num" w:pos="720"/>
        </w:tabs>
        <w:ind w:left="720"/>
        <w:rPr>
          <w:rFonts w:cs="Arial"/>
        </w:rPr>
      </w:pPr>
      <w:r>
        <w:rPr>
          <w:rFonts w:cs="Arial"/>
        </w:rPr>
        <w:t>certains sous</w:t>
      </w:r>
      <w:r>
        <w:rPr>
          <w:rFonts w:cs="Arial"/>
        </w:rPr>
        <w:noBreakHyphen/>
        <w:t>groupes couverts</w:t>
      </w:r>
      <w:r w:rsidR="00E0783E">
        <w:rPr>
          <w:rFonts w:cs="Arial"/>
        </w:rPr>
        <w:t xml:space="preserve"> pourraient faire l’objet de changements à des moments différents des autres sous</w:t>
      </w:r>
      <w:r w:rsidR="00E0783E">
        <w:rPr>
          <w:rFonts w:cs="Arial"/>
        </w:rPr>
        <w:noBreakHyphen/>
        <w:t>groupes;</w:t>
      </w:r>
    </w:p>
    <w:p w14:paraId="6495786E" w14:textId="28048F8E" w:rsidR="001E4826" w:rsidRPr="00015195" w:rsidRDefault="004B3DC0" w:rsidP="001E4826">
      <w:pPr>
        <w:pStyle w:val="09ParaBullet1"/>
        <w:numPr>
          <w:ilvl w:val="0"/>
          <w:numId w:val="5"/>
        </w:numPr>
        <w:tabs>
          <w:tab w:val="clear" w:pos="1495"/>
          <w:tab w:val="num" w:pos="720"/>
        </w:tabs>
        <w:ind w:left="720"/>
        <w:rPr>
          <w:rFonts w:cs="Arial"/>
        </w:rPr>
      </w:pPr>
      <w:r>
        <w:rPr>
          <w:rFonts w:cs="Arial"/>
        </w:rPr>
        <w:t>chaque sous</w:t>
      </w:r>
      <w:r>
        <w:rPr>
          <w:rFonts w:cs="Arial"/>
        </w:rPr>
        <w:noBreakHyphen/>
        <w:t>groupe sera évalué individuellement en vue de déterminer s’il répond aux</w:t>
      </w:r>
      <w:r w:rsidR="00EA1216">
        <w:rPr>
          <w:rFonts w:cs="Arial"/>
        </w:rPr>
        <w:t> </w:t>
      </w:r>
      <w:r>
        <w:rPr>
          <w:rFonts w:cs="Arial"/>
        </w:rPr>
        <w:t>conditions pour être admis comme élément couvert;</w:t>
      </w:r>
    </w:p>
    <w:p w14:paraId="553A0434" w14:textId="7350442B" w:rsidR="001E4826" w:rsidRPr="00015195" w:rsidRDefault="004B3DC0" w:rsidP="001E4826">
      <w:pPr>
        <w:pStyle w:val="09ParaBullet1"/>
        <w:numPr>
          <w:ilvl w:val="0"/>
          <w:numId w:val="5"/>
        </w:numPr>
        <w:tabs>
          <w:tab w:val="clear" w:pos="1495"/>
          <w:tab w:val="num" w:pos="720"/>
        </w:tabs>
        <w:ind w:left="720"/>
        <w:rPr>
          <w:rFonts w:cs="Arial"/>
        </w:rPr>
      </w:pPr>
      <w:r>
        <w:rPr>
          <w:rFonts w:cs="Arial"/>
        </w:rPr>
        <w:t>il sera mis fin à la comptabilité de couverture de mani</w:t>
      </w:r>
      <w:r w:rsidR="00B508FA">
        <w:rPr>
          <w:rFonts w:cs="Arial"/>
        </w:rPr>
        <w:t>ère prospective,</w:t>
      </w:r>
      <w:r>
        <w:rPr>
          <w:rFonts w:cs="Arial"/>
        </w:rPr>
        <w:t xml:space="preserve"> pour l’ensemble de la relation de couverture, si un sous</w:t>
      </w:r>
      <w:r>
        <w:rPr>
          <w:rFonts w:cs="Arial"/>
        </w:rPr>
        <w:noBreakHyphen/>
        <w:t xml:space="preserve">groupe ne </w:t>
      </w:r>
      <w:r w:rsidR="00B508FA">
        <w:rPr>
          <w:rFonts w:cs="Arial"/>
        </w:rPr>
        <w:t>répond pas aux conditions pour être admis comme élément couvert;</w:t>
      </w:r>
    </w:p>
    <w:p w14:paraId="2DC01C7A" w14:textId="112F37DA" w:rsidR="001E4826" w:rsidRPr="00015195" w:rsidRDefault="00E0783E" w:rsidP="001E4826">
      <w:pPr>
        <w:pStyle w:val="09ParaBullet1"/>
        <w:numPr>
          <w:ilvl w:val="0"/>
          <w:numId w:val="5"/>
        </w:numPr>
        <w:tabs>
          <w:tab w:val="clear" w:pos="1495"/>
          <w:tab w:val="num" w:pos="720"/>
        </w:tabs>
        <w:ind w:left="720"/>
        <w:rPr>
          <w:rFonts w:cs="Arial"/>
        </w:rPr>
      </w:pPr>
      <w:r>
        <w:rPr>
          <w:rFonts w:cs="Arial"/>
        </w:rPr>
        <w:t>l’inefficacité de la relation de couverture dans son ensemble sera comptabilisée</w:t>
      </w:r>
      <w:r w:rsidR="001E4826" w:rsidRPr="00015195">
        <w:rPr>
          <w:rFonts w:cs="Arial"/>
        </w:rPr>
        <w:t>.</w:t>
      </w:r>
    </w:p>
    <w:p w14:paraId="30CCF108" w14:textId="2A3AD73F" w:rsidR="001E4826" w:rsidRPr="0073586F" w:rsidRDefault="00AE7694" w:rsidP="009E4F8A">
      <w:pPr>
        <w:pStyle w:val="Heading3"/>
        <w:keepNext w:val="0"/>
        <w:rPr>
          <w:b w:val="0"/>
        </w:rPr>
      </w:pPr>
      <w:r w:rsidRPr="0073586F">
        <w:rPr>
          <w:b w:val="0"/>
        </w:rPr>
        <w:t>Nous avons</w:t>
      </w:r>
      <w:r>
        <w:rPr>
          <w:b w:val="0"/>
        </w:rPr>
        <w:t xml:space="preserve"> préparé et présenté les informations q</w:t>
      </w:r>
      <w:r w:rsidR="00417819">
        <w:rPr>
          <w:b w:val="0"/>
        </w:rPr>
        <w:t>ualitativ</w:t>
      </w:r>
      <w:r>
        <w:rPr>
          <w:b w:val="0"/>
        </w:rPr>
        <w:t xml:space="preserve">es et quantitatives </w:t>
      </w:r>
      <w:r w:rsidR="00C52662">
        <w:rPr>
          <w:b w:val="0"/>
        </w:rPr>
        <w:t xml:space="preserve">à fournir </w:t>
      </w:r>
      <w:r>
        <w:rPr>
          <w:b w:val="0"/>
        </w:rPr>
        <w:t xml:space="preserve">sur la réforme des TIO dans nos états financiers </w:t>
      </w:r>
      <w:r w:rsidR="00447DEA">
        <w:rPr>
          <w:b w:val="0"/>
        </w:rPr>
        <w:t>conformément</w:t>
      </w:r>
      <w:r>
        <w:rPr>
          <w:b w:val="0"/>
        </w:rPr>
        <w:t xml:space="preserve"> aux exigences de l’IFRS</w:t>
      </w:r>
      <w:r w:rsidR="00C52662">
        <w:rPr>
          <w:b w:val="0"/>
        </w:rPr>
        <w:t> </w:t>
      </w:r>
      <w:r>
        <w:rPr>
          <w:b w:val="0"/>
        </w:rPr>
        <w:t>7</w:t>
      </w:r>
      <w:r w:rsidR="001E4826" w:rsidRPr="0073586F">
        <w:rPr>
          <w:b w:val="0"/>
        </w:rPr>
        <w:t>.</w:t>
      </w:r>
    </w:p>
    <w:p w14:paraId="06F65437" w14:textId="77777777" w:rsidR="00F17141" w:rsidRPr="00F17141" w:rsidRDefault="00F17141" w:rsidP="00F17141">
      <w:pPr>
        <w:pStyle w:val="Heading3"/>
      </w:pPr>
      <w:r w:rsidRPr="00871F3A">
        <w:lastRenderedPageBreak/>
        <w:t>Placements</w:t>
      </w:r>
      <w:bookmarkEnd w:id="28"/>
      <w:bookmarkEnd w:id="29"/>
    </w:p>
    <w:p w14:paraId="33098977" w14:textId="7D6FEDAA" w:rsidR="00F17141" w:rsidRPr="00871F3A" w:rsidRDefault="00F96EBA" w:rsidP="00F17141">
      <w:pPr>
        <w:pStyle w:val="LetterBodyPwC"/>
        <w:rPr>
          <w:rFonts w:ascii="Arial" w:hAnsi="Arial" w:cs="Times New Roman"/>
          <w:i/>
          <w:color w:val="0000FF"/>
          <w:sz w:val="22"/>
          <w:szCs w:val="22"/>
          <w:lang w:val="fr-CA"/>
        </w:rPr>
      </w:pPr>
      <w:bookmarkStart w:id="30" w:name="lt_pId505"/>
      <w:bookmarkStart w:id="31" w:name="Paragraph_794"/>
      <w:r w:rsidRPr="00F96EBA">
        <w:rPr>
          <w:rFonts w:ascii="Arial" w:hAnsi="Arial" w:cs="Times New Roman"/>
          <w:i/>
          <w:color w:val="auto"/>
          <w:sz w:val="22"/>
          <w:szCs w:val="22"/>
          <w:lang w:val="fr-CA"/>
        </w:rPr>
        <w:t>[</w:t>
      </w:r>
      <w:r w:rsidR="00F17141" w:rsidRPr="00871F3A">
        <w:rPr>
          <w:rFonts w:ascii="Arial" w:hAnsi="Arial" w:cs="Times New Roman"/>
          <w:i/>
          <w:color w:val="0000FF"/>
          <w:sz w:val="22"/>
          <w:szCs w:val="22"/>
          <w:lang w:val="fr-CA"/>
        </w:rPr>
        <w:t>Ajouter les paragraphes pertinents</w:t>
      </w:r>
      <w:r w:rsidRPr="00F96EBA">
        <w:rPr>
          <w:rFonts w:ascii="Arial" w:hAnsi="Arial" w:cs="Times New Roman"/>
          <w:i/>
          <w:color w:val="auto"/>
          <w:sz w:val="22"/>
          <w:szCs w:val="22"/>
          <w:lang w:val="fr-CA"/>
        </w:rPr>
        <w:t>]</w:t>
      </w:r>
      <w:bookmarkEnd w:id="30"/>
      <w:bookmarkEnd w:id="31"/>
    </w:p>
    <w:p w14:paraId="0FEB58A6" w14:textId="78A55FBA" w:rsidR="00F17141" w:rsidRPr="00871F3A" w:rsidRDefault="00A3759D" w:rsidP="00F17141">
      <w:pPr>
        <w:pStyle w:val="LetterBodyPwC"/>
        <w:rPr>
          <w:rFonts w:ascii="Arial" w:hAnsi="Arial"/>
          <w:sz w:val="22"/>
          <w:szCs w:val="22"/>
          <w:lang w:val="fr-CA"/>
        </w:rPr>
      </w:pPr>
      <w:bookmarkStart w:id="32" w:name="lt_pId507"/>
      <w:bookmarkStart w:id="33" w:name="Paragraph_1345"/>
      <w:r w:rsidRPr="00871F3A">
        <w:rPr>
          <w:rFonts w:ascii="Arial" w:hAnsi="Arial"/>
          <w:sz w:val="22"/>
          <w:szCs w:val="22"/>
          <w:lang w:val="fr-CA"/>
        </w:rPr>
        <w:t xml:space="preserve">Tous les </w:t>
      </w:r>
      <w:r w:rsidR="00F17141" w:rsidRPr="00871F3A">
        <w:rPr>
          <w:rFonts w:ascii="Arial" w:hAnsi="Arial"/>
          <w:sz w:val="22"/>
          <w:szCs w:val="22"/>
          <w:lang w:val="fr-CA"/>
        </w:rPr>
        <w:t>accords de prêt de titres</w:t>
      </w:r>
      <w:r w:rsidRPr="00871F3A">
        <w:rPr>
          <w:rFonts w:ascii="Arial" w:hAnsi="Arial"/>
          <w:sz w:val="22"/>
          <w:szCs w:val="22"/>
          <w:lang w:val="fr-CA"/>
        </w:rPr>
        <w:t xml:space="preserve"> sont </w:t>
      </w:r>
      <w:r w:rsidR="00844FBD" w:rsidRPr="00871F3A">
        <w:rPr>
          <w:rFonts w:ascii="Arial" w:hAnsi="Arial"/>
          <w:sz w:val="22"/>
          <w:szCs w:val="22"/>
          <w:lang w:val="fr-CA"/>
        </w:rPr>
        <w:t xml:space="preserve">communiqués adéquatement </w:t>
      </w:r>
      <w:r w:rsidRPr="00871F3A">
        <w:rPr>
          <w:rFonts w:ascii="Arial" w:hAnsi="Arial"/>
          <w:sz w:val="22"/>
          <w:szCs w:val="22"/>
          <w:lang w:val="fr-CA"/>
        </w:rPr>
        <w:t xml:space="preserve">dans les </w:t>
      </w:r>
      <w:r w:rsidR="00F17141" w:rsidRPr="00871F3A">
        <w:rPr>
          <w:rFonts w:ascii="Arial" w:hAnsi="Arial"/>
          <w:sz w:val="22"/>
          <w:szCs w:val="22"/>
          <w:lang w:val="fr-CA"/>
        </w:rPr>
        <w:t>états financiers [</w:t>
      </w:r>
      <w:r w:rsidR="00F17141" w:rsidRPr="00871F3A">
        <w:rPr>
          <w:rFonts w:ascii="Arial" w:hAnsi="Arial" w:cs="Times New Roman"/>
          <w:color w:val="0000FF"/>
          <w:sz w:val="22"/>
          <w:szCs w:val="22"/>
          <w:lang w:val="fr-CA"/>
        </w:rPr>
        <w:t>consolidés</w:t>
      </w:r>
      <w:r w:rsidR="00F17141" w:rsidRPr="00871F3A">
        <w:rPr>
          <w:rFonts w:ascii="Arial" w:hAnsi="Arial"/>
          <w:sz w:val="22"/>
          <w:szCs w:val="22"/>
          <w:lang w:val="fr-CA"/>
        </w:rPr>
        <w:t>].</w:t>
      </w:r>
      <w:bookmarkEnd w:id="32"/>
      <w:r w:rsidR="00F17141" w:rsidRPr="00871F3A">
        <w:rPr>
          <w:rFonts w:ascii="Arial" w:hAnsi="Arial"/>
          <w:sz w:val="22"/>
          <w:szCs w:val="22"/>
          <w:lang w:val="fr-CA"/>
        </w:rPr>
        <w:t xml:space="preserve"> </w:t>
      </w:r>
      <w:bookmarkStart w:id="34" w:name="lt_pId508"/>
      <w:r w:rsidR="00844FBD" w:rsidRPr="00871F3A">
        <w:rPr>
          <w:rFonts w:ascii="Arial" w:hAnsi="Arial"/>
          <w:sz w:val="22"/>
          <w:szCs w:val="22"/>
          <w:lang w:val="fr-CA"/>
        </w:rPr>
        <w:t xml:space="preserve">Au cours de l’exercice, </w:t>
      </w:r>
      <w:r w:rsidR="00F17141" w:rsidRPr="00871F3A">
        <w:rPr>
          <w:rFonts w:ascii="Arial" w:hAnsi="Arial"/>
          <w:sz w:val="22"/>
          <w:szCs w:val="22"/>
          <w:lang w:val="fr-CA"/>
        </w:rPr>
        <w:t>[</w:t>
      </w:r>
      <w:r w:rsidR="00F17141" w:rsidRPr="00871F3A">
        <w:rPr>
          <w:rFonts w:ascii="Arial" w:hAnsi="Arial" w:cs="Times New Roman"/>
          <w:color w:val="0000FF"/>
          <w:sz w:val="22"/>
          <w:szCs w:val="22"/>
          <w:lang w:val="fr-CA"/>
        </w:rPr>
        <w:t>Entité</w:t>
      </w:r>
      <w:r w:rsidR="00F17141" w:rsidRPr="00871F3A">
        <w:rPr>
          <w:rFonts w:ascii="Arial" w:hAnsi="Arial"/>
          <w:sz w:val="22"/>
          <w:szCs w:val="22"/>
          <w:lang w:val="fr-CA"/>
        </w:rPr>
        <w:t>] n’a pas conclu d’a</w:t>
      </w:r>
      <w:r w:rsidR="00844FBD" w:rsidRPr="00871F3A">
        <w:rPr>
          <w:rFonts w:ascii="Arial" w:hAnsi="Arial"/>
          <w:sz w:val="22"/>
          <w:szCs w:val="22"/>
          <w:lang w:val="fr-CA"/>
        </w:rPr>
        <w:t>utres a</w:t>
      </w:r>
      <w:r w:rsidR="00F17141" w:rsidRPr="00871F3A">
        <w:rPr>
          <w:rFonts w:ascii="Arial" w:hAnsi="Arial"/>
          <w:sz w:val="22"/>
          <w:szCs w:val="22"/>
          <w:lang w:val="fr-CA"/>
        </w:rPr>
        <w:t>ccords de prêt de titres.</w:t>
      </w:r>
      <w:bookmarkEnd w:id="33"/>
      <w:bookmarkEnd w:id="34"/>
    </w:p>
    <w:p w14:paraId="52B4978B" w14:textId="0ADB0BD8" w:rsidR="00F17141" w:rsidRPr="003614BC" w:rsidRDefault="00F17141" w:rsidP="000E4CFF">
      <w:pPr>
        <w:pStyle w:val="09ParaBullet1"/>
        <w:numPr>
          <w:ilvl w:val="0"/>
          <w:numId w:val="0"/>
        </w:numPr>
        <w:rPr>
          <w:i/>
          <w:color w:val="0000FF"/>
        </w:rPr>
      </w:pPr>
      <w:bookmarkStart w:id="35" w:name="lt_pId509"/>
      <w:bookmarkStart w:id="36" w:name="Paragraph_669"/>
      <w:r w:rsidRPr="003614BC">
        <w:rPr>
          <w:i/>
          <w:color w:val="0000FF"/>
        </w:rPr>
        <w:t>O</w:t>
      </w:r>
      <w:r w:rsidR="00A3759D" w:rsidRPr="003614BC">
        <w:rPr>
          <w:i/>
          <w:color w:val="0000FF"/>
        </w:rPr>
        <w:t>U</w:t>
      </w:r>
      <w:bookmarkEnd w:id="35"/>
      <w:bookmarkEnd w:id="36"/>
    </w:p>
    <w:p w14:paraId="75269505" w14:textId="04725F58" w:rsidR="00F17141" w:rsidRPr="00871F3A" w:rsidRDefault="00844FBD" w:rsidP="00F17141">
      <w:pPr>
        <w:pStyle w:val="LetterBodyPwC"/>
        <w:rPr>
          <w:rFonts w:ascii="Arial" w:hAnsi="Arial"/>
          <w:sz w:val="22"/>
          <w:szCs w:val="22"/>
          <w:lang w:val="fr-CA"/>
        </w:rPr>
      </w:pPr>
      <w:bookmarkStart w:id="37" w:name="lt_pId510"/>
      <w:bookmarkStart w:id="38" w:name="Paragraph_673"/>
      <w:r w:rsidRPr="00871F3A">
        <w:rPr>
          <w:rFonts w:ascii="Arial" w:hAnsi="Arial"/>
          <w:sz w:val="22"/>
          <w:szCs w:val="22"/>
          <w:lang w:val="fr-CA"/>
        </w:rPr>
        <w:t xml:space="preserve">Au cours de l’exercice, </w:t>
      </w:r>
      <w:r w:rsidR="00F17141" w:rsidRPr="00871F3A">
        <w:rPr>
          <w:rFonts w:ascii="Arial" w:hAnsi="Arial"/>
          <w:sz w:val="22"/>
          <w:szCs w:val="22"/>
          <w:lang w:val="fr-CA"/>
        </w:rPr>
        <w:t>[</w:t>
      </w:r>
      <w:r w:rsidRPr="00BE46E2">
        <w:rPr>
          <w:rFonts w:ascii="Arial" w:hAnsi="Arial" w:cs="Times New Roman"/>
          <w:color w:val="0000FF"/>
          <w:sz w:val="22"/>
          <w:szCs w:val="22"/>
          <w:lang w:val="fr-CA"/>
        </w:rPr>
        <w:t>Entité</w:t>
      </w:r>
      <w:r w:rsidR="00F17141" w:rsidRPr="00871F3A">
        <w:rPr>
          <w:rFonts w:ascii="Arial" w:hAnsi="Arial"/>
          <w:sz w:val="22"/>
          <w:szCs w:val="22"/>
          <w:lang w:val="fr-CA"/>
        </w:rPr>
        <w:t>] n’a pas conclu d’accords de prêt de titres.</w:t>
      </w:r>
      <w:bookmarkEnd w:id="37"/>
      <w:bookmarkEnd w:id="38"/>
    </w:p>
    <w:p w14:paraId="642FE5BD" w14:textId="090B9AF2" w:rsidR="00F17141" w:rsidRPr="00871F3A" w:rsidRDefault="00F17141" w:rsidP="00F17141">
      <w:pPr>
        <w:pStyle w:val="LetterBodyPwC"/>
        <w:rPr>
          <w:rFonts w:ascii="Arial" w:hAnsi="Arial"/>
          <w:sz w:val="22"/>
          <w:szCs w:val="22"/>
          <w:lang w:val="fr-CA"/>
        </w:rPr>
      </w:pPr>
      <w:bookmarkStart w:id="39" w:name="lt_pId511"/>
      <w:bookmarkStart w:id="40" w:name="Paragraph_1311"/>
      <w:r w:rsidRPr="00871F3A">
        <w:rPr>
          <w:rFonts w:ascii="Arial" w:hAnsi="Arial"/>
          <w:snapToGrid w:val="0"/>
          <w:sz w:val="22"/>
          <w:szCs w:val="22"/>
          <w:lang w:val="fr-CA"/>
        </w:rPr>
        <w:t>[</w:t>
      </w:r>
      <w:r w:rsidR="00844FBD" w:rsidRPr="00BE46E2">
        <w:rPr>
          <w:rFonts w:ascii="Arial" w:hAnsi="Arial" w:cs="Times New Roman"/>
          <w:color w:val="0000FF"/>
          <w:sz w:val="22"/>
          <w:szCs w:val="22"/>
          <w:lang w:val="fr-CA"/>
        </w:rPr>
        <w:t>Entité</w:t>
      </w:r>
      <w:r w:rsidRPr="00871F3A">
        <w:rPr>
          <w:rFonts w:ascii="Arial" w:hAnsi="Arial"/>
          <w:snapToGrid w:val="0"/>
          <w:sz w:val="22"/>
          <w:szCs w:val="22"/>
          <w:lang w:val="fr-CA"/>
        </w:rPr>
        <w:t xml:space="preserve">] n’a pas acquis de titres assortis de restrictions </w:t>
      </w:r>
      <w:r w:rsidR="00844FBD" w:rsidRPr="00871F3A">
        <w:rPr>
          <w:rFonts w:ascii="Arial" w:hAnsi="Arial"/>
          <w:snapToGrid w:val="0"/>
          <w:sz w:val="22"/>
          <w:szCs w:val="22"/>
          <w:lang w:val="fr-CA"/>
        </w:rPr>
        <w:t xml:space="preserve">au cours de l’exercice </w:t>
      </w:r>
      <w:r w:rsidRPr="00871F3A">
        <w:rPr>
          <w:rFonts w:ascii="Arial" w:hAnsi="Arial"/>
          <w:snapToGrid w:val="0"/>
          <w:sz w:val="22"/>
          <w:szCs w:val="22"/>
          <w:lang w:val="fr-CA"/>
        </w:rPr>
        <w:t xml:space="preserve">et ne détenait pas de titres </w:t>
      </w:r>
      <w:r w:rsidR="007169EF">
        <w:rPr>
          <w:rFonts w:ascii="Arial" w:hAnsi="Arial"/>
          <w:snapToGrid w:val="0"/>
          <w:sz w:val="22"/>
          <w:szCs w:val="22"/>
          <w:lang w:val="fr-CA"/>
        </w:rPr>
        <w:t xml:space="preserve">à la date de clôture </w:t>
      </w:r>
      <w:r w:rsidRPr="00871F3A">
        <w:rPr>
          <w:rFonts w:ascii="Arial" w:hAnsi="Arial"/>
          <w:snapToGrid w:val="0"/>
          <w:sz w:val="22"/>
          <w:szCs w:val="22"/>
          <w:lang w:val="fr-CA"/>
        </w:rPr>
        <w:t>assortis de restrictions ou grevés de quelque charge que ce soit pour ce qui est de leur vente, à l’exception de ceux qui sont présentés dans les états financiers [</w:t>
      </w:r>
      <w:r w:rsidRPr="00871F3A">
        <w:rPr>
          <w:rFonts w:ascii="Arial" w:hAnsi="Arial" w:cs="Times New Roman"/>
          <w:color w:val="0000FF"/>
          <w:sz w:val="22"/>
          <w:szCs w:val="22"/>
          <w:lang w:val="fr-CA"/>
        </w:rPr>
        <w:t>consolidés</w:t>
      </w:r>
      <w:r w:rsidRPr="00871F3A">
        <w:rPr>
          <w:rFonts w:ascii="Arial" w:hAnsi="Arial"/>
          <w:snapToGrid w:val="0"/>
          <w:sz w:val="22"/>
          <w:szCs w:val="22"/>
          <w:lang w:val="fr-CA"/>
        </w:rPr>
        <w:t>].</w:t>
      </w:r>
      <w:bookmarkEnd w:id="39"/>
      <w:r w:rsidRPr="00871F3A">
        <w:rPr>
          <w:rFonts w:ascii="Arial" w:hAnsi="Arial"/>
          <w:sz w:val="22"/>
          <w:szCs w:val="22"/>
          <w:lang w:val="fr-CA"/>
        </w:rPr>
        <w:t xml:space="preserve"> </w:t>
      </w:r>
      <w:bookmarkStart w:id="41" w:name="lt_pId512"/>
      <w:r w:rsidRPr="00871F3A">
        <w:rPr>
          <w:rFonts w:ascii="Arial" w:hAnsi="Arial"/>
          <w:snapToGrid w:val="0"/>
          <w:sz w:val="22"/>
          <w:szCs w:val="22"/>
          <w:lang w:val="fr-CA"/>
        </w:rPr>
        <w:t>[</w:t>
      </w:r>
      <w:r w:rsidR="00844FBD" w:rsidRPr="00BE46E2">
        <w:rPr>
          <w:rFonts w:ascii="Arial" w:hAnsi="Arial" w:cs="Times New Roman"/>
          <w:color w:val="0000FF"/>
          <w:sz w:val="22"/>
          <w:szCs w:val="22"/>
          <w:lang w:val="fr-CA"/>
        </w:rPr>
        <w:t>Entité</w:t>
      </w:r>
      <w:r w:rsidRPr="00871F3A">
        <w:rPr>
          <w:rFonts w:ascii="Arial" w:hAnsi="Arial"/>
          <w:snapToGrid w:val="0"/>
          <w:sz w:val="22"/>
          <w:szCs w:val="22"/>
          <w:lang w:val="fr-CA"/>
        </w:rPr>
        <w:t>] n’a pas non plus conclu d’accords, et n’est pas en voie de le faire, pour acquérir des titres assortis de restrictions.</w:t>
      </w:r>
      <w:bookmarkEnd w:id="41"/>
      <w:r w:rsidRPr="00871F3A">
        <w:rPr>
          <w:rFonts w:ascii="Arial" w:hAnsi="Arial"/>
          <w:sz w:val="22"/>
          <w:szCs w:val="22"/>
          <w:lang w:val="fr-CA"/>
        </w:rPr>
        <w:t xml:space="preserve"> </w:t>
      </w:r>
      <w:bookmarkEnd w:id="40"/>
    </w:p>
    <w:p w14:paraId="1C8D667E" w14:textId="33E046F1" w:rsidR="00F17141" w:rsidRPr="00871F3A" w:rsidRDefault="00F17141" w:rsidP="00F17141">
      <w:pPr>
        <w:pStyle w:val="LetterBodyPwC"/>
        <w:rPr>
          <w:rFonts w:ascii="Arial" w:hAnsi="Arial"/>
          <w:sz w:val="22"/>
          <w:szCs w:val="22"/>
          <w:lang w:val="fr-CA"/>
        </w:rPr>
      </w:pPr>
      <w:bookmarkStart w:id="42" w:name="lt_pId513"/>
      <w:bookmarkStart w:id="43" w:name="Paragraph_1259"/>
      <w:r w:rsidRPr="00871F3A">
        <w:rPr>
          <w:rFonts w:ascii="Arial" w:hAnsi="Arial"/>
          <w:sz w:val="22"/>
          <w:szCs w:val="22"/>
          <w:lang w:val="fr-CA"/>
        </w:rPr>
        <w:t>Les engagements d’achat ou de vente de titres ont été présentés de manière adéquate dans les états financiers [</w:t>
      </w:r>
      <w:r w:rsidR="00844FBD" w:rsidRPr="00BE46E2">
        <w:rPr>
          <w:rFonts w:ascii="Arial" w:hAnsi="Arial" w:cs="Times New Roman"/>
          <w:color w:val="0000FF"/>
          <w:sz w:val="22"/>
          <w:szCs w:val="22"/>
          <w:lang w:val="fr-CA"/>
        </w:rPr>
        <w:t>consolidés</w:t>
      </w:r>
      <w:r w:rsidRPr="00871F3A">
        <w:rPr>
          <w:rFonts w:ascii="Arial" w:hAnsi="Arial"/>
          <w:sz w:val="22"/>
          <w:szCs w:val="22"/>
          <w:lang w:val="fr-CA"/>
        </w:rPr>
        <w:t>], le cas échéant.</w:t>
      </w:r>
      <w:bookmarkEnd w:id="42"/>
      <w:bookmarkEnd w:id="43"/>
    </w:p>
    <w:p w14:paraId="77A1B9A6" w14:textId="49FE175F" w:rsidR="00F17141" w:rsidRPr="00871F3A" w:rsidRDefault="00F17141" w:rsidP="00F17141">
      <w:pPr>
        <w:pStyle w:val="LetterBodyPwC"/>
        <w:rPr>
          <w:rFonts w:ascii="Arial" w:hAnsi="Arial"/>
          <w:sz w:val="22"/>
          <w:szCs w:val="22"/>
          <w:lang w:val="fr-CA"/>
        </w:rPr>
      </w:pPr>
      <w:bookmarkStart w:id="44" w:name="lt_pId514"/>
      <w:bookmarkStart w:id="45" w:name="Paragraph_1361"/>
      <w:r w:rsidRPr="00871F3A">
        <w:rPr>
          <w:rFonts w:ascii="Arial" w:hAnsi="Arial"/>
          <w:sz w:val="22"/>
          <w:szCs w:val="22"/>
          <w:lang w:val="fr-CA"/>
        </w:rPr>
        <w:t>Les cessions avec recours ont été comptabilisées, classées et présentées de manière appropriée dans les états financiers [</w:t>
      </w:r>
      <w:r w:rsidR="00844FBD" w:rsidRPr="00BE46E2">
        <w:rPr>
          <w:rFonts w:ascii="Arial" w:hAnsi="Arial" w:cs="Times New Roman"/>
          <w:color w:val="0000FF"/>
          <w:sz w:val="22"/>
          <w:szCs w:val="22"/>
          <w:lang w:val="fr-CA"/>
        </w:rPr>
        <w:t>consolidés</w:t>
      </w:r>
      <w:r w:rsidRPr="00871F3A">
        <w:rPr>
          <w:rFonts w:ascii="Arial" w:hAnsi="Arial"/>
          <w:sz w:val="22"/>
          <w:szCs w:val="22"/>
          <w:lang w:val="fr-CA"/>
        </w:rPr>
        <w:t>].</w:t>
      </w:r>
      <w:bookmarkEnd w:id="44"/>
      <w:bookmarkEnd w:id="45"/>
    </w:p>
    <w:p w14:paraId="4F3DA058" w14:textId="77777777" w:rsidR="00805412" w:rsidRPr="00B33AA4" w:rsidRDefault="00763056" w:rsidP="004B40E3">
      <w:pPr>
        <w:pStyle w:val="Heading3"/>
      </w:pPr>
      <w:r w:rsidRPr="00B33AA4">
        <w:t>Immobilisations corporelles</w:t>
      </w:r>
    </w:p>
    <w:p w14:paraId="0A3D2744" w14:textId="77777777" w:rsidR="00805412" w:rsidRPr="00B33AA4" w:rsidRDefault="00184400" w:rsidP="008F2193">
      <w:pPr>
        <w:pStyle w:val="09Para"/>
      </w:pPr>
      <w:r w:rsidRPr="00B33AA4">
        <w:t>Chaque composante significative d</w:t>
      </w:r>
      <w:r w:rsidR="00865E23" w:rsidRPr="00B33AA4">
        <w:t>’</w:t>
      </w:r>
      <w:r w:rsidRPr="00B33AA4">
        <w:t>une immobilisation corporelle</w:t>
      </w:r>
      <w:r w:rsidR="00865E23" w:rsidRPr="00B33AA4">
        <w:t xml:space="preserve"> acquise</w:t>
      </w:r>
      <w:r w:rsidRPr="00B33AA4">
        <w:t xml:space="preserve"> a été comptabilisée séparément </w:t>
      </w:r>
      <w:r w:rsidR="004A37B1" w:rsidRPr="00B33AA4">
        <w:t>conformément</w:t>
      </w:r>
      <w:r w:rsidRPr="00B33AA4">
        <w:t xml:space="preserve"> à l</w:t>
      </w:r>
      <w:r w:rsidR="00865E23" w:rsidRPr="00B33AA4">
        <w:t>’</w:t>
      </w:r>
      <w:r w:rsidR="00805412" w:rsidRPr="00B33AA4">
        <w:t>IAS</w:t>
      </w:r>
      <w:r w:rsidR="008E21B6" w:rsidRPr="00B33AA4">
        <w:t> </w:t>
      </w:r>
      <w:r w:rsidR="00805412" w:rsidRPr="00B33AA4">
        <w:t>16</w:t>
      </w:r>
      <w:r w:rsidR="008D23E5" w:rsidRPr="00B33AA4">
        <w:t>,</w:t>
      </w:r>
      <w:r w:rsidR="00805412" w:rsidRPr="00B33AA4">
        <w:t xml:space="preserve"> </w:t>
      </w:r>
      <w:r w:rsidRPr="00B33AA4">
        <w:t>Imm</w:t>
      </w:r>
      <w:r w:rsidR="004A37B1" w:rsidRPr="00B33AA4">
        <w:t>ob</w:t>
      </w:r>
      <w:r w:rsidRPr="00B33AA4">
        <w:t>ilisations corporelles</w:t>
      </w:r>
      <w:r w:rsidR="00805412" w:rsidRPr="00B33AA4">
        <w:t>.</w:t>
      </w:r>
    </w:p>
    <w:p w14:paraId="67180044" w14:textId="16AA01FC" w:rsidR="00805412" w:rsidRPr="00B33AA4" w:rsidRDefault="00184400" w:rsidP="008F2193">
      <w:pPr>
        <w:pStyle w:val="09Para"/>
      </w:pPr>
      <w:r w:rsidRPr="00B33AA4">
        <w:t>Nous estimons que la valeur comptable actuelle des immobilisations corporelles, déterminée selon le modèle de la juste valeur [</w:t>
      </w:r>
      <w:r w:rsidRPr="00B33AA4">
        <w:rPr>
          <w:i/>
          <w:color w:val="0000FF"/>
        </w:rPr>
        <w:t>décrire le type d</w:t>
      </w:r>
      <w:r w:rsidR="00865E23" w:rsidRPr="00B33AA4">
        <w:rPr>
          <w:i/>
          <w:color w:val="0000FF"/>
        </w:rPr>
        <w:t>’</w:t>
      </w:r>
      <w:r w:rsidRPr="00B33AA4">
        <w:rPr>
          <w:i/>
          <w:color w:val="0000FF"/>
        </w:rPr>
        <w:t>actifs ou les actifs les plus importants</w:t>
      </w:r>
      <w:r w:rsidR="00805412" w:rsidRPr="00B33AA4">
        <w:t xml:space="preserve">], </w:t>
      </w:r>
      <w:r w:rsidRPr="00B33AA4">
        <w:t xml:space="preserve">ne </w:t>
      </w:r>
      <w:r w:rsidR="004A37B1" w:rsidRPr="00B33AA4">
        <w:t>d</w:t>
      </w:r>
      <w:r w:rsidRPr="00B33AA4">
        <w:t>iffère</w:t>
      </w:r>
      <w:r w:rsidR="00865E23" w:rsidRPr="00B33AA4">
        <w:t xml:space="preserve"> pas</w:t>
      </w:r>
      <w:r w:rsidRPr="00B33AA4">
        <w:t xml:space="preserve"> de façon significative de celle qui aurait été déterminée en </w:t>
      </w:r>
      <w:r w:rsidR="004A37B1" w:rsidRPr="00B33AA4">
        <w:t>utilisant</w:t>
      </w:r>
      <w:r w:rsidRPr="00B33AA4">
        <w:t xml:space="preserve"> la juste valeur à la </w:t>
      </w:r>
      <w:r w:rsidR="009E376D">
        <w:t xml:space="preserve">date de l’état </w:t>
      </w:r>
      <w:r w:rsidR="009E376D" w:rsidRPr="00D17C6D">
        <w:rPr>
          <w:snapToGrid w:val="0"/>
        </w:rPr>
        <w:t>[</w:t>
      </w:r>
      <w:r w:rsidR="009E376D" w:rsidRPr="00D17C6D">
        <w:rPr>
          <w:rStyle w:val="BlueText"/>
        </w:rPr>
        <w:t>consolidé</w:t>
      </w:r>
      <w:r w:rsidR="009E376D" w:rsidRPr="00D17C6D">
        <w:rPr>
          <w:snapToGrid w:val="0"/>
        </w:rPr>
        <w:t>]</w:t>
      </w:r>
      <w:r w:rsidR="009E376D" w:rsidRPr="00D17C6D">
        <w:t xml:space="preserve"> </w:t>
      </w:r>
      <w:r w:rsidR="009E376D">
        <w:t>de la situation financière</w:t>
      </w:r>
      <w:r w:rsidR="00FE2A9C" w:rsidRPr="00B33AA4">
        <w:t>.</w:t>
      </w:r>
    </w:p>
    <w:p w14:paraId="1ECF231F" w14:textId="77777777" w:rsidR="00805412" w:rsidRPr="00B33AA4" w:rsidRDefault="00E673DA" w:rsidP="008F2193">
      <w:pPr>
        <w:pStyle w:val="09Para"/>
      </w:pPr>
      <w:r w:rsidRPr="00B33AA4">
        <w:t xml:space="preserve">Aucun </w:t>
      </w:r>
      <w:r w:rsidR="007E16D6" w:rsidRPr="00B33AA4">
        <w:t>ajout d</w:t>
      </w:r>
      <w:r w:rsidR="00865E23" w:rsidRPr="00B33AA4">
        <w:t>’</w:t>
      </w:r>
      <w:r w:rsidRPr="00B33AA4">
        <w:t xml:space="preserve">immobilisation </w:t>
      </w:r>
      <w:r w:rsidR="00865E23" w:rsidRPr="00B33AA4">
        <w:t xml:space="preserve">important </w:t>
      </w:r>
      <w:r w:rsidRPr="00B33AA4">
        <w:t>n</w:t>
      </w:r>
      <w:r w:rsidR="00865E23" w:rsidRPr="00B33AA4">
        <w:t>’</w:t>
      </w:r>
      <w:r w:rsidRPr="00B33AA4">
        <w:t>a été comptabilisé dans les comptes « réparation et maintenance » ou « autres charges »</w:t>
      </w:r>
      <w:r w:rsidR="00805412" w:rsidRPr="00B33AA4">
        <w:t>.</w:t>
      </w:r>
    </w:p>
    <w:p w14:paraId="0B831DC1" w14:textId="77777777" w:rsidR="00805412" w:rsidRPr="00B33AA4" w:rsidRDefault="00E673DA" w:rsidP="008F2193">
      <w:pPr>
        <w:pStyle w:val="09Para"/>
      </w:pPr>
      <w:r w:rsidRPr="00B33AA4">
        <w:t xml:space="preserve">La valeur comptable des immobilisations corporelles vendues, détruites, abandonnées ou sorties </w:t>
      </w:r>
      <w:r w:rsidR="00865E23" w:rsidRPr="00B33AA4">
        <w:t xml:space="preserve">de toute autre façon </w:t>
      </w:r>
      <w:r w:rsidRPr="00B33AA4">
        <w:t xml:space="preserve">a été éliminée des </w:t>
      </w:r>
      <w:r w:rsidR="00696BD1" w:rsidRPr="00B33AA4">
        <w:t>documents comptables</w:t>
      </w:r>
      <w:r w:rsidR="004B40E3" w:rsidRPr="00B33AA4">
        <w:t>.</w:t>
      </w:r>
    </w:p>
    <w:p w14:paraId="40191F26" w14:textId="0808DD43" w:rsidR="00805412" w:rsidRPr="00B33AA4" w:rsidRDefault="00E673DA" w:rsidP="008F2193">
      <w:pPr>
        <w:pStyle w:val="09Para"/>
      </w:pPr>
      <w:r w:rsidRPr="00B33AA4">
        <w:t xml:space="preserve">Les immobilisations corporelles </w:t>
      </w:r>
      <w:r w:rsidR="008E7230" w:rsidRPr="00B33AA4">
        <w:t xml:space="preserve">qui appartiennent à </w:t>
      </w:r>
      <w:r w:rsidR="00805412" w:rsidRPr="00B33AA4">
        <w:t>[</w:t>
      </w:r>
      <w:r w:rsidR="00805412" w:rsidRPr="00B33AA4">
        <w:rPr>
          <w:color w:val="0000FF"/>
        </w:rPr>
        <w:t>Entit</w:t>
      </w:r>
      <w:r w:rsidRPr="00B33AA4">
        <w:rPr>
          <w:color w:val="0000FF"/>
        </w:rPr>
        <w:t>é</w:t>
      </w:r>
      <w:r w:rsidR="00805412" w:rsidRPr="00B33AA4">
        <w:t xml:space="preserve">] </w:t>
      </w:r>
      <w:r w:rsidRPr="00B33AA4">
        <w:t>sont amorties d</w:t>
      </w:r>
      <w:r w:rsidR="00865E23" w:rsidRPr="00B33AA4">
        <w:t>’</w:t>
      </w:r>
      <w:r w:rsidRPr="00B33AA4">
        <w:t>une manière systématique sur leur durée d</w:t>
      </w:r>
      <w:r w:rsidR="00157D0F" w:rsidRPr="00B33AA4">
        <w:t xml:space="preserve">’utilité </w:t>
      </w:r>
      <w:r w:rsidRPr="00B33AA4">
        <w:t>estimée</w:t>
      </w:r>
      <w:r w:rsidR="00865E23" w:rsidRPr="00B33AA4">
        <w:t>. L</w:t>
      </w:r>
      <w:r w:rsidRPr="00B33AA4">
        <w:t xml:space="preserve">a </w:t>
      </w:r>
      <w:r w:rsidR="00157D0F" w:rsidRPr="00B33AA4">
        <w:t xml:space="preserve">dotation aux </w:t>
      </w:r>
      <w:r w:rsidRPr="00B33AA4">
        <w:t>amortissement</w:t>
      </w:r>
      <w:r w:rsidR="00157D0F" w:rsidRPr="00B33AA4">
        <w:t>s</w:t>
      </w:r>
      <w:r w:rsidRPr="00B33AA4">
        <w:t xml:space="preserve"> a été calculée selon la même méthode que</w:t>
      </w:r>
      <w:r w:rsidR="00865E23" w:rsidRPr="00B33AA4">
        <w:t xml:space="preserve"> lors de</w:t>
      </w:r>
      <w:r w:rsidRPr="00B33AA4">
        <w:t xml:space="preserve"> l</w:t>
      </w:r>
      <w:r w:rsidR="00865E23" w:rsidRPr="00B33AA4">
        <w:t>’</w:t>
      </w:r>
      <w:r w:rsidRPr="00B33AA4">
        <w:t>exercice précédent.</w:t>
      </w:r>
    </w:p>
    <w:p w14:paraId="1ECCCAD3" w14:textId="25996006" w:rsidR="00805412" w:rsidRPr="00B33AA4" w:rsidRDefault="00E673DA" w:rsidP="008F2193">
      <w:pPr>
        <w:pStyle w:val="09Para"/>
      </w:pPr>
      <w:r w:rsidRPr="00B33AA4">
        <w:t>Au cours de l</w:t>
      </w:r>
      <w:r w:rsidR="00865E23" w:rsidRPr="00B33AA4">
        <w:t>’</w:t>
      </w:r>
      <w:r w:rsidR="00805412" w:rsidRPr="00B33AA4">
        <w:t>e</w:t>
      </w:r>
      <w:r w:rsidRPr="00B33AA4">
        <w:t>xercice</w:t>
      </w:r>
      <w:r w:rsidR="00805412" w:rsidRPr="00B33AA4">
        <w:t xml:space="preserve">, </w:t>
      </w:r>
      <w:r w:rsidRPr="00B33AA4">
        <w:t>nous avons examiné le</w:t>
      </w:r>
      <w:r w:rsidR="00844FBD">
        <w:t xml:space="preserve"> caractère approprié de la méthode d’amortissement </w:t>
      </w:r>
      <w:r w:rsidR="00205A7C">
        <w:t>ainsi que</w:t>
      </w:r>
      <w:r w:rsidR="00844FBD">
        <w:t xml:space="preserve"> le</w:t>
      </w:r>
      <w:r w:rsidRPr="00B33AA4">
        <w:t xml:space="preserve">s valeurs résiduelles </w:t>
      </w:r>
      <w:r w:rsidR="004E1B2B">
        <w:t xml:space="preserve">et </w:t>
      </w:r>
      <w:r w:rsidR="004E1B2B">
        <w:rPr>
          <w:color w:val="000000"/>
        </w:rPr>
        <w:t xml:space="preserve">les durées d’utilité </w:t>
      </w:r>
      <w:r w:rsidRPr="00B33AA4">
        <w:t>des immobilisations corporelles en tenant compte de tous les facteurs pertinents</w:t>
      </w:r>
      <w:r w:rsidR="00805412" w:rsidRPr="00B33AA4">
        <w:t>.</w:t>
      </w:r>
      <w:r w:rsidR="004E1B2B">
        <w:t xml:space="preserve"> </w:t>
      </w:r>
      <w:r w:rsidRPr="00B33AA4">
        <w:t xml:space="preserve">Tout changement </w:t>
      </w:r>
      <w:r w:rsidR="00865E23" w:rsidRPr="00B33AA4">
        <w:t xml:space="preserve">important </w:t>
      </w:r>
      <w:r w:rsidRPr="00B33AA4">
        <w:t>dans notre évaluation par rapport à l</w:t>
      </w:r>
      <w:r w:rsidR="00865E23" w:rsidRPr="00B33AA4">
        <w:t>’</w:t>
      </w:r>
      <w:r w:rsidRPr="00B33AA4">
        <w:t xml:space="preserve">exercice précédent a été communiqué et </w:t>
      </w:r>
      <w:r w:rsidR="004A37B1" w:rsidRPr="00B33AA4">
        <w:t>présenté</w:t>
      </w:r>
      <w:r w:rsidRPr="00B33AA4">
        <w:t xml:space="preserve"> de manière adéquate dans les états financiers </w:t>
      </w:r>
      <w:r w:rsidR="00805412" w:rsidRPr="00B33AA4">
        <w:t>[</w:t>
      </w:r>
      <w:r w:rsidR="00805412" w:rsidRPr="00B33AA4">
        <w:rPr>
          <w:color w:val="0000FF"/>
        </w:rPr>
        <w:t>consolid</w:t>
      </w:r>
      <w:r w:rsidRPr="00B33AA4">
        <w:rPr>
          <w:color w:val="0000FF"/>
        </w:rPr>
        <w:t>és</w:t>
      </w:r>
      <w:r w:rsidR="00805412" w:rsidRPr="00B33AA4">
        <w:t>].</w:t>
      </w:r>
    </w:p>
    <w:p w14:paraId="318DC836" w14:textId="6A39C1A7" w:rsidR="005C09B2" w:rsidRPr="00B33AA4" w:rsidRDefault="00F96EBA" w:rsidP="00700075">
      <w:pPr>
        <w:pStyle w:val="09Para"/>
        <w:keepNext/>
        <w:keepLines/>
        <w:rPr>
          <w:rFonts w:eastAsia="SimSun"/>
        </w:rPr>
      </w:pPr>
      <w:r w:rsidRPr="00F96EBA">
        <w:rPr>
          <w:rFonts w:eastAsia="SimSun" w:cs="Arial"/>
        </w:rPr>
        <w:lastRenderedPageBreak/>
        <w:t>[</w:t>
      </w:r>
      <w:r w:rsidR="005C09B2" w:rsidRPr="00B33AA4">
        <w:rPr>
          <w:rFonts w:eastAsia="SimSun"/>
          <w:i/>
          <w:color w:val="0000FF"/>
        </w:rPr>
        <w:t>Cho</w:t>
      </w:r>
      <w:r w:rsidR="00E673DA" w:rsidRPr="00B33AA4">
        <w:rPr>
          <w:rFonts w:eastAsia="SimSun"/>
          <w:i/>
          <w:color w:val="0000FF"/>
        </w:rPr>
        <w:t>isir l</w:t>
      </w:r>
      <w:r w:rsidR="00865E23" w:rsidRPr="00B33AA4">
        <w:rPr>
          <w:rFonts w:eastAsia="SimSun"/>
          <w:i/>
          <w:color w:val="0000FF"/>
        </w:rPr>
        <w:t>’</w:t>
      </w:r>
      <w:r w:rsidR="00E673DA" w:rsidRPr="00B33AA4">
        <w:rPr>
          <w:rFonts w:eastAsia="SimSun"/>
          <w:i/>
          <w:color w:val="0000FF"/>
        </w:rPr>
        <w:t>un des trois</w:t>
      </w:r>
      <w:r w:rsidR="004B40E3" w:rsidRPr="00B33AA4">
        <w:rPr>
          <w:rFonts w:eastAsia="SimSun"/>
          <w:i/>
          <w:color w:val="0000FF"/>
        </w:rPr>
        <w:t> </w:t>
      </w:r>
      <w:r w:rsidR="00E673DA" w:rsidRPr="00B33AA4">
        <w:rPr>
          <w:rFonts w:eastAsia="SimSun"/>
          <w:i/>
          <w:color w:val="0000FF"/>
        </w:rPr>
        <w:t>paragraphes suivants</w:t>
      </w:r>
      <w:r w:rsidR="00605C59" w:rsidRPr="00B33AA4">
        <w:rPr>
          <w:rFonts w:eastAsia="SimSun"/>
          <w:i/>
          <w:color w:val="0000FF"/>
        </w:rPr>
        <w:t> :</w:t>
      </w:r>
    </w:p>
    <w:p w14:paraId="27468501" w14:textId="0858AF71" w:rsidR="00805412" w:rsidRPr="00B33AA4" w:rsidRDefault="00274300" w:rsidP="008F2193">
      <w:pPr>
        <w:pStyle w:val="09Para"/>
      </w:pPr>
      <w:r w:rsidRPr="00B33AA4">
        <w:t>Conformément aux exigences de l</w:t>
      </w:r>
      <w:r w:rsidR="00865E23" w:rsidRPr="00B33AA4">
        <w:t>’</w:t>
      </w:r>
      <w:r w:rsidR="00805412" w:rsidRPr="00B33AA4">
        <w:t>IAS</w:t>
      </w:r>
      <w:r w:rsidR="00C62623" w:rsidRPr="00B33AA4">
        <w:t> </w:t>
      </w:r>
      <w:r w:rsidR="00805412" w:rsidRPr="00B33AA4">
        <w:t>36</w:t>
      </w:r>
      <w:r w:rsidR="008D23E5" w:rsidRPr="00B33AA4">
        <w:t>,</w:t>
      </w:r>
      <w:r w:rsidRPr="00B33AA4">
        <w:t xml:space="preserve"> Dépréciation d</w:t>
      </w:r>
      <w:r w:rsidR="00865E23" w:rsidRPr="00B33AA4">
        <w:t>’</w:t>
      </w:r>
      <w:r w:rsidRPr="00B33AA4">
        <w:t>actifs</w:t>
      </w:r>
      <w:r w:rsidR="00805412" w:rsidRPr="00B33AA4">
        <w:t xml:space="preserve"> </w:t>
      </w:r>
      <w:r w:rsidRPr="00B33AA4">
        <w:t xml:space="preserve">nous avons </w:t>
      </w:r>
      <w:r w:rsidR="00FB470B" w:rsidRPr="00B33AA4">
        <w:t>détermin</w:t>
      </w:r>
      <w:r w:rsidR="00C6307B" w:rsidRPr="00B33AA4">
        <w:t>é</w:t>
      </w:r>
      <w:r w:rsidR="00157D0F" w:rsidRPr="00B33AA4">
        <w:t xml:space="preserve"> </w:t>
      </w:r>
      <w:r w:rsidRPr="00B33AA4">
        <w:t>s</w:t>
      </w:r>
      <w:r w:rsidR="00865E23" w:rsidRPr="00B33AA4">
        <w:t>’</w:t>
      </w:r>
      <w:r w:rsidRPr="00B33AA4">
        <w:t>il exist</w:t>
      </w:r>
      <w:r w:rsidR="00157D0F" w:rsidRPr="00B33AA4">
        <w:t>e</w:t>
      </w:r>
      <w:r w:rsidRPr="00B33AA4">
        <w:t xml:space="preserve"> un quelconque indice qu</w:t>
      </w:r>
      <w:r w:rsidR="00865E23" w:rsidRPr="00B33AA4">
        <w:t>’</w:t>
      </w:r>
      <w:r w:rsidRPr="00B33AA4">
        <w:t xml:space="preserve">un actif avait pu se déprécier à la </w:t>
      </w:r>
      <w:r w:rsidR="009E376D">
        <w:t xml:space="preserve">date de l’état </w:t>
      </w:r>
      <w:r w:rsidR="009E376D" w:rsidRPr="00D17C6D">
        <w:rPr>
          <w:snapToGrid w:val="0"/>
        </w:rPr>
        <w:t>[</w:t>
      </w:r>
      <w:r w:rsidR="009E376D" w:rsidRPr="00D17C6D">
        <w:rPr>
          <w:rStyle w:val="BlueText"/>
        </w:rPr>
        <w:t>consolidé</w:t>
      </w:r>
      <w:r w:rsidR="009E376D" w:rsidRPr="00D17C6D">
        <w:rPr>
          <w:snapToGrid w:val="0"/>
        </w:rPr>
        <w:t>]</w:t>
      </w:r>
      <w:r w:rsidR="009E376D" w:rsidRPr="00D17C6D">
        <w:t xml:space="preserve"> </w:t>
      </w:r>
      <w:r w:rsidR="009E376D">
        <w:t>de la situation financière</w:t>
      </w:r>
      <w:r w:rsidRPr="00B33AA4">
        <w:t xml:space="preserve">. </w:t>
      </w:r>
      <w:r w:rsidR="004A37B1" w:rsidRPr="00B33AA4">
        <w:t xml:space="preserve">Nous </w:t>
      </w:r>
      <w:r w:rsidRPr="00B33AA4">
        <w:t>avons conclu qu</w:t>
      </w:r>
      <w:r w:rsidR="00865E23" w:rsidRPr="00B33AA4">
        <w:t>’</w:t>
      </w:r>
      <w:r w:rsidRPr="00B33AA4">
        <w:t>il n</w:t>
      </w:r>
      <w:r w:rsidR="00865E23" w:rsidRPr="00B33AA4">
        <w:t>’</w:t>
      </w:r>
      <w:r w:rsidRPr="00B33AA4">
        <w:t>y ava</w:t>
      </w:r>
      <w:r w:rsidR="00E04184" w:rsidRPr="00B33AA4">
        <w:t>i</w:t>
      </w:r>
      <w:r w:rsidRPr="00B33AA4">
        <w:t xml:space="preserve">t aucun événement ou changement de </w:t>
      </w:r>
      <w:r w:rsidR="00157D0F" w:rsidRPr="00B33AA4">
        <w:t>circonstance</w:t>
      </w:r>
      <w:r w:rsidRPr="00B33AA4">
        <w:t xml:space="preserve"> qui indiquait que l</w:t>
      </w:r>
      <w:r w:rsidR="00865E23" w:rsidRPr="00B33AA4">
        <w:t>a</w:t>
      </w:r>
      <w:r w:rsidRPr="00B33AA4">
        <w:t xml:space="preserve"> valeur comptable</w:t>
      </w:r>
      <w:r w:rsidR="00865E23" w:rsidRPr="00B33AA4">
        <w:t xml:space="preserve"> des </w:t>
      </w:r>
      <w:r w:rsidR="00157D0F" w:rsidRPr="00B33AA4">
        <w:t xml:space="preserve">immobilisations corporelles </w:t>
      </w:r>
      <w:r w:rsidRPr="00B33AA4">
        <w:t>pourrait ne pas être recouvrable.</w:t>
      </w:r>
      <w:r w:rsidR="00805412" w:rsidRPr="00B33AA4">
        <w:t xml:space="preserve"> </w:t>
      </w:r>
      <w:r w:rsidRPr="00B33AA4">
        <w:t>Nous n</w:t>
      </w:r>
      <w:r w:rsidR="00865E23" w:rsidRPr="00B33AA4">
        <w:t>’</w:t>
      </w:r>
      <w:r w:rsidRPr="00B33AA4">
        <w:t>avons donc pas procédé à un test de dépréciation au cours de l</w:t>
      </w:r>
      <w:r w:rsidR="00865E23" w:rsidRPr="00B33AA4">
        <w:t>’</w:t>
      </w:r>
      <w:r w:rsidRPr="00B33AA4">
        <w:t>exercice, conformément à l</w:t>
      </w:r>
      <w:r w:rsidR="00865E23" w:rsidRPr="00B33AA4">
        <w:t>’</w:t>
      </w:r>
      <w:r w:rsidR="00805412" w:rsidRPr="00B33AA4">
        <w:t>IAS</w:t>
      </w:r>
      <w:r w:rsidR="00C62623" w:rsidRPr="00B33AA4">
        <w:t> </w:t>
      </w:r>
      <w:r w:rsidR="00805412" w:rsidRPr="00B33AA4">
        <w:t>36.</w:t>
      </w:r>
    </w:p>
    <w:p w14:paraId="5769327B" w14:textId="77777777" w:rsidR="00805412" w:rsidRPr="00B33AA4" w:rsidRDefault="00805412" w:rsidP="008F2193">
      <w:pPr>
        <w:pStyle w:val="09Para"/>
        <w:rPr>
          <w:i/>
        </w:rPr>
      </w:pPr>
      <w:r w:rsidRPr="00B33AA4">
        <w:rPr>
          <w:i/>
          <w:color w:val="0000FF"/>
        </w:rPr>
        <w:t>O</w:t>
      </w:r>
      <w:r w:rsidR="00274300" w:rsidRPr="00B33AA4">
        <w:rPr>
          <w:i/>
          <w:color w:val="0000FF"/>
        </w:rPr>
        <w:t>U</w:t>
      </w:r>
    </w:p>
    <w:p w14:paraId="79C27E95" w14:textId="6B930B9F" w:rsidR="00805412" w:rsidRPr="00B33AA4" w:rsidRDefault="00274300" w:rsidP="008F2193">
      <w:pPr>
        <w:pStyle w:val="09Para"/>
      </w:pPr>
      <w:r w:rsidRPr="00B33AA4">
        <w:t>Au cours de l</w:t>
      </w:r>
      <w:r w:rsidR="00865E23" w:rsidRPr="00B33AA4">
        <w:t>’</w:t>
      </w:r>
      <w:r w:rsidR="00805412" w:rsidRPr="00B33AA4">
        <w:t>e</w:t>
      </w:r>
      <w:r w:rsidRPr="00B33AA4">
        <w:t>xercice</w:t>
      </w:r>
      <w:r w:rsidR="00805412" w:rsidRPr="00B33AA4">
        <w:t xml:space="preserve">, </w:t>
      </w:r>
      <w:r w:rsidRPr="00B33AA4">
        <w:t xml:space="preserve">nous avons recensé un indice de dépréciation ou plus et </w:t>
      </w:r>
      <w:r w:rsidR="00865E23" w:rsidRPr="00B33AA4">
        <w:t xml:space="preserve">nous </w:t>
      </w:r>
      <w:r w:rsidRPr="00B33AA4">
        <w:t>avons soumis nos immobilisations corporelles à un test de dépréciation, conformément à l</w:t>
      </w:r>
      <w:r w:rsidR="00865E23" w:rsidRPr="00B33AA4">
        <w:t>’</w:t>
      </w:r>
      <w:r w:rsidR="00805412" w:rsidRPr="00B33AA4">
        <w:t>IAS</w:t>
      </w:r>
      <w:r w:rsidR="00C62623" w:rsidRPr="00B33AA4">
        <w:t> </w:t>
      </w:r>
      <w:r w:rsidR="00805412" w:rsidRPr="00B33AA4">
        <w:t>36</w:t>
      </w:r>
      <w:r w:rsidR="008D23E5" w:rsidRPr="00B33AA4">
        <w:t>,</w:t>
      </w:r>
      <w:r w:rsidR="00805412" w:rsidRPr="00B33AA4">
        <w:t xml:space="preserve"> </w:t>
      </w:r>
      <w:r w:rsidRPr="00B33AA4">
        <w:t>Dépréciation d</w:t>
      </w:r>
      <w:r w:rsidR="00865E23" w:rsidRPr="00B33AA4">
        <w:t>’</w:t>
      </w:r>
      <w:r w:rsidRPr="00B33AA4">
        <w:t xml:space="preserve">actifs. À la suite de ce </w:t>
      </w:r>
      <w:r w:rsidR="004A37B1" w:rsidRPr="00B33AA4">
        <w:t>test</w:t>
      </w:r>
      <w:r w:rsidRPr="00B33AA4">
        <w:t>, [</w:t>
      </w:r>
      <w:r w:rsidRPr="00B33AA4">
        <w:rPr>
          <w:color w:val="0000FF"/>
        </w:rPr>
        <w:t>une perte de val</w:t>
      </w:r>
      <w:r w:rsidR="004A37B1" w:rsidRPr="00B33AA4">
        <w:rPr>
          <w:color w:val="0000FF"/>
        </w:rPr>
        <w:t>eu</w:t>
      </w:r>
      <w:r w:rsidRPr="00B33AA4">
        <w:rPr>
          <w:color w:val="0000FF"/>
        </w:rPr>
        <w:t xml:space="preserve">r de </w:t>
      </w:r>
      <w:r w:rsidR="00805412" w:rsidRPr="00B33AA4">
        <w:t>[</w:t>
      </w:r>
      <w:r w:rsidR="00865E23" w:rsidRPr="00B33AA4">
        <w:rPr>
          <w:color w:val="0000FF"/>
        </w:rPr>
        <w:t>montant</w:t>
      </w:r>
      <w:r w:rsidR="00700075" w:rsidRPr="00B33AA4">
        <w:t>] </w:t>
      </w:r>
      <w:r w:rsidRPr="00B33AA4">
        <w:rPr>
          <w:color w:val="0000FF"/>
        </w:rPr>
        <w:t>$</w:t>
      </w:r>
      <w:r w:rsidR="008E7230" w:rsidRPr="00B33AA4">
        <w:rPr>
          <w:color w:val="0000FF"/>
        </w:rPr>
        <w:t xml:space="preserve"> a été comptabilisée et </w:t>
      </w:r>
      <w:r w:rsidRPr="00B33AA4">
        <w:rPr>
          <w:color w:val="0000FF"/>
        </w:rPr>
        <w:t xml:space="preserve">correctement présentée dans les états financiers </w:t>
      </w:r>
      <w:r w:rsidR="00805412" w:rsidRPr="00B33AA4">
        <w:t>[</w:t>
      </w:r>
      <w:r w:rsidR="00805412" w:rsidRPr="00B33AA4">
        <w:rPr>
          <w:color w:val="0000FF"/>
        </w:rPr>
        <w:t>consolid</w:t>
      </w:r>
      <w:r w:rsidRPr="00B33AA4">
        <w:rPr>
          <w:color w:val="0000FF"/>
        </w:rPr>
        <w:t>és</w:t>
      </w:r>
      <w:r w:rsidR="00805412" w:rsidRPr="00B33AA4">
        <w:t xml:space="preserve">] </w:t>
      </w:r>
      <w:r w:rsidR="004B40E3" w:rsidRPr="00B33AA4">
        <w:rPr>
          <w:b/>
          <w:color w:val="0000FF"/>
        </w:rPr>
        <w:t>ou</w:t>
      </w:r>
      <w:r w:rsidR="00C62623" w:rsidRPr="00B33AA4">
        <w:rPr>
          <w:color w:val="0000FF"/>
        </w:rPr>
        <w:t xml:space="preserve"> </w:t>
      </w:r>
      <w:r w:rsidRPr="00B33AA4">
        <w:rPr>
          <w:color w:val="0000FF"/>
        </w:rPr>
        <w:t>nous avons</w:t>
      </w:r>
      <w:r w:rsidR="009E4F8A">
        <w:rPr>
          <w:color w:val="0000FF"/>
        </w:rPr>
        <w:t> </w:t>
      </w:r>
      <w:r w:rsidRPr="00B33AA4">
        <w:rPr>
          <w:color w:val="0000FF"/>
        </w:rPr>
        <w:t>déterminé que les immobilisations corporelles n</w:t>
      </w:r>
      <w:r w:rsidR="00865E23" w:rsidRPr="00B33AA4">
        <w:rPr>
          <w:color w:val="0000FF"/>
        </w:rPr>
        <w:t>’</w:t>
      </w:r>
      <w:r w:rsidRPr="00B33AA4">
        <w:rPr>
          <w:color w:val="0000FF"/>
        </w:rPr>
        <w:t>avaient subi aucune perte de valeur</w:t>
      </w:r>
      <w:r w:rsidR="00805412" w:rsidRPr="00B33AA4">
        <w:t>].</w:t>
      </w:r>
    </w:p>
    <w:p w14:paraId="357F1B88" w14:textId="77777777" w:rsidR="00805412" w:rsidRPr="00B33AA4" w:rsidRDefault="00805412" w:rsidP="008F2193">
      <w:pPr>
        <w:pStyle w:val="09Para"/>
        <w:rPr>
          <w:i/>
        </w:rPr>
      </w:pPr>
      <w:r w:rsidRPr="00B33AA4">
        <w:rPr>
          <w:i/>
          <w:color w:val="0000FF"/>
        </w:rPr>
        <w:t>O</w:t>
      </w:r>
      <w:r w:rsidR="00274300" w:rsidRPr="00B33AA4">
        <w:rPr>
          <w:i/>
          <w:color w:val="0000FF"/>
        </w:rPr>
        <w:t>U</w:t>
      </w:r>
    </w:p>
    <w:p w14:paraId="684FFE8E" w14:textId="263B44BA" w:rsidR="00805412" w:rsidRPr="00B33AA4" w:rsidRDefault="00274300" w:rsidP="008F2193">
      <w:pPr>
        <w:pStyle w:val="09Para"/>
      </w:pPr>
      <w:r w:rsidRPr="00B33AA4">
        <w:t>Au cours de l</w:t>
      </w:r>
      <w:r w:rsidR="00865E23" w:rsidRPr="00B33AA4">
        <w:t>’</w:t>
      </w:r>
      <w:r w:rsidRPr="00B33AA4">
        <w:t>exercice, nous avons déterminé</w:t>
      </w:r>
      <w:r w:rsidR="00727EF0" w:rsidRPr="00B33AA4">
        <w:t xml:space="preserve"> qu</w:t>
      </w:r>
      <w:r w:rsidR="00865E23" w:rsidRPr="00B33AA4">
        <w:t>’</w:t>
      </w:r>
      <w:r w:rsidR="00727EF0" w:rsidRPr="00B33AA4">
        <w:t>il existait un indice qu</w:t>
      </w:r>
      <w:r w:rsidR="00865E23" w:rsidRPr="00B33AA4">
        <w:t>’</w:t>
      </w:r>
      <w:r w:rsidR="00727EF0" w:rsidRPr="00B33AA4">
        <w:t>une perte de valeur comptabilisée au cours de périodes antérieures pour [</w:t>
      </w:r>
      <w:r w:rsidR="00727EF0" w:rsidRPr="00B33AA4">
        <w:rPr>
          <w:i/>
          <w:color w:val="0000FF"/>
        </w:rPr>
        <w:t>décrire l</w:t>
      </w:r>
      <w:r w:rsidR="00865E23" w:rsidRPr="00B33AA4">
        <w:rPr>
          <w:i/>
          <w:color w:val="0000FF"/>
        </w:rPr>
        <w:t>’</w:t>
      </w:r>
      <w:r w:rsidR="00727EF0" w:rsidRPr="00B33AA4">
        <w:rPr>
          <w:i/>
          <w:color w:val="0000FF"/>
        </w:rPr>
        <w:t>actif ou le groupe d</w:t>
      </w:r>
      <w:r w:rsidR="00865E23" w:rsidRPr="00B33AA4">
        <w:rPr>
          <w:i/>
          <w:color w:val="0000FF"/>
        </w:rPr>
        <w:t>’</w:t>
      </w:r>
      <w:r w:rsidR="00727EF0" w:rsidRPr="00B33AA4">
        <w:rPr>
          <w:i/>
          <w:color w:val="0000FF"/>
        </w:rPr>
        <w:t>actifs</w:t>
      </w:r>
      <w:r w:rsidR="004A37B1" w:rsidRPr="00B33AA4">
        <w:rPr>
          <w:i/>
          <w:color w:val="0000FF"/>
        </w:rPr>
        <w:t xml:space="preserve">, </w:t>
      </w:r>
      <w:r w:rsidR="00727EF0" w:rsidRPr="00B33AA4">
        <w:rPr>
          <w:i/>
          <w:color w:val="0000FF"/>
        </w:rPr>
        <w:t>autre</w:t>
      </w:r>
      <w:r w:rsidR="009E4F8A">
        <w:rPr>
          <w:i/>
          <w:color w:val="0000FF"/>
        </w:rPr>
        <w:t> </w:t>
      </w:r>
      <w:r w:rsidR="00727EF0" w:rsidRPr="00B33AA4">
        <w:rPr>
          <w:i/>
          <w:color w:val="0000FF"/>
        </w:rPr>
        <w:t>qu</w:t>
      </w:r>
      <w:r w:rsidR="00865E23" w:rsidRPr="00B33AA4">
        <w:rPr>
          <w:i/>
          <w:color w:val="0000FF"/>
        </w:rPr>
        <w:t>’</w:t>
      </w:r>
      <w:r w:rsidR="00727EF0" w:rsidRPr="00B33AA4">
        <w:rPr>
          <w:i/>
          <w:color w:val="0000FF"/>
        </w:rPr>
        <w:t>un goodwill</w:t>
      </w:r>
      <w:r w:rsidR="004A37B1" w:rsidRPr="00B33AA4">
        <w:rPr>
          <w:i/>
          <w:color w:val="0000FF"/>
        </w:rPr>
        <w:t xml:space="preserve">, </w:t>
      </w:r>
      <w:r w:rsidR="00727EF0" w:rsidRPr="00B33AA4">
        <w:rPr>
          <w:i/>
          <w:color w:val="0000FF"/>
        </w:rPr>
        <w:t>concerné</w:t>
      </w:r>
      <w:r w:rsidR="00805412" w:rsidRPr="00B33AA4">
        <w:t xml:space="preserve">] </w:t>
      </w:r>
      <w:r w:rsidR="00727EF0" w:rsidRPr="00B33AA4">
        <w:t xml:space="preserve">était susceptible de ne plus exister </w:t>
      </w:r>
      <w:r w:rsidR="00805412" w:rsidRPr="00B33AA4">
        <w:t>[</w:t>
      </w:r>
      <w:r w:rsidR="003914B9" w:rsidRPr="00B33AA4">
        <w:rPr>
          <w:color w:val="0000FF"/>
        </w:rPr>
        <w:t>ou</w:t>
      </w:r>
      <w:r w:rsidR="00727EF0" w:rsidRPr="00B33AA4">
        <w:rPr>
          <w:color w:val="0000FF"/>
        </w:rPr>
        <w:t xml:space="preserve"> d</w:t>
      </w:r>
      <w:r w:rsidR="00865E23" w:rsidRPr="00B33AA4">
        <w:rPr>
          <w:color w:val="0000FF"/>
        </w:rPr>
        <w:t>’</w:t>
      </w:r>
      <w:r w:rsidR="00727EF0" w:rsidRPr="00B33AA4">
        <w:rPr>
          <w:color w:val="0000FF"/>
        </w:rPr>
        <w:t>avoir diminué</w:t>
      </w:r>
      <w:r w:rsidR="00805412" w:rsidRPr="00B33AA4">
        <w:t xml:space="preserve">]. </w:t>
      </w:r>
      <w:r w:rsidR="00727EF0" w:rsidRPr="00B33AA4">
        <w:t>Conformément à l</w:t>
      </w:r>
      <w:r w:rsidR="00865E23" w:rsidRPr="00B33AA4">
        <w:t>’</w:t>
      </w:r>
      <w:r w:rsidR="00805412" w:rsidRPr="00B33AA4">
        <w:t>IAS</w:t>
      </w:r>
      <w:r w:rsidR="00C62623" w:rsidRPr="00B33AA4">
        <w:t> </w:t>
      </w:r>
      <w:r w:rsidR="00805412" w:rsidRPr="00B33AA4">
        <w:t>36</w:t>
      </w:r>
      <w:r w:rsidR="008D23E5" w:rsidRPr="00B33AA4">
        <w:t>,</w:t>
      </w:r>
      <w:r w:rsidR="00605F18" w:rsidRPr="00B33AA4">
        <w:t xml:space="preserve"> </w:t>
      </w:r>
      <w:r w:rsidR="00727EF0" w:rsidRPr="00B33AA4">
        <w:t>Dépréciation d</w:t>
      </w:r>
      <w:r w:rsidR="00865E23" w:rsidRPr="00B33AA4">
        <w:t>’</w:t>
      </w:r>
      <w:r w:rsidR="00727EF0" w:rsidRPr="00B33AA4">
        <w:t>actifs</w:t>
      </w:r>
      <w:r w:rsidR="00805412" w:rsidRPr="00B33AA4">
        <w:t xml:space="preserve"> </w:t>
      </w:r>
      <w:r w:rsidR="00727EF0" w:rsidRPr="00B33AA4">
        <w:t>la perte de valeur co</w:t>
      </w:r>
      <w:r w:rsidR="00157D0F" w:rsidRPr="00B33AA4">
        <w:t xml:space="preserve">rrespondante </w:t>
      </w:r>
      <w:r w:rsidR="00727EF0" w:rsidRPr="00B33AA4">
        <w:t>a été reprise et la valeur comptable de l</w:t>
      </w:r>
      <w:r w:rsidR="00865E23" w:rsidRPr="00B33AA4">
        <w:t>’</w:t>
      </w:r>
      <w:r w:rsidR="00727EF0" w:rsidRPr="00B33AA4">
        <w:t xml:space="preserve">actif </w:t>
      </w:r>
      <w:r w:rsidR="00805412" w:rsidRPr="00B33AA4">
        <w:t>[</w:t>
      </w:r>
      <w:r w:rsidR="003914B9" w:rsidRPr="00B33AA4">
        <w:rPr>
          <w:color w:val="0000FF"/>
        </w:rPr>
        <w:t>ou</w:t>
      </w:r>
      <w:r w:rsidR="00727EF0" w:rsidRPr="00B33AA4">
        <w:rPr>
          <w:color w:val="0000FF"/>
        </w:rPr>
        <w:t xml:space="preserve"> du groupe d</w:t>
      </w:r>
      <w:r w:rsidR="00865E23" w:rsidRPr="00B33AA4">
        <w:rPr>
          <w:color w:val="0000FF"/>
        </w:rPr>
        <w:t>’</w:t>
      </w:r>
      <w:r w:rsidR="00727EF0" w:rsidRPr="00B33AA4">
        <w:rPr>
          <w:color w:val="0000FF"/>
        </w:rPr>
        <w:t>actifs</w:t>
      </w:r>
      <w:r w:rsidR="00805412" w:rsidRPr="00B33AA4">
        <w:t>] a</w:t>
      </w:r>
      <w:r w:rsidR="00727EF0" w:rsidRPr="00B33AA4">
        <w:t xml:space="preserve"> été augmentée à hauteur de sa valeur recouvrable qui n</w:t>
      </w:r>
      <w:r w:rsidR="00865E23" w:rsidRPr="00B33AA4">
        <w:t>’</w:t>
      </w:r>
      <w:r w:rsidR="00727EF0" w:rsidRPr="00B33AA4">
        <w:t>est pas supérieure à la valeur comptable qui aurait été déterminée (nette des amortissements) si aucune perte de valeur n</w:t>
      </w:r>
      <w:r w:rsidR="00865E23" w:rsidRPr="00B33AA4">
        <w:t>’</w:t>
      </w:r>
      <w:r w:rsidR="00727EF0" w:rsidRPr="00B33AA4">
        <w:t>avait été comptabilisée pour cet actif au cours d</w:t>
      </w:r>
      <w:r w:rsidR="00865E23" w:rsidRPr="00B33AA4">
        <w:t>’</w:t>
      </w:r>
      <w:r w:rsidR="00727EF0" w:rsidRPr="00B33AA4">
        <w:t>exercices antérieurs</w:t>
      </w:r>
      <w:r w:rsidR="00805412" w:rsidRPr="00B33AA4">
        <w:t>.</w:t>
      </w:r>
      <w:r w:rsidR="00F96EBA" w:rsidRPr="00F96EBA">
        <w:rPr>
          <w:rFonts w:cs="Arial"/>
          <w:snapToGrid w:val="0"/>
        </w:rPr>
        <w:t>]</w:t>
      </w:r>
    </w:p>
    <w:p w14:paraId="5FE578BB" w14:textId="77777777" w:rsidR="00805412" w:rsidRPr="00B33AA4" w:rsidRDefault="00763056" w:rsidP="003914B9">
      <w:pPr>
        <w:pStyle w:val="Heading3"/>
      </w:pPr>
      <w:r w:rsidRPr="00B33AA4">
        <w:t>Coûts d</w:t>
      </w:r>
      <w:r w:rsidR="00865E23" w:rsidRPr="00B33AA4">
        <w:t>’</w:t>
      </w:r>
      <w:r w:rsidRPr="00B33AA4">
        <w:t>emprunt</w:t>
      </w:r>
    </w:p>
    <w:p w14:paraId="01559466" w14:textId="50E8D621" w:rsidR="00805412" w:rsidRPr="00B33AA4" w:rsidRDefault="0020356F" w:rsidP="008F2193">
      <w:pPr>
        <w:pStyle w:val="09Para"/>
      </w:pPr>
      <w:r w:rsidRPr="00B33AA4">
        <w:t>Au cours de l</w:t>
      </w:r>
      <w:r w:rsidR="00865E23" w:rsidRPr="00B33AA4">
        <w:t>’</w:t>
      </w:r>
      <w:r w:rsidRPr="00B33AA4">
        <w:t>exercice, nous avons inscrit à l</w:t>
      </w:r>
      <w:r w:rsidR="00865E23" w:rsidRPr="00B33AA4">
        <w:t>’</w:t>
      </w:r>
      <w:r w:rsidRPr="00B33AA4">
        <w:t>actif les coûts d</w:t>
      </w:r>
      <w:r w:rsidR="00865E23" w:rsidRPr="00B33AA4">
        <w:t>’</w:t>
      </w:r>
      <w:r w:rsidRPr="00B33AA4">
        <w:t>emprunt qui sont directement attribuables à l</w:t>
      </w:r>
      <w:r w:rsidR="00865E23" w:rsidRPr="00B33AA4">
        <w:t>’</w:t>
      </w:r>
      <w:r w:rsidRPr="00B33AA4">
        <w:t>acquisition, la construction ou la production d</w:t>
      </w:r>
      <w:r w:rsidR="00865E23" w:rsidRPr="00B33AA4">
        <w:t>’</w:t>
      </w:r>
      <w:r w:rsidRPr="00B33AA4">
        <w:t>un actif qualifié</w:t>
      </w:r>
      <w:r w:rsidR="00805412" w:rsidRPr="00B33AA4">
        <w:t xml:space="preserve"> </w:t>
      </w:r>
      <w:r w:rsidRPr="00B33AA4">
        <w:t>[</w:t>
      </w:r>
      <w:r w:rsidRPr="00B33AA4">
        <w:rPr>
          <w:i/>
          <w:color w:val="0000FF"/>
        </w:rPr>
        <w:t>adapter, s</w:t>
      </w:r>
      <w:r w:rsidR="00865E23" w:rsidRPr="00B33AA4">
        <w:rPr>
          <w:i/>
          <w:color w:val="0000FF"/>
        </w:rPr>
        <w:t>’</w:t>
      </w:r>
      <w:r w:rsidRPr="00B33AA4">
        <w:rPr>
          <w:i/>
          <w:color w:val="0000FF"/>
        </w:rPr>
        <w:t>il y</w:t>
      </w:r>
      <w:r w:rsidR="00EA1216">
        <w:rPr>
          <w:i/>
          <w:color w:val="0000FF"/>
        </w:rPr>
        <w:t> </w:t>
      </w:r>
      <w:r w:rsidRPr="00B33AA4">
        <w:rPr>
          <w:i/>
          <w:color w:val="0000FF"/>
        </w:rPr>
        <w:t>a</w:t>
      </w:r>
      <w:r w:rsidR="00EA1216">
        <w:rPr>
          <w:i/>
          <w:color w:val="0000FF"/>
        </w:rPr>
        <w:t> </w:t>
      </w:r>
      <w:r w:rsidRPr="00B33AA4">
        <w:rPr>
          <w:i/>
          <w:color w:val="0000FF"/>
        </w:rPr>
        <w:t xml:space="preserve">lieu, et donner </w:t>
      </w:r>
      <w:r w:rsidR="009A0CB8" w:rsidRPr="00B33AA4">
        <w:rPr>
          <w:i/>
          <w:color w:val="0000FF"/>
        </w:rPr>
        <w:t xml:space="preserve">la </w:t>
      </w:r>
      <w:r w:rsidRPr="00B33AA4">
        <w:rPr>
          <w:i/>
          <w:color w:val="0000FF"/>
        </w:rPr>
        <w:t>liste des actifs qualifiés</w:t>
      </w:r>
      <w:r w:rsidR="00805412" w:rsidRPr="00B33AA4">
        <w:t>]</w:t>
      </w:r>
      <w:r w:rsidR="00BC5778" w:rsidRPr="00B33AA4">
        <w:t xml:space="preserve">, </w:t>
      </w:r>
      <w:r w:rsidRPr="00B33AA4">
        <w:t>conformément aux exigences de l</w:t>
      </w:r>
      <w:r w:rsidR="00865E23" w:rsidRPr="00B33AA4">
        <w:t>’</w:t>
      </w:r>
      <w:r w:rsidR="00805412" w:rsidRPr="00B33AA4">
        <w:t>IAS</w:t>
      </w:r>
      <w:r w:rsidR="00C62623" w:rsidRPr="00B33AA4">
        <w:t> </w:t>
      </w:r>
      <w:r w:rsidR="00805412" w:rsidRPr="00B33AA4">
        <w:t>23</w:t>
      </w:r>
      <w:r w:rsidR="008D23E5" w:rsidRPr="00B33AA4">
        <w:t>,</w:t>
      </w:r>
      <w:r w:rsidR="00805412" w:rsidRPr="00B33AA4">
        <w:t xml:space="preserve"> </w:t>
      </w:r>
      <w:r w:rsidRPr="00B33AA4">
        <w:t>Coûts</w:t>
      </w:r>
      <w:r w:rsidR="00EA1216">
        <w:t> </w:t>
      </w:r>
      <w:r w:rsidRPr="00B33AA4">
        <w:t>d</w:t>
      </w:r>
      <w:r w:rsidR="00865E23" w:rsidRPr="00B33AA4">
        <w:t>’</w:t>
      </w:r>
      <w:r w:rsidRPr="00B33AA4">
        <w:t>emprunt</w:t>
      </w:r>
      <w:r w:rsidR="00FE2A9C" w:rsidRPr="00B33AA4">
        <w:t>.</w:t>
      </w:r>
    </w:p>
    <w:p w14:paraId="4B2AC733" w14:textId="77777777" w:rsidR="00805412" w:rsidRPr="00B33AA4" w:rsidRDefault="00BE3BFE" w:rsidP="008F2193">
      <w:pPr>
        <w:pStyle w:val="09Para"/>
      </w:pPr>
      <w:r w:rsidRPr="00B33AA4">
        <w:t>Les autres coûts d</w:t>
      </w:r>
      <w:r w:rsidR="00865E23" w:rsidRPr="00B33AA4">
        <w:t>’</w:t>
      </w:r>
      <w:r w:rsidRPr="00B33AA4">
        <w:t>emprunt ont été comptabilisés en charges au cours de l</w:t>
      </w:r>
      <w:r w:rsidR="00865E23" w:rsidRPr="00B33AA4">
        <w:t>’</w:t>
      </w:r>
      <w:r w:rsidRPr="00B33AA4">
        <w:t>exercice au cours duquel ils ont été engagés</w:t>
      </w:r>
      <w:r w:rsidR="00805412" w:rsidRPr="00B33AA4">
        <w:t>.</w:t>
      </w:r>
    </w:p>
    <w:p w14:paraId="4328C792" w14:textId="77777777" w:rsidR="00805412" w:rsidRPr="00B33AA4" w:rsidRDefault="00763056" w:rsidP="003914B9">
      <w:pPr>
        <w:pStyle w:val="Heading3"/>
      </w:pPr>
      <w:r w:rsidRPr="00B33AA4">
        <w:t>Subventions</w:t>
      </w:r>
      <w:r w:rsidR="009A0CB8" w:rsidRPr="00B33AA4">
        <w:t xml:space="preserve"> publiques</w:t>
      </w:r>
    </w:p>
    <w:p w14:paraId="0E7CFB64" w14:textId="77777777" w:rsidR="00805412" w:rsidRPr="00B33AA4" w:rsidRDefault="00BE3BFE" w:rsidP="008F2193">
      <w:pPr>
        <w:pStyle w:val="09Para"/>
      </w:pPr>
      <w:r w:rsidRPr="00B33AA4">
        <w:t>Au cours de l</w:t>
      </w:r>
      <w:r w:rsidR="00865E23" w:rsidRPr="00B33AA4">
        <w:t>’</w:t>
      </w:r>
      <w:r w:rsidRPr="00B33AA4">
        <w:t>exercice, nous avons reçu une aide publique [</w:t>
      </w:r>
      <w:r w:rsidRPr="00B33AA4">
        <w:rPr>
          <w:i/>
          <w:color w:val="0000FF"/>
        </w:rPr>
        <w:t>adapter si l</w:t>
      </w:r>
      <w:r w:rsidR="00865E23" w:rsidRPr="00B33AA4">
        <w:rPr>
          <w:i/>
          <w:color w:val="0000FF"/>
        </w:rPr>
        <w:t>’</w:t>
      </w:r>
      <w:r w:rsidRPr="00B33AA4">
        <w:rPr>
          <w:i/>
          <w:color w:val="0000FF"/>
        </w:rPr>
        <w:t>aide n</w:t>
      </w:r>
      <w:r w:rsidR="00865E23" w:rsidRPr="00B33AA4">
        <w:rPr>
          <w:i/>
          <w:color w:val="0000FF"/>
        </w:rPr>
        <w:t>’</w:t>
      </w:r>
      <w:r w:rsidRPr="00B33AA4">
        <w:rPr>
          <w:i/>
          <w:color w:val="0000FF"/>
        </w:rPr>
        <w:t xml:space="preserve">a pas été fournie par le </w:t>
      </w:r>
      <w:r w:rsidR="004A37B1" w:rsidRPr="00B33AA4">
        <w:rPr>
          <w:i/>
          <w:color w:val="0000FF"/>
        </w:rPr>
        <w:t>gouvernement</w:t>
      </w:r>
      <w:r w:rsidR="00805412" w:rsidRPr="00B33AA4">
        <w:t xml:space="preserve">] </w:t>
      </w:r>
      <w:r w:rsidRPr="00B33AA4">
        <w:t xml:space="preserve">qui totalise </w:t>
      </w:r>
      <w:r w:rsidR="00805412" w:rsidRPr="00B33AA4">
        <w:t>[</w:t>
      </w:r>
      <w:r w:rsidR="009A0CB8" w:rsidRPr="00B33AA4">
        <w:rPr>
          <w:color w:val="0000FF"/>
        </w:rPr>
        <w:t>montant</w:t>
      </w:r>
      <w:r w:rsidR="00805412" w:rsidRPr="00B33AA4">
        <w:t>]</w:t>
      </w:r>
      <w:r w:rsidRPr="00B33AA4">
        <w:t> $</w:t>
      </w:r>
      <w:r w:rsidR="003914B9" w:rsidRPr="00B33AA4">
        <w:t>.</w:t>
      </w:r>
    </w:p>
    <w:p w14:paraId="6BC4EC83" w14:textId="05ACFD78" w:rsidR="00805412" w:rsidRPr="00B33AA4" w:rsidRDefault="00BE3BFE" w:rsidP="008F2193">
      <w:pPr>
        <w:pStyle w:val="09Para"/>
      </w:pPr>
      <w:r w:rsidRPr="00B33AA4">
        <w:t xml:space="preserve">Nous avons comptabilisé cette </w:t>
      </w:r>
      <w:r w:rsidR="009A0CB8" w:rsidRPr="00B33AA4">
        <w:t xml:space="preserve">opération </w:t>
      </w:r>
      <w:r w:rsidRPr="00B33AA4">
        <w:t>conformément aux exigences de l</w:t>
      </w:r>
      <w:r w:rsidR="00865E23" w:rsidRPr="00B33AA4">
        <w:t>’</w:t>
      </w:r>
      <w:r w:rsidR="00805412" w:rsidRPr="00B33AA4">
        <w:t>IAS</w:t>
      </w:r>
      <w:r w:rsidR="00C62623" w:rsidRPr="00B33AA4">
        <w:t> </w:t>
      </w:r>
      <w:r w:rsidR="00805412" w:rsidRPr="00B33AA4">
        <w:t>20</w:t>
      </w:r>
      <w:r w:rsidR="008D23E5" w:rsidRPr="00B33AA4">
        <w:t>,</w:t>
      </w:r>
      <w:r w:rsidR="00805412" w:rsidRPr="00B33AA4">
        <w:t xml:space="preserve"> </w:t>
      </w:r>
      <w:r w:rsidRPr="00B33AA4">
        <w:t>Com</w:t>
      </w:r>
      <w:r w:rsidR="009A0CB8" w:rsidRPr="00B33AA4">
        <w:t>p</w:t>
      </w:r>
      <w:r w:rsidRPr="00B33AA4">
        <w:t>tabilisation des subventions publiques et informations à fournir sur l</w:t>
      </w:r>
      <w:r w:rsidR="00865E23" w:rsidRPr="00B33AA4">
        <w:t>’</w:t>
      </w:r>
      <w:r w:rsidRPr="00B33AA4">
        <w:t>aide publique</w:t>
      </w:r>
      <w:r w:rsidR="00805412" w:rsidRPr="00B33AA4">
        <w:t xml:space="preserve">. </w:t>
      </w:r>
      <w:r w:rsidRPr="00B33AA4">
        <w:t>Nous</w:t>
      </w:r>
      <w:r w:rsidR="009E4F8A">
        <w:t> </w:t>
      </w:r>
      <w:r w:rsidRPr="00B33AA4">
        <w:t>vous avons communiqué toutes les informations requises sur l</w:t>
      </w:r>
      <w:r w:rsidR="00865E23" w:rsidRPr="00B33AA4">
        <w:t>’</w:t>
      </w:r>
      <w:r w:rsidRPr="00B33AA4">
        <w:t>aide publique reçue et</w:t>
      </w:r>
      <w:r w:rsidR="009E4F8A">
        <w:t> </w:t>
      </w:r>
      <w:r w:rsidRPr="00B33AA4">
        <w:t>tous</w:t>
      </w:r>
      <w:r w:rsidR="009E4F8A">
        <w:t> </w:t>
      </w:r>
      <w:r w:rsidRPr="00B33AA4">
        <w:t>les documents s</w:t>
      </w:r>
      <w:r w:rsidR="00865E23" w:rsidRPr="00B33AA4">
        <w:t>’</w:t>
      </w:r>
      <w:r w:rsidRPr="00B33AA4">
        <w:t>y rattachant</w:t>
      </w:r>
      <w:r w:rsidR="00805412" w:rsidRPr="00B33AA4">
        <w:t>.</w:t>
      </w:r>
    </w:p>
    <w:p w14:paraId="7CB25ED6" w14:textId="77777777" w:rsidR="00805412" w:rsidRPr="00B33AA4" w:rsidRDefault="00224D1A" w:rsidP="00AF4E1F">
      <w:pPr>
        <w:pStyle w:val="Heading3"/>
      </w:pPr>
      <w:r w:rsidRPr="00B33AA4">
        <w:lastRenderedPageBreak/>
        <w:t>Immobilisations incorporelles à durée d</w:t>
      </w:r>
      <w:r w:rsidR="00865E23" w:rsidRPr="00B33AA4">
        <w:t>’</w:t>
      </w:r>
      <w:r w:rsidRPr="00B33AA4">
        <w:t>utilité déterminée</w:t>
      </w:r>
    </w:p>
    <w:p w14:paraId="61ED44AE" w14:textId="4F5AA473" w:rsidR="00805412" w:rsidRPr="00B33AA4" w:rsidRDefault="00224D1A" w:rsidP="008F2193">
      <w:pPr>
        <w:pStyle w:val="09Para"/>
      </w:pPr>
      <w:r w:rsidRPr="00B33AA4">
        <w:t xml:space="preserve">Tous les coûts de toutes les immobilisations </w:t>
      </w:r>
      <w:r w:rsidR="009E7C67" w:rsidRPr="00B33AA4">
        <w:t>in</w:t>
      </w:r>
      <w:r w:rsidRPr="00B33AA4">
        <w:t>corporelles à durée d</w:t>
      </w:r>
      <w:r w:rsidR="00865E23" w:rsidRPr="00B33AA4">
        <w:t>’</w:t>
      </w:r>
      <w:r w:rsidRPr="00B33AA4">
        <w:t>utilité déterminée</w:t>
      </w:r>
      <w:r w:rsidR="00805412" w:rsidRPr="00B33AA4">
        <w:t xml:space="preserve"> (</w:t>
      </w:r>
      <w:r w:rsidRPr="00B33AA4">
        <w:t>y</w:t>
      </w:r>
      <w:r w:rsidR="009E4F8A">
        <w:t> </w:t>
      </w:r>
      <w:r w:rsidRPr="00B33AA4">
        <w:t xml:space="preserve">compris les </w:t>
      </w:r>
      <w:r w:rsidR="0047638C" w:rsidRPr="00B33AA4">
        <w:t>brevets</w:t>
      </w:r>
      <w:r w:rsidRPr="00B33AA4">
        <w:t xml:space="preserve">, les marques commerciales, les </w:t>
      </w:r>
      <w:r w:rsidR="00805412" w:rsidRPr="00B33AA4">
        <w:t>franchises</w:t>
      </w:r>
      <w:r w:rsidRPr="00B33AA4">
        <w:t xml:space="preserve"> et tout autre droit) ont été</w:t>
      </w:r>
      <w:r w:rsidR="009E4F8A">
        <w:t> </w:t>
      </w:r>
      <w:r w:rsidRPr="00B33AA4">
        <w:t xml:space="preserve">comptabilisés dans les </w:t>
      </w:r>
      <w:r w:rsidR="00157D0F" w:rsidRPr="00B33AA4">
        <w:t>livres et documents comptables</w:t>
      </w:r>
      <w:r w:rsidR="00805412" w:rsidRPr="00B33AA4">
        <w:t>.</w:t>
      </w:r>
    </w:p>
    <w:p w14:paraId="6670BAAC" w14:textId="77777777" w:rsidR="00805412" w:rsidRPr="00B33AA4" w:rsidRDefault="00224D1A" w:rsidP="008F2193">
      <w:pPr>
        <w:pStyle w:val="09Para"/>
      </w:pPr>
      <w:r w:rsidRPr="00B33AA4">
        <w:t xml:space="preserve">La valeur comptable des immobilisations </w:t>
      </w:r>
      <w:r w:rsidR="009E7C67" w:rsidRPr="00B33AA4">
        <w:t>in</w:t>
      </w:r>
      <w:r w:rsidRPr="00B33AA4">
        <w:t>corporelles à durée d</w:t>
      </w:r>
      <w:r w:rsidR="00865E23" w:rsidRPr="00B33AA4">
        <w:t>’</w:t>
      </w:r>
      <w:r w:rsidRPr="00B33AA4">
        <w:t>utilité déterminée vendues, détruites, abandonnées ou sorties</w:t>
      </w:r>
      <w:r w:rsidR="009A0CB8" w:rsidRPr="00B33AA4">
        <w:t xml:space="preserve"> de toute autre façon</w:t>
      </w:r>
      <w:r w:rsidRPr="00B33AA4">
        <w:t xml:space="preserve"> a été éliminée des comptes</w:t>
      </w:r>
      <w:r w:rsidR="00FE2A9C" w:rsidRPr="00B33AA4">
        <w:t>.</w:t>
      </w:r>
    </w:p>
    <w:p w14:paraId="0DB6552B" w14:textId="29C49083" w:rsidR="00805412" w:rsidRPr="00B33AA4" w:rsidRDefault="00224D1A" w:rsidP="008F2193">
      <w:pPr>
        <w:pStyle w:val="09Para"/>
      </w:pPr>
      <w:r w:rsidRPr="00B33AA4">
        <w:t xml:space="preserve">Les immobilisations </w:t>
      </w:r>
      <w:r w:rsidR="009E7C67" w:rsidRPr="00B33AA4">
        <w:t>in</w:t>
      </w:r>
      <w:r w:rsidRPr="00B33AA4">
        <w:t>corporelles à durée d</w:t>
      </w:r>
      <w:r w:rsidR="00865E23" w:rsidRPr="00B33AA4">
        <w:t>’</w:t>
      </w:r>
      <w:r w:rsidRPr="00B33AA4">
        <w:t xml:space="preserve">utilité déterminée </w:t>
      </w:r>
      <w:r w:rsidR="008E7230" w:rsidRPr="00B33AA4">
        <w:t xml:space="preserve">qui appartiennent à </w:t>
      </w:r>
      <w:r w:rsidRPr="00B33AA4">
        <w:t>[</w:t>
      </w:r>
      <w:r w:rsidRPr="00B33AA4">
        <w:rPr>
          <w:color w:val="0000FF"/>
        </w:rPr>
        <w:t>Entité</w:t>
      </w:r>
      <w:r w:rsidRPr="00B33AA4">
        <w:t>] sont</w:t>
      </w:r>
      <w:r w:rsidR="00EA1216">
        <w:t> </w:t>
      </w:r>
      <w:r w:rsidRPr="00B33AA4">
        <w:t>amorties d</w:t>
      </w:r>
      <w:r w:rsidR="00865E23" w:rsidRPr="00B33AA4">
        <w:t>’</w:t>
      </w:r>
      <w:r w:rsidRPr="00B33AA4">
        <w:t>une manière systématique sur leur durée d</w:t>
      </w:r>
      <w:r w:rsidR="00157D0F" w:rsidRPr="00B33AA4">
        <w:t xml:space="preserve">’utilité </w:t>
      </w:r>
      <w:r w:rsidRPr="00B33AA4">
        <w:t>estimée</w:t>
      </w:r>
      <w:r w:rsidR="009A0CB8" w:rsidRPr="00B33AA4">
        <w:t>. L</w:t>
      </w:r>
      <w:r w:rsidRPr="00B33AA4">
        <w:t xml:space="preserve">a </w:t>
      </w:r>
      <w:r w:rsidR="00157D0F" w:rsidRPr="00B33AA4">
        <w:t xml:space="preserve">dotation aux </w:t>
      </w:r>
      <w:r w:rsidRPr="00B33AA4">
        <w:t>amortissement</w:t>
      </w:r>
      <w:r w:rsidR="00157D0F" w:rsidRPr="00B33AA4">
        <w:t>s</w:t>
      </w:r>
      <w:r w:rsidRPr="00B33AA4">
        <w:t xml:space="preserve"> a été calculée selon la même méthode que </w:t>
      </w:r>
      <w:r w:rsidR="009A0CB8" w:rsidRPr="00B33AA4">
        <w:t xml:space="preserve">lors de </w:t>
      </w:r>
      <w:r w:rsidRPr="00B33AA4">
        <w:t>l</w:t>
      </w:r>
      <w:r w:rsidR="00865E23" w:rsidRPr="00B33AA4">
        <w:t>’</w:t>
      </w:r>
      <w:r w:rsidRPr="00B33AA4">
        <w:t>exercice précédent</w:t>
      </w:r>
      <w:r w:rsidR="00805412" w:rsidRPr="00B33AA4">
        <w:t>.</w:t>
      </w:r>
    </w:p>
    <w:p w14:paraId="26EE0FB1" w14:textId="0805832D" w:rsidR="00805412" w:rsidRPr="00B33AA4" w:rsidRDefault="00224D1A" w:rsidP="008F2193">
      <w:pPr>
        <w:pStyle w:val="09Para"/>
      </w:pPr>
      <w:r w:rsidRPr="00B33AA4">
        <w:t>Au cours de l</w:t>
      </w:r>
      <w:r w:rsidR="00865E23" w:rsidRPr="00B33AA4">
        <w:t>’</w:t>
      </w:r>
      <w:r w:rsidRPr="00B33AA4">
        <w:t>exercice, nous avons examiné</w:t>
      </w:r>
      <w:r w:rsidR="00844FBD">
        <w:t xml:space="preserve"> le caractère approprié de la méthode d’amortissement et </w:t>
      </w:r>
      <w:r w:rsidR="00E673A6">
        <w:t>les durées d’utilité estimatives</w:t>
      </w:r>
      <w:r w:rsidRPr="00B33AA4">
        <w:t xml:space="preserve"> </w:t>
      </w:r>
      <w:r w:rsidR="00E673A6">
        <w:t>d</w:t>
      </w:r>
      <w:r w:rsidRPr="00B33AA4">
        <w:t xml:space="preserve">es immobilisations </w:t>
      </w:r>
      <w:r w:rsidR="009E7C67" w:rsidRPr="00B33AA4">
        <w:t>in</w:t>
      </w:r>
      <w:r w:rsidRPr="00B33AA4">
        <w:t>corporelles à durée d</w:t>
      </w:r>
      <w:r w:rsidR="00865E23" w:rsidRPr="00B33AA4">
        <w:t>’</w:t>
      </w:r>
      <w:r w:rsidRPr="00B33AA4">
        <w:t xml:space="preserve">utilité déterminée en tenant compte de tous les facteurs pertinents. Tout changement </w:t>
      </w:r>
      <w:r w:rsidR="00E673A6">
        <w:t xml:space="preserve">important </w:t>
      </w:r>
      <w:r w:rsidRPr="00B33AA4">
        <w:t>dans notre évaluation par rapport à l</w:t>
      </w:r>
      <w:r w:rsidR="00865E23" w:rsidRPr="00B33AA4">
        <w:t>’</w:t>
      </w:r>
      <w:r w:rsidRPr="00B33AA4">
        <w:t xml:space="preserve">exercice précédent a été communiqué et </w:t>
      </w:r>
      <w:r w:rsidR="004A37B1" w:rsidRPr="00B33AA4">
        <w:t>présenté</w:t>
      </w:r>
      <w:r w:rsidRPr="00B33AA4">
        <w:t xml:space="preserve"> de manière adéquate dans les états financiers [</w:t>
      </w:r>
      <w:r w:rsidRPr="00B33AA4">
        <w:rPr>
          <w:color w:val="0000FF"/>
        </w:rPr>
        <w:t>consolidés</w:t>
      </w:r>
      <w:r w:rsidRPr="00B33AA4">
        <w:t>]</w:t>
      </w:r>
      <w:r w:rsidR="00805412" w:rsidRPr="00B33AA4">
        <w:t>.</w:t>
      </w:r>
    </w:p>
    <w:p w14:paraId="15DCAE34" w14:textId="77777777" w:rsidR="00224D1A" w:rsidRPr="00B33AA4" w:rsidRDefault="005C09B2" w:rsidP="00700075">
      <w:pPr>
        <w:pStyle w:val="09Para"/>
        <w:keepNext/>
        <w:keepLines/>
        <w:rPr>
          <w:rFonts w:eastAsia="SimSun"/>
        </w:rPr>
      </w:pPr>
      <w:r w:rsidRPr="00B33AA4">
        <w:rPr>
          <w:rFonts w:eastAsia="SimSun"/>
        </w:rPr>
        <w:t>[</w:t>
      </w:r>
      <w:r w:rsidR="00224D1A" w:rsidRPr="00B33AA4">
        <w:rPr>
          <w:rFonts w:eastAsia="SimSun"/>
          <w:i/>
          <w:color w:val="0000FF"/>
        </w:rPr>
        <w:t>Choisir l</w:t>
      </w:r>
      <w:r w:rsidR="00865E23" w:rsidRPr="00B33AA4">
        <w:rPr>
          <w:rFonts w:eastAsia="SimSun"/>
          <w:i/>
          <w:color w:val="0000FF"/>
        </w:rPr>
        <w:t>’</w:t>
      </w:r>
      <w:r w:rsidR="00224D1A" w:rsidRPr="00B33AA4">
        <w:rPr>
          <w:rFonts w:eastAsia="SimSun"/>
          <w:i/>
          <w:color w:val="0000FF"/>
        </w:rPr>
        <w:t>un des trois paragraphes suivants</w:t>
      </w:r>
      <w:r w:rsidR="00605C59" w:rsidRPr="00B33AA4">
        <w:rPr>
          <w:rFonts w:eastAsia="SimSun"/>
          <w:i/>
          <w:color w:val="0000FF"/>
        </w:rPr>
        <w:t> :</w:t>
      </w:r>
    </w:p>
    <w:p w14:paraId="4E13BD82" w14:textId="04B35E71" w:rsidR="00224D1A" w:rsidRPr="00B33AA4" w:rsidRDefault="00224D1A" w:rsidP="008F2193">
      <w:pPr>
        <w:pStyle w:val="09Para"/>
      </w:pPr>
      <w:r w:rsidRPr="00B33AA4">
        <w:t>Conformément aux exigences de l</w:t>
      </w:r>
      <w:r w:rsidR="00865E23" w:rsidRPr="00B33AA4">
        <w:t>’</w:t>
      </w:r>
      <w:r w:rsidRPr="00B33AA4">
        <w:t>IAS</w:t>
      </w:r>
      <w:r w:rsidR="00C62623" w:rsidRPr="00B33AA4">
        <w:t> </w:t>
      </w:r>
      <w:r w:rsidRPr="00B33AA4">
        <w:t>36, Dépréciation d</w:t>
      </w:r>
      <w:r w:rsidR="00865E23" w:rsidRPr="00B33AA4">
        <w:t>’</w:t>
      </w:r>
      <w:r w:rsidRPr="00B33AA4">
        <w:t xml:space="preserve">actifs nous avons </w:t>
      </w:r>
      <w:r w:rsidR="007B4356" w:rsidRPr="00B33AA4">
        <w:t>déterminé</w:t>
      </w:r>
      <w:r w:rsidR="00157D0F" w:rsidRPr="00B33AA4">
        <w:t xml:space="preserve"> </w:t>
      </w:r>
      <w:r w:rsidRPr="00B33AA4">
        <w:t>s</w:t>
      </w:r>
      <w:r w:rsidR="00865E23" w:rsidRPr="00B33AA4">
        <w:t>’</w:t>
      </w:r>
      <w:r w:rsidRPr="00B33AA4">
        <w:t>il exist</w:t>
      </w:r>
      <w:r w:rsidR="00157D0F" w:rsidRPr="00B33AA4">
        <w:t>e</w:t>
      </w:r>
      <w:r w:rsidR="009E4F8A">
        <w:t> </w:t>
      </w:r>
      <w:r w:rsidRPr="00B33AA4">
        <w:t>un quelconque indice</w:t>
      </w:r>
      <w:r w:rsidR="00A61ECC" w:rsidRPr="00B33AA4">
        <w:t xml:space="preserve"> de dépréciation d</w:t>
      </w:r>
      <w:r w:rsidR="00865E23" w:rsidRPr="00B33AA4">
        <w:t>’</w:t>
      </w:r>
      <w:r w:rsidRPr="00B33AA4">
        <w:t xml:space="preserve">une immobilisation </w:t>
      </w:r>
      <w:r w:rsidR="009E7C67" w:rsidRPr="00B33AA4">
        <w:t>in</w:t>
      </w:r>
      <w:r w:rsidRPr="00B33AA4">
        <w:t>corporelle à durée d</w:t>
      </w:r>
      <w:r w:rsidR="00865E23" w:rsidRPr="00B33AA4">
        <w:t>’</w:t>
      </w:r>
      <w:r w:rsidRPr="00B33AA4">
        <w:t>utilité déterminée</w:t>
      </w:r>
      <w:r w:rsidR="00A61ECC" w:rsidRPr="00B33AA4">
        <w:t xml:space="preserve"> à </w:t>
      </w:r>
      <w:r w:rsidR="009E376D" w:rsidRPr="00B33AA4">
        <w:t xml:space="preserve">la </w:t>
      </w:r>
      <w:r w:rsidR="009E376D">
        <w:t xml:space="preserve">date de l’état </w:t>
      </w:r>
      <w:r w:rsidR="009E376D" w:rsidRPr="00D17C6D">
        <w:rPr>
          <w:snapToGrid w:val="0"/>
        </w:rPr>
        <w:t>[</w:t>
      </w:r>
      <w:r w:rsidR="009E376D" w:rsidRPr="00D17C6D">
        <w:rPr>
          <w:rStyle w:val="BlueText"/>
        </w:rPr>
        <w:t>consolidé</w:t>
      </w:r>
      <w:r w:rsidR="009E376D" w:rsidRPr="00D17C6D">
        <w:rPr>
          <w:snapToGrid w:val="0"/>
        </w:rPr>
        <w:t>]</w:t>
      </w:r>
      <w:r w:rsidR="009E376D" w:rsidRPr="00D17C6D">
        <w:t xml:space="preserve"> </w:t>
      </w:r>
      <w:r w:rsidR="009E376D">
        <w:t>de la situation financière</w:t>
      </w:r>
      <w:r w:rsidR="00A61ECC" w:rsidRPr="00B33AA4">
        <w:t xml:space="preserve">. </w:t>
      </w:r>
      <w:r w:rsidR="00A3607F" w:rsidRPr="00B33AA4">
        <w:t xml:space="preserve">Nous </w:t>
      </w:r>
      <w:r w:rsidRPr="00B33AA4">
        <w:t>avons conclu qu</w:t>
      </w:r>
      <w:r w:rsidR="00865E23" w:rsidRPr="00B33AA4">
        <w:t>’</w:t>
      </w:r>
      <w:r w:rsidRPr="00B33AA4">
        <w:t>il n</w:t>
      </w:r>
      <w:r w:rsidR="00865E23" w:rsidRPr="00B33AA4">
        <w:t>’</w:t>
      </w:r>
      <w:r w:rsidRPr="00B33AA4">
        <w:t>y avait aucun événement ou changement de situation qui indiqu</w:t>
      </w:r>
      <w:r w:rsidR="009A0CB8" w:rsidRPr="00B33AA4">
        <w:t>ai</w:t>
      </w:r>
      <w:r w:rsidRPr="00B33AA4">
        <w:t xml:space="preserve">t que leur valeur comptable </w:t>
      </w:r>
      <w:r w:rsidR="009A0CB8" w:rsidRPr="00B33AA4">
        <w:t xml:space="preserve">n’était pas </w:t>
      </w:r>
      <w:r w:rsidRPr="00B33AA4">
        <w:t>recouvrable. Nous n</w:t>
      </w:r>
      <w:r w:rsidR="00865E23" w:rsidRPr="00B33AA4">
        <w:t>’</w:t>
      </w:r>
      <w:r w:rsidRPr="00B33AA4">
        <w:t>avons donc pas procédé à un test de dépréciation au cours de l</w:t>
      </w:r>
      <w:r w:rsidR="00865E23" w:rsidRPr="00B33AA4">
        <w:t>’</w:t>
      </w:r>
      <w:r w:rsidRPr="00B33AA4">
        <w:t>exercice, conformément à l</w:t>
      </w:r>
      <w:r w:rsidR="00865E23" w:rsidRPr="00B33AA4">
        <w:t>’</w:t>
      </w:r>
      <w:r w:rsidRPr="00B33AA4">
        <w:t>IAS</w:t>
      </w:r>
      <w:r w:rsidR="00C62623" w:rsidRPr="00B33AA4">
        <w:t> </w:t>
      </w:r>
      <w:r w:rsidRPr="00B33AA4">
        <w:t>36.</w:t>
      </w:r>
    </w:p>
    <w:p w14:paraId="6659FC0A" w14:textId="77777777" w:rsidR="00224D1A" w:rsidRPr="00B33AA4" w:rsidRDefault="00224D1A" w:rsidP="008F2193">
      <w:pPr>
        <w:pStyle w:val="09Para"/>
        <w:rPr>
          <w:i/>
        </w:rPr>
      </w:pPr>
      <w:r w:rsidRPr="00B33AA4">
        <w:rPr>
          <w:i/>
          <w:color w:val="0000FF"/>
        </w:rPr>
        <w:t>OU</w:t>
      </w:r>
    </w:p>
    <w:p w14:paraId="25270757" w14:textId="0F38A526" w:rsidR="00805412" w:rsidRPr="00B33AA4" w:rsidRDefault="00224D1A" w:rsidP="008F2193">
      <w:pPr>
        <w:pStyle w:val="09Para"/>
      </w:pPr>
      <w:r w:rsidRPr="00B33AA4">
        <w:t>Au cours de l</w:t>
      </w:r>
      <w:r w:rsidR="00865E23" w:rsidRPr="00B33AA4">
        <w:t>’</w:t>
      </w:r>
      <w:r w:rsidRPr="00B33AA4">
        <w:t xml:space="preserve">exercice, nous avons recensé un indice de dépréciation ou plus et </w:t>
      </w:r>
      <w:r w:rsidR="009A0CB8" w:rsidRPr="00B33AA4">
        <w:t xml:space="preserve">nous </w:t>
      </w:r>
      <w:r w:rsidRPr="00B33AA4">
        <w:t xml:space="preserve">avons soumis nos immobilisations </w:t>
      </w:r>
      <w:r w:rsidR="009E7C67" w:rsidRPr="00B33AA4">
        <w:t>in</w:t>
      </w:r>
      <w:r w:rsidRPr="00B33AA4">
        <w:t>corporelles à durée d</w:t>
      </w:r>
      <w:r w:rsidR="00865E23" w:rsidRPr="00B33AA4">
        <w:t>’</w:t>
      </w:r>
      <w:r w:rsidRPr="00B33AA4">
        <w:t>utilité déterminée</w:t>
      </w:r>
      <w:r w:rsidR="00805412" w:rsidRPr="00B33AA4">
        <w:t xml:space="preserve"> </w:t>
      </w:r>
      <w:r w:rsidRPr="00B33AA4">
        <w:t>à un test de dépréciation, conformément à l</w:t>
      </w:r>
      <w:r w:rsidR="00865E23" w:rsidRPr="00B33AA4">
        <w:t>’</w:t>
      </w:r>
      <w:r w:rsidRPr="00B33AA4">
        <w:t>IAS</w:t>
      </w:r>
      <w:r w:rsidR="00C62623" w:rsidRPr="00B33AA4">
        <w:t> </w:t>
      </w:r>
      <w:r w:rsidRPr="00B33AA4">
        <w:t>36, Dépréciation d</w:t>
      </w:r>
      <w:r w:rsidR="00865E23" w:rsidRPr="00B33AA4">
        <w:t>’</w:t>
      </w:r>
      <w:r w:rsidRPr="00B33AA4">
        <w:t>actifs. À la suite de ce test, [</w:t>
      </w:r>
      <w:r w:rsidRPr="00C55C35">
        <w:rPr>
          <w:color w:val="0000FF"/>
        </w:rPr>
        <w:t xml:space="preserve">nous avons calculé une perte de valeur de </w:t>
      </w:r>
      <w:r w:rsidRPr="003A5E35">
        <w:t>[</w:t>
      </w:r>
      <w:r w:rsidR="009A0CB8" w:rsidRPr="00B33AA4">
        <w:rPr>
          <w:color w:val="0000FF"/>
        </w:rPr>
        <w:t>montant</w:t>
      </w:r>
      <w:r w:rsidRPr="003A5E35">
        <w:t>]</w:t>
      </w:r>
      <w:r w:rsidRPr="00C55C35">
        <w:rPr>
          <w:color w:val="0000FF"/>
        </w:rPr>
        <w:t xml:space="preserve"> $</w:t>
      </w:r>
      <w:r w:rsidR="009A0CB8" w:rsidRPr="00C55C35">
        <w:rPr>
          <w:color w:val="0000FF"/>
        </w:rPr>
        <w:t>,</w:t>
      </w:r>
      <w:r w:rsidRPr="00C55C35">
        <w:rPr>
          <w:color w:val="0000FF"/>
        </w:rPr>
        <w:t xml:space="preserve"> qui a été correctement présentée dans les états financiers </w:t>
      </w:r>
      <w:r w:rsidRPr="003A5E35">
        <w:t>[</w:t>
      </w:r>
      <w:r w:rsidRPr="00B33AA4">
        <w:rPr>
          <w:color w:val="0000FF"/>
        </w:rPr>
        <w:t>consolidés</w:t>
      </w:r>
      <w:r w:rsidRPr="003A5E35">
        <w:t>]</w:t>
      </w:r>
      <w:r w:rsidRPr="00C55C35">
        <w:rPr>
          <w:color w:val="0000FF"/>
        </w:rPr>
        <w:t xml:space="preserve"> </w:t>
      </w:r>
      <w:r w:rsidR="006D7F23" w:rsidRPr="00C55C35">
        <w:rPr>
          <w:b/>
          <w:color w:val="0000FF"/>
        </w:rPr>
        <w:t>OU</w:t>
      </w:r>
      <w:r w:rsidRPr="00C55C35">
        <w:rPr>
          <w:color w:val="0000FF"/>
        </w:rPr>
        <w:t xml:space="preserve"> nous avons déterminé que les immobilisations </w:t>
      </w:r>
      <w:r w:rsidR="009A0CB8" w:rsidRPr="00C55C35">
        <w:rPr>
          <w:color w:val="0000FF"/>
        </w:rPr>
        <w:t>in</w:t>
      </w:r>
      <w:r w:rsidRPr="00C55C35">
        <w:rPr>
          <w:color w:val="0000FF"/>
        </w:rPr>
        <w:t>corporelles</w:t>
      </w:r>
      <w:r w:rsidR="009A0CB8" w:rsidRPr="00C55C35">
        <w:rPr>
          <w:color w:val="0000FF"/>
        </w:rPr>
        <w:t xml:space="preserve"> à durée d’utilité déterminée</w:t>
      </w:r>
      <w:r w:rsidRPr="00C55C35">
        <w:rPr>
          <w:color w:val="0000FF"/>
        </w:rPr>
        <w:t xml:space="preserve"> n</w:t>
      </w:r>
      <w:r w:rsidR="00865E23" w:rsidRPr="00C55C35">
        <w:rPr>
          <w:color w:val="0000FF"/>
        </w:rPr>
        <w:t>’</w:t>
      </w:r>
      <w:r w:rsidRPr="00C55C35">
        <w:rPr>
          <w:color w:val="0000FF"/>
        </w:rPr>
        <w:t>avaient subi aucune perte de valeur</w:t>
      </w:r>
      <w:r w:rsidR="00F96EBA" w:rsidRPr="00F96EBA">
        <w:t>]</w:t>
      </w:r>
      <w:r w:rsidRPr="00B33AA4">
        <w:t>.</w:t>
      </w:r>
    </w:p>
    <w:p w14:paraId="65516A2C" w14:textId="77777777" w:rsidR="00805412" w:rsidRPr="00B33AA4" w:rsidRDefault="00805412" w:rsidP="008F2193">
      <w:pPr>
        <w:pStyle w:val="09Para"/>
        <w:rPr>
          <w:i/>
        </w:rPr>
      </w:pPr>
      <w:r w:rsidRPr="00B33AA4">
        <w:rPr>
          <w:i/>
          <w:color w:val="0000FF"/>
        </w:rPr>
        <w:t>O</w:t>
      </w:r>
      <w:r w:rsidR="00224D1A" w:rsidRPr="00B33AA4">
        <w:rPr>
          <w:i/>
          <w:color w:val="0000FF"/>
        </w:rPr>
        <w:t>U</w:t>
      </w:r>
    </w:p>
    <w:p w14:paraId="7F630474" w14:textId="77777777" w:rsidR="00224D1A" w:rsidRPr="00B33AA4" w:rsidRDefault="00224D1A" w:rsidP="008F2193">
      <w:pPr>
        <w:pStyle w:val="09Para"/>
      </w:pPr>
      <w:r w:rsidRPr="00B33AA4">
        <w:t>Au cours de l</w:t>
      </w:r>
      <w:r w:rsidR="00865E23" w:rsidRPr="00B33AA4">
        <w:t>’</w:t>
      </w:r>
      <w:r w:rsidRPr="00B33AA4">
        <w:t>exercice, nous avons déterminé qu</w:t>
      </w:r>
      <w:r w:rsidR="00865E23" w:rsidRPr="00B33AA4">
        <w:t>’</w:t>
      </w:r>
      <w:r w:rsidRPr="00B33AA4">
        <w:t>il existait un indice qu</w:t>
      </w:r>
      <w:r w:rsidR="00865E23" w:rsidRPr="00B33AA4">
        <w:t>’</w:t>
      </w:r>
      <w:r w:rsidRPr="00B33AA4">
        <w:t>une perte de valeur comptabilisée au cours de périodes antérieures pour des immobilisations</w:t>
      </w:r>
      <w:r w:rsidR="009E7C67" w:rsidRPr="00B33AA4">
        <w:t xml:space="preserve"> in</w:t>
      </w:r>
      <w:r w:rsidRPr="00B33AA4">
        <w:t>corporelles à durée d</w:t>
      </w:r>
      <w:r w:rsidR="00865E23" w:rsidRPr="00B33AA4">
        <w:t>’</w:t>
      </w:r>
      <w:r w:rsidRPr="00B33AA4">
        <w:t>utilité déterminée était susceptible de ne plus exister [</w:t>
      </w:r>
      <w:r w:rsidR="006D7F23" w:rsidRPr="00B33AA4">
        <w:rPr>
          <w:color w:val="0000FF"/>
        </w:rPr>
        <w:t>ou</w:t>
      </w:r>
      <w:r w:rsidRPr="00B33AA4">
        <w:rPr>
          <w:color w:val="0000FF"/>
        </w:rPr>
        <w:t xml:space="preserve"> d</w:t>
      </w:r>
      <w:r w:rsidR="00865E23" w:rsidRPr="00B33AA4">
        <w:rPr>
          <w:color w:val="0000FF"/>
        </w:rPr>
        <w:t>’</w:t>
      </w:r>
      <w:r w:rsidRPr="00B33AA4">
        <w:rPr>
          <w:color w:val="0000FF"/>
        </w:rPr>
        <w:t>avoir diminué</w:t>
      </w:r>
      <w:r w:rsidRPr="00B33AA4">
        <w:t>]</w:t>
      </w:r>
      <w:r w:rsidR="00805412" w:rsidRPr="00B33AA4">
        <w:t xml:space="preserve">. </w:t>
      </w:r>
      <w:r w:rsidRPr="00B33AA4">
        <w:t>Conformément à l</w:t>
      </w:r>
      <w:r w:rsidR="00865E23" w:rsidRPr="00B33AA4">
        <w:t>’</w:t>
      </w:r>
      <w:r w:rsidRPr="00B33AA4">
        <w:t>IAS</w:t>
      </w:r>
      <w:r w:rsidR="00C62623" w:rsidRPr="00B33AA4">
        <w:t> </w:t>
      </w:r>
      <w:r w:rsidRPr="00B33AA4">
        <w:t>36, Dépréciation d</w:t>
      </w:r>
      <w:r w:rsidR="00865E23" w:rsidRPr="00B33AA4">
        <w:t>’</w:t>
      </w:r>
      <w:r w:rsidRPr="00B33AA4">
        <w:t>actifs</w:t>
      </w:r>
      <w:r w:rsidR="005D7E9F">
        <w:t>,</w:t>
      </w:r>
      <w:r w:rsidRPr="00B33AA4">
        <w:t xml:space="preserve"> la perte de valeur connexe a été reprise et la valeur comptable des immobilisations </w:t>
      </w:r>
      <w:r w:rsidR="009E7C67" w:rsidRPr="00B33AA4">
        <w:t>in</w:t>
      </w:r>
      <w:r w:rsidRPr="00B33AA4">
        <w:t>corporelles à durée d</w:t>
      </w:r>
      <w:r w:rsidR="00865E23" w:rsidRPr="00B33AA4">
        <w:t>’</w:t>
      </w:r>
      <w:r w:rsidRPr="00B33AA4">
        <w:t xml:space="preserve">utilité déterminée a été augmentée à hauteur de </w:t>
      </w:r>
      <w:r w:rsidR="009A0CB8" w:rsidRPr="00B33AA4">
        <w:t>leur</w:t>
      </w:r>
      <w:r w:rsidRPr="00B33AA4">
        <w:t xml:space="preserve"> valeur recouvrable qui n</w:t>
      </w:r>
      <w:r w:rsidR="00865E23" w:rsidRPr="00B33AA4">
        <w:t>’</w:t>
      </w:r>
      <w:r w:rsidRPr="00B33AA4">
        <w:t>est pas supérieure à la valeur comptable qui aurait été déterminée (nette des amortissements) si aucune perte de valeur n</w:t>
      </w:r>
      <w:r w:rsidR="00865E23" w:rsidRPr="00B33AA4">
        <w:t>’</w:t>
      </w:r>
      <w:r w:rsidRPr="00B33AA4">
        <w:t>avait été comptabilisée pour ce</w:t>
      </w:r>
      <w:r w:rsidR="009A0CB8" w:rsidRPr="00B33AA4">
        <w:t>s immobilisations</w:t>
      </w:r>
      <w:r w:rsidRPr="00B33AA4">
        <w:t xml:space="preserve"> au cours d</w:t>
      </w:r>
      <w:r w:rsidR="00865E23" w:rsidRPr="00B33AA4">
        <w:t>’</w:t>
      </w:r>
      <w:r w:rsidRPr="00B33AA4">
        <w:t>exercices antérieurs.]</w:t>
      </w:r>
    </w:p>
    <w:p w14:paraId="14AEDA9E" w14:textId="77777777" w:rsidR="00805412" w:rsidRPr="00B33AA4" w:rsidRDefault="00805412" w:rsidP="006D7F23">
      <w:pPr>
        <w:pStyle w:val="Heading3"/>
      </w:pPr>
      <w:r w:rsidRPr="00B33AA4">
        <w:lastRenderedPageBreak/>
        <w:t>Goodwill</w:t>
      </w:r>
    </w:p>
    <w:p w14:paraId="13059846" w14:textId="77777777" w:rsidR="00805412" w:rsidRPr="00B33AA4" w:rsidRDefault="009523F6" w:rsidP="008F2193">
      <w:pPr>
        <w:pStyle w:val="09Para"/>
      </w:pPr>
      <w:r w:rsidRPr="00B33AA4">
        <w:t xml:space="preserve">Le coût de tout </w:t>
      </w:r>
      <w:r w:rsidR="00805412" w:rsidRPr="00B33AA4">
        <w:t xml:space="preserve">goodwill </w:t>
      </w:r>
      <w:r w:rsidRPr="00B33AA4">
        <w:t xml:space="preserve">qui a une valeur significative a été comptabilisé dans les </w:t>
      </w:r>
      <w:r w:rsidR="0047638C" w:rsidRPr="00B33AA4">
        <w:t>livres et documents comptables</w:t>
      </w:r>
      <w:r w:rsidR="00805412" w:rsidRPr="00B33AA4">
        <w:t>.</w:t>
      </w:r>
    </w:p>
    <w:p w14:paraId="58AF63BC" w14:textId="77777777" w:rsidR="00805412" w:rsidRPr="00B33AA4" w:rsidRDefault="009523F6" w:rsidP="008F2193">
      <w:pPr>
        <w:pStyle w:val="09Para"/>
      </w:pPr>
      <w:r w:rsidRPr="00B33AA4">
        <w:t>Pour les besoins du test de dépréciation, nous avons, conformément aux exigences de l</w:t>
      </w:r>
      <w:r w:rsidR="00865E23" w:rsidRPr="00B33AA4">
        <w:t>’</w:t>
      </w:r>
      <w:r w:rsidR="00805412" w:rsidRPr="00B33AA4">
        <w:t>IAS</w:t>
      </w:r>
      <w:r w:rsidR="00C62623" w:rsidRPr="00B33AA4">
        <w:t> </w:t>
      </w:r>
      <w:r w:rsidR="00805412" w:rsidRPr="00B33AA4">
        <w:t>36</w:t>
      </w:r>
      <w:r w:rsidR="005D5624" w:rsidRPr="00B33AA4">
        <w:t>,</w:t>
      </w:r>
      <w:r w:rsidRPr="00B33AA4">
        <w:t xml:space="preserve"> Dépréciation d</w:t>
      </w:r>
      <w:r w:rsidR="00865E23" w:rsidRPr="00B33AA4">
        <w:t>’</w:t>
      </w:r>
      <w:r w:rsidRPr="00B33AA4">
        <w:t>actifs</w:t>
      </w:r>
      <w:r w:rsidR="00C47B6F" w:rsidRPr="00B33AA4">
        <w:t>,</w:t>
      </w:r>
      <w:r w:rsidRPr="00B33AA4">
        <w:t xml:space="preserve"> </w:t>
      </w:r>
      <w:r w:rsidR="00D024DC" w:rsidRPr="00B33AA4">
        <w:t xml:space="preserve">affecté le </w:t>
      </w:r>
      <w:r w:rsidR="00805412" w:rsidRPr="00B33AA4">
        <w:t>goodwill</w:t>
      </w:r>
      <w:r w:rsidR="00D024DC" w:rsidRPr="00B33AA4">
        <w:t xml:space="preserve"> à chacune des unités génératrices de trésorerie </w:t>
      </w:r>
      <w:r w:rsidR="00805412" w:rsidRPr="00B33AA4">
        <w:t>(U</w:t>
      </w:r>
      <w:r w:rsidR="00D024DC" w:rsidRPr="00B33AA4">
        <w:t>GT</w:t>
      </w:r>
      <w:r w:rsidR="00805412" w:rsidRPr="00B33AA4">
        <w:t>) [</w:t>
      </w:r>
      <w:r w:rsidR="00180F3B" w:rsidRPr="00B33AA4">
        <w:rPr>
          <w:color w:val="0000FF"/>
        </w:rPr>
        <w:t>ou</w:t>
      </w:r>
      <w:r w:rsidR="00D024DC" w:rsidRPr="00B33AA4">
        <w:rPr>
          <w:color w:val="0000FF"/>
        </w:rPr>
        <w:t xml:space="preserve"> chacun des groupes d</w:t>
      </w:r>
      <w:r w:rsidR="00865E23" w:rsidRPr="00B33AA4">
        <w:rPr>
          <w:color w:val="0000FF"/>
        </w:rPr>
        <w:t>’</w:t>
      </w:r>
      <w:r w:rsidR="00D024DC" w:rsidRPr="00B33AA4">
        <w:rPr>
          <w:color w:val="0000FF"/>
        </w:rPr>
        <w:t>UGT</w:t>
      </w:r>
      <w:r w:rsidR="00805412" w:rsidRPr="00B33AA4">
        <w:t xml:space="preserve">] </w:t>
      </w:r>
      <w:r w:rsidR="00D024DC" w:rsidRPr="00B33AA4">
        <w:t>qui représente au sein de l</w:t>
      </w:r>
      <w:r w:rsidR="00865E23" w:rsidRPr="00B33AA4">
        <w:t>’</w:t>
      </w:r>
      <w:r w:rsidR="00D024DC" w:rsidRPr="00B33AA4">
        <w:t>entité le niveau le plus bas auquel le goodwill fait l</w:t>
      </w:r>
      <w:r w:rsidR="00865E23" w:rsidRPr="00B33AA4">
        <w:t>’</w:t>
      </w:r>
      <w:r w:rsidR="00D024DC" w:rsidRPr="00B33AA4">
        <w:t>objet d</w:t>
      </w:r>
      <w:r w:rsidR="00865E23" w:rsidRPr="00B33AA4">
        <w:t>’</w:t>
      </w:r>
      <w:r w:rsidR="00D024DC" w:rsidRPr="00B33AA4">
        <w:t>un suivi pour des besoins de gestion interne, et cet</w:t>
      </w:r>
      <w:r w:rsidR="00096784" w:rsidRPr="00B33AA4">
        <w:t xml:space="preserve">te </w:t>
      </w:r>
      <w:r w:rsidR="00D024DC" w:rsidRPr="00B33AA4">
        <w:t>UGT n</w:t>
      </w:r>
      <w:r w:rsidR="009A0CB8" w:rsidRPr="00B33AA4">
        <w:t>’</w:t>
      </w:r>
      <w:r w:rsidR="00096784" w:rsidRPr="00B33AA4">
        <w:t>e</w:t>
      </w:r>
      <w:r w:rsidR="009A0CB8" w:rsidRPr="00B33AA4">
        <w:t>st</w:t>
      </w:r>
      <w:r w:rsidR="00096784" w:rsidRPr="00B33AA4">
        <w:t xml:space="preserve"> pas </w:t>
      </w:r>
      <w:r w:rsidR="00D024DC" w:rsidRPr="00B33AA4">
        <w:t>plus grande qu</w:t>
      </w:r>
      <w:r w:rsidR="00865E23" w:rsidRPr="00B33AA4">
        <w:t>’</w:t>
      </w:r>
      <w:r w:rsidR="00D024DC" w:rsidRPr="00B33AA4">
        <w:t>un secteur opérationnel</w:t>
      </w:r>
      <w:r w:rsidR="00096784" w:rsidRPr="00B33AA4">
        <w:t xml:space="preserve">, </w:t>
      </w:r>
      <w:r w:rsidR="00D024DC" w:rsidRPr="00B33AA4">
        <w:t>au sens défini dans l</w:t>
      </w:r>
      <w:r w:rsidR="00865E23" w:rsidRPr="00B33AA4">
        <w:t>’</w:t>
      </w:r>
      <w:r w:rsidR="00805412" w:rsidRPr="00B33AA4">
        <w:t>IFRS</w:t>
      </w:r>
      <w:r w:rsidR="00C62623" w:rsidRPr="00B33AA4">
        <w:t> </w:t>
      </w:r>
      <w:r w:rsidR="00805412" w:rsidRPr="00B33AA4">
        <w:t>8</w:t>
      </w:r>
      <w:r w:rsidR="006F6FBE" w:rsidRPr="00B33AA4">
        <w:t>,</w:t>
      </w:r>
      <w:r w:rsidR="00805412" w:rsidRPr="00B33AA4">
        <w:t xml:space="preserve"> </w:t>
      </w:r>
      <w:r w:rsidR="00D024DC" w:rsidRPr="00B33AA4">
        <w:t>Secteurs opérationnels, avant l</w:t>
      </w:r>
      <w:r w:rsidR="00865E23" w:rsidRPr="00B33AA4">
        <w:t>’</w:t>
      </w:r>
      <w:r w:rsidR="00D024DC" w:rsidRPr="00B33AA4">
        <w:t>affectation du goodwill</w:t>
      </w:r>
      <w:r w:rsidR="00805412" w:rsidRPr="00B33AA4">
        <w:t>.</w:t>
      </w:r>
    </w:p>
    <w:p w14:paraId="5B9206E0" w14:textId="73EE12E6" w:rsidR="00C47B6F" w:rsidRPr="00B33AA4" w:rsidRDefault="00E64A04" w:rsidP="008F2193">
      <w:pPr>
        <w:pStyle w:val="09Para"/>
      </w:pPr>
      <w:r w:rsidRPr="00B33AA4">
        <w:t>Au cours de l</w:t>
      </w:r>
      <w:r w:rsidR="00865E23" w:rsidRPr="00B33AA4">
        <w:t>’</w:t>
      </w:r>
      <w:r w:rsidRPr="00B33AA4">
        <w:t xml:space="preserve">exercice, nous avons réalisé </w:t>
      </w:r>
      <w:r w:rsidR="009A0CB8" w:rsidRPr="00B33AA4">
        <w:t>le</w:t>
      </w:r>
      <w:r w:rsidR="009E376D" w:rsidRPr="00FA2B1C">
        <w:rPr>
          <w:rFonts w:cs="Arial"/>
          <w:snapToGrid w:val="0"/>
        </w:rPr>
        <w:t>[</w:t>
      </w:r>
      <w:r w:rsidR="009E376D" w:rsidRPr="00A237E1">
        <w:rPr>
          <w:rFonts w:cs="Arial"/>
          <w:snapToGrid w:val="0"/>
          <w:color w:val="0000FF"/>
        </w:rPr>
        <w:t>s</w:t>
      </w:r>
      <w:r w:rsidR="009E376D" w:rsidRPr="00FA2B1C">
        <w:rPr>
          <w:rFonts w:cs="Arial"/>
          <w:snapToGrid w:val="0"/>
        </w:rPr>
        <w:t>]</w:t>
      </w:r>
      <w:r w:rsidR="009E376D" w:rsidRPr="00A237E1">
        <w:rPr>
          <w:rFonts w:cs="Arial"/>
          <w:snapToGrid w:val="0"/>
          <w:color w:val="0000FF"/>
        </w:rPr>
        <w:t xml:space="preserve"> </w:t>
      </w:r>
      <w:r w:rsidRPr="00B33AA4">
        <w:t>test</w:t>
      </w:r>
      <w:r w:rsidR="009E376D" w:rsidRPr="00FA2B1C">
        <w:rPr>
          <w:rFonts w:cs="Arial"/>
          <w:snapToGrid w:val="0"/>
        </w:rPr>
        <w:t>[</w:t>
      </w:r>
      <w:r w:rsidR="009E376D" w:rsidRPr="00A237E1">
        <w:rPr>
          <w:rFonts w:cs="Arial"/>
          <w:snapToGrid w:val="0"/>
          <w:color w:val="0000FF"/>
        </w:rPr>
        <w:t>s</w:t>
      </w:r>
      <w:r w:rsidR="009E376D" w:rsidRPr="00FA2B1C">
        <w:rPr>
          <w:rFonts w:cs="Arial"/>
          <w:snapToGrid w:val="0"/>
        </w:rPr>
        <w:t xml:space="preserve">] </w:t>
      </w:r>
      <w:r w:rsidRPr="00B33AA4">
        <w:t>de dépréciation pour le goodwill décrit à l</w:t>
      </w:r>
      <w:r w:rsidR="00865E23" w:rsidRPr="00B33AA4">
        <w:t>’</w:t>
      </w:r>
      <w:r w:rsidR="00805412" w:rsidRPr="00B33AA4">
        <w:t>IAS</w:t>
      </w:r>
      <w:r w:rsidR="00C62623" w:rsidRPr="00B33AA4">
        <w:t> </w:t>
      </w:r>
      <w:r w:rsidR="00805412" w:rsidRPr="00B33AA4">
        <w:t xml:space="preserve">36. </w:t>
      </w:r>
      <w:r w:rsidR="00E04184" w:rsidRPr="00B33AA4">
        <w:t>À la suite de ce</w:t>
      </w:r>
      <w:r w:rsidR="009E376D" w:rsidRPr="00FA2B1C">
        <w:rPr>
          <w:rFonts w:cs="Arial"/>
          <w:snapToGrid w:val="0"/>
        </w:rPr>
        <w:t>[</w:t>
      </w:r>
      <w:r w:rsidR="009E376D" w:rsidRPr="00A237E1">
        <w:rPr>
          <w:rFonts w:cs="Arial"/>
          <w:snapToGrid w:val="0"/>
          <w:color w:val="0000FF"/>
        </w:rPr>
        <w:t>s</w:t>
      </w:r>
      <w:r w:rsidR="009E376D" w:rsidRPr="00FA2B1C">
        <w:rPr>
          <w:rFonts w:cs="Arial"/>
          <w:snapToGrid w:val="0"/>
        </w:rPr>
        <w:t>]</w:t>
      </w:r>
      <w:r w:rsidR="009E376D" w:rsidRPr="00A237E1">
        <w:rPr>
          <w:rFonts w:cs="Arial"/>
          <w:snapToGrid w:val="0"/>
          <w:color w:val="0000FF"/>
        </w:rPr>
        <w:t xml:space="preserve"> </w:t>
      </w:r>
      <w:r w:rsidR="00E04184" w:rsidRPr="00B33AA4">
        <w:t>test</w:t>
      </w:r>
      <w:r w:rsidR="009E376D" w:rsidRPr="00FA2B1C">
        <w:rPr>
          <w:rFonts w:cs="Arial"/>
          <w:snapToGrid w:val="0"/>
        </w:rPr>
        <w:t>[</w:t>
      </w:r>
      <w:r w:rsidR="009E376D" w:rsidRPr="00A237E1">
        <w:rPr>
          <w:rFonts w:cs="Arial"/>
          <w:snapToGrid w:val="0"/>
          <w:color w:val="0000FF"/>
        </w:rPr>
        <w:t>s</w:t>
      </w:r>
      <w:r w:rsidR="009E376D" w:rsidRPr="00FA2B1C">
        <w:rPr>
          <w:rFonts w:cs="Arial"/>
          <w:snapToGrid w:val="0"/>
        </w:rPr>
        <w:t>]</w:t>
      </w:r>
      <w:r w:rsidR="00E04184" w:rsidRPr="00B33AA4">
        <w:t xml:space="preserve">, nous avons constaté que </w:t>
      </w:r>
      <w:r w:rsidR="00F96EBA" w:rsidRPr="00F96EBA">
        <w:rPr>
          <w:rFonts w:cs="Arial"/>
          <w:snapToGrid w:val="0"/>
        </w:rPr>
        <w:t>[</w:t>
      </w:r>
      <w:r w:rsidR="00E04184" w:rsidRPr="00C55C35">
        <w:rPr>
          <w:color w:val="0000FF"/>
        </w:rPr>
        <w:t xml:space="preserve">le </w:t>
      </w:r>
      <w:r w:rsidR="00805412" w:rsidRPr="00C55C35">
        <w:rPr>
          <w:color w:val="0000FF"/>
        </w:rPr>
        <w:t xml:space="preserve">goodwill </w:t>
      </w:r>
      <w:r w:rsidR="00E04184" w:rsidRPr="00C55C35">
        <w:rPr>
          <w:color w:val="0000FF"/>
        </w:rPr>
        <w:t>n</w:t>
      </w:r>
      <w:r w:rsidR="00865E23" w:rsidRPr="00C55C35">
        <w:rPr>
          <w:color w:val="0000FF"/>
        </w:rPr>
        <w:t>’</w:t>
      </w:r>
      <w:r w:rsidR="00E04184" w:rsidRPr="00C55C35">
        <w:rPr>
          <w:color w:val="0000FF"/>
        </w:rPr>
        <w:t>était pas déprécié; nous n</w:t>
      </w:r>
      <w:r w:rsidR="00865E23" w:rsidRPr="00C55C35">
        <w:rPr>
          <w:color w:val="0000FF"/>
        </w:rPr>
        <w:t>’</w:t>
      </w:r>
      <w:r w:rsidR="00E04184" w:rsidRPr="00C55C35">
        <w:rPr>
          <w:color w:val="0000FF"/>
        </w:rPr>
        <w:t xml:space="preserve">avons donc pas enregistré une perte de valeur du goodwill </w:t>
      </w:r>
      <w:r w:rsidR="00661722" w:rsidRPr="00C55C35">
        <w:rPr>
          <w:b/>
          <w:color w:val="0000FF"/>
        </w:rPr>
        <w:t>O</w:t>
      </w:r>
      <w:r w:rsidR="00E04184" w:rsidRPr="00C55C35">
        <w:rPr>
          <w:b/>
          <w:color w:val="0000FF"/>
        </w:rPr>
        <w:t>U</w:t>
      </w:r>
      <w:r w:rsidR="00661722" w:rsidRPr="00C55C35">
        <w:rPr>
          <w:color w:val="0000FF"/>
        </w:rPr>
        <w:t xml:space="preserve"> </w:t>
      </w:r>
      <w:r w:rsidR="00E04184" w:rsidRPr="00C55C35">
        <w:rPr>
          <w:color w:val="0000FF"/>
        </w:rPr>
        <w:t xml:space="preserve">une perte de valeur du goodwill de </w:t>
      </w:r>
      <w:r w:rsidR="00F96EBA" w:rsidRPr="00F96EBA">
        <w:t>[</w:t>
      </w:r>
      <w:r w:rsidR="009A0CB8" w:rsidRPr="00B33AA4">
        <w:rPr>
          <w:color w:val="0000FF"/>
        </w:rPr>
        <w:t>montant</w:t>
      </w:r>
      <w:r w:rsidR="00F96EBA" w:rsidRPr="00F96EBA">
        <w:t>]</w:t>
      </w:r>
      <w:r w:rsidR="009A0CB8" w:rsidRPr="00C55C35">
        <w:rPr>
          <w:color w:val="0000FF"/>
        </w:rPr>
        <w:t> </w:t>
      </w:r>
      <w:r w:rsidR="00E04184" w:rsidRPr="00C55C35">
        <w:rPr>
          <w:color w:val="0000FF"/>
        </w:rPr>
        <w:t xml:space="preserve">$ a été constatée et elle a été présentée de manière appropriée dans les états financiers </w:t>
      </w:r>
      <w:r w:rsidR="00F96EBA" w:rsidRPr="00F96EBA">
        <w:t>[</w:t>
      </w:r>
      <w:r w:rsidR="00805412" w:rsidRPr="00B33AA4">
        <w:rPr>
          <w:color w:val="0000FF"/>
        </w:rPr>
        <w:t>consolid</w:t>
      </w:r>
      <w:r w:rsidR="00E04184" w:rsidRPr="00B33AA4">
        <w:rPr>
          <w:color w:val="0000FF"/>
        </w:rPr>
        <w:t>és</w:t>
      </w:r>
      <w:r w:rsidR="00F96EBA" w:rsidRPr="00F96EBA">
        <w:t>]]</w:t>
      </w:r>
      <w:r w:rsidR="00E04184" w:rsidRPr="00C55C35">
        <w:rPr>
          <w:color w:val="0000FF"/>
        </w:rPr>
        <w:t>.</w:t>
      </w:r>
    </w:p>
    <w:p w14:paraId="0C1EA894" w14:textId="1DB21C19" w:rsidR="00805412" w:rsidRPr="00B33AA4" w:rsidRDefault="00E04184" w:rsidP="008F2193">
      <w:pPr>
        <w:pStyle w:val="09Para"/>
      </w:pPr>
      <w:r w:rsidRPr="00B33AA4">
        <w:t>Il n</w:t>
      </w:r>
      <w:r w:rsidR="00865E23" w:rsidRPr="00B33AA4">
        <w:t>’</w:t>
      </w:r>
      <w:r w:rsidRPr="00B33AA4">
        <w:t xml:space="preserve">y a eu aucun événement ou changement de </w:t>
      </w:r>
      <w:r w:rsidR="00882593" w:rsidRPr="00B33AA4">
        <w:t xml:space="preserve">circonstances </w:t>
      </w:r>
      <w:r w:rsidRPr="00B33AA4">
        <w:t xml:space="preserve">depuis la réalisation du test </w:t>
      </w:r>
      <w:r w:rsidR="002A6A05">
        <w:t>[</w:t>
      </w:r>
      <w:r w:rsidR="00C47B6F" w:rsidRPr="00D17C6D">
        <w:rPr>
          <w:color w:val="0000FF"/>
        </w:rPr>
        <w:t>le</w:t>
      </w:r>
      <w:r w:rsidR="00EA1216">
        <w:rPr>
          <w:color w:val="0000FF"/>
        </w:rPr>
        <w:t> </w:t>
      </w:r>
      <w:r w:rsidR="00C47B6F" w:rsidRPr="00D17C6D">
        <w:rPr>
          <w:color w:val="0000FF"/>
        </w:rPr>
        <w:t>plus récent</w:t>
      </w:r>
      <w:r w:rsidR="002A6A05">
        <w:t>]</w:t>
      </w:r>
      <w:r w:rsidR="00C47B6F" w:rsidRPr="00B33AA4">
        <w:t xml:space="preserve"> </w:t>
      </w:r>
      <w:r w:rsidRPr="00B33AA4">
        <w:t>qui indiqu</w:t>
      </w:r>
      <w:r w:rsidR="004323A9" w:rsidRPr="00B33AA4">
        <w:t>e</w:t>
      </w:r>
      <w:r w:rsidRPr="00B33AA4">
        <w:t xml:space="preserve"> que la valeur comptable du goodwill comptabilisée dans les états financiers [</w:t>
      </w:r>
      <w:r w:rsidRPr="00B33AA4">
        <w:rPr>
          <w:color w:val="0000FF"/>
        </w:rPr>
        <w:t>consolidés</w:t>
      </w:r>
      <w:r w:rsidR="00805412" w:rsidRPr="00B33AA4">
        <w:t xml:space="preserve">] </w:t>
      </w:r>
      <w:r w:rsidRPr="00B33AA4">
        <w:t>pourrait s</w:t>
      </w:r>
      <w:r w:rsidR="00865E23" w:rsidRPr="00B33AA4">
        <w:t>’</w:t>
      </w:r>
      <w:r w:rsidRPr="00B33AA4">
        <w:t>être dépréciée</w:t>
      </w:r>
      <w:r w:rsidR="00805412" w:rsidRPr="00B33AA4">
        <w:t xml:space="preserve">. </w:t>
      </w:r>
      <w:r w:rsidRPr="00B33AA4">
        <w:t xml:space="preserve">Nous sommes donc convaincus que la valeur comptable du goodwill présentée dans les états financiers </w:t>
      </w:r>
      <w:r w:rsidR="00805412" w:rsidRPr="00B33AA4">
        <w:t>[</w:t>
      </w:r>
      <w:r w:rsidR="00805412" w:rsidRPr="00B33AA4">
        <w:rPr>
          <w:color w:val="0000FF"/>
        </w:rPr>
        <w:t>consolid</w:t>
      </w:r>
      <w:r w:rsidRPr="00B33AA4">
        <w:rPr>
          <w:color w:val="0000FF"/>
        </w:rPr>
        <w:t>és</w:t>
      </w:r>
      <w:r w:rsidR="00805412" w:rsidRPr="00B33AA4">
        <w:t xml:space="preserve">] </w:t>
      </w:r>
      <w:r w:rsidRPr="00B33AA4">
        <w:t>est entièrement recouvrable</w:t>
      </w:r>
      <w:r w:rsidR="00805412" w:rsidRPr="00B33AA4">
        <w:t>.</w:t>
      </w:r>
    </w:p>
    <w:p w14:paraId="0F35EA25" w14:textId="77777777" w:rsidR="00805412" w:rsidRPr="00B33AA4" w:rsidRDefault="00805412" w:rsidP="00180F3B">
      <w:pPr>
        <w:pStyle w:val="Heading3"/>
      </w:pPr>
      <w:r w:rsidRPr="00B33AA4">
        <w:t>I</w:t>
      </w:r>
      <w:r w:rsidR="009E7C67" w:rsidRPr="00B33AA4">
        <w:t xml:space="preserve">mmobilisations incorporelles à durée indéterminée </w:t>
      </w:r>
    </w:p>
    <w:p w14:paraId="22643FA5" w14:textId="23C13CFB" w:rsidR="00805412" w:rsidRPr="00B33AA4" w:rsidRDefault="009E7C67" w:rsidP="008F2193">
      <w:pPr>
        <w:pStyle w:val="09Para"/>
      </w:pPr>
      <w:r w:rsidRPr="00B33AA4">
        <w:t>Nous avons déterminé que les actifs comptabilisés en tant qu</w:t>
      </w:r>
      <w:r w:rsidR="00865E23" w:rsidRPr="00B33AA4">
        <w:t>’</w:t>
      </w:r>
      <w:r w:rsidRPr="00B33AA4">
        <w:t>immobilisations incorporelles à durée d</w:t>
      </w:r>
      <w:r w:rsidR="00865E23" w:rsidRPr="00B33AA4">
        <w:t>’</w:t>
      </w:r>
      <w:r w:rsidRPr="00B33AA4">
        <w:t xml:space="preserve">utilité indéterminée </w:t>
      </w:r>
      <w:r w:rsidR="009C373B" w:rsidRPr="00B33AA4">
        <w:t xml:space="preserve">dans les états financiers </w:t>
      </w:r>
      <w:r w:rsidR="00805412" w:rsidRPr="00B33AA4">
        <w:t>[</w:t>
      </w:r>
      <w:r w:rsidR="00805412" w:rsidRPr="00B33AA4">
        <w:rPr>
          <w:color w:val="0000FF"/>
        </w:rPr>
        <w:t>consolid</w:t>
      </w:r>
      <w:r w:rsidR="009C373B" w:rsidRPr="00B33AA4">
        <w:rPr>
          <w:color w:val="0000FF"/>
        </w:rPr>
        <w:t>és</w:t>
      </w:r>
      <w:r w:rsidR="00C62623" w:rsidRPr="00B33AA4">
        <w:t>]</w:t>
      </w:r>
      <w:r w:rsidR="00805412" w:rsidRPr="00B33AA4">
        <w:t xml:space="preserve"> </w:t>
      </w:r>
      <w:r w:rsidR="009C373B" w:rsidRPr="00B33AA4">
        <w:t>n</w:t>
      </w:r>
      <w:r w:rsidR="00865E23" w:rsidRPr="00B33AA4">
        <w:t>’</w:t>
      </w:r>
      <w:r w:rsidR="009C373B" w:rsidRPr="00B33AA4">
        <w:t xml:space="preserve">ont pas </w:t>
      </w:r>
      <w:r w:rsidR="008C093A" w:rsidRPr="00B33AA4">
        <w:t>une</w:t>
      </w:r>
      <w:r w:rsidR="009C373B" w:rsidRPr="00B33AA4">
        <w:t xml:space="preserve"> durée d</w:t>
      </w:r>
      <w:r w:rsidR="00865E23" w:rsidRPr="00B33AA4">
        <w:t>’</w:t>
      </w:r>
      <w:r w:rsidR="009C373B" w:rsidRPr="00B33AA4">
        <w:t>utilité qui peut être estimée ou ont une durée d</w:t>
      </w:r>
      <w:r w:rsidR="00865E23" w:rsidRPr="00B33AA4">
        <w:t>’</w:t>
      </w:r>
      <w:r w:rsidR="009C373B" w:rsidRPr="00B33AA4">
        <w:t>utilité indéterminée</w:t>
      </w:r>
      <w:r w:rsidR="008C093A" w:rsidRPr="00B33AA4">
        <w:t xml:space="preserve">, </w:t>
      </w:r>
      <w:r w:rsidR="009C373B" w:rsidRPr="00B33AA4">
        <w:t>et ne sont donc pas, de ce fait, amortissables, mais doivent plutôt être soumis à un test de dépréciation.</w:t>
      </w:r>
    </w:p>
    <w:p w14:paraId="2279C4BF" w14:textId="2F06D95E" w:rsidR="00805412" w:rsidRPr="00B33AA4" w:rsidRDefault="009C373B" w:rsidP="00871F3A">
      <w:pPr>
        <w:pStyle w:val="09Para"/>
      </w:pPr>
      <w:r w:rsidRPr="00B33AA4">
        <w:t>Au cours de l</w:t>
      </w:r>
      <w:r w:rsidR="00865E23" w:rsidRPr="00B33AA4">
        <w:t>’</w:t>
      </w:r>
      <w:r w:rsidRPr="00B33AA4">
        <w:t>exercice, nous avons examiné les durées d</w:t>
      </w:r>
      <w:r w:rsidR="00865E23" w:rsidRPr="00B33AA4">
        <w:t>’</w:t>
      </w:r>
      <w:r w:rsidRPr="00B33AA4">
        <w:t xml:space="preserve">utilité des actifs considérés comme des </w:t>
      </w:r>
      <w:r w:rsidR="009E7C67" w:rsidRPr="00B33AA4">
        <w:t>immobilisations incorporelles à durée d</w:t>
      </w:r>
      <w:r w:rsidR="00865E23" w:rsidRPr="00B33AA4">
        <w:t>’</w:t>
      </w:r>
      <w:r w:rsidR="009E7C67" w:rsidRPr="00B33AA4">
        <w:t>utilité indéterminée</w:t>
      </w:r>
      <w:r w:rsidR="00E673A6">
        <w:t>. N</w:t>
      </w:r>
      <w:r w:rsidR="00D17C6D">
        <w:t>ous avons conclu</w:t>
      </w:r>
      <w:r w:rsidR="00C62623" w:rsidRPr="00B33AA4">
        <w:t xml:space="preserve"> </w:t>
      </w:r>
      <w:r w:rsidRPr="00B33AA4">
        <w:t>que leur classement dans cette catégorie rest</w:t>
      </w:r>
      <w:r w:rsidR="004323A9" w:rsidRPr="00B33AA4">
        <w:t>ait</w:t>
      </w:r>
      <w:r w:rsidRPr="00B33AA4">
        <w:t xml:space="preserve"> toujours approprié</w:t>
      </w:r>
      <w:r w:rsidR="00E673A6">
        <w:t xml:space="preserve"> </w:t>
      </w:r>
      <w:r w:rsidRPr="00B33AA4">
        <w:t>ou,</w:t>
      </w:r>
      <w:r w:rsidR="00A14F7C" w:rsidRPr="00B33AA4">
        <w:t xml:space="preserve"> dans le cas contraire, nous avons comptabilisé</w:t>
      </w:r>
      <w:r w:rsidR="004323A9" w:rsidRPr="00B33AA4">
        <w:t xml:space="preserve"> ces actifs</w:t>
      </w:r>
      <w:r w:rsidR="00A14F7C" w:rsidRPr="00B33AA4">
        <w:t xml:space="preserve"> de manière appropriée et </w:t>
      </w:r>
      <w:r w:rsidR="00882593" w:rsidRPr="00B33AA4">
        <w:t xml:space="preserve">fourni </w:t>
      </w:r>
      <w:r w:rsidR="00A14F7C" w:rsidRPr="00B33AA4">
        <w:t>la méthode d</w:t>
      </w:r>
      <w:r w:rsidR="00865E23" w:rsidRPr="00B33AA4">
        <w:t>’</w:t>
      </w:r>
      <w:r w:rsidR="00A14F7C" w:rsidRPr="00B33AA4">
        <w:t xml:space="preserve">amortissement révisée dans les états </w:t>
      </w:r>
      <w:r w:rsidR="00605C59" w:rsidRPr="00B33AA4">
        <w:t xml:space="preserve">financiers </w:t>
      </w:r>
      <w:r w:rsidR="00805412" w:rsidRPr="00B33AA4">
        <w:t>[</w:t>
      </w:r>
      <w:r w:rsidR="00805412" w:rsidRPr="00B33AA4">
        <w:rPr>
          <w:color w:val="0000FF"/>
        </w:rPr>
        <w:t>consolid</w:t>
      </w:r>
      <w:r w:rsidR="00A14F7C" w:rsidRPr="00B33AA4">
        <w:rPr>
          <w:color w:val="0000FF"/>
        </w:rPr>
        <w:t>és</w:t>
      </w:r>
      <w:r w:rsidR="00805412" w:rsidRPr="00B33AA4">
        <w:t>].</w:t>
      </w:r>
    </w:p>
    <w:p w14:paraId="7E593CAC" w14:textId="16ED0A35" w:rsidR="009E376D" w:rsidRDefault="009E7C67" w:rsidP="008F2193">
      <w:pPr>
        <w:pStyle w:val="09Para"/>
        <w:rPr>
          <w:color w:val="0000FF"/>
        </w:rPr>
      </w:pPr>
      <w:r w:rsidRPr="00B33AA4">
        <w:t>Au cours de l</w:t>
      </w:r>
      <w:r w:rsidR="00865E23" w:rsidRPr="00B33AA4">
        <w:t>’</w:t>
      </w:r>
      <w:r w:rsidRPr="00B33AA4">
        <w:t xml:space="preserve">exercice, nous avons réalisé </w:t>
      </w:r>
      <w:r w:rsidR="004323A9" w:rsidRPr="00B33AA4">
        <w:t>le</w:t>
      </w:r>
      <w:r w:rsidRPr="00B33AA4">
        <w:t xml:space="preserve"> test de dépréciation pour </w:t>
      </w:r>
      <w:r w:rsidR="00A033B8" w:rsidRPr="00B33AA4">
        <w:t>les immobilisations incorporelles à durée d</w:t>
      </w:r>
      <w:r w:rsidR="00865E23" w:rsidRPr="00B33AA4">
        <w:t>’</w:t>
      </w:r>
      <w:r w:rsidR="00A033B8" w:rsidRPr="00B33AA4">
        <w:t xml:space="preserve">utilité indéterminée </w:t>
      </w:r>
      <w:r w:rsidRPr="00B33AA4">
        <w:t>décrit à l</w:t>
      </w:r>
      <w:r w:rsidR="00865E23" w:rsidRPr="00B33AA4">
        <w:t>’</w:t>
      </w:r>
      <w:r w:rsidR="00515998" w:rsidRPr="00B33AA4">
        <w:t>IAS </w:t>
      </w:r>
      <w:r w:rsidRPr="00B33AA4">
        <w:t>36, Dépréciation d</w:t>
      </w:r>
      <w:r w:rsidR="00865E23" w:rsidRPr="00B33AA4">
        <w:t>’</w:t>
      </w:r>
      <w:r w:rsidRPr="00B33AA4">
        <w:t>actifs. À la suite de</w:t>
      </w:r>
      <w:r w:rsidR="00EA1216">
        <w:t> </w:t>
      </w:r>
      <w:r w:rsidRPr="00B33AA4">
        <w:t>ce</w:t>
      </w:r>
      <w:r w:rsidR="009E376D" w:rsidRPr="00F96EBA">
        <w:rPr>
          <w:rFonts w:cs="Arial"/>
          <w:snapToGrid w:val="0"/>
        </w:rPr>
        <w:t>[</w:t>
      </w:r>
      <w:r w:rsidR="009E376D" w:rsidRPr="00A237E1">
        <w:rPr>
          <w:rFonts w:cs="Arial"/>
          <w:snapToGrid w:val="0"/>
          <w:color w:val="0000FF"/>
        </w:rPr>
        <w:t>s</w:t>
      </w:r>
      <w:r w:rsidR="009E376D" w:rsidRPr="00F96EBA">
        <w:rPr>
          <w:rFonts w:cs="Arial"/>
          <w:snapToGrid w:val="0"/>
        </w:rPr>
        <w:t>]</w:t>
      </w:r>
      <w:r w:rsidRPr="00B33AA4">
        <w:t xml:space="preserve"> test</w:t>
      </w:r>
      <w:r w:rsidR="009E376D" w:rsidRPr="00F96EBA">
        <w:rPr>
          <w:rFonts w:cs="Arial"/>
          <w:snapToGrid w:val="0"/>
        </w:rPr>
        <w:t>[</w:t>
      </w:r>
      <w:r w:rsidR="009E376D" w:rsidRPr="00A237E1">
        <w:rPr>
          <w:rFonts w:cs="Arial"/>
          <w:snapToGrid w:val="0"/>
          <w:color w:val="0000FF"/>
        </w:rPr>
        <w:t>s</w:t>
      </w:r>
      <w:r w:rsidR="009E376D" w:rsidRPr="00F96EBA">
        <w:rPr>
          <w:rFonts w:cs="Arial"/>
          <w:snapToGrid w:val="0"/>
        </w:rPr>
        <w:t>]</w:t>
      </w:r>
      <w:r w:rsidRPr="00B33AA4">
        <w:t>, nous avons constaté [</w:t>
      </w:r>
      <w:r w:rsidR="004323A9" w:rsidRPr="00C55C35">
        <w:rPr>
          <w:color w:val="0000FF"/>
        </w:rPr>
        <w:t>qu’</w:t>
      </w:r>
      <w:r w:rsidRPr="00C55C35">
        <w:rPr>
          <w:color w:val="0000FF"/>
        </w:rPr>
        <w:t>aucune immobilisation incorporelle à durée d</w:t>
      </w:r>
      <w:r w:rsidR="00865E23" w:rsidRPr="00C55C35">
        <w:rPr>
          <w:color w:val="0000FF"/>
        </w:rPr>
        <w:t>’</w:t>
      </w:r>
      <w:r w:rsidRPr="00C55C35">
        <w:rPr>
          <w:color w:val="0000FF"/>
        </w:rPr>
        <w:t>utilité indéterminée n</w:t>
      </w:r>
      <w:r w:rsidR="00865E23" w:rsidRPr="00C55C35">
        <w:rPr>
          <w:color w:val="0000FF"/>
        </w:rPr>
        <w:t>’</w:t>
      </w:r>
      <w:r w:rsidRPr="00C55C35">
        <w:rPr>
          <w:color w:val="0000FF"/>
        </w:rPr>
        <w:t>était dépréciée; nous n</w:t>
      </w:r>
      <w:r w:rsidR="00865E23" w:rsidRPr="00C55C35">
        <w:rPr>
          <w:color w:val="0000FF"/>
        </w:rPr>
        <w:t>’</w:t>
      </w:r>
      <w:r w:rsidRPr="00C55C35">
        <w:rPr>
          <w:color w:val="0000FF"/>
        </w:rPr>
        <w:t xml:space="preserve">avons donc pas enregistré une perte de valeur à ce titre </w:t>
      </w:r>
      <w:r w:rsidRPr="003614BC">
        <w:rPr>
          <w:i/>
          <w:color w:val="0000FF"/>
        </w:rPr>
        <w:t>OU</w:t>
      </w:r>
      <w:r w:rsidRPr="00C55C35">
        <w:rPr>
          <w:b/>
          <w:color w:val="0000FF"/>
        </w:rPr>
        <w:t xml:space="preserve"> </w:t>
      </w:r>
      <w:r w:rsidRPr="00C55C35">
        <w:rPr>
          <w:color w:val="0000FF"/>
        </w:rPr>
        <w:t>une perte de valeur des immobilisations incorporelles à durée d</w:t>
      </w:r>
      <w:r w:rsidR="00865E23" w:rsidRPr="00C55C35">
        <w:rPr>
          <w:color w:val="0000FF"/>
        </w:rPr>
        <w:t>’</w:t>
      </w:r>
      <w:r w:rsidRPr="00C55C35">
        <w:rPr>
          <w:color w:val="0000FF"/>
        </w:rPr>
        <w:t xml:space="preserve">utilité indéterminée de </w:t>
      </w:r>
      <w:r w:rsidR="00F96EBA" w:rsidRPr="00F96EBA">
        <w:t>[</w:t>
      </w:r>
      <w:r w:rsidR="004323A9" w:rsidRPr="00B33AA4">
        <w:rPr>
          <w:color w:val="0000FF"/>
        </w:rPr>
        <w:t>montant</w:t>
      </w:r>
      <w:r w:rsidR="00F96EBA" w:rsidRPr="00F96EBA">
        <w:t>]</w:t>
      </w:r>
      <w:r w:rsidR="004323A9" w:rsidRPr="00C55C35">
        <w:rPr>
          <w:color w:val="0000FF"/>
        </w:rPr>
        <w:t> </w:t>
      </w:r>
      <w:r w:rsidRPr="00C55C35">
        <w:rPr>
          <w:color w:val="0000FF"/>
        </w:rPr>
        <w:t xml:space="preserve">$ a été constatée et elle a été </w:t>
      </w:r>
      <w:r w:rsidR="003A5E35">
        <w:rPr>
          <w:color w:val="0000FF"/>
        </w:rPr>
        <w:t xml:space="preserve">présentée </w:t>
      </w:r>
      <w:r w:rsidRPr="00C55C35">
        <w:rPr>
          <w:color w:val="0000FF"/>
        </w:rPr>
        <w:t xml:space="preserve">de manière appropriée dans les états financiers </w:t>
      </w:r>
      <w:r w:rsidR="00F96EBA" w:rsidRPr="00F96EBA">
        <w:t>[</w:t>
      </w:r>
      <w:r w:rsidRPr="00B33AA4">
        <w:rPr>
          <w:color w:val="0000FF"/>
        </w:rPr>
        <w:t>consolidés</w:t>
      </w:r>
      <w:r w:rsidR="00F96EBA" w:rsidRPr="00F96EBA">
        <w:t>]]</w:t>
      </w:r>
      <w:r w:rsidR="009D3150">
        <w:rPr>
          <w:color w:val="0000FF"/>
        </w:rPr>
        <w:t>.</w:t>
      </w:r>
    </w:p>
    <w:p w14:paraId="347D8E48" w14:textId="40798127" w:rsidR="00805412" w:rsidRPr="00B33AA4" w:rsidRDefault="009E7C67" w:rsidP="008F2193">
      <w:pPr>
        <w:pStyle w:val="09Para"/>
      </w:pPr>
      <w:r w:rsidRPr="004D3F89">
        <w:t>Il n</w:t>
      </w:r>
      <w:r w:rsidR="00865E23" w:rsidRPr="008510BA">
        <w:t>’</w:t>
      </w:r>
      <w:r w:rsidRPr="009E376D">
        <w:t>y a eu aucun événement ou changement de situation depuis la réalisation du test qui indique que la valeur comptable des immobilisations incorporelles à durée d</w:t>
      </w:r>
      <w:r w:rsidR="00865E23" w:rsidRPr="009E376D">
        <w:t>’</w:t>
      </w:r>
      <w:r w:rsidRPr="009E376D">
        <w:t xml:space="preserve">utilité indéterminée comptabilisée dans les états financiers </w:t>
      </w:r>
      <w:r w:rsidRPr="00F96EBA">
        <w:t>[</w:t>
      </w:r>
      <w:r w:rsidRPr="00B33AA4">
        <w:rPr>
          <w:color w:val="0000FF"/>
        </w:rPr>
        <w:t>consolidés</w:t>
      </w:r>
      <w:r w:rsidRPr="00F96EBA">
        <w:t xml:space="preserve">] </w:t>
      </w:r>
      <w:r w:rsidRPr="004D3F89">
        <w:t>pourrait s</w:t>
      </w:r>
      <w:r w:rsidR="00865E23" w:rsidRPr="008510BA">
        <w:t>’</w:t>
      </w:r>
      <w:r w:rsidRPr="009E376D">
        <w:t>être dépréciée. Nous sommes donc convaincus que la valeur comptable des immobilisations incorporelles à durée d</w:t>
      </w:r>
      <w:r w:rsidR="00865E23" w:rsidRPr="009E376D">
        <w:t>’</w:t>
      </w:r>
      <w:r w:rsidRPr="009E376D">
        <w:t>utilité indéterminée présentée dans les états financiers</w:t>
      </w:r>
      <w:r w:rsidRPr="00C55C35">
        <w:rPr>
          <w:color w:val="0000FF"/>
        </w:rPr>
        <w:t xml:space="preserve"> </w:t>
      </w:r>
      <w:r w:rsidRPr="00F96EBA">
        <w:t>[</w:t>
      </w:r>
      <w:r w:rsidRPr="00B33AA4">
        <w:rPr>
          <w:color w:val="0000FF"/>
        </w:rPr>
        <w:t>consolidés</w:t>
      </w:r>
      <w:r w:rsidRPr="00F96EBA">
        <w:t>]</w:t>
      </w:r>
      <w:r w:rsidRPr="00C55C35">
        <w:rPr>
          <w:color w:val="0000FF"/>
        </w:rPr>
        <w:t xml:space="preserve"> </w:t>
      </w:r>
      <w:r w:rsidRPr="004D3F89">
        <w:t>est entièrement recouvrable</w:t>
      </w:r>
      <w:r w:rsidR="00805412" w:rsidRPr="008510BA">
        <w:t>.</w:t>
      </w:r>
    </w:p>
    <w:p w14:paraId="4FC83127" w14:textId="77777777" w:rsidR="00805412" w:rsidRPr="00B33AA4" w:rsidRDefault="00162C24" w:rsidP="00180F3B">
      <w:pPr>
        <w:pStyle w:val="Heading3"/>
      </w:pPr>
      <w:r w:rsidRPr="00B33AA4">
        <w:lastRenderedPageBreak/>
        <w:t>Coûts de recherche</w:t>
      </w:r>
      <w:r w:rsidR="004E78F4" w:rsidRPr="00B33AA4">
        <w:t xml:space="preserve"> et de d</w:t>
      </w:r>
      <w:r w:rsidRPr="00B33AA4">
        <w:t>éveloppement</w:t>
      </w:r>
    </w:p>
    <w:p w14:paraId="4E128C92" w14:textId="77777777" w:rsidR="00805412" w:rsidRPr="00B33AA4" w:rsidRDefault="00BC75CF" w:rsidP="008F2193">
      <w:pPr>
        <w:pStyle w:val="09Para"/>
      </w:pPr>
      <w:r w:rsidRPr="00B33AA4">
        <w:t xml:space="preserve">Toutes les dépenses de recherche </w:t>
      </w:r>
      <w:r w:rsidR="00805412" w:rsidRPr="00B33AA4">
        <w:t>(</w:t>
      </w:r>
      <w:r w:rsidR="00162C24" w:rsidRPr="00B33AA4">
        <w:t xml:space="preserve">y compris </w:t>
      </w:r>
      <w:r w:rsidRPr="00B33AA4">
        <w:t xml:space="preserve">celles liées aux </w:t>
      </w:r>
      <w:r w:rsidR="00162C24" w:rsidRPr="00B33AA4">
        <w:t>immobilisations incorporelles générées en interne</w:t>
      </w:r>
      <w:r w:rsidR="00805412" w:rsidRPr="00B33AA4">
        <w:t xml:space="preserve">) </w:t>
      </w:r>
      <w:r w:rsidRPr="00B33AA4">
        <w:t>ont été comptabilisées en charges lorsqu</w:t>
      </w:r>
      <w:r w:rsidR="00865E23" w:rsidRPr="00B33AA4">
        <w:t>’</w:t>
      </w:r>
      <w:r w:rsidRPr="00B33AA4">
        <w:t>elles ont été engagées</w:t>
      </w:r>
      <w:r w:rsidR="00805412" w:rsidRPr="00B33AA4">
        <w:t>.</w:t>
      </w:r>
    </w:p>
    <w:p w14:paraId="38A789FE" w14:textId="77777777" w:rsidR="00805412" w:rsidRPr="00B33AA4" w:rsidRDefault="00BC75CF" w:rsidP="008F2193">
      <w:pPr>
        <w:pStyle w:val="09Para"/>
      </w:pPr>
      <w:r w:rsidRPr="00B33AA4">
        <w:t>Tous les coûts de développement ont été inscrits à l</w:t>
      </w:r>
      <w:r w:rsidR="00865E23" w:rsidRPr="00B33AA4">
        <w:t>’</w:t>
      </w:r>
      <w:r w:rsidRPr="00B33AA4">
        <w:t>actif dans l</w:t>
      </w:r>
      <w:r w:rsidR="00865E23" w:rsidRPr="00B33AA4">
        <w:t>’</w:t>
      </w:r>
      <w:r w:rsidRPr="00B33AA4">
        <w:t xml:space="preserve">état </w:t>
      </w:r>
      <w:r w:rsidR="00805412" w:rsidRPr="00B33AA4">
        <w:t>[</w:t>
      </w:r>
      <w:r w:rsidR="00805412" w:rsidRPr="00B33AA4">
        <w:rPr>
          <w:color w:val="0000FF"/>
        </w:rPr>
        <w:t>consolid</w:t>
      </w:r>
      <w:r w:rsidRPr="00B33AA4">
        <w:rPr>
          <w:color w:val="0000FF"/>
        </w:rPr>
        <w:t>é</w:t>
      </w:r>
      <w:r w:rsidR="00805412" w:rsidRPr="00B33AA4">
        <w:t xml:space="preserve">] </w:t>
      </w:r>
      <w:r w:rsidRPr="00B33AA4">
        <w:t xml:space="preserve">de la situation financière </w:t>
      </w:r>
      <w:r w:rsidR="004E78F4" w:rsidRPr="00B33AA4">
        <w:t>lorsqu</w:t>
      </w:r>
      <w:r w:rsidR="00865E23" w:rsidRPr="00B33AA4">
        <w:t>’</w:t>
      </w:r>
      <w:r w:rsidR="004E78F4" w:rsidRPr="00B33AA4">
        <w:t>ils satisfaisaient aux critères de comptabilisation à l</w:t>
      </w:r>
      <w:r w:rsidR="00865E23" w:rsidRPr="00B33AA4">
        <w:t>’</w:t>
      </w:r>
      <w:r w:rsidR="004E78F4" w:rsidRPr="00B33AA4">
        <w:t>actif de l</w:t>
      </w:r>
      <w:r w:rsidR="00865E23" w:rsidRPr="00B33AA4">
        <w:t>’</w:t>
      </w:r>
      <w:r w:rsidR="00805412" w:rsidRPr="00B33AA4">
        <w:t>IAS</w:t>
      </w:r>
      <w:r w:rsidR="004B5030" w:rsidRPr="00B33AA4">
        <w:t> </w:t>
      </w:r>
      <w:r w:rsidR="00805412" w:rsidRPr="00B33AA4">
        <w:t>38</w:t>
      </w:r>
      <w:r w:rsidR="004D1BFF" w:rsidRPr="00B33AA4">
        <w:t>,</w:t>
      </w:r>
      <w:r w:rsidR="00805412" w:rsidRPr="00B33AA4">
        <w:t xml:space="preserve"> </w:t>
      </w:r>
      <w:r w:rsidR="004E78F4" w:rsidRPr="00B33AA4">
        <w:t>Immobilisations incorporelles</w:t>
      </w:r>
      <w:r w:rsidR="00805412" w:rsidRPr="00B33AA4">
        <w:t>.</w:t>
      </w:r>
    </w:p>
    <w:p w14:paraId="0E659DA8" w14:textId="77777777" w:rsidR="00805412" w:rsidRPr="00B33AA4" w:rsidRDefault="00AC503B" w:rsidP="008F2193">
      <w:pPr>
        <w:pStyle w:val="09Para"/>
      </w:pPr>
      <w:r w:rsidRPr="00B33AA4">
        <w:t>Les coûts de développement d</w:t>
      </w:r>
      <w:r w:rsidR="00865E23" w:rsidRPr="00B33AA4">
        <w:t>’</w:t>
      </w:r>
      <w:r w:rsidRPr="00B33AA4">
        <w:t xml:space="preserve">un site </w:t>
      </w:r>
      <w:r w:rsidR="004323A9" w:rsidRPr="00B33AA4">
        <w:t>[</w:t>
      </w:r>
      <w:r w:rsidR="004B5030" w:rsidRPr="00B33AA4">
        <w:rPr>
          <w:i/>
          <w:color w:val="0000FF"/>
        </w:rPr>
        <w:t>OU</w:t>
      </w:r>
      <w:r w:rsidR="004B5030" w:rsidRPr="00B33AA4">
        <w:rPr>
          <w:color w:val="0000FF"/>
        </w:rPr>
        <w:t xml:space="preserve"> </w:t>
      </w:r>
      <w:r w:rsidR="004323A9" w:rsidRPr="00B33AA4">
        <w:rPr>
          <w:color w:val="0000FF"/>
        </w:rPr>
        <w:t>de sites</w:t>
      </w:r>
      <w:r w:rsidR="004323A9" w:rsidRPr="00B33AA4">
        <w:t xml:space="preserve">] </w:t>
      </w:r>
      <w:r w:rsidR="00805412" w:rsidRPr="00B33AA4">
        <w:t>Web</w:t>
      </w:r>
      <w:r w:rsidRPr="00B33AA4">
        <w:t xml:space="preserve"> ont été comptabilisés selon les directives de l</w:t>
      </w:r>
      <w:r w:rsidR="00865E23" w:rsidRPr="00B33AA4">
        <w:t>’</w:t>
      </w:r>
      <w:r w:rsidR="00515998" w:rsidRPr="00B33AA4">
        <w:t>Interprétation SIC</w:t>
      </w:r>
      <w:r w:rsidR="00515998" w:rsidRPr="00B33AA4">
        <w:noBreakHyphen/>
      </w:r>
      <w:r w:rsidRPr="00B33AA4">
        <w:t>32, Immobilisations incorporelles — coûts liés aux sites Web</w:t>
      </w:r>
      <w:r w:rsidR="00805412" w:rsidRPr="00B33AA4">
        <w:t>.</w:t>
      </w:r>
    </w:p>
    <w:p w14:paraId="6B5DFB56" w14:textId="77777777" w:rsidR="00805412" w:rsidRPr="00B33AA4" w:rsidRDefault="00180F3B" w:rsidP="00180F3B">
      <w:pPr>
        <w:pStyle w:val="Heading3"/>
      </w:pPr>
      <w:r w:rsidRPr="00B33AA4">
        <w:t>Créditeurs</w:t>
      </w:r>
    </w:p>
    <w:p w14:paraId="0F80131F" w14:textId="524D8F23" w:rsidR="00805412" w:rsidRPr="00B33AA4" w:rsidRDefault="00AC503B" w:rsidP="008F2193">
      <w:pPr>
        <w:pStyle w:val="09Para"/>
      </w:pPr>
      <w:r w:rsidRPr="00B33AA4">
        <w:t xml:space="preserve">Les créditeurs ne portant pas intérêt </w:t>
      </w:r>
      <w:r w:rsidR="00882593" w:rsidRPr="00B33AA4">
        <w:t>et qu</w:t>
      </w:r>
      <w:r w:rsidR="00E673A6">
        <w:t xml:space="preserve">i doivent être </w:t>
      </w:r>
      <w:r w:rsidR="00882593" w:rsidRPr="00B33AA4">
        <w:t>pay</w:t>
      </w:r>
      <w:r w:rsidR="00E673A6">
        <w:t>és</w:t>
      </w:r>
      <w:r w:rsidR="00882593" w:rsidRPr="00B33AA4">
        <w:t xml:space="preserve"> dans </w:t>
      </w:r>
      <w:r w:rsidRPr="00B33AA4">
        <w:t>plus d</w:t>
      </w:r>
      <w:r w:rsidR="00865E23" w:rsidRPr="00B33AA4">
        <w:t>’</w:t>
      </w:r>
      <w:r w:rsidRPr="00B33AA4">
        <w:t xml:space="preserve">un an après la date de </w:t>
      </w:r>
      <w:r w:rsidR="008C093A" w:rsidRPr="00B33AA4">
        <w:t>leur c</w:t>
      </w:r>
      <w:r w:rsidRPr="00B33AA4">
        <w:t xml:space="preserve">omptabilisation </w:t>
      </w:r>
      <w:r w:rsidR="00D026CC" w:rsidRPr="00B33AA4">
        <w:t>initiale</w:t>
      </w:r>
      <w:r w:rsidRPr="00B33AA4">
        <w:t xml:space="preserve"> ont été comptabilisés initialement à la juste valeur</w:t>
      </w:r>
      <w:r w:rsidR="00C47B6F" w:rsidRPr="00B33AA4">
        <w:t xml:space="preserve"> </w:t>
      </w:r>
      <w:r w:rsidR="005D7E9F">
        <w:t xml:space="preserve">et classés </w:t>
      </w:r>
      <w:r w:rsidR="00C47B6F" w:rsidRPr="00B33AA4">
        <w:t>comme des éléments à long terme à l’état [</w:t>
      </w:r>
      <w:r w:rsidR="00C47B6F" w:rsidRPr="00B33AA4">
        <w:rPr>
          <w:color w:val="0000FF"/>
        </w:rPr>
        <w:t>consolidé</w:t>
      </w:r>
      <w:r w:rsidR="00C47B6F" w:rsidRPr="00B33AA4">
        <w:t xml:space="preserve">] de la situation financière, </w:t>
      </w:r>
      <w:r w:rsidRPr="00B33AA4">
        <w:t>selon un taux d</w:t>
      </w:r>
      <w:r w:rsidR="00865E23" w:rsidRPr="00B33AA4">
        <w:t>’</w:t>
      </w:r>
      <w:r w:rsidRPr="00B33AA4">
        <w:t>actualisation approprié, puis évalués</w:t>
      </w:r>
      <w:r w:rsidR="009D3150">
        <w:t xml:space="preserve"> ultérieurement au coût amorti.</w:t>
      </w:r>
    </w:p>
    <w:p w14:paraId="3F6A4FEC" w14:textId="04791333" w:rsidR="00805412" w:rsidRPr="00B33AA4" w:rsidRDefault="00E673A6" w:rsidP="00180F3B">
      <w:pPr>
        <w:pStyle w:val="Heading3"/>
      </w:pPr>
      <w:r>
        <w:t>Emprunts et clauses restrictives</w:t>
      </w:r>
    </w:p>
    <w:p w14:paraId="6C88EB65" w14:textId="189C26B2" w:rsidR="00805412" w:rsidRPr="00B33AA4" w:rsidRDefault="00763056" w:rsidP="008F2193">
      <w:pPr>
        <w:pStyle w:val="09Para"/>
      </w:pPr>
      <w:r w:rsidRPr="00B33AA4">
        <w:t>Tous les emprunts et toutes les obligations financières de [</w:t>
      </w:r>
      <w:r w:rsidRPr="00B33AA4">
        <w:rPr>
          <w:color w:val="0000FF"/>
        </w:rPr>
        <w:t>Entité</w:t>
      </w:r>
      <w:r w:rsidRPr="00B33AA4">
        <w:t>] dont nous avons connaissance sont inclus dans les états financiers [</w:t>
      </w:r>
      <w:r w:rsidRPr="00B33AA4">
        <w:rPr>
          <w:color w:val="0000FF"/>
        </w:rPr>
        <w:t>consolidés</w:t>
      </w:r>
      <w:r w:rsidRPr="00B33AA4">
        <w:t>], s</w:t>
      </w:r>
      <w:r w:rsidR="00865E23" w:rsidRPr="00B33AA4">
        <w:t>’</w:t>
      </w:r>
      <w:r w:rsidRPr="00B33AA4">
        <w:t>il y a lieu. Nous vous avons</w:t>
      </w:r>
      <w:r w:rsidR="009E4F8A">
        <w:t> </w:t>
      </w:r>
      <w:r w:rsidRPr="00B33AA4">
        <w:t>communiqué tous les contrats d</w:t>
      </w:r>
      <w:r w:rsidR="00865E23" w:rsidRPr="00B33AA4">
        <w:t>’</w:t>
      </w:r>
      <w:r w:rsidRPr="00B33AA4">
        <w:t>emprunt dont nous avons connaissance</w:t>
      </w:r>
      <w:r w:rsidR="00805412" w:rsidRPr="00B33AA4">
        <w:t>.</w:t>
      </w:r>
    </w:p>
    <w:p w14:paraId="5BBB79A6" w14:textId="79BB7760" w:rsidR="00805412" w:rsidRPr="00B33AA4" w:rsidRDefault="00E46A34" w:rsidP="008F2193">
      <w:pPr>
        <w:pStyle w:val="09Para"/>
      </w:pPr>
      <w:r>
        <w:t xml:space="preserve">Nous avons </w:t>
      </w:r>
      <w:r w:rsidR="00763056" w:rsidRPr="00B33AA4">
        <w:t>classé de manière appropriée ses [</w:t>
      </w:r>
      <w:r w:rsidR="00763056" w:rsidRPr="00B33AA4">
        <w:rPr>
          <w:i/>
          <w:color w:val="0000FF"/>
        </w:rPr>
        <w:t>fournir une description précise de la dette</w:t>
      </w:r>
      <w:r w:rsidR="00763056" w:rsidRPr="00B33AA4">
        <w:t xml:space="preserve">] entre le passif </w:t>
      </w:r>
      <w:r w:rsidR="008815F3" w:rsidRPr="00B33AA4">
        <w:t xml:space="preserve">courant et le passif non courant </w:t>
      </w:r>
      <w:r>
        <w:t xml:space="preserve">dans les états financiers </w:t>
      </w:r>
      <w:r w:rsidR="00763056" w:rsidRPr="00B33AA4">
        <w:t>[</w:t>
      </w:r>
      <w:r w:rsidR="00763056" w:rsidRPr="00B33AA4">
        <w:rPr>
          <w:color w:val="0000FF"/>
        </w:rPr>
        <w:t>consolidé</w:t>
      </w:r>
      <w:r>
        <w:rPr>
          <w:color w:val="0000FF"/>
        </w:rPr>
        <w:t>s</w:t>
      </w:r>
      <w:r w:rsidR="00763056" w:rsidRPr="00B33AA4">
        <w:t xml:space="preserve">] conformément aux directives </w:t>
      </w:r>
      <w:r w:rsidR="004323A9" w:rsidRPr="00B33AA4">
        <w:t>de l’IAS</w:t>
      </w:r>
      <w:r w:rsidR="00BC5778" w:rsidRPr="00B33AA4">
        <w:t> </w:t>
      </w:r>
      <w:r w:rsidR="004323A9" w:rsidRPr="00B33AA4">
        <w:t xml:space="preserve">I, Présentation des états financiers. </w:t>
      </w:r>
      <w:r w:rsidR="00763056" w:rsidRPr="00B33AA4">
        <w:t>Lors de la détermination du classement approprié des emprunts</w:t>
      </w:r>
      <w:r>
        <w:t xml:space="preserve"> de</w:t>
      </w:r>
      <w:r w:rsidR="00763056" w:rsidRPr="00B33AA4">
        <w:t xml:space="preserve"> [</w:t>
      </w:r>
      <w:r w:rsidR="00763056" w:rsidRPr="00B33AA4">
        <w:rPr>
          <w:color w:val="0000FF"/>
        </w:rPr>
        <w:t>Entité</w:t>
      </w:r>
      <w:r w:rsidR="00763056" w:rsidRPr="00B33AA4">
        <w:t>]</w:t>
      </w:r>
      <w:r>
        <w:t xml:space="preserve">, nous </w:t>
      </w:r>
      <w:r w:rsidR="00763056" w:rsidRPr="00B33AA4">
        <w:t>a</w:t>
      </w:r>
      <w:r>
        <w:t>vons</w:t>
      </w:r>
      <w:r w:rsidR="00763056" w:rsidRPr="00B33AA4">
        <w:t xml:space="preserve"> tenu compte de tous les faits et de</w:t>
      </w:r>
      <w:r w:rsidR="00EA1216">
        <w:t> </w:t>
      </w:r>
      <w:r w:rsidR="00763056" w:rsidRPr="00B33AA4">
        <w:t>toutes les circonstances en cause, [</w:t>
      </w:r>
      <w:r w:rsidR="00763056" w:rsidRPr="00B33AA4">
        <w:rPr>
          <w:i/>
          <w:color w:val="0000FF"/>
        </w:rPr>
        <w:t>l</w:t>
      </w:r>
      <w:r w:rsidR="00865E23" w:rsidRPr="00B33AA4">
        <w:rPr>
          <w:i/>
          <w:color w:val="0000FF"/>
        </w:rPr>
        <w:t>’</w:t>
      </w:r>
      <w:r w:rsidR="00763056" w:rsidRPr="00B33AA4">
        <w:rPr>
          <w:i/>
          <w:color w:val="0000FF"/>
        </w:rPr>
        <w:t>équipe d</w:t>
      </w:r>
      <w:r w:rsidR="00865E23" w:rsidRPr="00B33AA4">
        <w:rPr>
          <w:i/>
          <w:color w:val="0000FF"/>
        </w:rPr>
        <w:t>’</w:t>
      </w:r>
      <w:r w:rsidR="00763056" w:rsidRPr="00B33AA4">
        <w:rPr>
          <w:i/>
          <w:color w:val="0000FF"/>
        </w:rPr>
        <w:t>audit devrait envisager d</w:t>
      </w:r>
      <w:r w:rsidR="00865E23" w:rsidRPr="00B33AA4">
        <w:rPr>
          <w:i/>
          <w:color w:val="0000FF"/>
        </w:rPr>
        <w:t>’</w:t>
      </w:r>
      <w:r w:rsidR="00763056" w:rsidRPr="00B33AA4">
        <w:rPr>
          <w:i/>
          <w:color w:val="0000FF"/>
        </w:rPr>
        <w:t>adapter le libellé</w:t>
      </w:r>
      <w:r w:rsidR="004323A9" w:rsidRPr="00B33AA4">
        <w:rPr>
          <w:i/>
          <w:color w:val="0000FF"/>
        </w:rPr>
        <w:t xml:space="preserve"> suivant</w:t>
      </w:r>
      <w:r w:rsidR="00605C59" w:rsidRPr="00B33AA4">
        <w:rPr>
          <w:i/>
          <w:color w:val="0000FF"/>
        </w:rPr>
        <w:t> :</w:t>
      </w:r>
      <w:r w:rsidR="00763056" w:rsidRPr="00B33AA4">
        <w:rPr>
          <w:color w:val="0000FF"/>
        </w:rPr>
        <w:t xml:space="preserve"> par exemple, les modalités du contrat, l</w:t>
      </w:r>
      <w:r w:rsidR="00882593" w:rsidRPr="00B33AA4">
        <w:rPr>
          <w:color w:val="0000FF"/>
        </w:rPr>
        <w:t>’existence d’options d’achat</w:t>
      </w:r>
      <w:r w:rsidR="00763056" w:rsidRPr="00B33AA4">
        <w:rPr>
          <w:color w:val="0000FF"/>
        </w:rPr>
        <w:t>, les clauses d</w:t>
      </w:r>
      <w:r w:rsidR="00882593" w:rsidRPr="00B33AA4">
        <w:rPr>
          <w:color w:val="0000FF"/>
        </w:rPr>
        <w:t>’exigibilité anticipée sujettes à l’interprétation</w:t>
      </w:r>
      <w:r w:rsidR="00763056" w:rsidRPr="00B33AA4">
        <w:rPr>
          <w:color w:val="0000FF"/>
        </w:rPr>
        <w:t>, les clauses</w:t>
      </w:r>
      <w:r w:rsidR="00882593" w:rsidRPr="00B33AA4">
        <w:rPr>
          <w:color w:val="0000FF"/>
        </w:rPr>
        <w:t xml:space="preserve"> de modifications importantes ayant des répercussions défavorables</w:t>
      </w:r>
      <w:r w:rsidR="00763056" w:rsidRPr="00B33AA4">
        <w:rPr>
          <w:color w:val="0000FF"/>
        </w:rPr>
        <w:t xml:space="preserve">, les arrangements dits </w:t>
      </w:r>
      <w:r w:rsidR="008C093A" w:rsidRPr="00B33AA4">
        <w:rPr>
          <w:color w:val="0000FF"/>
        </w:rPr>
        <w:t>« </w:t>
      </w:r>
      <w:r w:rsidR="00882593" w:rsidRPr="00B33AA4">
        <w:rPr>
          <w:color w:val="0000FF"/>
        </w:rPr>
        <w:t>lock-box</w:t>
      </w:r>
      <w:r w:rsidR="008C093A" w:rsidRPr="00B33AA4">
        <w:rPr>
          <w:color w:val="0000FF"/>
        </w:rPr>
        <w:t> »</w:t>
      </w:r>
      <w:r w:rsidR="00763056" w:rsidRPr="00B33AA4">
        <w:rPr>
          <w:color w:val="0000FF"/>
        </w:rPr>
        <w:t xml:space="preserve">, les violations de clauses restrictives, </w:t>
      </w:r>
      <w:r w:rsidR="008C093A" w:rsidRPr="00B33AA4">
        <w:rPr>
          <w:color w:val="0000FF"/>
        </w:rPr>
        <w:t xml:space="preserve">les </w:t>
      </w:r>
      <w:r w:rsidR="00763056" w:rsidRPr="00B33AA4">
        <w:rPr>
          <w:color w:val="0000FF"/>
        </w:rPr>
        <w:t>clauses de renouvellement, de conversion et de rachat, et la capacité et l</w:t>
      </w:r>
      <w:r w:rsidR="00865E23" w:rsidRPr="00B33AA4">
        <w:rPr>
          <w:color w:val="0000FF"/>
        </w:rPr>
        <w:t>’</w:t>
      </w:r>
      <w:r w:rsidR="00763056" w:rsidRPr="00B33AA4">
        <w:rPr>
          <w:color w:val="0000FF"/>
        </w:rPr>
        <w:t>intention de procéder à un refinancement</w:t>
      </w:r>
      <w:r w:rsidR="00805412" w:rsidRPr="00B33AA4">
        <w:t>].</w:t>
      </w:r>
    </w:p>
    <w:p w14:paraId="4B8FFA92" w14:textId="49278EBC" w:rsidR="00763056" w:rsidRDefault="00763056" w:rsidP="008F2193">
      <w:pPr>
        <w:pStyle w:val="09Para"/>
      </w:pPr>
      <w:r w:rsidRPr="00B33AA4">
        <w:t>Nous vous avons fait part de toutes les clauses restrictives</w:t>
      </w:r>
      <w:r w:rsidR="00E673A6">
        <w:t xml:space="preserve"> applicables</w:t>
      </w:r>
      <w:r w:rsidRPr="00B33AA4">
        <w:t xml:space="preserve"> et </w:t>
      </w:r>
      <w:r w:rsidR="00E673A6">
        <w:t xml:space="preserve">nous vous avons remis tous les tableaux justificatifs et autres </w:t>
      </w:r>
      <w:r w:rsidRPr="00B33AA4">
        <w:t>information</w:t>
      </w:r>
      <w:r w:rsidR="00E673A6">
        <w:t>s</w:t>
      </w:r>
      <w:r w:rsidRPr="00B33AA4">
        <w:t xml:space="preserve"> sur la manière dont nous avons établi </w:t>
      </w:r>
      <w:r w:rsidR="00E46A34">
        <w:t>le</w:t>
      </w:r>
      <w:r w:rsidRPr="00B33AA4">
        <w:t xml:space="preserve"> </w:t>
      </w:r>
      <w:r w:rsidR="00882593" w:rsidRPr="00B33AA4">
        <w:t xml:space="preserve">respect </w:t>
      </w:r>
      <w:r w:rsidR="00351EBD" w:rsidRPr="00B33AA4">
        <w:t>de</w:t>
      </w:r>
      <w:r w:rsidRPr="00B33AA4">
        <w:t xml:space="preserve"> ces clauses.</w:t>
      </w:r>
    </w:p>
    <w:p w14:paraId="6EC237A8" w14:textId="77777777" w:rsidR="00E673A6" w:rsidRPr="00B33AA4" w:rsidRDefault="00E673A6" w:rsidP="00E673A6">
      <w:pPr>
        <w:pStyle w:val="09Para"/>
        <w:keepNext/>
        <w:keepLines/>
      </w:pPr>
      <w:r w:rsidRPr="00B33AA4">
        <w:t>[</w:t>
      </w:r>
      <w:r w:rsidRPr="00B33AA4">
        <w:rPr>
          <w:i/>
          <w:color w:val="0000FF"/>
        </w:rPr>
        <w:t>Insérer un des deux paragraphes suivants :</w:t>
      </w:r>
    </w:p>
    <w:p w14:paraId="2BDE0864" w14:textId="4098C0E6" w:rsidR="00E673A6" w:rsidRPr="00871F3A" w:rsidRDefault="00E673A6" w:rsidP="00E673A6">
      <w:pPr>
        <w:rPr>
          <w:lang w:val="fr-CA"/>
        </w:rPr>
      </w:pPr>
      <w:r w:rsidRPr="00871F3A">
        <w:rPr>
          <w:lang w:val="fr-CA"/>
        </w:rPr>
        <w:t>Nous n’avons violé aucune clause restrictive rattachée à [</w:t>
      </w:r>
      <w:r w:rsidRPr="00871F3A">
        <w:rPr>
          <w:color w:val="0000FF"/>
          <w:lang w:val="fr-CA"/>
        </w:rPr>
        <w:t>fournir une description précise de la dette</w:t>
      </w:r>
      <w:r w:rsidR="000F5CD1" w:rsidRPr="00871F3A">
        <w:rPr>
          <w:color w:val="0000FF"/>
          <w:lang w:val="fr-CA"/>
        </w:rPr>
        <w:t xml:space="preserve">, des actions privilégiées, des </w:t>
      </w:r>
      <w:proofErr w:type="spellStart"/>
      <w:r w:rsidR="000F5CD1" w:rsidRPr="00871F3A">
        <w:rPr>
          <w:color w:val="0000FF"/>
          <w:lang w:val="fr-CA"/>
        </w:rPr>
        <w:t>guaranties</w:t>
      </w:r>
      <w:proofErr w:type="spellEnd"/>
      <w:r w:rsidR="00292481" w:rsidRPr="00871F3A">
        <w:rPr>
          <w:color w:val="0000FF"/>
          <w:lang w:val="fr-CA"/>
        </w:rPr>
        <w:t xml:space="preserve"> ou</w:t>
      </w:r>
      <w:r w:rsidR="000F5CD1" w:rsidRPr="00871F3A">
        <w:rPr>
          <w:color w:val="0000FF"/>
          <w:lang w:val="fr-CA"/>
        </w:rPr>
        <w:t xml:space="preserve"> </w:t>
      </w:r>
      <w:r w:rsidR="00292481" w:rsidRPr="00871F3A">
        <w:rPr>
          <w:color w:val="0000FF"/>
          <w:lang w:val="fr-CA"/>
        </w:rPr>
        <w:t>autre</w:t>
      </w:r>
      <w:r w:rsidRPr="00871F3A">
        <w:rPr>
          <w:lang w:val="fr-CA"/>
        </w:rPr>
        <w:t xml:space="preserve">] pendant </w:t>
      </w:r>
      <w:r w:rsidR="000F5CD1" w:rsidRPr="00871F3A">
        <w:rPr>
          <w:lang w:val="fr-CA"/>
        </w:rPr>
        <w:t>[</w:t>
      </w:r>
      <w:r w:rsidRPr="00871F3A">
        <w:rPr>
          <w:color w:val="0000FF"/>
          <w:lang w:val="fr-CA"/>
        </w:rPr>
        <w:t>l’exercice</w:t>
      </w:r>
      <w:r w:rsidR="00524611">
        <w:rPr>
          <w:color w:val="0000FF"/>
          <w:lang w:val="fr-CA"/>
        </w:rPr>
        <w:t xml:space="preserve"> </w:t>
      </w:r>
      <w:r w:rsidR="000F5CD1" w:rsidRPr="00871F3A">
        <w:rPr>
          <w:color w:val="0000FF"/>
          <w:lang w:val="fr-CA"/>
        </w:rPr>
        <w:t>/</w:t>
      </w:r>
      <w:r w:rsidR="00524611">
        <w:rPr>
          <w:color w:val="0000FF"/>
          <w:lang w:val="fr-CA"/>
        </w:rPr>
        <w:t xml:space="preserve"> </w:t>
      </w:r>
      <w:r w:rsidR="000F5CD1" w:rsidRPr="00871F3A">
        <w:rPr>
          <w:color w:val="0000FF"/>
          <w:lang w:val="fr-CA"/>
        </w:rPr>
        <w:t>la période</w:t>
      </w:r>
      <w:r w:rsidR="000F5CD1" w:rsidRPr="00871F3A">
        <w:rPr>
          <w:lang w:val="fr-CA"/>
        </w:rPr>
        <w:t xml:space="preserve">], et ce, jusqu’à la date de la présente lettre. </w:t>
      </w:r>
    </w:p>
    <w:p w14:paraId="6D8CA0A8" w14:textId="77777777" w:rsidR="00763056" w:rsidRPr="00B33AA4" w:rsidRDefault="00763056" w:rsidP="008F2193">
      <w:pPr>
        <w:pStyle w:val="09Para"/>
        <w:rPr>
          <w:i/>
        </w:rPr>
      </w:pPr>
      <w:r w:rsidRPr="00B33AA4">
        <w:rPr>
          <w:i/>
          <w:color w:val="0000FF"/>
        </w:rPr>
        <w:t>OU</w:t>
      </w:r>
    </w:p>
    <w:p w14:paraId="46FC4345" w14:textId="3E7167D4" w:rsidR="00805412" w:rsidRDefault="000F5CD1" w:rsidP="008F2193">
      <w:pPr>
        <w:pStyle w:val="09Para"/>
      </w:pPr>
      <w:r>
        <w:t xml:space="preserve">Nous avons </w:t>
      </w:r>
      <w:r w:rsidR="00763056" w:rsidRPr="00B33AA4">
        <w:t xml:space="preserve">violé certaines clauses restrictives rattachées à </w:t>
      </w:r>
      <w:r w:rsidR="00F96EBA" w:rsidRPr="00F96EBA">
        <w:t>[</w:t>
      </w:r>
      <w:r w:rsidR="00763056" w:rsidRPr="00871F3A">
        <w:rPr>
          <w:color w:val="0000FF"/>
        </w:rPr>
        <w:t>fournir une description précise de la dette</w:t>
      </w:r>
      <w:r w:rsidRPr="00871F3A">
        <w:rPr>
          <w:color w:val="0000FF"/>
        </w:rPr>
        <w:t xml:space="preserve">, des actions privilégiées, des garanties, </w:t>
      </w:r>
      <w:r w:rsidR="00292481" w:rsidRPr="00871F3A">
        <w:rPr>
          <w:color w:val="0000FF"/>
        </w:rPr>
        <w:t>ou autre</w:t>
      </w:r>
      <w:r w:rsidR="00763056" w:rsidRPr="00B33AA4">
        <w:t xml:space="preserve">] </w:t>
      </w:r>
      <w:r w:rsidR="00881133">
        <w:t>pour [</w:t>
      </w:r>
      <w:r w:rsidR="00881133" w:rsidRPr="00871F3A">
        <w:rPr>
          <w:color w:val="0000FF"/>
        </w:rPr>
        <w:t xml:space="preserve">fournir une description précise </w:t>
      </w:r>
      <w:r w:rsidR="00881133" w:rsidRPr="00871F3A">
        <w:rPr>
          <w:color w:val="0000FF"/>
        </w:rPr>
        <w:lastRenderedPageBreak/>
        <w:t>de la dette</w:t>
      </w:r>
      <w:r w:rsidR="00292481" w:rsidRPr="00871F3A">
        <w:rPr>
          <w:color w:val="0000FF"/>
        </w:rPr>
        <w:t xml:space="preserve"> ou autre</w:t>
      </w:r>
      <w:r w:rsidR="00F96EBA" w:rsidRPr="00F96EBA">
        <w:t>]</w:t>
      </w:r>
      <w:r w:rsidR="00881133" w:rsidRPr="00B33AA4">
        <w:t xml:space="preserve"> </w:t>
      </w:r>
      <w:r w:rsidR="00763056" w:rsidRPr="00B33AA4">
        <w:t>au</w:t>
      </w:r>
      <w:r w:rsidR="00E46A34">
        <w:t xml:space="preserve"> </w:t>
      </w:r>
      <w:r>
        <w:t>[</w:t>
      </w:r>
      <w:r w:rsidRPr="00871F3A">
        <w:rPr>
          <w:color w:val="0000FF"/>
        </w:rPr>
        <w:t>date de clôture de l’exercice</w:t>
      </w:r>
      <w:r w:rsidR="00524611">
        <w:rPr>
          <w:color w:val="0000FF"/>
        </w:rPr>
        <w:t xml:space="preserve"> </w:t>
      </w:r>
      <w:r w:rsidRPr="00871F3A">
        <w:rPr>
          <w:color w:val="0000FF"/>
        </w:rPr>
        <w:t>/</w:t>
      </w:r>
      <w:r w:rsidR="00524611">
        <w:rPr>
          <w:color w:val="0000FF"/>
        </w:rPr>
        <w:t xml:space="preserve"> </w:t>
      </w:r>
      <w:r w:rsidRPr="00871F3A">
        <w:rPr>
          <w:color w:val="0000FF"/>
        </w:rPr>
        <w:t>de la période</w:t>
      </w:r>
      <w:r>
        <w:t>]</w:t>
      </w:r>
      <w:r w:rsidR="00763056" w:rsidRPr="00B33AA4">
        <w:t xml:space="preserve">. </w:t>
      </w:r>
      <w:r w:rsidR="00E46A34">
        <w:t xml:space="preserve">Nous avons </w:t>
      </w:r>
      <w:r w:rsidR="00763056" w:rsidRPr="00B33AA4">
        <w:t>tenu compte</w:t>
      </w:r>
      <w:r w:rsidR="004323A9" w:rsidRPr="00B33AA4">
        <w:t xml:space="preserve"> </w:t>
      </w:r>
      <w:r w:rsidR="00882593" w:rsidRPr="00B33AA4">
        <w:t>adéquatement</w:t>
      </w:r>
      <w:r w:rsidR="00763056" w:rsidRPr="00B33AA4">
        <w:t xml:space="preserve"> de l</w:t>
      </w:r>
      <w:r w:rsidR="00865E23" w:rsidRPr="00B33AA4">
        <w:t>’</w:t>
      </w:r>
      <w:r w:rsidR="00763056" w:rsidRPr="00B33AA4">
        <w:t xml:space="preserve">incidence de cette violation </w:t>
      </w:r>
      <w:r w:rsidR="004323A9" w:rsidRPr="00B33AA4">
        <w:t>[</w:t>
      </w:r>
      <w:r w:rsidR="00A03167" w:rsidRPr="00B33AA4">
        <w:rPr>
          <w:i/>
          <w:color w:val="0000FF"/>
        </w:rPr>
        <w:t>OU</w:t>
      </w:r>
      <w:r w:rsidR="00763056" w:rsidRPr="00B33AA4">
        <w:rPr>
          <w:i/>
          <w:color w:val="0000FF"/>
        </w:rPr>
        <w:t xml:space="preserve"> </w:t>
      </w:r>
      <w:r w:rsidR="00763056" w:rsidRPr="00B33AA4">
        <w:rPr>
          <w:color w:val="0000FF"/>
        </w:rPr>
        <w:t>de ces violations</w:t>
      </w:r>
      <w:r w:rsidR="004323A9" w:rsidRPr="00B33AA4">
        <w:t>]</w:t>
      </w:r>
      <w:r w:rsidR="00763056" w:rsidRPr="00B33AA4">
        <w:t xml:space="preserve"> sur le classement des dettes, conformément aux textes faisant autorité en la matière.</w:t>
      </w:r>
      <w:r w:rsidR="00805412" w:rsidRPr="00B33AA4">
        <w:t xml:space="preserve"> </w:t>
      </w:r>
      <w:r w:rsidR="008D59DC" w:rsidRPr="00B33AA4">
        <w:t xml:space="preserve">Toutes les informations à fournir </w:t>
      </w:r>
      <w:r w:rsidR="007B4356" w:rsidRPr="00B33AA4">
        <w:t xml:space="preserve">exigées par </w:t>
      </w:r>
      <w:r w:rsidR="008D59DC" w:rsidRPr="00B33AA4">
        <w:t>l</w:t>
      </w:r>
      <w:r w:rsidR="00865E23" w:rsidRPr="00B33AA4">
        <w:t>’</w:t>
      </w:r>
      <w:r w:rsidR="00805412" w:rsidRPr="00B33AA4">
        <w:t>IFRS</w:t>
      </w:r>
      <w:r w:rsidR="004B5030" w:rsidRPr="00B33AA4">
        <w:t> </w:t>
      </w:r>
      <w:r w:rsidR="00805412" w:rsidRPr="00B33AA4">
        <w:t>7</w:t>
      </w:r>
      <w:r w:rsidR="006F6FBE" w:rsidRPr="00B33AA4">
        <w:t>,</w:t>
      </w:r>
      <w:r w:rsidR="00805412" w:rsidRPr="00B33AA4">
        <w:t xml:space="preserve"> </w:t>
      </w:r>
      <w:r w:rsidR="008D59DC" w:rsidRPr="00B33AA4">
        <w:t>I</w:t>
      </w:r>
      <w:r w:rsidR="00805412" w:rsidRPr="00B33AA4">
        <w:t>nstruments</w:t>
      </w:r>
      <w:r w:rsidR="008D59DC" w:rsidRPr="00B33AA4">
        <w:t xml:space="preserve"> financiers</w:t>
      </w:r>
      <w:r w:rsidR="00605C59" w:rsidRPr="00B33AA4">
        <w:t> :</w:t>
      </w:r>
      <w:r w:rsidR="00805412" w:rsidRPr="00B33AA4">
        <w:t xml:space="preserve"> </w:t>
      </w:r>
      <w:r w:rsidR="00882593" w:rsidRPr="00B33AA4">
        <w:t>Informations à fournir,</w:t>
      </w:r>
      <w:r w:rsidR="004E1816" w:rsidRPr="00B33AA4">
        <w:t xml:space="preserve"> sur les dé</w:t>
      </w:r>
      <w:r w:rsidR="008D59DC" w:rsidRPr="00B33AA4">
        <w:t xml:space="preserve">faillances et </w:t>
      </w:r>
      <w:r w:rsidR="004E1816" w:rsidRPr="00B33AA4">
        <w:t xml:space="preserve">les </w:t>
      </w:r>
      <w:r w:rsidR="008D59DC" w:rsidRPr="00B33AA4">
        <w:t>manquements</w:t>
      </w:r>
      <w:r w:rsidR="00805412" w:rsidRPr="00B33AA4">
        <w:t xml:space="preserve"> </w:t>
      </w:r>
      <w:r w:rsidR="008D59DC" w:rsidRPr="00B33AA4">
        <w:t xml:space="preserve">ont été présentées dans les états financiers </w:t>
      </w:r>
      <w:r w:rsidR="00805412" w:rsidRPr="00B33AA4">
        <w:t>[</w:t>
      </w:r>
      <w:r w:rsidR="00805412" w:rsidRPr="00B33AA4">
        <w:rPr>
          <w:color w:val="0000FF"/>
        </w:rPr>
        <w:t>consolid</w:t>
      </w:r>
      <w:r w:rsidR="008D59DC" w:rsidRPr="00B33AA4">
        <w:rPr>
          <w:color w:val="0000FF"/>
        </w:rPr>
        <w:t>és</w:t>
      </w:r>
      <w:r w:rsidR="00805412" w:rsidRPr="00B33AA4">
        <w:t>].</w:t>
      </w:r>
    </w:p>
    <w:p w14:paraId="6BCF0614" w14:textId="5809CC7F" w:rsidR="000F5CD1" w:rsidRDefault="000F5CD1" w:rsidP="008F2193">
      <w:pPr>
        <w:pStyle w:val="09Para"/>
      </w:pPr>
      <w:r>
        <w:t>[</w:t>
      </w:r>
      <w:r w:rsidRPr="00871F3A">
        <w:rPr>
          <w:i/>
          <w:color w:val="0000FF"/>
        </w:rPr>
        <w:t>Ajouter la déclaration suivante, s’il y a lieu</w:t>
      </w:r>
      <w:r>
        <w:t xml:space="preserve"> : </w:t>
      </w:r>
    </w:p>
    <w:p w14:paraId="41F575BF" w14:textId="4971BFEF" w:rsidR="000F5CD1" w:rsidRPr="00871F3A" w:rsidRDefault="006E1CE8" w:rsidP="000F5CD1">
      <w:pPr>
        <w:pStyle w:val="LetterBodyPwC"/>
        <w:rPr>
          <w:rFonts w:ascii="Arial" w:hAnsi="Arial"/>
          <w:sz w:val="22"/>
          <w:szCs w:val="22"/>
          <w:lang w:val="fr-CA"/>
        </w:rPr>
      </w:pPr>
      <w:r w:rsidRPr="00871F3A">
        <w:rPr>
          <w:rStyle w:val="BlueText"/>
          <w:rFonts w:ascii="Arial" w:hAnsi="Arial"/>
          <w:color w:val="auto"/>
          <w:sz w:val="22"/>
          <w:szCs w:val="22"/>
          <w:lang w:val="fr-CA"/>
        </w:rPr>
        <w:t>[</w:t>
      </w:r>
      <w:r w:rsidR="000F5CD1" w:rsidRPr="00871F3A">
        <w:rPr>
          <w:rStyle w:val="BlueText"/>
          <w:rFonts w:ascii="Arial" w:hAnsi="Arial"/>
          <w:sz w:val="22"/>
          <w:szCs w:val="22"/>
          <w:lang w:val="fr-CA"/>
        </w:rPr>
        <w:t>Entit</w:t>
      </w:r>
      <w:r w:rsidRPr="00871F3A">
        <w:rPr>
          <w:rStyle w:val="BlueText"/>
          <w:rFonts w:ascii="Arial" w:hAnsi="Arial"/>
          <w:sz w:val="22"/>
          <w:szCs w:val="22"/>
          <w:lang w:val="fr-CA"/>
        </w:rPr>
        <w:t>é</w:t>
      </w:r>
      <w:r w:rsidR="000F5CD1" w:rsidRPr="00871F3A">
        <w:rPr>
          <w:rFonts w:ascii="Arial" w:hAnsi="Arial"/>
          <w:sz w:val="22"/>
          <w:szCs w:val="22"/>
          <w:lang w:val="fr-CA"/>
        </w:rPr>
        <w:t xml:space="preserve">] </w:t>
      </w:r>
      <w:r w:rsidR="007211BD" w:rsidRPr="00871F3A">
        <w:rPr>
          <w:rFonts w:ascii="Arial" w:hAnsi="Arial"/>
          <w:sz w:val="22"/>
          <w:szCs w:val="22"/>
          <w:lang w:val="fr-CA"/>
        </w:rPr>
        <w:t xml:space="preserve">n’a pas violé une quelconque clause restrictive liée à des dérivés et aux accords connexes de l’International Swaps and </w:t>
      </w:r>
      <w:proofErr w:type="spellStart"/>
      <w:r w:rsidR="007211BD" w:rsidRPr="00871F3A">
        <w:rPr>
          <w:rFonts w:ascii="Arial" w:hAnsi="Arial"/>
          <w:sz w:val="22"/>
          <w:szCs w:val="22"/>
          <w:lang w:val="fr-CA"/>
        </w:rPr>
        <w:t>Derivatives</w:t>
      </w:r>
      <w:proofErr w:type="spellEnd"/>
      <w:r w:rsidR="007211BD" w:rsidRPr="00871F3A">
        <w:rPr>
          <w:rFonts w:ascii="Arial" w:hAnsi="Arial"/>
          <w:sz w:val="22"/>
          <w:szCs w:val="22"/>
          <w:lang w:val="fr-CA"/>
        </w:rPr>
        <w:t xml:space="preserve"> Association Inc. (ISDA), au cours de l’exercice considéré et jusqu’à la date de la présente lettre.</w:t>
      </w:r>
      <w:r w:rsidR="000F5CD1" w:rsidRPr="00871F3A">
        <w:rPr>
          <w:rFonts w:ascii="Arial" w:hAnsi="Arial"/>
          <w:sz w:val="22"/>
          <w:szCs w:val="22"/>
          <w:lang w:val="fr-CA"/>
        </w:rPr>
        <w:t xml:space="preserve"> </w:t>
      </w:r>
    </w:p>
    <w:p w14:paraId="00B2EB2B" w14:textId="3B713B5A" w:rsidR="000F5CD1" w:rsidRPr="00847A58" w:rsidRDefault="000F5CD1" w:rsidP="000F5CD1">
      <w:pPr>
        <w:pStyle w:val="LetterCommentsinBodyPwC"/>
        <w:rPr>
          <w:rStyle w:val="BlueText"/>
          <w:rFonts w:ascii="Arial" w:hAnsi="Arial"/>
          <w:i/>
          <w:sz w:val="22"/>
          <w:szCs w:val="22"/>
          <w:lang w:val="fr-CA"/>
        </w:rPr>
      </w:pPr>
      <w:bookmarkStart w:id="46" w:name="Paragraph_1357"/>
      <w:r w:rsidRPr="00847A58">
        <w:rPr>
          <w:rStyle w:val="BlueText"/>
          <w:rFonts w:ascii="Arial" w:hAnsi="Arial"/>
          <w:i/>
          <w:sz w:val="22"/>
          <w:szCs w:val="22"/>
          <w:lang w:val="fr-CA"/>
        </w:rPr>
        <w:t>O</w:t>
      </w:r>
      <w:r w:rsidR="007211BD" w:rsidRPr="00847A58">
        <w:rPr>
          <w:rStyle w:val="BlueText"/>
          <w:rFonts w:ascii="Arial" w:hAnsi="Arial"/>
          <w:i/>
          <w:sz w:val="22"/>
          <w:szCs w:val="22"/>
          <w:lang w:val="fr-CA"/>
        </w:rPr>
        <w:t>U</w:t>
      </w:r>
      <w:bookmarkEnd w:id="46"/>
    </w:p>
    <w:p w14:paraId="6AF48EBC" w14:textId="15521E68" w:rsidR="000F5CD1" w:rsidRPr="00871F3A" w:rsidRDefault="000F5CD1" w:rsidP="000F5CD1">
      <w:pPr>
        <w:pStyle w:val="LetterBodyPwC"/>
        <w:rPr>
          <w:rFonts w:ascii="Arial" w:hAnsi="Arial"/>
          <w:sz w:val="22"/>
          <w:szCs w:val="22"/>
          <w:lang w:val="fr-CA"/>
        </w:rPr>
      </w:pPr>
      <w:bookmarkStart w:id="47" w:name="Paragraph_1130"/>
      <w:r w:rsidRPr="00871F3A">
        <w:rPr>
          <w:rFonts w:ascii="Arial" w:hAnsi="Arial"/>
          <w:sz w:val="22"/>
          <w:szCs w:val="22"/>
          <w:lang w:val="fr-CA"/>
        </w:rPr>
        <w:t>[</w:t>
      </w:r>
      <w:r w:rsidRPr="00871F3A">
        <w:rPr>
          <w:rStyle w:val="BlueText"/>
          <w:rFonts w:ascii="Arial" w:hAnsi="Arial"/>
          <w:sz w:val="22"/>
          <w:szCs w:val="22"/>
          <w:lang w:val="fr-CA"/>
        </w:rPr>
        <w:t>Entit</w:t>
      </w:r>
      <w:r w:rsidR="007211BD" w:rsidRPr="00871F3A">
        <w:rPr>
          <w:rStyle w:val="BlueText"/>
          <w:rFonts w:ascii="Arial" w:hAnsi="Arial"/>
          <w:sz w:val="22"/>
          <w:szCs w:val="22"/>
          <w:lang w:val="fr-CA"/>
        </w:rPr>
        <w:t>é</w:t>
      </w:r>
      <w:r w:rsidRPr="00871F3A">
        <w:rPr>
          <w:rFonts w:ascii="Arial" w:hAnsi="Arial"/>
          <w:sz w:val="22"/>
          <w:szCs w:val="22"/>
          <w:lang w:val="fr-CA"/>
        </w:rPr>
        <w:t xml:space="preserve">] </w:t>
      </w:r>
      <w:r w:rsidR="007211BD" w:rsidRPr="00871F3A">
        <w:rPr>
          <w:rFonts w:ascii="Arial" w:hAnsi="Arial"/>
          <w:sz w:val="22"/>
          <w:szCs w:val="22"/>
          <w:lang w:val="fr-CA"/>
        </w:rPr>
        <w:t xml:space="preserve">a violé certaines clauses restrictives liées à des dérivés et aux accords connexes de l’International Swaps and </w:t>
      </w:r>
      <w:proofErr w:type="spellStart"/>
      <w:r w:rsidR="007211BD" w:rsidRPr="00871F3A">
        <w:rPr>
          <w:rFonts w:ascii="Arial" w:hAnsi="Arial"/>
          <w:sz w:val="22"/>
          <w:szCs w:val="22"/>
          <w:lang w:val="fr-CA"/>
        </w:rPr>
        <w:t>Derivatives</w:t>
      </w:r>
      <w:proofErr w:type="spellEnd"/>
      <w:r w:rsidR="007211BD" w:rsidRPr="00871F3A">
        <w:rPr>
          <w:rFonts w:ascii="Arial" w:hAnsi="Arial"/>
          <w:sz w:val="22"/>
          <w:szCs w:val="22"/>
          <w:lang w:val="fr-CA"/>
        </w:rPr>
        <w:t xml:space="preserve"> Association Inc. (ISDA) à la clôture de l’exercice</w:t>
      </w:r>
      <w:r w:rsidRPr="00871F3A">
        <w:rPr>
          <w:rFonts w:ascii="Arial" w:hAnsi="Arial"/>
          <w:sz w:val="22"/>
          <w:szCs w:val="22"/>
          <w:lang w:val="fr-CA"/>
        </w:rPr>
        <w:t xml:space="preserve">. </w:t>
      </w:r>
      <w:r w:rsidR="007211BD" w:rsidRPr="00871F3A">
        <w:rPr>
          <w:rFonts w:ascii="Arial" w:hAnsi="Arial"/>
          <w:sz w:val="22"/>
          <w:szCs w:val="22"/>
          <w:lang w:val="fr-CA"/>
        </w:rPr>
        <w:t>Nous avons tenu compte adéquatement de l’incidence de cette violation [</w:t>
      </w:r>
      <w:r w:rsidR="007211BD" w:rsidRPr="00871F3A">
        <w:rPr>
          <w:rFonts w:ascii="Arial" w:hAnsi="Arial"/>
          <w:color w:val="0000FF"/>
          <w:sz w:val="22"/>
          <w:szCs w:val="22"/>
          <w:lang w:val="fr-CA"/>
        </w:rPr>
        <w:t>OU de ces violations</w:t>
      </w:r>
      <w:r w:rsidR="007211BD" w:rsidRPr="00871F3A">
        <w:rPr>
          <w:rFonts w:ascii="Arial" w:hAnsi="Arial"/>
          <w:sz w:val="22"/>
          <w:szCs w:val="22"/>
          <w:lang w:val="fr-CA"/>
        </w:rPr>
        <w:t>] sur le classement et la présentation des dérivés ainsi que les informations fournies, conformément aux textes faisant autorité en la matière</w:t>
      </w:r>
      <w:r w:rsidRPr="00871F3A">
        <w:rPr>
          <w:rFonts w:ascii="Arial" w:hAnsi="Arial"/>
          <w:sz w:val="22"/>
          <w:szCs w:val="22"/>
          <w:lang w:val="fr-CA"/>
        </w:rPr>
        <w:t xml:space="preserve">.]  </w:t>
      </w:r>
      <w:bookmarkEnd w:id="47"/>
    </w:p>
    <w:p w14:paraId="6CF71F0C" w14:textId="56F4BD4E" w:rsidR="000F5CD1" w:rsidRPr="00B33AA4" w:rsidRDefault="000F5CD1" w:rsidP="000F5CD1">
      <w:pPr>
        <w:pStyle w:val="09Para"/>
      </w:pPr>
      <w:r w:rsidRPr="00B33AA4">
        <w:t>Nous vous avons fait part de toutes les options</w:t>
      </w:r>
      <w:r w:rsidR="004D48D7">
        <w:t xml:space="preserve"> </w:t>
      </w:r>
      <w:r w:rsidRPr="00B33AA4">
        <w:t>de conversion (dérivés incorporés) dont la dette est assortie</w:t>
      </w:r>
      <w:r w:rsidR="007211BD">
        <w:t xml:space="preserve"> </w:t>
      </w:r>
      <w:r w:rsidR="004D48D7">
        <w:t>[</w:t>
      </w:r>
      <w:r w:rsidR="007211BD" w:rsidRPr="00871F3A">
        <w:rPr>
          <w:color w:val="0000FF"/>
        </w:rPr>
        <w:t>la dette, des actions privilégiées, des garanties</w:t>
      </w:r>
      <w:r w:rsidR="00292481" w:rsidRPr="00871F3A">
        <w:rPr>
          <w:color w:val="0000FF"/>
        </w:rPr>
        <w:t xml:space="preserve"> ou autre</w:t>
      </w:r>
      <w:r w:rsidR="004D48D7" w:rsidRPr="00A10C74">
        <w:t>]</w:t>
      </w:r>
      <w:r w:rsidR="004D48D7">
        <w:t>.</w:t>
      </w:r>
    </w:p>
    <w:p w14:paraId="32059958" w14:textId="49BD2BA2" w:rsidR="00E46A34" w:rsidRDefault="00CA6259" w:rsidP="008F2193">
      <w:pPr>
        <w:pStyle w:val="09Para"/>
      </w:pPr>
      <w:r w:rsidRPr="00B33AA4">
        <w:t>Conformément aux dispositions de l’IFRS</w:t>
      </w:r>
      <w:r w:rsidR="004B5030" w:rsidRPr="00B33AA4">
        <w:t> </w:t>
      </w:r>
      <w:r w:rsidRPr="00B33AA4">
        <w:t xml:space="preserve">7, Instruments financiers : Informations à fournir, nous avons comptabilisé et </w:t>
      </w:r>
      <w:r w:rsidR="00882593" w:rsidRPr="00B33AA4">
        <w:t>fourni</w:t>
      </w:r>
      <w:r w:rsidRPr="00B33AA4">
        <w:t xml:space="preserve"> de façon appropriée dans les états financiers [</w:t>
      </w:r>
      <w:r w:rsidRPr="00B33AA4">
        <w:rPr>
          <w:color w:val="0000FF"/>
        </w:rPr>
        <w:t>consolidés</w:t>
      </w:r>
      <w:r w:rsidRPr="00B33AA4">
        <w:t xml:space="preserve">] l’incidence des </w:t>
      </w:r>
      <w:r w:rsidR="007802CF" w:rsidRPr="00B33AA4">
        <w:t xml:space="preserve">options ou composantes </w:t>
      </w:r>
      <w:r w:rsidRPr="00B33AA4">
        <w:t xml:space="preserve">de conversion de </w:t>
      </w:r>
      <w:r w:rsidR="00882593" w:rsidRPr="00B33AA4">
        <w:t>[</w:t>
      </w:r>
      <w:r w:rsidR="00882593" w:rsidRPr="00B33AA4">
        <w:rPr>
          <w:i/>
          <w:color w:val="0000FF"/>
        </w:rPr>
        <w:t>fournir une description précise de la</w:t>
      </w:r>
      <w:r w:rsidR="00EA1216">
        <w:rPr>
          <w:i/>
          <w:color w:val="0000FF"/>
        </w:rPr>
        <w:t> </w:t>
      </w:r>
      <w:r w:rsidR="00882593" w:rsidRPr="00B33AA4">
        <w:rPr>
          <w:i/>
          <w:color w:val="0000FF"/>
        </w:rPr>
        <w:t>dette convertible</w:t>
      </w:r>
      <w:r w:rsidR="000F5CD1">
        <w:rPr>
          <w:i/>
          <w:color w:val="0000FF"/>
        </w:rPr>
        <w:t>, des actions privilégiées, des garanties</w:t>
      </w:r>
      <w:r w:rsidR="00292481">
        <w:rPr>
          <w:i/>
          <w:color w:val="0000FF"/>
        </w:rPr>
        <w:t xml:space="preserve"> ou</w:t>
      </w:r>
      <w:r w:rsidR="00292481" w:rsidRPr="004174A5">
        <w:rPr>
          <w:i/>
          <w:color w:val="0000FF"/>
        </w:rPr>
        <w:t xml:space="preserve"> </w:t>
      </w:r>
      <w:r w:rsidR="00292481">
        <w:rPr>
          <w:i/>
          <w:color w:val="0000FF"/>
        </w:rPr>
        <w:t>autre</w:t>
      </w:r>
      <w:r w:rsidR="00882593" w:rsidRPr="00B33AA4">
        <w:t>]</w:t>
      </w:r>
      <w:r w:rsidR="009D3150">
        <w:t>.</w:t>
      </w:r>
    </w:p>
    <w:p w14:paraId="58273944" w14:textId="52E2B4EE" w:rsidR="00D54EA4" w:rsidRPr="00B33AA4" w:rsidRDefault="00E46A34" w:rsidP="008F2193">
      <w:pPr>
        <w:pStyle w:val="09Para"/>
      </w:pPr>
      <w:r>
        <w:t xml:space="preserve">Nous </w:t>
      </w:r>
      <w:r w:rsidR="00763056" w:rsidRPr="00B33AA4">
        <w:t>a</w:t>
      </w:r>
      <w:r>
        <w:t>vons</w:t>
      </w:r>
      <w:r w:rsidR="00763056" w:rsidRPr="00B33AA4">
        <w:t xml:space="preserve"> exclu </w:t>
      </w:r>
      <w:r>
        <w:t xml:space="preserve">du </w:t>
      </w:r>
      <w:r w:rsidR="00763056" w:rsidRPr="00B33AA4">
        <w:t xml:space="preserve">passif </w:t>
      </w:r>
      <w:r w:rsidR="008C093A" w:rsidRPr="00B33AA4">
        <w:t>courant</w:t>
      </w:r>
      <w:r w:rsidR="00763056" w:rsidRPr="00B33AA4">
        <w:t xml:space="preserve"> </w:t>
      </w:r>
      <w:r w:rsidR="004E1816" w:rsidRPr="00B33AA4">
        <w:t>à la date de</w:t>
      </w:r>
      <w:r>
        <w:t xml:space="preserve"> l’état </w:t>
      </w:r>
      <w:r w:rsidRPr="00B33AA4">
        <w:t>[</w:t>
      </w:r>
      <w:r w:rsidRPr="00B33AA4">
        <w:rPr>
          <w:color w:val="0000FF"/>
        </w:rPr>
        <w:t>consolidé</w:t>
      </w:r>
      <w:r w:rsidR="00F96EBA" w:rsidRPr="00F96EBA">
        <w:t>]</w:t>
      </w:r>
      <w:r>
        <w:t xml:space="preserve"> de la situation financière</w:t>
      </w:r>
      <w:r w:rsidR="004E1816" w:rsidRPr="00B33AA4">
        <w:t xml:space="preserve"> </w:t>
      </w:r>
      <w:r w:rsidR="00763056" w:rsidRPr="00B33AA4">
        <w:t>des obligations à c</w:t>
      </w:r>
      <w:r w:rsidR="00351213" w:rsidRPr="00B33AA4">
        <w:t>ourt terme totalisant [</w:t>
      </w:r>
      <w:r w:rsidR="00351213" w:rsidRPr="00B33AA4">
        <w:rPr>
          <w:color w:val="0000FF"/>
        </w:rPr>
        <w:t>montant</w:t>
      </w:r>
      <w:r w:rsidR="00351213" w:rsidRPr="00B33AA4">
        <w:t>] </w:t>
      </w:r>
      <w:r w:rsidR="00763056" w:rsidRPr="00B33AA4">
        <w:t xml:space="preserve">$ </w:t>
      </w:r>
      <w:r w:rsidR="0082737F" w:rsidRPr="00B33AA4">
        <w:t>parce</w:t>
      </w:r>
      <w:r>
        <w:t xml:space="preserve"> que </w:t>
      </w:r>
      <w:r w:rsidR="004B5030" w:rsidRPr="00B33AA4">
        <w:t>[</w:t>
      </w:r>
      <w:r>
        <w:rPr>
          <w:color w:val="0000FF"/>
        </w:rPr>
        <w:t>Entité</w:t>
      </w:r>
      <w:r w:rsidR="004B5030" w:rsidRPr="00B33AA4">
        <w:t xml:space="preserve">] </w:t>
      </w:r>
      <w:r w:rsidR="0082737F" w:rsidRPr="00B33AA4">
        <w:t>envisage, et a toute latitude, de r</w:t>
      </w:r>
      <w:r w:rsidR="00763056" w:rsidRPr="00B33AA4">
        <w:t>efinancer ces obligations à long terme</w:t>
      </w:r>
      <w:r w:rsidR="00351213" w:rsidRPr="00B33AA4">
        <w:t>.</w:t>
      </w:r>
    </w:p>
    <w:p w14:paraId="73CCC695" w14:textId="77777777" w:rsidR="00805412" w:rsidRPr="00B33AA4" w:rsidRDefault="00805412" w:rsidP="00700075">
      <w:pPr>
        <w:pStyle w:val="09Para"/>
        <w:keepNext/>
        <w:keepLines/>
      </w:pPr>
      <w:r w:rsidRPr="00B33AA4">
        <w:t>[</w:t>
      </w:r>
      <w:r w:rsidR="0011540F" w:rsidRPr="00B33AA4">
        <w:rPr>
          <w:i/>
          <w:color w:val="0000FF"/>
        </w:rPr>
        <w:t xml:space="preserve">Adapter le libellé pour </w:t>
      </w:r>
      <w:r w:rsidR="00763056" w:rsidRPr="00B33AA4">
        <w:rPr>
          <w:i/>
          <w:color w:val="0000FF"/>
        </w:rPr>
        <w:t>décrire la façon dont les montants seront refinancés </w:t>
      </w:r>
      <w:r w:rsidRPr="00B33AA4">
        <w:rPr>
          <w:i/>
          <w:color w:val="0000FF"/>
        </w:rPr>
        <w:t>:</w:t>
      </w:r>
    </w:p>
    <w:p w14:paraId="11EB3D04" w14:textId="023E1D9D" w:rsidR="00805412" w:rsidRPr="00B33AA4" w:rsidRDefault="00E46A34" w:rsidP="008F2193">
      <w:pPr>
        <w:pStyle w:val="09Para"/>
      </w:pPr>
      <w:r>
        <w:t xml:space="preserve">Nous </w:t>
      </w:r>
      <w:r w:rsidR="00763056" w:rsidRPr="00B33AA4">
        <w:t>a</w:t>
      </w:r>
      <w:r>
        <w:t>vons</w:t>
      </w:r>
      <w:r w:rsidR="00763056" w:rsidRPr="00B33AA4">
        <w:t xml:space="preserve"> la capacité de </w:t>
      </w:r>
      <w:r w:rsidR="00DD12D7" w:rsidRPr="00B33AA4">
        <w:t xml:space="preserve">procéder au </w:t>
      </w:r>
      <w:r w:rsidR="00763056" w:rsidRPr="00B33AA4">
        <w:t>refinancement au moyen de l</w:t>
      </w:r>
      <w:r w:rsidR="00865E23" w:rsidRPr="00B33AA4">
        <w:t>’</w:t>
      </w:r>
      <w:r w:rsidR="00763056" w:rsidRPr="00B33AA4">
        <w:t>entente de financement mentionnée à la note</w:t>
      </w:r>
      <w:r w:rsidR="00351213" w:rsidRPr="00B33AA4">
        <w:t> </w:t>
      </w:r>
      <w:r w:rsidR="00763056" w:rsidRPr="00B33AA4">
        <w:t>[</w:t>
      </w:r>
      <w:r w:rsidR="00763056" w:rsidRPr="00B33AA4">
        <w:rPr>
          <w:color w:val="0000FF"/>
        </w:rPr>
        <w:t>XX</w:t>
      </w:r>
      <w:r w:rsidR="00763056" w:rsidRPr="00B33AA4">
        <w:t>] afférente aux états financiers [</w:t>
      </w:r>
      <w:r w:rsidR="00763056" w:rsidRPr="00B33AA4">
        <w:rPr>
          <w:color w:val="0000FF"/>
        </w:rPr>
        <w:t>consolidés</w:t>
      </w:r>
      <w:r w:rsidR="00EE707E" w:rsidRPr="00B33AA4">
        <w:t>]</w:t>
      </w:r>
      <w:r w:rsidR="00805412" w:rsidRPr="00B33AA4">
        <w:t>.</w:t>
      </w:r>
      <w:r w:rsidR="00D54EA4" w:rsidRPr="00B33AA4">
        <w:t>]</w:t>
      </w:r>
    </w:p>
    <w:p w14:paraId="28459D3B" w14:textId="77777777" w:rsidR="000F5CD1" w:rsidRPr="00B33AA4" w:rsidRDefault="000F5CD1" w:rsidP="000F5CD1">
      <w:pPr>
        <w:pStyle w:val="Heading3"/>
      </w:pPr>
      <w:r w:rsidRPr="00764D50">
        <w:t>État [</w:t>
      </w:r>
      <w:r w:rsidRPr="00764D50">
        <w:rPr>
          <w:color w:val="0000FF"/>
        </w:rPr>
        <w:t>consolidé</w:t>
      </w:r>
      <w:r w:rsidRPr="00764D50">
        <w:t>] des résultats et état [</w:t>
      </w:r>
      <w:r w:rsidRPr="00764D50">
        <w:rPr>
          <w:color w:val="0000FF"/>
        </w:rPr>
        <w:t>consolidé</w:t>
      </w:r>
      <w:r w:rsidRPr="00764D50">
        <w:t>] du résultat global</w:t>
      </w:r>
    </w:p>
    <w:p w14:paraId="11ADA1A0" w14:textId="44D4F1EC" w:rsidR="000F5CD1" w:rsidRPr="00B33AA4" w:rsidRDefault="000F5CD1" w:rsidP="000F5CD1">
      <w:pPr>
        <w:pStyle w:val="09Para"/>
      </w:pPr>
      <w:r w:rsidRPr="00B33AA4">
        <w:t>Toutes les opérations conclues par [</w:t>
      </w:r>
      <w:r w:rsidRPr="00B33AA4">
        <w:rPr>
          <w:color w:val="0000FF"/>
        </w:rPr>
        <w:t>Entité</w:t>
      </w:r>
      <w:r w:rsidRPr="00B33AA4">
        <w:t>] ont été comptabilisées dans les livres et documents comptables qui vous ont été présentés.</w:t>
      </w:r>
    </w:p>
    <w:p w14:paraId="4D1E2BA6" w14:textId="77777777" w:rsidR="000F5CD1" w:rsidRPr="00B33AA4" w:rsidRDefault="000F5CD1" w:rsidP="000F5CD1">
      <w:pPr>
        <w:pStyle w:val="09Para"/>
      </w:pPr>
      <w:r w:rsidRPr="00764D50">
        <w:t>Tous les montants ont été classés de façon appropriée dans l’état [</w:t>
      </w:r>
      <w:r w:rsidRPr="00764D50">
        <w:rPr>
          <w:color w:val="0000FF"/>
        </w:rPr>
        <w:t>consolidé</w:t>
      </w:r>
      <w:r w:rsidRPr="00764D50">
        <w:t>] des résultats, l’état [</w:t>
      </w:r>
      <w:r w:rsidRPr="00764D50">
        <w:rPr>
          <w:color w:val="0000FF"/>
        </w:rPr>
        <w:t>consolidé</w:t>
      </w:r>
      <w:r w:rsidRPr="00764D50">
        <w:t>] du résultat global et l’état [</w:t>
      </w:r>
      <w:r w:rsidRPr="00764D50">
        <w:rPr>
          <w:color w:val="0000FF"/>
        </w:rPr>
        <w:t>consolidé</w:t>
      </w:r>
      <w:r w:rsidRPr="00764D50">
        <w:t>] des variations des capitaux propres.</w:t>
      </w:r>
    </w:p>
    <w:p w14:paraId="0433B516" w14:textId="39852B25" w:rsidR="00346EE4" w:rsidRDefault="00346EE4" w:rsidP="000F5CD1">
      <w:pPr>
        <w:pStyle w:val="09Para"/>
      </w:pPr>
      <w:r>
        <w:t>I</w:t>
      </w:r>
      <w:r w:rsidR="000F5CD1" w:rsidRPr="00B33AA4">
        <w:t>l n’y a pas d’ajustements liés aux résultats présentés pour l</w:t>
      </w:r>
      <w:r>
        <w:t>’</w:t>
      </w:r>
      <w:r w:rsidR="000F5CD1" w:rsidRPr="00B33AA4">
        <w:t>exercice antérieur dont le montant est significatif.</w:t>
      </w:r>
    </w:p>
    <w:p w14:paraId="197D65CF" w14:textId="2BEB0A90" w:rsidR="000F5CD1" w:rsidRPr="00B33AA4" w:rsidRDefault="000F5CD1" w:rsidP="000F5CD1">
      <w:pPr>
        <w:pStyle w:val="09Para"/>
      </w:pPr>
      <w:r w:rsidRPr="00B33AA4">
        <w:t xml:space="preserve">Lorsque des éléments de </w:t>
      </w:r>
      <w:r w:rsidRPr="00764D50">
        <w:t>produits</w:t>
      </w:r>
      <w:r w:rsidRPr="00B33AA4">
        <w:t xml:space="preserve"> et de charges sont significatifs, leur nature et leur montant ont été présentés séparément dans les états financiers.</w:t>
      </w:r>
      <w:r w:rsidR="00346EE4">
        <w:t xml:space="preserve"> </w:t>
      </w:r>
      <w:r w:rsidR="00346EE4" w:rsidRPr="00346EE4">
        <w:t xml:space="preserve">À l’exception des informations </w:t>
      </w:r>
      <w:r w:rsidR="00346EE4">
        <w:t xml:space="preserve">qui </w:t>
      </w:r>
      <w:r w:rsidR="00346EE4">
        <w:lastRenderedPageBreak/>
        <w:t xml:space="preserve">vous ont </w:t>
      </w:r>
      <w:r w:rsidR="00346EE4" w:rsidRPr="00346EE4">
        <w:t xml:space="preserve">déjà </w:t>
      </w:r>
      <w:r w:rsidR="00346EE4">
        <w:t xml:space="preserve">été communiquées, il n’y a pas d’éléments non récurrents, dont le montant est significatif. </w:t>
      </w:r>
    </w:p>
    <w:p w14:paraId="28680460" w14:textId="2AD4D2B7" w:rsidR="00805412" w:rsidRPr="00B33AA4" w:rsidRDefault="000F5CD1" w:rsidP="008F2193">
      <w:pPr>
        <w:pStyle w:val="09Para"/>
      </w:pPr>
      <w:r w:rsidRPr="00924B0F">
        <w:t xml:space="preserve">Les principes et les méthodes comptables appliqués tout au long de l’exercice étaient conformes aux pratiques de l’exercice précédent </w:t>
      </w:r>
      <w:r w:rsidR="00346EE4" w:rsidRPr="00924B0F">
        <w:t>(</w:t>
      </w:r>
      <w:r w:rsidRPr="00EA1216">
        <w:rPr>
          <w:rFonts w:cs="Arial"/>
        </w:rPr>
        <w:t>à l’exception du changement expliqué dans</w:t>
      </w:r>
      <w:r w:rsidR="00EA1216">
        <w:rPr>
          <w:rFonts w:cs="Arial"/>
        </w:rPr>
        <w:t> </w:t>
      </w:r>
      <w:r w:rsidRPr="00EA1216">
        <w:rPr>
          <w:rFonts w:cs="Arial"/>
        </w:rPr>
        <w:t>les états financiers consolidés</w:t>
      </w:r>
      <w:r w:rsidR="00346EE4" w:rsidRPr="00EA1216">
        <w:t>).</w:t>
      </w:r>
    </w:p>
    <w:p w14:paraId="397CB0DD" w14:textId="77777777" w:rsidR="00805412" w:rsidRPr="00B33AA4" w:rsidRDefault="00763056" w:rsidP="00351213">
      <w:pPr>
        <w:pStyle w:val="Heading3"/>
      </w:pPr>
      <w:r w:rsidRPr="00B33AA4">
        <w:t>Avantages du personnel</w:t>
      </w:r>
    </w:p>
    <w:p w14:paraId="7F99EDE4" w14:textId="6EDAB486" w:rsidR="00805412" w:rsidRPr="00B33AA4" w:rsidRDefault="00082BBF" w:rsidP="008F2193">
      <w:pPr>
        <w:pStyle w:val="09Para"/>
      </w:pPr>
      <w:r w:rsidRPr="00B33AA4">
        <w:t>T</w:t>
      </w:r>
      <w:r w:rsidR="00605DD9" w:rsidRPr="00B33AA4">
        <w:t>ous les</w:t>
      </w:r>
      <w:r w:rsidR="00DD12D7" w:rsidRPr="00B33AA4">
        <w:t xml:space="preserve"> accords, formels ou informels</w:t>
      </w:r>
      <w:r w:rsidR="00605DD9" w:rsidRPr="00B33AA4">
        <w:t>, explicites ou implicites, visant à offrir des prestations de</w:t>
      </w:r>
      <w:r w:rsidR="00EA1216">
        <w:t> </w:t>
      </w:r>
      <w:r w:rsidR="00605DD9" w:rsidRPr="00B33AA4">
        <w:t>retraite et d</w:t>
      </w:r>
      <w:r w:rsidR="00865E23" w:rsidRPr="00B33AA4">
        <w:t>’</w:t>
      </w:r>
      <w:r w:rsidRPr="00B33AA4">
        <w:t xml:space="preserve">autres </w:t>
      </w:r>
      <w:r w:rsidR="00605DD9" w:rsidRPr="00B33AA4">
        <w:t xml:space="preserve">avantages </w:t>
      </w:r>
      <w:r w:rsidRPr="00B33AA4">
        <w:t>postérieurs à l</w:t>
      </w:r>
      <w:r w:rsidR="00865E23" w:rsidRPr="00B33AA4">
        <w:t>’</w:t>
      </w:r>
      <w:r w:rsidRPr="00B33AA4">
        <w:t>emploi</w:t>
      </w:r>
      <w:r w:rsidR="00605DD9" w:rsidRPr="00B33AA4">
        <w:t xml:space="preserve"> à des</w:t>
      </w:r>
      <w:r w:rsidR="00DD12D7" w:rsidRPr="00B33AA4">
        <w:t xml:space="preserve"> membres du personnel</w:t>
      </w:r>
      <w:r w:rsidR="00605DD9" w:rsidRPr="00B33AA4">
        <w:t xml:space="preserve"> après la fin</w:t>
      </w:r>
      <w:r w:rsidR="00EA1216">
        <w:t> </w:t>
      </w:r>
      <w:r w:rsidR="00605DD9" w:rsidRPr="00B33AA4">
        <w:t xml:space="preserve">de leur emploi </w:t>
      </w:r>
      <w:r w:rsidRPr="00B33AA4">
        <w:t xml:space="preserve">vous ont été communiquées </w:t>
      </w:r>
      <w:r w:rsidR="00605DD9" w:rsidRPr="00B33AA4">
        <w:t xml:space="preserve">et </w:t>
      </w:r>
      <w:r w:rsidRPr="00B33AA4">
        <w:t xml:space="preserve">ont été prises en compte lors de </w:t>
      </w:r>
      <w:r w:rsidR="00605DD9" w:rsidRPr="00B33AA4">
        <w:t>l</w:t>
      </w:r>
      <w:r w:rsidR="00865E23" w:rsidRPr="00B33AA4">
        <w:t>’</w:t>
      </w:r>
      <w:r w:rsidR="00605DD9" w:rsidRPr="00B33AA4">
        <w:t>évaluation actuarielle</w:t>
      </w:r>
      <w:r w:rsidR="00805412" w:rsidRPr="00B33AA4">
        <w:t>.</w:t>
      </w:r>
    </w:p>
    <w:p w14:paraId="4F483B57" w14:textId="2B702D7E" w:rsidR="00805412" w:rsidRPr="00B33AA4" w:rsidRDefault="000A6B3B" w:rsidP="008F2193">
      <w:pPr>
        <w:pStyle w:val="09Para"/>
      </w:pPr>
      <w:r w:rsidRPr="00B33AA4">
        <w:t>[</w:t>
      </w:r>
      <w:r w:rsidR="0092101C" w:rsidRPr="00B33AA4">
        <w:rPr>
          <w:i/>
          <w:color w:val="0000FF"/>
        </w:rPr>
        <w:t xml:space="preserve">Pour </w:t>
      </w:r>
      <w:r w:rsidR="00EE707E" w:rsidRPr="00B33AA4">
        <w:rPr>
          <w:i/>
          <w:color w:val="0000FF"/>
        </w:rPr>
        <w:t>les</w:t>
      </w:r>
      <w:r w:rsidR="0092101C" w:rsidRPr="00B33AA4">
        <w:rPr>
          <w:i/>
          <w:color w:val="0000FF"/>
        </w:rPr>
        <w:t xml:space="preserve"> régime</w:t>
      </w:r>
      <w:r w:rsidR="00EE707E" w:rsidRPr="00B33AA4">
        <w:rPr>
          <w:i/>
          <w:color w:val="0000FF"/>
        </w:rPr>
        <w:t>s</w:t>
      </w:r>
      <w:r w:rsidR="0092101C" w:rsidRPr="00B33AA4">
        <w:rPr>
          <w:i/>
          <w:color w:val="0000FF"/>
        </w:rPr>
        <w:t xml:space="preserve"> de retraite à prestations définies</w:t>
      </w:r>
      <w:r w:rsidR="00EE707E" w:rsidRPr="00B33AA4">
        <w:t>]</w:t>
      </w:r>
      <w:r w:rsidR="007E40B4">
        <w:t xml:space="preserve"> </w:t>
      </w:r>
      <w:r w:rsidR="0092101C" w:rsidRPr="00B33AA4">
        <w:t>Le détail de toutes les modifications apportées au régime</w:t>
      </w:r>
      <w:r w:rsidR="002D2D77" w:rsidRPr="00B33AA4">
        <w:t xml:space="preserve"> [</w:t>
      </w:r>
      <w:r w:rsidR="00467B01" w:rsidRPr="00B33AA4">
        <w:rPr>
          <w:i/>
          <w:color w:val="0000FF"/>
        </w:rPr>
        <w:t>OU</w:t>
      </w:r>
      <w:r w:rsidR="00467B01" w:rsidRPr="00B33AA4">
        <w:rPr>
          <w:color w:val="0000FF"/>
        </w:rPr>
        <w:t xml:space="preserve"> </w:t>
      </w:r>
      <w:r w:rsidR="002D2D77" w:rsidRPr="00B33AA4">
        <w:rPr>
          <w:color w:val="0000FF"/>
        </w:rPr>
        <w:t>aux régimes</w:t>
      </w:r>
      <w:r w:rsidR="002D2D77" w:rsidRPr="00B33AA4">
        <w:t>]</w:t>
      </w:r>
      <w:r w:rsidR="0092101C" w:rsidRPr="00B33AA4">
        <w:t xml:space="preserve"> de retraite depuis le [</w:t>
      </w:r>
      <w:r w:rsidR="0092101C" w:rsidRPr="00B33AA4">
        <w:rPr>
          <w:color w:val="0000FF"/>
        </w:rPr>
        <w:t>date</w:t>
      </w:r>
      <w:r w:rsidR="0092101C" w:rsidRPr="00B33AA4">
        <w:t>], date de la dernière évaluation actuarielle, vous a été communiqué</w:t>
      </w:r>
      <w:r w:rsidR="00805412" w:rsidRPr="00B33AA4">
        <w:t>.</w:t>
      </w:r>
    </w:p>
    <w:p w14:paraId="211947A8" w14:textId="77777777" w:rsidR="0022758C" w:rsidRPr="00B33AA4" w:rsidRDefault="0022758C" w:rsidP="008F2193">
      <w:pPr>
        <w:pStyle w:val="09Para"/>
      </w:pPr>
      <w:bookmarkStart w:id="48" w:name="date5"/>
      <w:bookmarkStart w:id="49" w:name="option12"/>
      <w:bookmarkEnd w:id="48"/>
      <w:bookmarkEnd w:id="49"/>
      <w:r w:rsidRPr="00B33AA4">
        <w:t>[</w:t>
      </w:r>
      <w:r w:rsidR="00411910" w:rsidRPr="00B33AA4">
        <w:rPr>
          <w:i/>
          <w:color w:val="0000FF"/>
        </w:rPr>
        <w:t>L</w:t>
      </w:r>
      <w:r w:rsidR="00605DD9" w:rsidRPr="00B33AA4">
        <w:rPr>
          <w:i/>
          <w:color w:val="0000FF"/>
        </w:rPr>
        <w:t xml:space="preserve">orsque la date de la dernière évaluation actuarielle </w:t>
      </w:r>
      <w:r w:rsidR="00411910" w:rsidRPr="00B33AA4">
        <w:rPr>
          <w:i/>
          <w:color w:val="0000FF"/>
        </w:rPr>
        <w:t xml:space="preserve">préparée </w:t>
      </w:r>
      <w:r w:rsidR="007802CF" w:rsidRPr="00B33AA4">
        <w:rPr>
          <w:i/>
          <w:color w:val="0000FF"/>
        </w:rPr>
        <w:t xml:space="preserve">à des </w:t>
      </w:r>
      <w:r w:rsidR="00605DD9" w:rsidRPr="00B33AA4">
        <w:rPr>
          <w:i/>
          <w:color w:val="0000FF"/>
        </w:rPr>
        <w:t>fins de comptabili</w:t>
      </w:r>
      <w:r w:rsidR="00DD12D7" w:rsidRPr="00B33AA4">
        <w:rPr>
          <w:i/>
          <w:color w:val="0000FF"/>
        </w:rPr>
        <w:t>sation</w:t>
      </w:r>
      <w:r w:rsidR="00605DD9" w:rsidRPr="00B33AA4">
        <w:rPr>
          <w:i/>
          <w:color w:val="0000FF"/>
        </w:rPr>
        <w:t xml:space="preserve"> n</w:t>
      </w:r>
      <w:r w:rsidR="00865E23" w:rsidRPr="00B33AA4">
        <w:rPr>
          <w:i/>
          <w:color w:val="0000FF"/>
        </w:rPr>
        <w:t>’</w:t>
      </w:r>
      <w:r w:rsidR="00605DD9" w:rsidRPr="00B33AA4">
        <w:rPr>
          <w:i/>
          <w:color w:val="0000FF"/>
        </w:rPr>
        <w:t>est pas la date de clôture</w:t>
      </w:r>
      <w:r w:rsidRPr="00B33AA4">
        <w:rPr>
          <w:i/>
          <w:color w:val="0000FF"/>
        </w:rPr>
        <w:t xml:space="preserve">, </w:t>
      </w:r>
      <w:r w:rsidR="00411910" w:rsidRPr="00B33AA4">
        <w:rPr>
          <w:i/>
          <w:color w:val="0000FF"/>
        </w:rPr>
        <w:t xml:space="preserve">ajouter le </w:t>
      </w:r>
      <w:r w:rsidRPr="00B33AA4">
        <w:rPr>
          <w:i/>
          <w:color w:val="0000FF"/>
        </w:rPr>
        <w:t>paragraph</w:t>
      </w:r>
      <w:r w:rsidR="00411910" w:rsidRPr="00B33AA4">
        <w:rPr>
          <w:i/>
          <w:color w:val="0000FF"/>
        </w:rPr>
        <w:t>e suivant </w:t>
      </w:r>
      <w:r w:rsidRPr="00B33AA4">
        <w:rPr>
          <w:i/>
          <w:color w:val="0000FF"/>
        </w:rPr>
        <w:t>:</w:t>
      </w:r>
    </w:p>
    <w:p w14:paraId="61DEC3B5" w14:textId="70F10416" w:rsidR="000A6B3B" w:rsidRPr="00B33AA4" w:rsidRDefault="000A6B3B" w:rsidP="008F2193">
      <w:pPr>
        <w:pStyle w:val="09Para"/>
      </w:pPr>
      <w:r w:rsidRPr="00B33AA4">
        <w:t>[</w:t>
      </w:r>
      <w:r w:rsidR="00605DD9" w:rsidRPr="00B33AA4">
        <w:t>Toutes les modifications du régime</w:t>
      </w:r>
      <w:r w:rsidR="002D2D77" w:rsidRPr="00B33AA4">
        <w:t xml:space="preserve"> </w:t>
      </w:r>
      <w:r w:rsidR="00DD12D7" w:rsidRPr="00B33AA4">
        <w:t>[</w:t>
      </w:r>
      <w:r w:rsidR="00467B01" w:rsidRPr="00B33AA4">
        <w:rPr>
          <w:color w:val="0000FF"/>
        </w:rPr>
        <w:t xml:space="preserve">OU </w:t>
      </w:r>
      <w:r w:rsidR="00DD12D7" w:rsidRPr="00B33AA4">
        <w:rPr>
          <w:color w:val="0000FF"/>
        </w:rPr>
        <w:t>des régimes</w:t>
      </w:r>
      <w:r w:rsidR="00DD12D7" w:rsidRPr="00B33AA4">
        <w:t>]</w:t>
      </w:r>
      <w:r w:rsidR="00605DD9" w:rsidRPr="00B33AA4">
        <w:t>, du groupe d</w:t>
      </w:r>
      <w:r w:rsidR="00DD12D7" w:rsidRPr="00B33AA4">
        <w:t>’employés</w:t>
      </w:r>
      <w:r w:rsidR="00605DD9" w:rsidRPr="00B33AA4">
        <w:t xml:space="preserve"> et de la performance de la caisse de retraite depuis la dernière évaluation actuarielle </w:t>
      </w:r>
      <w:r w:rsidR="00EE707E" w:rsidRPr="00B33AA4">
        <w:t xml:space="preserve">ont été examinées et prises en compte </w:t>
      </w:r>
      <w:r w:rsidR="00605DD9" w:rsidRPr="00B33AA4">
        <w:t>pour déterminer le</w:t>
      </w:r>
      <w:r w:rsidR="002D2D77" w:rsidRPr="00B33AA4">
        <w:t xml:space="preserve"> coût des prestations définies</w:t>
      </w:r>
      <w:r w:rsidR="00EE707E" w:rsidRPr="00B33AA4">
        <w:t>,</w:t>
      </w:r>
      <w:r w:rsidR="00605DD9" w:rsidRPr="00B33AA4">
        <w:t xml:space="preserve"> la valeur </w:t>
      </w:r>
      <w:r w:rsidR="002D2D77" w:rsidRPr="00B33AA4">
        <w:t>actua</w:t>
      </w:r>
      <w:r w:rsidR="00605DD9" w:rsidRPr="00B33AA4">
        <w:t>rielle estimative de l</w:t>
      </w:r>
      <w:r w:rsidR="00865E23" w:rsidRPr="00B33AA4">
        <w:t>’</w:t>
      </w:r>
      <w:r w:rsidR="00605DD9" w:rsidRPr="00B33AA4">
        <w:t>obligation au titre des prestations définies et la valeur des actifs de la caisse de retraite</w:t>
      </w:r>
      <w:r w:rsidR="00346EE4">
        <w:t xml:space="preserve"> [</w:t>
      </w:r>
      <w:r w:rsidR="00346EE4" w:rsidRPr="00871F3A">
        <w:rPr>
          <w:color w:val="0000FF"/>
        </w:rPr>
        <w:t>pour le ou les régimes de retraite à prestations définies</w:t>
      </w:r>
      <w:r w:rsidR="00F96EBA" w:rsidRPr="00F96EBA">
        <w:rPr>
          <w:i/>
        </w:rPr>
        <w:t>]</w:t>
      </w:r>
      <w:r w:rsidR="00346EE4" w:rsidRPr="00871F3A">
        <w:rPr>
          <w:i/>
        </w:rPr>
        <w:t>.</w:t>
      </w:r>
    </w:p>
    <w:p w14:paraId="3A06E220" w14:textId="18EF1A97" w:rsidR="00805412" w:rsidRPr="00B33AA4" w:rsidRDefault="003C21E7" w:rsidP="008F2193">
      <w:pPr>
        <w:pStyle w:val="09Para"/>
      </w:pPr>
      <w:r w:rsidRPr="00B33AA4">
        <w:t xml:space="preserve">Les actuaires de </w:t>
      </w:r>
      <w:r w:rsidR="000A6B3B" w:rsidRPr="00B33AA4">
        <w:t>[</w:t>
      </w:r>
      <w:r w:rsidR="000A6B3B" w:rsidRPr="00B33AA4">
        <w:rPr>
          <w:color w:val="0000FF"/>
        </w:rPr>
        <w:t>Entit</w:t>
      </w:r>
      <w:r w:rsidRPr="00B33AA4">
        <w:rPr>
          <w:color w:val="0000FF"/>
        </w:rPr>
        <w:t>é</w:t>
      </w:r>
      <w:r w:rsidR="000A6B3B" w:rsidRPr="00B33AA4">
        <w:t>]</w:t>
      </w:r>
      <w:r w:rsidR="00605DD9" w:rsidRPr="00B33AA4">
        <w:t xml:space="preserve"> ont reçu toutes les informations nécessaires pour effectuer leur évaluation en date du [</w:t>
      </w:r>
      <w:r w:rsidRPr="00B33AA4">
        <w:rPr>
          <w:color w:val="0000FF"/>
        </w:rPr>
        <w:t>date de la dernière évaluation</w:t>
      </w:r>
      <w:r w:rsidR="00605DD9" w:rsidRPr="00B33AA4">
        <w:t xml:space="preserve">] </w:t>
      </w:r>
      <w:r w:rsidRPr="00B33AA4">
        <w:t>[</w:t>
      </w:r>
      <w:r w:rsidRPr="00B33AA4">
        <w:rPr>
          <w:i/>
          <w:color w:val="0000FF"/>
        </w:rPr>
        <w:t>si vous avez utili</w:t>
      </w:r>
      <w:r w:rsidR="00D355A8" w:rsidRPr="00B33AA4">
        <w:rPr>
          <w:i/>
          <w:color w:val="0000FF"/>
        </w:rPr>
        <w:t>s</w:t>
      </w:r>
      <w:r w:rsidR="002C29F3" w:rsidRPr="00B33AA4">
        <w:rPr>
          <w:i/>
          <w:color w:val="0000FF"/>
        </w:rPr>
        <w:t>é des extrapolations de</w:t>
      </w:r>
      <w:r w:rsidR="00F91D84">
        <w:rPr>
          <w:i/>
          <w:color w:val="0000FF"/>
        </w:rPr>
        <w:t> </w:t>
      </w:r>
      <w:r w:rsidR="002C29F3" w:rsidRPr="00B33AA4">
        <w:rPr>
          <w:i/>
          <w:color w:val="0000FF"/>
        </w:rPr>
        <w:t>la dernière évaluation, veuillez inclure la déclaration suivante :</w:t>
      </w:r>
      <w:r w:rsidR="002C29F3" w:rsidRPr="00B33AA4">
        <w:rPr>
          <w:color w:val="0000FF"/>
        </w:rPr>
        <w:t xml:space="preserve"> et leur</w:t>
      </w:r>
      <w:r w:rsidR="00605DD9" w:rsidRPr="00B33AA4">
        <w:rPr>
          <w:color w:val="0000FF"/>
        </w:rPr>
        <w:t xml:space="preserve"> extrapolation au </w:t>
      </w:r>
      <w:r w:rsidR="00605DD9" w:rsidRPr="007F58F2">
        <w:t>[</w:t>
      </w:r>
      <w:r w:rsidR="00605DD9" w:rsidRPr="00B33AA4">
        <w:rPr>
          <w:color w:val="0000FF"/>
        </w:rPr>
        <w:t>date</w:t>
      </w:r>
      <w:r w:rsidR="00F91D84">
        <w:rPr>
          <w:color w:val="0000FF"/>
        </w:rPr>
        <w:t> </w:t>
      </w:r>
      <w:r w:rsidR="00605DD9" w:rsidRPr="00B33AA4">
        <w:rPr>
          <w:color w:val="0000FF"/>
        </w:rPr>
        <w:t>de</w:t>
      </w:r>
      <w:r w:rsidR="00DD12D7" w:rsidRPr="00B33AA4">
        <w:rPr>
          <w:color w:val="0000FF"/>
        </w:rPr>
        <w:t xml:space="preserve"> l’état </w:t>
      </w:r>
      <w:r w:rsidR="00F96EBA" w:rsidRPr="00F96EBA">
        <w:rPr>
          <w:rStyle w:val="BlueText"/>
          <w:rFonts w:cs="Arial"/>
          <w:color w:val="auto"/>
        </w:rPr>
        <w:t>[</w:t>
      </w:r>
      <w:r w:rsidR="00E46A34">
        <w:rPr>
          <w:rStyle w:val="BlueText"/>
          <w:rFonts w:cs="Arial"/>
        </w:rPr>
        <w:t>consolidé</w:t>
      </w:r>
      <w:r w:rsidR="00F96EBA" w:rsidRPr="00F96EBA">
        <w:rPr>
          <w:rStyle w:val="BlueText"/>
          <w:rFonts w:cs="Arial"/>
          <w:color w:val="auto"/>
        </w:rPr>
        <w:t>]</w:t>
      </w:r>
      <w:r w:rsidR="00E46A34" w:rsidRPr="00A069B4">
        <w:rPr>
          <w:rStyle w:val="BlueText"/>
          <w:rFonts w:cs="Arial"/>
        </w:rPr>
        <w:t xml:space="preserve"> </w:t>
      </w:r>
      <w:r w:rsidR="00DD12D7" w:rsidRPr="00B33AA4">
        <w:rPr>
          <w:color w:val="0000FF"/>
        </w:rPr>
        <w:t>de la situation financière</w:t>
      </w:r>
      <w:r w:rsidR="007E40B4" w:rsidRPr="007F58F2">
        <w:t>]</w:t>
      </w:r>
      <w:r w:rsidR="00805412" w:rsidRPr="00B33AA4">
        <w:t>]</w:t>
      </w:r>
      <w:bookmarkStart w:id="50" w:name="option14"/>
      <w:bookmarkEnd w:id="50"/>
      <w:r w:rsidR="00805412" w:rsidRPr="00B33AA4">
        <w:t>.</w:t>
      </w:r>
    </w:p>
    <w:p w14:paraId="351DCAA1" w14:textId="77777777" w:rsidR="00805412" w:rsidRPr="00B33AA4" w:rsidRDefault="00805412" w:rsidP="008F2193">
      <w:pPr>
        <w:pStyle w:val="09Para"/>
      </w:pPr>
      <w:r w:rsidRPr="00B33AA4">
        <w:t>[</w:t>
      </w:r>
      <w:r w:rsidR="00605DD9" w:rsidRPr="00B33AA4">
        <w:rPr>
          <w:i/>
          <w:color w:val="0000FF"/>
        </w:rPr>
        <w:t>Si vous avez utilisé des extrapolations, veuillez inclure l</w:t>
      </w:r>
      <w:r w:rsidR="00DD12D7" w:rsidRPr="00B33AA4">
        <w:rPr>
          <w:i/>
          <w:color w:val="0000FF"/>
        </w:rPr>
        <w:t xml:space="preserve">a déclaration </w:t>
      </w:r>
      <w:r w:rsidR="00EE707E" w:rsidRPr="00B33AA4">
        <w:rPr>
          <w:i/>
          <w:color w:val="0000FF"/>
        </w:rPr>
        <w:t xml:space="preserve">additionnelle </w:t>
      </w:r>
      <w:r w:rsidR="00605DD9" w:rsidRPr="00B33AA4">
        <w:rPr>
          <w:i/>
          <w:color w:val="0000FF"/>
        </w:rPr>
        <w:t>suivante</w:t>
      </w:r>
      <w:r w:rsidR="00605C59" w:rsidRPr="00B33AA4">
        <w:rPr>
          <w:i/>
          <w:color w:val="0000FF"/>
        </w:rPr>
        <w:t> :</w:t>
      </w:r>
      <w:r w:rsidRPr="00B33AA4">
        <w:t xml:space="preserve"> </w:t>
      </w:r>
      <w:r w:rsidR="00605DD9" w:rsidRPr="00B33AA4">
        <w:t>Nous confirmons que les extrapolations sont exactes et qu</w:t>
      </w:r>
      <w:r w:rsidR="00865E23" w:rsidRPr="00B33AA4">
        <w:t>’</w:t>
      </w:r>
      <w:r w:rsidR="00605DD9" w:rsidRPr="00B33AA4">
        <w:t xml:space="preserve">elles reflètent de manière appropriée les effets des modifications et des faits survenus depuis la dernière évaluation actuarielle qui ont eu un effet significatif sur </w:t>
      </w:r>
      <w:r w:rsidR="00031745" w:rsidRPr="00B33AA4">
        <w:t>c</w:t>
      </w:r>
      <w:r w:rsidR="00605DD9" w:rsidRPr="00B33AA4">
        <w:t>elles</w:t>
      </w:r>
      <w:r w:rsidR="00031745" w:rsidRPr="00B33AA4">
        <w:t>-ci</w:t>
      </w:r>
      <w:r w:rsidR="00605DD9" w:rsidRPr="00B33AA4">
        <w:t>.</w:t>
      </w:r>
      <w:r w:rsidRPr="00B33AA4">
        <w:t>]</w:t>
      </w:r>
    </w:p>
    <w:p w14:paraId="52F356A2" w14:textId="33E03377" w:rsidR="00805412" w:rsidRPr="00B33AA4" w:rsidRDefault="00605DD9" w:rsidP="009E4F8A">
      <w:pPr>
        <w:pStyle w:val="09Para"/>
        <w:keepNext/>
      </w:pPr>
      <w:r w:rsidRPr="00B33AA4">
        <w:t>Les coûts des avantages du personnel, les actifs et les obligations ont été é</w:t>
      </w:r>
      <w:r w:rsidR="00EE707E" w:rsidRPr="00B33AA4">
        <w:t>valu</w:t>
      </w:r>
      <w:r w:rsidRPr="00B33AA4">
        <w:t xml:space="preserve">és, comptabilisés et présentés conformément </w:t>
      </w:r>
      <w:r w:rsidR="004E1816" w:rsidRPr="00B33AA4">
        <w:t xml:space="preserve">à la norme </w:t>
      </w:r>
      <w:r w:rsidRPr="00B33AA4">
        <w:t>IAS</w:t>
      </w:r>
      <w:r w:rsidR="00467B01" w:rsidRPr="00B33AA4">
        <w:t> </w:t>
      </w:r>
      <w:r w:rsidRPr="00B33AA4">
        <w:t>19, Avantages du personnel</w:t>
      </w:r>
      <w:r w:rsidR="00C55C35">
        <w:t xml:space="preserve"> (IAS </w:t>
      </w:r>
      <w:r w:rsidR="00CF68F4">
        <w:t>19)</w:t>
      </w:r>
      <w:r w:rsidR="006C4303">
        <w:t>, p</w:t>
      </w:r>
      <w:r w:rsidRPr="00B33AA4">
        <w:t>lus particulièrement</w:t>
      </w:r>
      <w:r w:rsidR="00605C59" w:rsidRPr="00B33AA4">
        <w:t> :</w:t>
      </w:r>
    </w:p>
    <w:p w14:paraId="5C4F5E04" w14:textId="77777777" w:rsidR="00805412" w:rsidRPr="00B33AA4" w:rsidRDefault="00605DD9" w:rsidP="000E4CFF">
      <w:pPr>
        <w:pStyle w:val="09ParaBullet1"/>
      </w:pPr>
      <w:r w:rsidRPr="00B33AA4">
        <w:t xml:space="preserve">Les </w:t>
      </w:r>
      <w:r w:rsidR="00DD12D7" w:rsidRPr="00B33AA4">
        <w:t xml:space="preserve">principales </w:t>
      </w:r>
      <w:r w:rsidRPr="00B33AA4">
        <w:t xml:space="preserve">méthodes comptables que nous avons adoptées pour appliquer </w:t>
      </w:r>
      <w:r w:rsidR="00E87097" w:rsidRPr="00B33AA4">
        <w:t>l</w:t>
      </w:r>
      <w:r w:rsidR="00865E23" w:rsidRPr="00B33AA4">
        <w:t>’</w:t>
      </w:r>
      <w:r w:rsidRPr="00B33AA4">
        <w:t>IAS</w:t>
      </w:r>
      <w:r w:rsidR="00467B01" w:rsidRPr="00B33AA4">
        <w:t> </w:t>
      </w:r>
      <w:r w:rsidRPr="00B33AA4">
        <w:t xml:space="preserve">19 sont présentées de manière exacte et exhaustive dans les notes </w:t>
      </w:r>
      <w:r w:rsidR="00DD12D7" w:rsidRPr="00B33AA4">
        <w:t>afférentes aux</w:t>
      </w:r>
      <w:r w:rsidRPr="00B33AA4">
        <w:t xml:space="preserve"> états financiers </w:t>
      </w:r>
      <w:r w:rsidR="00805412" w:rsidRPr="00B33AA4">
        <w:t>[</w:t>
      </w:r>
      <w:r w:rsidR="00805412" w:rsidRPr="00B33AA4">
        <w:rPr>
          <w:color w:val="0000FF"/>
        </w:rPr>
        <w:t>consolid</w:t>
      </w:r>
      <w:r w:rsidRPr="00B33AA4">
        <w:rPr>
          <w:color w:val="0000FF"/>
        </w:rPr>
        <w:t>és</w:t>
      </w:r>
      <w:r w:rsidR="00805412" w:rsidRPr="00B33AA4">
        <w:t>]</w:t>
      </w:r>
      <w:r w:rsidR="001814EB" w:rsidRPr="00B33AA4">
        <w:t>.</w:t>
      </w:r>
    </w:p>
    <w:p w14:paraId="6BD69F22" w14:textId="77777777" w:rsidR="00805412" w:rsidRPr="00B33AA4" w:rsidRDefault="00605DD9" w:rsidP="000E4CFF">
      <w:pPr>
        <w:pStyle w:val="09ParaBullet1"/>
      </w:pPr>
      <w:r w:rsidRPr="00B33AA4">
        <w:t>Chacune des hypothèses les plus probables utilisées reflète le jugement de la direction quant à l</w:t>
      </w:r>
      <w:r w:rsidR="00865E23" w:rsidRPr="00B33AA4">
        <w:t>’</w:t>
      </w:r>
      <w:r w:rsidRPr="00B33AA4">
        <w:t xml:space="preserve">ensemble des faits les plus susceptibles de se réaliser </w:t>
      </w:r>
      <w:r w:rsidR="008C093A" w:rsidRPr="00B33AA4">
        <w:t>à</w:t>
      </w:r>
      <w:r w:rsidRPr="00B33AA4">
        <w:t xml:space="preserve"> l</w:t>
      </w:r>
      <w:r w:rsidR="00865E23" w:rsidRPr="00B33AA4">
        <w:t>’</w:t>
      </w:r>
      <w:r w:rsidRPr="00B33AA4">
        <w:t>avenir</w:t>
      </w:r>
      <w:r w:rsidR="001814EB" w:rsidRPr="00B33AA4">
        <w:t>.</w:t>
      </w:r>
    </w:p>
    <w:p w14:paraId="23A3D9D5" w14:textId="77777777" w:rsidR="00805412" w:rsidRPr="00B33AA4" w:rsidRDefault="00605DD9" w:rsidP="000E4CFF">
      <w:pPr>
        <w:pStyle w:val="09ParaBullet1"/>
      </w:pPr>
      <w:r w:rsidRPr="00B33AA4">
        <w:t>Les hypothèses les plus probables utilisées sont, dans l</w:t>
      </w:r>
      <w:r w:rsidR="00865E23" w:rsidRPr="00B33AA4">
        <w:t>’</w:t>
      </w:r>
      <w:r w:rsidRPr="00B33AA4">
        <w:t>ensemble, cohérentes entre elles et cohérentes avec la méthode adoptée pour l</w:t>
      </w:r>
      <w:r w:rsidR="00865E23" w:rsidRPr="00B33AA4">
        <w:t>’</w:t>
      </w:r>
      <w:r w:rsidRPr="00B33AA4">
        <w:t>évaluation des actifs</w:t>
      </w:r>
      <w:r w:rsidR="001814EB" w:rsidRPr="00B33AA4">
        <w:t>.</w:t>
      </w:r>
    </w:p>
    <w:p w14:paraId="5FE88B3B" w14:textId="37570567" w:rsidR="00805412" w:rsidRPr="00B33AA4" w:rsidRDefault="00605DD9" w:rsidP="000E4CFF">
      <w:pPr>
        <w:pStyle w:val="09ParaBullet1"/>
      </w:pPr>
      <w:r w:rsidRPr="00B33AA4">
        <w:lastRenderedPageBreak/>
        <w:t>Le taux d</w:t>
      </w:r>
      <w:r w:rsidR="00865E23" w:rsidRPr="00B33AA4">
        <w:t>’</w:t>
      </w:r>
      <w:r w:rsidRPr="00B33AA4">
        <w:t>actualisation appliqué pour déterminer l</w:t>
      </w:r>
      <w:r w:rsidR="00865E23" w:rsidRPr="00B33AA4">
        <w:t>’</w:t>
      </w:r>
      <w:r w:rsidRPr="00B33AA4">
        <w:t xml:space="preserve">obligation au titre des </w:t>
      </w:r>
      <w:r w:rsidR="00E87097" w:rsidRPr="00B33AA4">
        <w:t>avantages postérieurs à l</w:t>
      </w:r>
      <w:r w:rsidR="00865E23" w:rsidRPr="00B33AA4">
        <w:t>’</w:t>
      </w:r>
      <w:r w:rsidR="00E87097" w:rsidRPr="00B33AA4">
        <w:t xml:space="preserve">emploi </w:t>
      </w:r>
      <w:r w:rsidRPr="00B33AA4">
        <w:t xml:space="preserve">a été établi </w:t>
      </w:r>
      <w:r w:rsidR="00E87097" w:rsidRPr="00B33AA4">
        <w:t xml:space="preserve">par référence aux taux de rendement, </w:t>
      </w:r>
      <w:r w:rsidRPr="00B33AA4">
        <w:t xml:space="preserve">à la </w:t>
      </w:r>
      <w:r w:rsidR="00E87097" w:rsidRPr="00B33AA4">
        <w:t>fin de la</w:t>
      </w:r>
      <w:r w:rsidR="00F91D84">
        <w:t> </w:t>
      </w:r>
      <w:r w:rsidR="008C093A" w:rsidRPr="00B33AA4">
        <w:t>période</w:t>
      </w:r>
      <w:r w:rsidR="00E87097" w:rsidRPr="00B33AA4">
        <w:t xml:space="preserve"> de présentation de l</w:t>
      </w:r>
      <w:r w:rsidR="00865E23" w:rsidRPr="00B33AA4">
        <w:t>’</w:t>
      </w:r>
      <w:r w:rsidR="00E87097" w:rsidRPr="00B33AA4">
        <w:t xml:space="preserve">information financière, </w:t>
      </w:r>
      <w:r w:rsidR="00BA4994" w:rsidRPr="00B33AA4">
        <w:t>du marché des obligations d</w:t>
      </w:r>
      <w:r w:rsidR="00865E23" w:rsidRPr="00B33AA4">
        <w:t>’</w:t>
      </w:r>
      <w:r w:rsidR="00BA4994" w:rsidRPr="00B33AA4">
        <w:t>entreprise ou d</w:t>
      </w:r>
      <w:r w:rsidR="00865E23" w:rsidRPr="00B33AA4">
        <w:t>’</w:t>
      </w:r>
      <w:r w:rsidR="00BA4994" w:rsidRPr="00B33AA4">
        <w:t xml:space="preserve">État </w:t>
      </w:r>
      <w:r w:rsidRPr="00B33AA4">
        <w:t>de</w:t>
      </w:r>
      <w:r w:rsidR="00BA4994" w:rsidRPr="00B33AA4">
        <w:t xml:space="preserve"> haute </w:t>
      </w:r>
      <w:r w:rsidRPr="00B33AA4">
        <w:t>qualité</w:t>
      </w:r>
      <w:r w:rsidR="00BA4994" w:rsidRPr="00B33AA4">
        <w:t xml:space="preserve">, suivant le cas, </w:t>
      </w:r>
      <w:r w:rsidRPr="00B33AA4">
        <w:t>dont les flux de trésorerie correspondent à l</w:t>
      </w:r>
      <w:r w:rsidR="00865E23" w:rsidRPr="00B33AA4">
        <w:t>’</w:t>
      </w:r>
      <w:r w:rsidRPr="00B33AA4">
        <w:t xml:space="preserve">échelonnement et au montant des versements prévus au titre des </w:t>
      </w:r>
      <w:r w:rsidR="00415715" w:rsidRPr="00B33AA4">
        <w:t>avantages</w:t>
      </w:r>
      <w:r w:rsidR="001814EB" w:rsidRPr="00B33AA4">
        <w:t>.</w:t>
      </w:r>
      <w:r w:rsidR="00805412" w:rsidRPr="00B33AA4">
        <w:t xml:space="preserve"> </w:t>
      </w:r>
    </w:p>
    <w:p w14:paraId="773241E1" w14:textId="3E614B58" w:rsidR="009F1A32" w:rsidRPr="00B33AA4" w:rsidRDefault="00605DD9" w:rsidP="000E4CFF">
      <w:pPr>
        <w:pStyle w:val="09ParaBullet1"/>
      </w:pPr>
      <w:r w:rsidRPr="00B33AA4">
        <w:t>Les hypothèses sur lesquelles repose l</w:t>
      </w:r>
      <w:r w:rsidR="00865E23" w:rsidRPr="00B33AA4">
        <w:t>’</w:t>
      </w:r>
      <w:r w:rsidRPr="00B33AA4">
        <w:t xml:space="preserve">évaluation actuarielle sont celles que </w:t>
      </w:r>
      <w:r w:rsidR="00761A0A">
        <w:t xml:space="preserve">nous </w:t>
      </w:r>
      <w:r w:rsidRPr="00B33AA4">
        <w:t>a</w:t>
      </w:r>
      <w:r w:rsidR="00761A0A">
        <w:t>vons</w:t>
      </w:r>
      <w:r w:rsidRPr="00B33AA4">
        <w:t xml:space="preserve"> demandé à</w:t>
      </w:r>
      <w:r w:rsidR="00805412" w:rsidRPr="00B33AA4">
        <w:t xml:space="preserve"> [</w:t>
      </w:r>
      <w:r w:rsidR="00805412" w:rsidRPr="00B33AA4">
        <w:rPr>
          <w:i/>
          <w:color w:val="0000FF"/>
        </w:rPr>
        <w:t>n</w:t>
      </w:r>
      <w:r w:rsidRPr="00B33AA4">
        <w:rPr>
          <w:i/>
          <w:color w:val="0000FF"/>
        </w:rPr>
        <w:t>o</w:t>
      </w:r>
      <w:r w:rsidR="00805412" w:rsidRPr="00B33AA4">
        <w:rPr>
          <w:i/>
          <w:color w:val="0000FF"/>
        </w:rPr>
        <w:t>m</w:t>
      </w:r>
      <w:r w:rsidRPr="00B33AA4">
        <w:rPr>
          <w:i/>
          <w:color w:val="0000FF"/>
        </w:rPr>
        <w:t xml:space="preserve"> de l</w:t>
      </w:r>
      <w:r w:rsidR="00865E23" w:rsidRPr="00B33AA4">
        <w:rPr>
          <w:i/>
          <w:color w:val="0000FF"/>
        </w:rPr>
        <w:t>’</w:t>
      </w:r>
      <w:r w:rsidRPr="00B33AA4">
        <w:rPr>
          <w:i/>
          <w:color w:val="0000FF"/>
        </w:rPr>
        <w:t>actuaire</w:t>
      </w:r>
      <w:r w:rsidR="00805412" w:rsidRPr="00B33AA4">
        <w:t xml:space="preserve">] </w:t>
      </w:r>
      <w:r w:rsidRPr="00B33AA4">
        <w:t>d</w:t>
      </w:r>
      <w:r w:rsidR="00865E23" w:rsidRPr="00B33AA4">
        <w:t>’</w:t>
      </w:r>
      <w:r w:rsidRPr="00B33AA4">
        <w:t xml:space="preserve">utiliser pour calculer les montants devant </w:t>
      </w:r>
      <w:r w:rsidR="00761A0A">
        <w:t xml:space="preserve">nous </w:t>
      </w:r>
      <w:r w:rsidRPr="00B33AA4">
        <w:t xml:space="preserve">servir à déterminer le coût et les obligations au titre des prestations </w:t>
      </w:r>
      <w:r w:rsidR="00761A0A">
        <w:t xml:space="preserve">de retraite </w:t>
      </w:r>
      <w:r w:rsidRPr="00B33AA4">
        <w:t xml:space="preserve">et </w:t>
      </w:r>
      <w:r w:rsidR="00BB5A08" w:rsidRPr="00B33AA4">
        <w:t xml:space="preserve">à </w:t>
      </w:r>
      <w:r w:rsidRPr="00B33AA4">
        <w:t xml:space="preserve">présenter les informations nécessaires dans les états financiers </w:t>
      </w:r>
      <w:r w:rsidR="00805412" w:rsidRPr="00B33AA4">
        <w:t>[</w:t>
      </w:r>
      <w:r w:rsidR="00805412" w:rsidRPr="00B33AA4">
        <w:rPr>
          <w:color w:val="0000FF"/>
        </w:rPr>
        <w:t>consolid</w:t>
      </w:r>
      <w:r w:rsidRPr="00B33AA4">
        <w:rPr>
          <w:color w:val="0000FF"/>
        </w:rPr>
        <w:t>és</w:t>
      </w:r>
      <w:r w:rsidR="00805412" w:rsidRPr="00B33AA4">
        <w:t xml:space="preserve">] </w:t>
      </w:r>
      <w:r w:rsidRPr="00B33AA4">
        <w:t>conformément au chapitre IAS</w:t>
      </w:r>
      <w:r w:rsidR="00467B01" w:rsidRPr="00B33AA4">
        <w:t> </w:t>
      </w:r>
      <w:r w:rsidRPr="00B33AA4">
        <w:t>19</w:t>
      </w:r>
      <w:r w:rsidR="00C55C35">
        <w:t>.</w:t>
      </w:r>
    </w:p>
    <w:p w14:paraId="5E1640B5" w14:textId="0914EADD" w:rsidR="00805412" w:rsidRPr="00B33AA4" w:rsidRDefault="00605DD9" w:rsidP="000E4CFF">
      <w:pPr>
        <w:pStyle w:val="09ParaBullet1"/>
      </w:pPr>
      <w:r w:rsidRPr="00B33AA4">
        <w:t xml:space="preserve">Pour parvenir à ces hypothèses, </w:t>
      </w:r>
      <w:r w:rsidR="00761A0A">
        <w:t xml:space="preserve">nous </w:t>
      </w:r>
      <w:r w:rsidRPr="00B33AA4">
        <w:t>a</w:t>
      </w:r>
      <w:r w:rsidR="00761A0A">
        <w:t>vons</w:t>
      </w:r>
      <w:r w:rsidRPr="00B33AA4">
        <w:t xml:space="preserve"> obtenu les conseils de [</w:t>
      </w:r>
      <w:r w:rsidR="008C093A" w:rsidRPr="00B33AA4">
        <w:rPr>
          <w:color w:val="0000FF"/>
        </w:rPr>
        <w:t>actuaires</w:t>
      </w:r>
      <w:r w:rsidR="00467B01" w:rsidRPr="00B33AA4">
        <w:rPr>
          <w:color w:val="0000FF"/>
        </w:rPr>
        <w:noBreakHyphen/>
      </w:r>
      <w:r w:rsidR="008C093A" w:rsidRPr="00B33AA4">
        <w:rPr>
          <w:color w:val="0000FF"/>
        </w:rPr>
        <w:t>conseils</w:t>
      </w:r>
      <w:r w:rsidR="00BB5A08" w:rsidRPr="00B33AA4">
        <w:rPr>
          <w:color w:val="0000FF"/>
        </w:rPr>
        <w:t xml:space="preserve"> qui ont contribué à établir les meilleures estimations</w:t>
      </w:r>
      <w:r w:rsidRPr="00B33AA4">
        <w:t xml:space="preserve">], mais </w:t>
      </w:r>
      <w:r w:rsidR="00761A0A">
        <w:t xml:space="preserve">nous </w:t>
      </w:r>
      <w:r w:rsidRPr="00B33AA4">
        <w:t>en assum</w:t>
      </w:r>
      <w:r w:rsidR="00761A0A">
        <w:t>ons</w:t>
      </w:r>
      <w:r w:rsidRPr="00B33AA4">
        <w:t xml:space="preserve"> la responsabilité</w:t>
      </w:r>
      <w:r w:rsidR="00BB5A08" w:rsidRPr="00B33AA4">
        <w:t xml:space="preserve"> ultime</w:t>
      </w:r>
      <w:r w:rsidR="001814EB" w:rsidRPr="00B33AA4">
        <w:t>.</w:t>
      </w:r>
    </w:p>
    <w:p w14:paraId="16BD5638" w14:textId="77777777" w:rsidR="00805412" w:rsidRPr="00B33AA4" w:rsidRDefault="00605DD9" w:rsidP="000E4CFF">
      <w:pPr>
        <w:pStyle w:val="09ParaBullet1"/>
      </w:pPr>
      <w:r w:rsidRPr="00B33AA4">
        <w:t>Les données de base et les dispositions du régime fournies à l</w:t>
      </w:r>
      <w:r w:rsidR="00865E23" w:rsidRPr="00B33AA4">
        <w:t>’</w:t>
      </w:r>
      <w:r w:rsidRPr="00B33AA4">
        <w:t>actuaire pour effectuer l</w:t>
      </w:r>
      <w:r w:rsidR="00865E23" w:rsidRPr="00B33AA4">
        <w:t>’</w:t>
      </w:r>
      <w:r w:rsidRPr="00B33AA4">
        <w:t>évaluation actuarielle sont exactes et exhaustives</w:t>
      </w:r>
      <w:r w:rsidR="00FE3216" w:rsidRPr="00B33AA4">
        <w:t>.</w:t>
      </w:r>
    </w:p>
    <w:p w14:paraId="78A15C7C" w14:textId="12D5978F" w:rsidR="009679E3" w:rsidRPr="00B33AA4" w:rsidRDefault="00CD3903" w:rsidP="000E4CFF">
      <w:pPr>
        <w:pStyle w:val="09ParaBullet1"/>
      </w:pPr>
      <w:r w:rsidRPr="00B33AA4">
        <w:t>La description des caractéristiques des régimes à prestations définies et des risques qui</w:t>
      </w:r>
      <w:r w:rsidR="00F91D84">
        <w:t> </w:t>
      </w:r>
      <w:r w:rsidRPr="00B33AA4">
        <w:t xml:space="preserve">y sont associés, les explications </w:t>
      </w:r>
      <w:r w:rsidR="00EE707E" w:rsidRPr="00B33AA4">
        <w:t>sur l</w:t>
      </w:r>
      <w:r w:rsidRPr="00B33AA4">
        <w:t>es montants contenus dans les états financiers</w:t>
      </w:r>
      <w:r w:rsidR="004E1816" w:rsidRPr="00B33AA4">
        <w:t xml:space="preserve"> [</w:t>
      </w:r>
      <w:r w:rsidR="004E1816" w:rsidRPr="00B33AA4">
        <w:rPr>
          <w:color w:val="0000FF"/>
        </w:rPr>
        <w:t>consolidés</w:t>
      </w:r>
      <w:r w:rsidR="004E1816" w:rsidRPr="00B33AA4">
        <w:t xml:space="preserve">] </w:t>
      </w:r>
      <w:r w:rsidRPr="00B33AA4">
        <w:t xml:space="preserve">et les </w:t>
      </w:r>
      <w:r w:rsidR="008C093A" w:rsidRPr="00B33AA4">
        <w:t>informations</w:t>
      </w:r>
      <w:r w:rsidRPr="00B33AA4">
        <w:t xml:space="preserve"> fournies sur le montant, l</w:t>
      </w:r>
      <w:r w:rsidR="00865E23" w:rsidRPr="00B33AA4">
        <w:t>’</w:t>
      </w:r>
      <w:r w:rsidRPr="00B33AA4">
        <w:t>échéancier et le degré d</w:t>
      </w:r>
      <w:r w:rsidR="00865E23" w:rsidRPr="00B33AA4">
        <w:t>’</w:t>
      </w:r>
      <w:r w:rsidRPr="00B33AA4">
        <w:t>incertitude des flux de trésorerie futurs</w:t>
      </w:r>
      <w:r w:rsidR="009F1A32" w:rsidRPr="00B33AA4">
        <w:t>,</w:t>
      </w:r>
      <w:r w:rsidRPr="00B33AA4">
        <w:t xml:space="preserve"> </w:t>
      </w:r>
      <w:r w:rsidR="009F1A32" w:rsidRPr="00B33AA4">
        <w:t>[</w:t>
      </w:r>
      <w:r w:rsidRPr="00B33AA4">
        <w:rPr>
          <w:color w:val="0000FF"/>
        </w:rPr>
        <w:t>les régimes multi</w:t>
      </w:r>
      <w:r w:rsidR="00467B01" w:rsidRPr="00B33AA4">
        <w:rPr>
          <w:color w:val="0000FF"/>
        </w:rPr>
        <w:noBreakHyphen/>
      </w:r>
      <w:r w:rsidR="009F1A32" w:rsidRPr="00B33AA4">
        <w:rPr>
          <w:color w:val="0000FF"/>
        </w:rPr>
        <w:t>employe</w:t>
      </w:r>
      <w:r w:rsidRPr="00B33AA4">
        <w:rPr>
          <w:color w:val="0000FF"/>
        </w:rPr>
        <w:t>u</w:t>
      </w:r>
      <w:r w:rsidR="009F1A32" w:rsidRPr="00B33AA4">
        <w:rPr>
          <w:color w:val="0000FF"/>
        </w:rPr>
        <w:t>r</w:t>
      </w:r>
      <w:r w:rsidRPr="00B33AA4">
        <w:rPr>
          <w:color w:val="0000FF"/>
        </w:rPr>
        <w:t>s</w:t>
      </w:r>
      <w:r w:rsidR="009F1A32" w:rsidRPr="00B33AA4">
        <w:t xml:space="preserve">] </w:t>
      </w:r>
      <w:r w:rsidRPr="00B33AA4">
        <w:t xml:space="preserve">et </w:t>
      </w:r>
      <w:r w:rsidR="009F1A32" w:rsidRPr="00B33AA4">
        <w:t>[</w:t>
      </w:r>
      <w:r w:rsidRPr="00B33AA4">
        <w:rPr>
          <w:color w:val="0000FF"/>
        </w:rPr>
        <w:t xml:space="preserve">les régimes à </w:t>
      </w:r>
      <w:r w:rsidR="008C093A" w:rsidRPr="00B33AA4">
        <w:rPr>
          <w:color w:val="0000FF"/>
        </w:rPr>
        <w:t>prestations</w:t>
      </w:r>
      <w:r w:rsidRPr="00B33AA4">
        <w:rPr>
          <w:color w:val="0000FF"/>
        </w:rPr>
        <w:t xml:space="preserve"> définies dont les risques sont partagés par des entités soumises à un contrôle commun</w:t>
      </w:r>
      <w:r w:rsidR="009F1A32" w:rsidRPr="00B33AA4">
        <w:t xml:space="preserve">] </w:t>
      </w:r>
      <w:r w:rsidRPr="00B33AA4">
        <w:t>sont exhaustives</w:t>
      </w:r>
      <w:r w:rsidR="001814EB" w:rsidRPr="00B33AA4">
        <w:t>.</w:t>
      </w:r>
    </w:p>
    <w:p w14:paraId="6165FF73" w14:textId="57BF493D" w:rsidR="00805412" w:rsidRPr="00B33AA4" w:rsidRDefault="001C6213" w:rsidP="000E4CFF">
      <w:pPr>
        <w:pStyle w:val="09ParaBullet1"/>
      </w:pPr>
      <w:r w:rsidRPr="00B33AA4">
        <w:t xml:space="preserve">Tout impôt afférent aux régimes à prestations </w:t>
      </w:r>
      <w:r w:rsidR="008C093A" w:rsidRPr="00B33AA4">
        <w:t xml:space="preserve">a </w:t>
      </w:r>
      <w:r w:rsidRPr="00B33AA4">
        <w:t>été</w:t>
      </w:r>
      <w:r w:rsidR="00DD12D7" w:rsidRPr="00B33AA4">
        <w:t xml:space="preserve"> adéquatement</w:t>
      </w:r>
      <w:r w:rsidRPr="00B33AA4">
        <w:t xml:space="preserve"> comptabilisé dans </w:t>
      </w:r>
      <w:r w:rsidR="00FE3216" w:rsidRPr="00B33AA4">
        <w:t>[</w:t>
      </w:r>
      <w:r w:rsidR="00FE3216" w:rsidRPr="00B33AA4">
        <w:rPr>
          <w:color w:val="0000FF"/>
        </w:rPr>
        <w:t>l</w:t>
      </w:r>
      <w:r w:rsidR="009F1A32" w:rsidRPr="00B33AA4">
        <w:rPr>
          <w:color w:val="0000FF"/>
        </w:rPr>
        <w:t>e</w:t>
      </w:r>
      <w:r w:rsidR="009E4F8A">
        <w:rPr>
          <w:color w:val="0000FF"/>
        </w:rPr>
        <w:t> </w:t>
      </w:r>
      <w:r w:rsidR="009F1A32" w:rsidRPr="00B33AA4">
        <w:rPr>
          <w:color w:val="0000FF"/>
        </w:rPr>
        <w:t>re</w:t>
      </w:r>
      <w:r w:rsidR="00FE3216" w:rsidRPr="00B33AA4">
        <w:rPr>
          <w:color w:val="0000FF"/>
        </w:rPr>
        <w:t>ndement des actifs</w:t>
      </w:r>
      <w:r w:rsidR="009F1A32" w:rsidRPr="00B33AA4">
        <w:t xml:space="preserve">] </w:t>
      </w:r>
      <w:r w:rsidR="00687AD2" w:rsidRPr="00B33AA4">
        <w:t>ou</w:t>
      </w:r>
      <w:r w:rsidR="00467B01" w:rsidRPr="00B33AA4">
        <w:t xml:space="preserve"> </w:t>
      </w:r>
      <w:r w:rsidR="009F1A32" w:rsidRPr="00B33AA4">
        <w:t>[</w:t>
      </w:r>
      <w:r w:rsidR="00FE3216" w:rsidRPr="00B33AA4">
        <w:rPr>
          <w:color w:val="0000FF"/>
        </w:rPr>
        <w:t>le calcul de l</w:t>
      </w:r>
      <w:r w:rsidR="00865E23" w:rsidRPr="00B33AA4">
        <w:rPr>
          <w:color w:val="0000FF"/>
        </w:rPr>
        <w:t>’</w:t>
      </w:r>
      <w:r w:rsidR="00FE3216" w:rsidRPr="00B33AA4">
        <w:rPr>
          <w:color w:val="0000FF"/>
        </w:rPr>
        <w:t>obligation au titre des avantages postérieurs à</w:t>
      </w:r>
      <w:r w:rsidR="009E4F8A">
        <w:rPr>
          <w:color w:val="0000FF"/>
        </w:rPr>
        <w:t> </w:t>
      </w:r>
      <w:r w:rsidR="00FE3216" w:rsidRPr="00B33AA4">
        <w:rPr>
          <w:color w:val="0000FF"/>
        </w:rPr>
        <w:t>l</w:t>
      </w:r>
      <w:r w:rsidR="00865E23" w:rsidRPr="00B33AA4">
        <w:rPr>
          <w:color w:val="0000FF"/>
        </w:rPr>
        <w:t>’</w:t>
      </w:r>
      <w:r w:rsidR="00FE3216" w:rsidRPr="00B33AA4">
        <w:rPr>
          <w:color w:val="0000FF"/>
        </w:rPr>
        <w:t>emploi</w:t>
      </w:r>
      <w:r w:rsidR="002407B9" w:rsidRPr="00B33AA4">
        <w:t>]</w:t>
      </w:r>
      <w:r w:rsidR="00FE3216" w:rsidRPr="00B33AA4">
        <w:t xml:space="preserve"> en fonction de </w:t>
      </w:r>
      <w:r w:rsidR="008C093A" w:rsidRPr="00B33AA4">
        <w:t xml:space="preserve">sa </w:t>
      </w:r>
      <w:r w:rsidR="00FE3216" w:rsidRPr="00B33AA4">
        <w:t>nature</w:t>
      </w:r>
      <w:r w:rsidR="001814EB" w:rsidRPr="00B33AA4">
        <w:t>.</w:t>
      </w:r>
    </w:p>
    <w:p w14:paraId="2105C91A" w14:textId="77777777" w:rsidR="00805412" w:rsidRPr="00B33AA4" w:rsidRDefault="00605DD9" w:rsidP="000E4CFF">
      <w:pPr>
        <w:pStyle w:val="09ParaBullet1"/>
      </w:pPr>
      <w:r w:rsidRPr="00B33AA4">
        <w:t xml:space="preserve">Toutes les modifications apportées aux dispositions du régime </w:t>
      </w:r>
      <w:r w:rsidR="00EE707E" w:rsidRPr="00B33AA4">
        <w:t xml:space="preserve">[des régimes] </w:t>
      </w:r>
      <w:r w:rsidRPr="00B33AA4">
        <w:t>ou tous les faits survenus après la date de l</w:t>
      </w:r>
      <w:r w:rsidR="00865E23" w:rsidRPr="00B33AA4">
        <w:t>’</w:t>
      </w:r>
      <w:r w:rsidRPr="00B33AA4">
        <w:t>évaluation actuarielle et jusqu</w:t>
      </w:r>
      <w:r w:rsidR="00865E23" w:rsidRPr="00B33AA4">
        <w:t>’</w:t>
      </w:r>
      <w:r w:rsidRPr="00B33AA4">
        <w:t>à la date de la présente lettre ont été pris en compte dans la détermination d</w:t>
      </w:r>
      <w:r w:rsidR="00FE3216" w:rsidRPr="00B33AA4">
        <w:t>u</w:t>
      </w:r>
      <w:r w:rsidRPr="00B33AA4">
        <w:t xml:space="preserve"> coût et des obligations au titre des prestations de retraite et vous ont été communiqués ainsi qu</w:t>
      </w:r>
      <w:r w:rsidR="00865E23" w:rsidRPr="00B33AA4">
        <w:t>’</w:t>
      </w:r>
      <w:r w:rsidRPr="00B33AA4">
        <w:t>à l</w:t>
      </w:r>
      <w:r w:rsidR="00865E23" w:rsidRPr="00B33AA4">
        <w:t>’</w:t>
      </w:r>
      <w:r w:rsidRPr="00B33AA4">
        <w:t>actuaire</w:t>
      </w:r>
      <w:r w:rsidR="00687AD2" w:rsidRPr="00B33AA4">
        <w:t>.</w:t>
      </w:r>
    </w:p>
    <w:p w14:paraId="7600BA9E" w14:textId="77777777" w:rsidR="00805412" w:rsidRPr="00B33AA4" w:rsidRDefault="006C51A2" w:rsidP="00687AD2">
      <w:pPr>
        <w:pStyle w:val="Heading3"/>
      </w:pPr>
      <w:bookmarkStart w:id="51" w:name="OLE_LINK1"/>
      <w:r w:rsidRPr="00B33AA4">
        <w:t>Impôts différés</w:t>
      </w:r>
      <w:bookmarkEnd w:id="51"/>
    </w:p>
    <w:p w14:paraId="150426E1" w14:textId="4F379539" w:rsidR="00805412" w:rsidRPr="00B33AA4" w:rsidRDefault="006C51A2" w:rsidP="008F2193">
      <w:pPr>
        <w:pStyle w:val="09Para"/>
      </w:pPr>
      <w:r w:rsidRPr="00B33AA4">
        <w:t>L</w:t>
      </w:r>
      <w:r w:rsidR="00865E23" w:rsidRPr="00B33AA4">
        <w:t>’</w:t>
      </w:r>
      <w:r w:rsidRPr="00B33AA4">
        <w:t>actif d</w:t>
      </w:r>
      <w:r w:rsidR="00865E23" w:rsidRPr="00B33AA4">
        <w:t>’</w:t>
      </w:r>
      <w:r w:rsidRPr="00B33AA4">
        <w:t xml:space="preserve">impôt différé </w:t>
      </w:r>
      <w:r w:rsidR="00761A0A">
        <w:t xml:space="preserve">à la date de l’état </w:t>
      </w:r>
      <w:r w:rsidR="00761A0A" w:rsidRPr="00B33AA4">
        <w:rPr>
          <w:rFonts w:eastAsia="Calibri"/>
        </w:rPr>
        <w:t>[</w:t>
      </w:r>
      <w:r w:rsidR="00761A0A">
        <w:rPr>
          <w:rFonts w:eastAsia="Calibri"/>
          <w:color w:val="0000FF"/>
        </w:rPr>
        <w:t>consolidé</w:t>
      </w:r>
      <w:r w:rsidR="00761A0A" w:rsidRPr="00B33AA4">
        <w:rPr>
          <w:rFonts w:eastAsia="Calibri"/>
        </w:rPr>
        <w:t xml:space="preserve">] </w:t>
      </w:r>
      <w:r w:rsidR="00761A0A">
        <w:t xml:space="preserve">de la situation financière </w:t>
      </w:r>
      <w:r w:rsidRPr="00B33AA4">
        <w:t>a été</w:t>
      </w:r>
      <w:r w:rsidR="00346EE4">
        <w:t xml:space="preserve"> comptabilisé</w:t>
      </w:r>
      <w:r w:rsidR="003B0CFB">
        <w:t xml:space="preserve"> </w:t>
      </w:r>
      <w:r w:rsidRPr="00B33AA4">
        <w:t>conformément aux dispositions de l</w:t>
      </w:r>
      <w:r w:rsidR="00865E23" w:rsidRPr="00B33AA4">
        <w:t>’</w:t>
      </w:r>
      <w:r w:rsidRPr="00B33AA4">
        <w:t>IAS</w:t>
      </w:r>
      <w:r w:rsidR="00467B01" w:rsidRPr="00B33AA4">
        <w:t> </w:t>
      </w:r>
      <w:r w:rsidRPr="00B33AA4">
        <w:t>12, Impôts sur le résultat</w:t>
      </w:r>
      <w:r w:rsidR="00467B01" w:rsidRPr="00B33AA4">
        <w:t xml:space="preserve"> </w:t>
      </w:r>
      <w:r w:rsidR="00DC0D39" w:rsidRPr="00B33AA4">
        <w:t xml:space="preserve">dans la mesure où il est probable </w:t>
      </w:r>
      <w:r w:rsidR="00EE707E" w:rsidRPr="00B33AA4">
        <w:t>qu’</w:t>
      </w:r>
      <w:r w:rsidR="00DC0D39" w:rsidRPr="00B33AA4">
        <w:t xml:space="preserve">un bénéfice imposable, auquel </w:t>
      </w:r>
      <w:r w:rsidR="00EE707E" w:rsidRPr="00B33AA4">
        <w:t>l</w:t>
      </w:r>
      <w:r w:rsidR="00DC0D39" w:rsidRPr="00B33AA4">
        <w:t>es différences tempo</w:t>
      </w:r>
      <w:r w:rsidR="00BB5221" w:rsidRPr="00B33AA4">
        <w:t xml:space="preserve">raires </w:t>
      </w:r>
      <w:r w:rsidR="00CA3757" w:rsidRPr="00B33AA4">
        <w:t xml:space="preserve">déductibles </w:t>
      </w:r>
      <w:r w:rsidR="00BB5221" w:rsidRPr="00B33AA4">
        <w:t>pourront être imputées, sera disponible. [</w:t>
      </w:r>
      <w:r w:rsidR="00BB5221" w:rsidRPr="00B33AA4">
        <w:rPr>
          <w:i/>
          <w:color w:val="0000FF"/>
        </w:rPr>
        <w:t>Ajouter le libellé adapté pour décrire comment l</w:t>
      </w:r>
      <w:r w:rsidR="00865E23" w:rsidRPr="00B33AA4">
        <w:rPr>
          <w:i/>
          <w:color w:val="0000FF"/>
        </w:rPr>
        <w:t>’</w:t>
      </w:r>
      <w:r w:rsidR="00BB5221" w:rsidRPr="00B33AA4">
        <w:rPr>
          <w:i/>
          <w:color w:val="0000FF"/>
        </w:rPr>
        <w:t>entité détermine qu</w:t>
      </w:r>
      <w:r w:rsidR="00865E23" w:rsidRPr="00B33AA4">
        <w:rPr>
          <w:i/>
          <w:color w:val="0000FF"/>
        </w:rPr>
        <w:t>’</w:t>
      </w:r>
      <w:r w:rsidR="00BB5221" w:rsidRPr="00B33AA4">
        <w:rPr>
          <w:i/>
          <w:color w:val="0000FF"/>
        </w:rPr>
        <w:t>un actif d</w:t>
      </w:r>
      <w:r w:rsidR="00865E23" w:rsidRPr="00B33AA4">
        <w:rPr>
          <w:i/>
          <w:color w:val="0000FF"/>
        </w:rPr>
        <w:t>’</w:t>
      </w:r>
      <w:r w:rsidR="00BB5221" w:rsidRPr="00B33AA4">
        <w:rPr>
          <w:i/>
          <w:color w:val="0000FF"/>
        </w:rPr>
        <w:t>impôt différé sera probablement généré</w:t>
      </w:r>
      <w:r w:rsidR="00805412" w:rsidRPr="00B33AA4">
        <w:rPr>
          <w:i/>
          <w:color w:val="0000FF"/>
        </w:rPr>
        <w:t>.</w:t>
      </w:r>
      <w:r w:rsidR="00805412" w:rsidRPr="00B33AA4">
        <w:t>]</w:t>
      </w:r>
    </w:p>
    <w:p w14:paraId="5B54335E" w14:textId="77777777" w:rsidR="00805412" w:rsidRPr="00B33AA4" w:rsidRDefault="00805412" w:rsidP="008F2193">
      <w:pPr>
        <w:pStyle w:val="09Para"/>
        <w:rPr>
          <w:i/>
        </w:rPr>
      </w:pPr>
      <w:r w:rsidRPr="00B33AA4">
        <w:rPr>
          <w:i/>
          <w:color w:val="0000FF"/>
        </w:rPr>
        <w:t>O</w:t>
      </w:r>
      <w:r w:rsidR="00BB5221" w:rsidRPr="00B33AA4">
        <w:rPr>
          <w:i/>
          <w:color w:val="0000FF"/>
        </w:rPr>
        <w:t>U</w:t>
      </w:r>
    </w:p>
    <w:p w14:paraId="48438EBD" w14:textId="77777777" w:rsidR="00805412" w:rsidRPr="00B33AA4" w:rsidRDefault="00BB5221" w:rsidP="008F2193">
      <w:pPr>
        <w:pStyle w:val="09Para"/>
      </w:pPr>
      <w:r w:rsidRPr="00B33AA4">
        <w:t>Un actif d</w:t>
      </w:r>
      <w:r w:rsidR="00865E23" w:rsidRPr="00B33AA4">
        <w:t>’</w:t>
      </w:r>
      <w:r w:rsidRPr="00B33AA4">
        <w:t>impôt différé</w:t>
      </w:r>
      <w:r w:rsidRPr="00B33AA4">
        <w:rPr>
          <w:rFonts w:eastAsia="Calibri"/>
        </w:rPr>
        <w:t xml:space="preserve"> </w:t>
      </w:r>
      <w:r w:rsidR="00BA274C" w:rsidRPr="00B33AA4">
        <w:rPr>
          <w:rFonts w:eastAsia="Calibri"/>
        </w:rPr>
        <w:t xml:space="preserve">à la </w:t>
      </w:r>
      <w:r w:rsidRPr="00B33AA4">
        <w:rPr>
          <w:rFonts w:eastAsia="Calibri"/>
        </w:rPr>
        <w:t>date de l</w:t>
      </w:r>
      <w:r w:rsidR="00865E23" w:rsidRPr="00B33AA4">
        <w:rPr>
          <w:rFonts w:eastAsia="Calibri"/>
        </w:rPr>
        <w:t>’</w:t>
      </w:r>
      <w:r w:rsidRPr="00B33AA4">
        <w:rPr>
          <w:rFonts w:eastAsia="Calibri"/>
        </w:rPr>
        <w:t>état</w:t>
      </w:r>
      <w:r w:rsidR="00805412" w:rsidRPr="00B33AA4">
        <w:rPr>
          <w:rFonts w:eastAsia="Calibri"/>
        </w:rPr>
        <w:t xml:space="preserve"> [</w:t>
      </w:r>
      <w:r w:rsidR="00805412" w:rsidRPr="00B33AA4">
        <w:rPr>
          <w:rFonts w:eastAsia="Calibri"/>
          <w:color w:val="0000FF"/>
        </w:rPr>
        <w:t>consolid</w:t>
      </w:r>
      <w:r w:rsidRPr="00B33AA4">
        <w:rPr>
          <w:rFonts w:eastAsia="Calibri"/>
          <w:color w:val="0000FF"/>
        </w:rPr>
        <w:t>é</w:t>
      </w:r>
      <w:r w:rsidR="00805412" w:rsidRPr="00B33AA4">
        <w:rPr>
          <w:rFonts w:eastAsia="Calibri"/>
        </w:rPr>
        <w:t xml:space="preserve">] </w:t>
      </w:r>
      <w:r w:rsidRPr="00B33AA4">
        <w:rPr>
          <w:rFonts w:eastAsia="Calibri"/>
        </w:rPr>
        <w:t xml:space="preserve">de la </w:t>
      </w:r>
      <w:r w:rsidR="00805412" w:rsidRPr="00B33AA4">
        <w:rPr>
          <w:rFonts w:eastAsia="Calibri"/>
        </w:rPr>
        <w:t>s</w:t>
      </w:r>
      <w:r w:rsidRPr="00B33AA4">
        <w:rPr>
          <w:rFonts w:eastAsia="Calibri"/>
        </w:rPr>
        <w:t xml:space="preserve">ituation financière </w:t>
      </w:r>
      <w:r w:rsidR="00BA274C" w:rsidRPr="00B33AA4">
        <w:rPr>
          <w:rFonts w:eastAsia="Calibri"/>
        </w:rPr>
        <w:t>n</w:t>
      </w:r>
      <w:r w:rsidR="00865E23" w:rsidRPr="00B33AA4">
        <w:rPr>
          <w:rFonts w:eastAsia="Calibri"/>
        </w:rPr>
        <w:t>’</w:t>
      </w:r>
      <w:r w:rsidR="00BA274C" w:rsidRPr="00B33AA4">
        <w:rPr>
          <w:rFonts w:eastAsia="Calibri"/>
        </w:rPr>
        <w:t>a pas été comptabilisé, car il est probable qu</w:t>
      </w:r>
      <w:r w:rsidR="00865E23" w:rsidRPr="00B33AA4">
        <w:rPr>
          <w:rFonts w:eastAsia="Calibri"/>
        </w:rPr>
        <w:t>’</w:t>
      </w:r>
      <w:r w:rsidR="00BA274C" w:rsidRPr="00B33AA4">
        <w:rPr>
          <w:rFonts w:eastAsia="Calibri"/>
        </w:rPr>
        <w:t xml:space="preserve">il ne sera pas </w:t>
      </w:r>
      <w:r w:rsidR="00166970" w:rsidRPr="00B33AA4">
        <w:rPr>
          <w:rFonts w:eastAsia="Calibri"/>
        </w:rPr>
        <w:t>réalisé</w:t>
      </w:r>
      <w:r w:rsidR="00805412" w:rsidRPr="00B33AA4">
        <w:rPr>
          <w:rFonts w:eastAsia="Calibri"/>
        </w:rPr>
        <w:t>.</w:t>
      </w:r>
    </w:p>
    <w:p w14:paraId="62C7D095" w14:textId="77777777" w:rsidR="00805412" w:rsidRPr="00B33AA4" w:rsidRDefault="00BA274C" w:rsidP="008F2193">
      <w:pPr>
        <w:pStyle w:val="09Para"/>
      </w:pPr>
      <w:r w:rsidRPr="00B33AA4">
        <w:t xml:space="preserve">Nous sommes en mesure de tirer profit des </w:t>
      </w:r>
      <w:r w:rsidR="005C1E5D" w:rsidRPr="00B33AA4">
        <w:rPr>
          <w:rFonts w:eastAsia="Calibri"/>
        </w:rPr>
        <w:t xml:space="preserve">opportunités </w:t>
      </w:r>
      <w:r w:rsidR="008C093A" w:rsidRPr="00B33AA4">
        <w:rPr>
          <w:rFonts w:eastAsia="Calibri"/>
        </w:rPr>
        <w:t>liées</w:t>
      </w:r>
      <w:r w:rsidR="005C1E5D" w:rsidRPr="00B33AA4">
        <w:rPr>
          <w:rFonts w:eastAsia="Calibri"/>
        </w:rPr>
        <w:t xml:space="preserve"> à la gestion fiscale </w:t>
      </w:r>
      <w:r w:rsidRPr="00B33AA4">
        <w:rPr>
          <w:rFonts w:eastAsia="Calibri"/>
        </w:rPr>
        <w:t xml:space="preserve">recensées pour favoriser la </w:t>
      </w:r>
      <w:r w:rsidR="00166970" w:rsidRPr="00B33AA4">
        <w:rPr>
          <w:rFonts w:eastAsia="Calibri"/>
        </w:rPr>
        <w:t xml:space="preserve">réalisation </w:t>
      </w:r>
      <w:r w:rsidRPr="00B33AA4">
        <w:rPr>
          <w:rFonts w:eastAsia="Calibri"/>
        </w:rPr>
        <w:t>d</w:t>
      </w:r>
      <w:r w:rsidR="00865E23" w:rsidRPr="00B33AA4">
        <w:rPr>
          <w:rFonts w:eastAsia="Calibri"/>
        </w:rPr>
        <w:t>’</w:t>
      </w:r>
      <w:r w:rsidRPr="00B33AA4">
        <w:rPr>
          <w:rFonts w:eastAsia="Calibri"/>
        </w:rPr>
        <w:t>un actif d</w:t>
      </w:r>
      <w:r w:rsidR="00865E23" w:rsidRPr="00B33AA4">
        <w:rPr>
          <w:rFonts w:eastAsia="Calibri"/>
        </w:rPr>
        <w:t>’</w:t>
      </w:r>
      <w:r w:rsidRPr="00B33AA4">
        <w:rPr>
          <w:rFonts w:eastAsia="Calibri"/>
        </w:rPr>
        <w:t>impôt différé</w:t>
      </w:r>
      <w:r w:rsidR="00805412" w:rsidRPr="00B33AA4">
        <w:t xml:space="preserve">. </w:t>
      </w:r>
      <w:r w:rsidR="005C254A" w:rsidRPr="00B33AA4">
        <w:t>De plus, la direction</w:t>
      </w:r>
      <w:r w:rsidR="008666BD" w:rsidRPr="00B33AA4">
        <w:t xml:space="preserve"> est en mesure de </w:t>
      </w:r>
      <w:r w:rsidR="008666BD" w:rsidRPr="00B33AA4">
        <w:lastRenderedPageBreak/>
        <w:t>mettre ces opportunités en œuvre, au besoin</w:t>
      </w:r>
      <w:r w:rsidR="00EE707E" w:rsidRPr="00B33AA4">
        <w:t>, et elle prévoit le faire</w:t>
      </w:r>
      <w:r w:rsidR="008666BD" w:rsidRPr="00B33AA4">
        <w:t xml:space="preserve">. </w:t>
      </w:r>
      <w:r w:rsidR="00166970" w:rsidRPr="00B33AA4">
        <w:t>L</w:t>
      </w:r>
      <w:r w:rsidR="008666BD" w:rsidRPr="00B33AA4">
        <w:t xml:space="preserve">es effets des charges et des pertes attribuables à la mise en œuvre des </w:t>
      </w:r>
      <w:r w:rsidR="008666BD" w:rsidRPr="00B33AA4">
        <w:rPr>
          <w:rFonts w:eastAsia="Calibri"/>
        </w:rPr>
        <w:t>opportunités lié</w:t>
      </w:r>
      <w:r w:rsidR="00CA3757" w:rsidRPr="00B33AA4">
        <w:rPr>
          <w:rFonts w:eastAsia="Calibri"/>
        </w:rPr>
        <w:t>e</w:t>
      </w:r>
      <w:r w:rsidR="008666BD" w:rsidRPr="00B33AA4">
        <w:rPr>
          <w:rFonts w:eastAsia="Calibri"/>
        </w:rPr>
        <w:t>s à la gestion fiscale</w:t>
      </w:r>
      <w:r w:rsidR="00166970" w:rsidRPr="00B33AA4">
        <w:rPr>
          <w:rFonts w:eastAsia="Calibri"/>
        </w:rPr>
        <w:t xml:space="preserve"> ont été pris en compte lors de l</w:t>
      </w:r>
      <w:r w:rsidR="00865E23" w:rsidRPr="00B33AA4">
        <w:rPr>
          <w:rFonts w:eastAsia="Calibri"/>
        </w:rPr>
        <w:t>’</w:t>
      </w:r>
      <w:r w:rsidR="00166970" w:rsidRPr="00B33AA4">
        <w:rPr>
          <w:rFonts w:eastAsia="Calibri"/>
        </w:rPr>
        <w:t xml:space="preserve">évaluation de la </w:t>
      </w:r>
      <w:r w:rsidR="00CA3757" w:rsidRPr="00B33AA4">
        <w:rPr>
          <w:rFonts w:eastAsia="Calibri"/>
        </w:rPr>
        <w:t xml:space="preserve">possibilité de </w:t>
      </w:r>
      <w:r w:rsidR="00166970" w:rsidRPr="00B33AA4">
        <w:rPr>
          <w:rFonts w:eastAsia="Calibri"/>
        </w:rPr>
        <w:t>réaliser l</w:t>
      </w:r>
      <w:r w:rsidR="00865E23" w:rsidRPr="00B33AA4">
        <w:rPr>
          <w:rFonts w:eastAsia="Calibri"/>
        </w:rPr>
        <w:t>’</w:t>
      </w:r>
      <w:r w:rsidR="00166970" w:rsidRPr="00B33AA4">
        <w:rPr>
          <w:rFonts w:eastAsia="Calibri"/>
        </w:rPr>
        <w:t>actif d</w:t>
      </w:r>
      <w:r w:rsidR="00865E23" w:rsidRPr="00B33AA4">
        <w:rPr>
          <w:rFonts w:eastAsia="Calibri"/>
        </w:rPr>
        <w:t>’</w:t>
      </w:r>
      <w:r w:rsidR="00166970" w:rsidRPr="00B33AA4">
        <w:rPr>
          <w:rFonts w:eastAsia="Calibri"/>
        </w:rPr>
        <w:t>impôt différé</w:t>
      </w:r>
      <w:r w:rsidR="00805412" w:rsidRPr="00B33AA4">
        <w:t>.</w:t>
      </w:r>
    </w:p>
    <w:p w14:paraId="2699E1DC" w14:textId="49AE35DD" w:rsidR="00805412" w:rsidRPr="00B33AA4" w:rsidRDefault="00166970" w:rsidP="008F2193">
      <w:pPr>
        <w:pStyle w:val="09Para"/>
      </w:pPr>
      <w:r w:rsidRPr="00B33AA4">
        <w:t>Aucun passif d</w:t>
      </w:r>
      <w:r w:rsidR="00865E23" w:rsidRPr="00B33AA4">
        <w:t>’</w:t>
      </w:r>
      <w:r w:rsidRPr="00B33AA4">
        <w:t>impôt différé n</w:t>
      </w:r>
      <w:r w:rsidR="00865E23" w:rsidRPr="00B33AA4">
        <w:t>’</w:t>
      </w:r>
      <w:r w:rsidRPr="00B33AA4">
        <w:t xml:space="preserve">a été comptabilisé </w:t>
      </w:r>
      <w:r w:rsidR="00032633" w:rsidRPr="00B33AA4">
        <w:t>pour les</w:t>
      </w:r>
      <w:r w:rsidRPr="00B33AA4">
        <w:t xml:space="preserve"> différences </w:t>
      </w:r>
      <w:r w:rsidR="00032633" w:rsidRPr="00B33AA4">
        <w:t>temporaires imposables liées à des participations dans des filiales et entreprises associées, à des investissements dans</w:t>
      </w:r>
      <w:r w:rsidR="009E4F8A">
        <w:t> </w:t>
      </w:r>
      <w:r w:rsidR="00032633" w:rsidRPr="00B33AA4">
        <w:t>des succursales et à des intérêts dans des partenariats</w:t>
      </w:r>
      <w:r w:rsidR="002407B9" w:rsidRPr="00B33AA4">
        <w:t xml:space="preserve"> </w:t>
      </w:r>
      <w:r w:rsidR="003204C5" w:rsidRPr="00B33AA4">
        <w:t>[</w:t>
      </w:r>
      <w:r w:rsidR="003204C5" w:rsidRPr="00B33AA4">
        <w:rPr>
          <w:color w:val="0000FF"/>
        </w:rPr>
        <w:t>décrir</w:t>
      </w:r>
      <w:r w:rsidR="00EE707E" w:rsidRPr="00B33AA4">
        <w:rPr>
          <w:color w:val="0000FF"/>
        </w:rPr>
        <w:t>e</w:t>
      </w:r>
      <w:r w:rsidR="00032633" w:rsidRPr="00B33AA4">
        <w:rPr>
          <w:color w:val="0000FF"/>
        </w:rPr>
        <w:t xml:space="preserve"> séparément ou identifi</w:t>
      </w:r>
      <w:r w:rsidR="00EE707E" w:rsidRPr="00B33AA4">
        <w:rPr>
          <w:color w:val="0000FF"/>
        </w:rPr>
        <w:t>er</w:t>
      </w:r>
      <w:r w:rsidR="00032633" w:rsidRPr="00B33AA4">
        <w:rPr>
          <w:color w:val="0000FF"/>
        </w:rPr>
        <w:t xml:space="preserve"> d</w:t>
      </w:r>
      <w:r w:rsidR="00865E23" w:rsidRPr="00B33AA4">
        <w:rPr>
          <w:color w:val="0000FF"/>
        </w:rPr>
        <w:t>’</w:t>
      </w:r>
      <w:r w:rsidR="00032633" w:rsidRPr="00B33AA4">
        <w:rPr>
          <w:color w:val="0000FF"/>
        </w:rPr>
        <w:t>une autre façon</w:t>
      </w:r>
      <w:r w:rsidR="00805412" w:rsidRPr="00B33AA4">
        <w:t>]</w:t>
      </w:r>
      <w:r w:rsidR="00EE707E" w:rsidRPr="00B33AA4">
        <w:t>,</w:t>
      </w:r>
      <w:r w:rsidR="00805412" w:rsidRPr="00B33AA4">
        <w:t xml:space="preserve"> </w:t>
      </w:r>
      <w:r w:rsidR="00032633" w:rsidRPr="00B33AA4">
        <w:t>car il est probable que l</w:t>
      </w:r>
      <w:r w:rsidR="00EE707E" w:rsidRPr="00B33AA4">
        <w:t>es</w:t>
      </w:r>
      <w:r w:rsidR="00032633" w:rsidRPr="00B33AA4">
        <w:t xml:space="preserve"> différence</w:t>
      </w:r>
      <w:r w:rsidR="00EE707E" w:rsidRPr="00B33AA4">
        <w:t>s</w:t>
      </w:r>
      <w:r w:rsidR="00032633" w:rsidRPr="00B33AA4">
        <w:t xml:space="preserve"> temporaire</w:t>
      </w:r>
      <w:r w:rsidR="00EE707E" w:rsidRPr="00B33AA4">
        <w:t>s</w:t>
      </w:r>
      <w:r w:rsidR="00032633" w:rsidRPr="00B33AA4">
        <w:t xml:space="preserve"> ne se résorber</w:t>
      </w:r>
      <w:r w:rsidR="00EE707E" w:rsidRPr="00B33AA4">
        <w:t>ont</w:t>
      </w:r>
      <w:r w:rsidR="00032633" w:rsidRPr="00B33AA4">
        <w:t xml:space="preserve"> pas dans un avenir prévisible</w:t>
      </w:r>
      <w:r w:rsidR="002F5829" w:rsidRPr="00B33AA4">
        <w:rPr>
          <w:rFonts w:eastAsia="Calibri"/>
        </w:rPr>
        <w:t>.</w:t>
      </w:r>
      <w:r w:rsidR="00805412" w:rsidRPr="00B33AA4">
        <w:rPr>
          <w:rFonts w:eastAsia="Calibri"/>
        </w:rPr>
        <w:t xml:space="preserve"> </w:t>
      </w:r>
      <w:r w:rsidR="00032633" w:rsidRPr="00B33AA4">
        <w:rPr>
          <w:rFonts w:eastAsia="Calibri"/>
        </w:rPr>
        <w:t>Par ailleurs</w:t>
      </w:r>
      <w:r w:rsidR="002F5829" w:rsidRPr="00B33AA4">
        <w:rPr>
          <w:rFonts w:eastAsia="Calibri"/>
        </w:rPr>
        <w:t xml:space="preserve">, </w:t>
      </w:r>
      <w:r w:rsidR="00032633" w:rsidRPr="00B33AA4">
        <w:rPr>
          <w:rFonts w:eastAsia="Calibri"/>
        </w:rPr>
        <w:t>la société mère, l</w:t>
      </w:r>
      <w:r w:rsidR="00865E23" w:rsidRPr="00B33AA4">
        <w:rPr>
          <w:rFonts w:eastAsia="Calibri"/>
        </w:rPr>
        <w:t>’</w:t>
      </w:r>
      <w:r w:rsidR="00032633" w:rsidRPr="00B33AA4">
        <w:rPr>
          <w:rFonts w:eastAsia="Calibri"/>
        </w:rPr>
        <w:t xml:space="preserve">investisseur, le </w:t>
      </w:r>
      <w:proofErr w:type="spellStart"/>
      <w:r w:rsidR="00032633" w:rsidRPr="00B33AA4">
        <w:rPr>
          <w:rFonts w:eastAsia="Calibri"/>
        </w:rPr>
        <w:t>coentrepreneur</w:t>
      </w:r>
      <w:proofErr w:type="spellEnd"/>
      <w:r w:rsidR="00032633" w:rsidRPr="00B33AA4">
        <w:rPr>
          <w:rFonts w:eastAsia="Calibri"/>
        </w:rPr>
        <w:t xml:space="preserve"> ou le coparticipant est capable de contrôler la date à laquelle la différence temporaire se résorbera</w:t>
      </w:r>
      <w:r w:rsidR="00805412" w:rsidRPr="00B33AA4">
        <w:rPr>
          <w:rFonts w:eastAsia="Calibri"/>
        </w:rPr>
        <w:t xml:space="preserve">. </w:t>
      </w:r>
      <w:r w:rsidR="00032633" w:rsidRPr="00B33AA4">
        <w:rPr>
          <w:rFonts w:eastAsia="Calibri"/>
        </w:rPr>
        <w:t xml:space="preserve">Les informations fournies à cet égard, notamment le montant total des différences temporaires pour lesquelles </w:t>
      </w:r>
      <w:r w:rsidR="00EE707E" w:rsidRPr="00B33AA4">
        <w:rPr>
          <w:rFonts w:eastAsia="Calibri"/>
        </w:rPr>
        <w:t xml:space="preserve">un </w:t>
      </w:r>
      <w:r w:rsidR="00032633" w:rsidRPr="00B33AA4">
        <w:rPr>
          <w:rFonts w:eastAsia="Calibri"/>
        </w:rPr>
        <w:t>passif d</w:t>
      </w:r>
      <w:r w:rsidR="00865E23" w:rsidRPr="00B33AA4">
        <w:rPr>
          <w:rFonts w:eastAsia="Calibri"/>
        </w:rPr>
        <w:t>’</w:t>
      </w:r>
      <w:r w:rsidR="00032633" w:rsidRPr="00B33AA4">
        <w:rPr>
          <w:rFonts w:eastAsia="Calibri"/>
        </w:rPr>
        <w:t>impôt différé n</w:t>
      </w:r>
      <w:r w:rsidR="00865E23" w:rsidRPr="00B33AA4">
        <w:rPr>
          <w:rFonts w:eastAsia="Calibri"/>
        </w:rPr>
        <w:t>’</w:t>
      </w:r>
      <w:r w:rsidR="00EE707E" w:rsidRPr="00B33AA4">
        <w:rPr>
          <w:rFonts w:eastAsia="Calibri"/>
        </w:rPr>
        <w:t>a</w:t>
      </w:r>
      <w:r w:rsidR="00032633" w:rsidRPr="00B33AA4">
        <w:rPr>
          <w:rFonts w:eastAsia="Calibri"/>
        </w:rPr>
        <w:t xml:space="preserve"> pas été comptabilisé, sont appropriées</w:t>
      </w:r>
      <w:r w:rsidR="00805412" w:rsidRPr="00B33AA4">
        <w:rPr>
          <w:rFonts w:eastAsia="Calibri"/>
        </w:rPr>
        <w:t>.</w:t>
      </w:r>
    </w:p>
    <w:p w14:paraId="787A86D1" w14:textId="4F2CD5EB" w:rsidR="00805412" w:rsidRPr="00B33AA4" w:rsidRDefault="00894D91" w:rsidP="008F2193">
      <w:pPr>
        <w:pStyle w:val="09Para"/>
      </w:pPr>
      <w:r w:rsidRPr="00B33AA4">
        <w:t>La méthode pour déterminer le</w:t>
      </w:r>
      <w:r w:rsidR="00CA6105" w:rsidRPr="00B33AA4">
        <w:t>s passifs d</w:t>
      </w:r>
      <w:r w:rsidR="00865E23" w:rsidRPr="00B33AA4">
        <w:t>’</w:t>
      </w:r>
      <w:r w:rsidR="00CA6105" w:rsidRPr="00B33AA4">
        <w:t xml:space="preserve">impôt </w:t>
      </w:r>
      <w:r w:rsidR="00CA3757" w:rsidRPr="00B33AA4">
        <w:t xml:space="preserve">relatifs aux </w:t>
      </w:r>
      <w:r w:rsidR="00CA6105" w:rsidRPr="00B33AA4">
        <w:t>avis</w:t>
      </w:r>
      <w:r w:rsidR="00CA3757" w:rsidRPr="00B33AA4">
        <w:t xml:space="preserve"> de cotisation potentiels de la</w:t>
      </w:r>
      <w:r w:rsidR="009E4F8A">
        <w:t> </w:t>
      </w:r>
      <w:r w:rsidR="00CA3757" w:rsidRPr="00B33AA4">
        <w:t>part des</w:t>
      </w:r>
      <w:r w:rsidR="00CA6105" w:rsidRPr="00B33AA4">
        <w:t xml:space="preserve"> administration</w:t>
      </w:r>
      <w:r w:rsidR="00CA3757" w:rsidRPr="00B33AA4">
        <w:t>s</w:t>
      </w:r>
      <w:r w:rsidR="00CA6105" w:rsidRPr="00B33AA4">
        <w:t xml:space="preserve"> fiscale</w:t>
      </w:r>
      <w:r w:rsidR="00CA3757" w:rsidRPr="00B33AA4">
        <w:t>s</w:t>
      </w:r>
      <w:r w:rsidR="00CA6105" w:rsidRPr="00B33AA4">
        <w:t xml:space="preserve"> a été </w:t>
      </w:r>
      <w:r w:rsidR="00EE707E" w:rsidRPr="00B33AA4">
        <w:t>utilisée</w:t>
      </w:r>
      <w:r w:rsidR="004E1816" w:rsidRPr="00B33AA4">
        <w:t xml:space="preserve"> confor</w:t>
      </w:r>
      <w:r w:rsidR="00C55C35">
        <w:t>mément à l’Interprétation IFRIC </w:t>
      </w:r>
      <w:r w:rsidR="004E1816" w:rsidRPr="00B33AA4">
        <w:t>23, Incertitude relative aux traitements fiscaux,</w:t>
      </w:r>
      <w:r w:rsidR="00761A0A">
        <w:t xml:space="preserve"> de l’</w:t>
      </w:r>
      <w:r w:rsidR="00761A0A" w:rsidRPr="008A1714">
        <w:rPr>
          <w:rFonts w:cs="Arial"/>
        </w:rPr>
        <w:t xml:space="preserve">International Financial </w:t>
      </w:r>
      <w:proofErr w:type="spellStart"/>
      <w:r w:rsidR="00761A0A" w:rsidRPr="008A1714">
        <w:rPr>
          <w:rFonts w:cs="Arial"/>
        </w:rPr>
        <w:t>Reporting</w:t>
      </w:r>
      <w:proofErr w:type="spellEnd"/>
      <w:r w:rsidR="00761A0A" w:rsidRPr="008A1714">
        <w:rPr>
          <w:rFonts w:cs="Arial"/>
        </w:rPr>
        <w:t xml:space="preserve"> </w:t>
      </w:r>
      <w:proofErr w:type="spellStart"/>
      <w:r w:rsidR="00761A0A" w:rsidRPr="008A1714">
        <w:rPr>
          <w:rFonts w:cs="Arial"/>
        </w:rPr>
        <w:t>Interpretations</w:t>
      </w:r>
      <w:proofErr w:type="spellEnd"/>
      <w:r w:rsidR="00761A0A" w:rsidRPr="008A1714">
        <w:rPr>
          <w:rFonts w:cs="Arial"/>
        </w:rPr>
        <w:t xml:space="preserve"> </w:t>
      </w:r>
      <w:proofErr w:type="spellStart"/>
      <w:r w:rsidR="00761A0A" w:rsidRPr="008A1714">
        <w:rPr>
          <w:rFonts w:cs="Arial"/>
        </w:rPr>
        <w:t>Committee</w:t>
      </w:r>
      <w:proofErr w:type="spellEnd"/>
      <w:r w:rsidR="00761A0A">
        <w:rPr>
          <w:rFonts w:cs="Arial"/>
        </w:rPr>
        <w:t xml:space="preserve">, </w:t>
      </w:r>
      <w:r w:rsidR="004E1816" w:rsidRPr="00B33AA4">
        <w:t xml:space="preserve">et le </w:t>
      </w:r>
      <w:r w:rsidR="00CA6105" w:rsidRPr="00B33AA4">
        <w:t>montant des passifs</w:t>
      </w:r>
      <w:r w:rsidR="00EE707E" w:rsidRPr="00B33AA4">
        <w:t xml:space="preserve"> ainsi calculé</w:t>
      </w:r>
      <w:r w:rsidR="00CA6105" w:rsidRPr="00B33AA4">
        <w:t xml:space="preserve"> </w:t>
      </w:r>
      <w:proofErr w:type="gramStart"/>
      <w:r w:rsidR="00CA6105" w:rsidRPr="00B33AA4">
        <w:t>est</w:t>
      </w:r>
      <w:proofErr w:type="gramEnd"/>
      <w:r w:rsidR="00CA6105" w:rsidRPr="00B33AA4">
        <w:t xml:space="preserve"> </w:t>
      </w:r>
      <w:r w:rsidR="00CA3757" w:rsidRPr="00B33AA4">
        <w:t>basé sur les expositions liées à l’impôt spécifiquement identifiées</w:t>
      </w:r>
      <w:r w:rsidR="00EE707E" w:rsidRPr="00B33AA4">
        <w:t xml:space="preserve">. </w:t>
      </w:r>
      <w:r w:rsidR="00CA6105" w:rsidRPr="00B33AA4">
        <w:t>Les informations fournies dans les états financiers à cet égard sont appropriées.</w:t>
      </w:r>
    </w:p>
    <w:p w14:paraId="0F92EE39" w14:textId="53155503" w:rsidR="00805412" w:rsidRPr="00B33AA4" w:rsidRDefault="00CA6105" w:rsidP="008F2193">
      <w:pPr>
        <w:pStyle w:val="09Para"/>
      </w:pPr>
      <w:r w:rsidRPr="00B33AA4">
        <w:t>Les c</w:t>
      </w:r>
      <w:r w:rsidR="00805412" w:rsidRPr="00B33AA4">
        <w:t>hange</w:t>
      </w:r>
      <w:r w:rsidRPr="00B33AA4">
        <w:t xml:space="preserve">ments apportés aux passifs </w:t>
      </w:r>
      <w:r w:rsidR="00CA3757" w:rsidRPr="00B33AA4">
        <w:t>pour</w:t>
      </w:r>
      <w:r w:rsidR="00516B3E" w:rsidRPr="00B33AA4">
        <w:t xml:space="preserve"> </w:t>
      </w:r>
      <w:r w:rsidR="00CA3757" w:rsidRPr="00B33AA4">
        <w:t xml:space="preserve">expositions liées à l’impôt particulières </w:t>
      </w:r>
      <w:r w:rsidRPr="00B33AA4">
        <w:t xml:space="preserve">ont été constatés </w:t>
      </w:r>
      <w:r w:rsidR="00761A0A">
        <w:t xml:space="preserve">dans les états financiers </w:t>
      </w:r>
      <w:r w:rsidR="00761A0A" w:rsidRPr="00B33AA4">
        <w:t>[</w:t>
      </w:r>
      <w:r w:rsidR="00761A0A" w:rsidRPr="00B33AA4">
        <w:rPr>
          <w:color w:val="0000FF"/>
        </w:rPr>
        <w:t>consolidés</w:t>
      </w:r>
      <w:r w:rsidR="00761A0A">
        <w:t xml:space="preserve">]. </w:t>
      </w:r>
      <w:r w:rsidRPr="00B33AA4">
        <w:t>De plus, chaque changement aux passifs qui est important individuellement a été présenté de manière appropriée</w:t>
      </w:r>
      <w:r w:rsidR="00346EE4">
        <w:t xml:space="preserve"> dans les états financiers </w:t>
      </w:r>
      <w:r w:rsidR="00346EE4" w:rsidRPr="00B33AA4">
        <w:t>[</w:t>
      </w:r>
      <w:r w:rsidR="00346EE4" w:rsidRPr="00B33AA4">
        <w:rPr>
          <w:color w:val="0000FF"/>
        </w:rPr>
        <w:t>consolidés</w:t>
      </w:r>
      <w:r w:rsidR="00346EE4">
        <w:t>]</w:t>
      </w:r>
      <w:r w:rsidR="00805412" w:rsidRPr="00B33AA4">
        <w:t xml:space="preserve">, </w:t>
      </w:r>
      <w:r w:rsidRPr="00B33AA4">
        <w:t>même si le montant net de tous les changements pri</w:t>
      </w:r>
      <w:r w:rsidR="00C83332" w:rsidRPr="00B33AA4">
        <w:t>s</w:t>
      </w:r>
      <w:r w:rsidRPr="00B33AA4">
        <w:t xml:space="preserve"> </w:t>
      </w:r>
      <w:r w:rsidR="00C83332" w:rsidRPr="00B33AA4">
        <w:t xml:space="preserve">dans leur </w:t>
      </w:r>
      <w:r w:rsidRPr="00B33AA4">
        <w:t>ensemble n</w:t>
      </w:r>
      <w:r w:rsidR="00865E23" w:rsidRPr="00B33AA4">
        <w:t>’</w:t>
      </w:r>
      <w:r w:rsidRPr="00B33AA4">
        <w:t>était pas signifi</w:t>
      </w:r>
      <w:r w:rsidR="00C83332" w:rsidRPr="00B33AA4">
        <w:t>catif</w:t>
      </w:r>
      <w:r w:rsidR="00805412" w:rsidRPr="00B33AA4">
        <w:t>.</w:t>
      </w:r>
    </w:p>
    <w:p w14:paraId="12C9C292" w14:textId="77777777" w:rsidR="00805412" w:rsidRPr="00B33AA4" w:rsidRDefault="00C83332" w:rsidP="008F2193">
      <w:pPr>
        <w:pStyle w:val="09Para"/>
      </w:pPr>
      <w:r w:rsidRPr="00B33AA4">
        <w:t xml:space="preserve">Nous vous avons communiqué toutes les informations requises sur les </w:t>
      </w:r>
      <w:r w:rsidR="007E3E52" w:rsidRPr="00B33AA4">
        <w:t>incertitudes importantes relatives aux impôts sur le résultat que nous connaissons</w:t>
      </w:r>
      <w:r w:rsidR="00805412" w:rsidRPr="00B33AA4">
        <w:t xml:space="preserve">. </w:t>
      </w:r>
      <w:r w:rsidR="007E3E52" w:rsidRPr="00B33AA4">
        <w:t xml:space="preserve">Nous vous avons aussi donné accès à tous les avis et analyses </w:t>
      </w:r>
      <w:r w:rsidR="008C093A" w:rsidRPr="00B33AA4">
        <w:t xml:space="preserve">concernant les </w:t>
      </w:r>
      <w:r w:rsidR="007E3E52" w:rsidRPr="00B33AA4">
        <w:t>décisions prises à l</w:t>
      </w:r>
      <w:r w:rsidR="00865E23" w:rsidRPr="00B33AA4">
        <w:t>’</w:t>
      </w:r>
      <w:r w:rsidR="007E3E52" w:rsidRPr="00B33AA4">
        <w:t>égard de questions fiscales importantes.</w:t>
      </w:r>
    </w:p>
    <w:p w14:paraId="613A27EA" w14:textId="77777777" w:rsidR="00805412" w:rsidRPr="00B33AA4" w:rsidRDefault="0092101C" w:rsidP="001A78FD">
      <w:pPr>
        <w:pStyle w:val="Heading3"/>
      </w:pPr>
      <w:r w:rsidRPr="00B33AA4">
        <w:t>Capitaux propres</w:t>
      </w:r>
    </w:p>
    <w:p w14:paraId="0F1A23C9" w14:textId="77777777" w:rsidR="00805412" w:rsidRPr="00B33AA4" w:rsidRDefault="007E3E52" w:rsidP="008F2193">
      <w:pPr>
        <w:pStyle w:val="09Para"/>
      </w:pPr>
      <w:r w:rsidRPr="00B33AA4">
        <w:t>L</w:t>
      </w:r>
      <w:r w:rsidR="00865E23" w:rsidRPr="00B33AA4">
        <w:t>’</w:t>
      </w:r>
      <w:r w:rsidR="00805412" w:rsidRPr="00B33AA4">
        <w:t xml:space="preserve">existence </w:t>
      </w:r>
      <w:r w:rsidRPr="00B33AA4">
        <w:t>et les participations de tous les partenaires ou tout autre associé et toutes les obligations connexes vous ont été communiqué</w:t>
      </w:r>
      <w:r w:rsidR="00714BDA" w:rsidRPr="00B33AA4">
        <w:t>e</w:t>
      </w:r>
      <w:r w:rsidRPr="00B33AA4">
        <w:t>s</w:t>
      </w:r>
      <w:r w:rsidR="00805412" w:rsidRPr="00B33AA4">
        <w:t xml:space="preserve">. </w:t>
      </w:r>
      <w:r w:rsidRPr="00B33AA4">
        <w:t>[</w:t>
      </w:r>
      <w:r w:rsidRPr="00B33AA4">
        <w:rPr>
          <w:i/>
          <w:color w:val="0000FF"/>
        </w:rPr>
        <w:t xml:space="preserve">Uniquement pour les entreprises </w:t>
      </w:r>
      <w:r w:rsidR="005E5138" w:rsidRPr="00B33AA4">
        <w:rPr>
          <w:i/>
          <w:color w:val="0000FF"/>
        </w:rPr>
        <w:t xml:space="preserve">sans personnalité </w:t>
      </w:r>
      <w:r w:rsidRPr="00B33AA4">
        <w:rPr>
          <w:i/>
          <w:color w:val="0000FF"/>
        </w:rPr>
        <w:t>morale</w:t>
      </w:r>
      <w:r w:rsidR="00805412" w:rsidRPr="00B33AA4">
        <w:t>]</w:t>
      </w:r>
      <w:r w:rsidR="00B94707" w:rsidRPr="00B33AA4">
        <w:t>.</w:t>
      </w:r>
    </w:p>
    <w:p w14:paraId="78DB9F72" w14:textId="77777777" w:rsidR="00805412" w:rsidRPr="00B33AA4" w:rsidRDefault="00234EB5" w:rsidP="008F2193">
      <w:pPr>
        <w:pStyle w:val="09Para"/>
      </w:pPr>
      <w:r w:rsidRPr="00B33AA4">
        <w:t xml:space="preserve">Les comptes reflètent tous les </w:t>
      </w:r>
      <w:r w:rsidR="00805412" w:rsidRPr="00B33AA4">
        <w:t>transfer</w:t>
      </w:r>
      <w:r w:rsidRPr="00B33AA4">
        <w:t>t</w:t>
      </w:r>
      <w:r w:rsidR="00805412" w:rsidRPr="00B33AA4">
        <w:t xml:space="preserve">s </w:t>
      </w:r>
      <w:r w:rsidRPr="00B33AA4">
        <w:t>de capital social effectués au cours de l</w:t>
      </w:r>
      <w:r w:rsidR="00865E23" w:rsidRPr="00B33AA4">
        <w:t>’</w:t>
      </w:r>
      <w:r w:rsidRPr="00B33AA4">
        <w:t>exercice</w:t>
      </w:r>
      <w:r w:rsidR="00805412" w:rsidRPr="00B33AA4">
        <w:t xml:space="preserve">. </w:t>
      </w:r>
      <w:r w:rsidRPr="00B33AA4">
        <w:t>[</w:t>
      </w:r>
      <w:r w:rsidRPr="00B33AA4">
        <w:rPr>
          <w:i/>
          <w:color w:val="0000FF"/>
        </w:rPr>
        <w:t>Uniquement si l</w:t>
      </w:r>
      <w:r w:rsidR="00865E23" w:rsidRPr="00B33AA4">
        <w:rPr>
          <w:i/>
          <w:color w:val="0000FF"/>
        </w:rPr>
        <w:t>’</w:t>
      </w:r>
      <w:r w:rsidRPr="00B33AA4">
        <w:rPr>
          <w:i/>
          <w:color w:val="0000FF"/>
        </w:rPr>
        <w:t>entité tient s</w:t>
      </w:r>
      <w:r w:rsidR="00714BDA" w:rsidRPr="00B33AA4">
        <w:rPr>
          <w:i/>
          <w:color w:val="0000FF"/>
        </w:rPr>
        <w:t>on</w:t>
      </w:r>
      <w:r w:rsidRPr="00B33AA4">
        <w:rPr>
          <w:i/>
          <w:color w:val="0000FF"/>
        </w:rPr>
        <w:t xml:space="preserve"> propre registre des actionnaires</w:t>
      </w:r>
      <w:r w:rsidR="00805412" w:rsidRPr="00B33AA4">
        <w:t>]</w:t>
      </w:r>
      <w:r w:rsidR="001A78FD" w:rsidRPr="00B33AA4">
        <w:t>.</w:t>
      </w:r>
    </w:p>
    <w:p w14:paraId="1C80D8EB" w14:textId="77777777" w:rsidR="00805412" w:rsidRPr="00B33AA4" w:rsidRDefault="00234EB5" w:rsidP="008F2193">
      <w:pPr>
        <w:pStyle w:val="09Para"/>
      </w:pPr>
      <w:r w:rsidRPr="00B33AA4">
        <w:t>Le</w:t>
      </w:r>
      <w:r w:rsidR="005E5138" w:rsidRPr="00B33AA4">
        <w:t>s actions</w:t>
      </w:r>
      <w:r w:rsidR="00805412" w:rsidRPr="00B33AA4">
        <w:t xml:space="preserve">, </w:t>
      </w:r>
      <w:r w:rsidR="000636FF" w:rsidRPr="00B33AA4">
        <w:t xml:space="preserve">les parts </w:t>
      </w:r>
      <w:r w:rsidR="00927331" w:rsidRPr="00B33AA4">
        <w:t>de fiducie</w:t>
      </w:r>
      <w:r w:rsidR="000636FF" w:rsidRPr="00B33AA4">
        <w:t xml:space="preserve"> ou de société</w:t>
      </w:r>
      <w:r w:rsidR="005E5138" w:rsidRPr="00B33AA4">
        <w:t xml:space="preserve"> de personnes, les options d’achat</w:t>
      </w:r>
      <w:r w:rsidR="00927331" w:rsidRPr="00B33AA4">
        <w:t xml:space="preserve">, </w:t>
      </w:r>
      <w:r w:rsidR="005E5138" w:rsidRPr="00B33AA4">
        <w:t>ou les prises en pension de titres</w:t>
      </w:r>
      <w:r w:rsidR="00FC389A" w:rsidRPr="00B33AA4">
        <w:t>,</w:t>
      </w:r>
      <w:r w:rsidR="00805412" w:rsidRPr="00B33AA4">
        <w:t xml:space="preserve"> </w:t>
      </w:r>
      <w:r w:rsidR="00FE3A6B" w:rsidRPr="00B33AA4">
        <w:t>le capital social réservé pour les options, les bons de souscription et les</w:t>
      </w:r>
      <w:r w:rsidR="00805412" w:rsidRPr="00B33AA4">
        <w:t xml:space="preserve"> conversions</w:t>
      </w:r>
      <w:r w:rsidR="00FC389A" w:rsidRPr="00B33AA4">
        <w:t>,</w:t>
      </w:r>
      <w:r w:rsidR="00805412" w:rsidRPr="00B33AA4">
        <w:t xml:space="preserve"> o</w:t>
      </w:r>
      <w:r w:rsidR="00FE3A6B" w:rsidRPr="00B33AA4">
        <w:t xml:space="preserve">u toute autre </w:t>
      </w:r>
      <w:r w:rsidR="008C093A" w:rsidRPr="00B33AA4">
        <w:t>exigence</w:t>
      </w:r>
      <w:r w:rsidR="00FE3A6B" w:rsidRPr="00B33AA4">
        <w:t xml:space="preserve"> ont été correctement présentés et classés </w:t>
      </w:r>
      <w:r w:rsidR="00261ACF" w:rsidRPr="00B33AA4">
        <w:t>d</w:t>
      </w:r>
      <w:r w:rsidR="00714BDA" w:rsidRPr="00B33AA4">
        <w:t>e manière appropriée d</w:t>
      </w:r>
      <w:r w:rsidR="00261ACF" w:rsidRPr="00B33AA4">
        <w:t xml:space="preserve">ans </w:t>
      </w:r>
      <w:r w:rsidR="00FE3A6B" w:rsidRPr="00B33AA4">
        <w:t>les passifs</w:t>
      </w:r>
      <w:r w:rsidR="00261ACF" w:rsidRPr="00B33AA4">
        <w:t xml:space="preserve"> ou</w:t>
      </w:r>
      <w:r w:rsidR="00FE3A6B" w:rsidRPr="00B33AA4">
        <w:t xml:space="preserve"> les capitaux propres,</w:t>
      </w:r>
      <w:r w:rsidR="00261ACF" w:rsidRPr="00B33AA4">
        <w:t xml:space="preserve"> selon le cas, </w:t>
      </w:r>
      <w:r w:rsidR="00FE3A6B" w:rsidRPr="00B33AA4">
        <w:t>conformément à l</w:t>
      </w:r>
      <w:r w:rsidR="00865E23" w:rsidRPr="00B33AA4">
        <w:t>’</w:t>
      </w:r>
      <w:r w:rsidR="00805412" w:rsidRPr="00B33AA4">
        <w:t>IAS</w:t>
      </w:r>
      <w:r w:rsidR="00467B01" w:rsidRPr="00B33AA4">
        <w:t> </w:t>
      </w:r>
      <w:r w:rsidR="00805412" w:rsidRPr="00B33AA4">
        <w:t xml:space="preserve">32, </w:t>
      </w:r>
      <w:r w:rsidR="00FE3A6B" w:rsidRPr="00B33AA4">
        <w:t>I</w:t>
      </w:r>
      <w:r w:rsidR="00805412" w:rsidRPr="00B33AA4">
        <w:t>nstruments</w:t>
      </w:r>
      <w:r w:rsidR="00FE3A6B" w:rsidRPr="00B33AA4">
        <w:t xml:space="preserve"> financiers</w:t>
      </w:r>
      <w:r w:rsidR="00261ACF" w:rsidRPr="00B33AA4">
        <w:t> </w:t>
      </w:r>
      <w:r w:rsidR="00805412" w:rsidRPr="00B33AA4">
        <w:t xml:space="preserve">: </w:t>
      </w:r>
      <w:r w:rsidR="00714BDA" w:rsidRPr="00B33AA4">
        <w:t>P</w:t>
      </w:r>
      <w:r w:rsidR="00805412" w:rsidRPr="00B33AA4">
        <w:t>r</w:t>
      </w:r>
      <w:r w:rsidR="00FE3A6B" w:rsidRPr="00B33AA4">
        <w:t>é</w:t>
      </w:r>
      <w:r w:rsidR="00805412" w:rsidRPr="00B33AA4">
        <w:t>sentation.</w:t>
      </w:r>
    </w:p>
    <w:p w14:paraId="160E76A1" w14:textId="77777777" w:rsidR="00805412" w:rsidRPr="00B33AA4" w:rsidRDefault="00261ACF" w:rsidP="008F2193">
      <w:pPr>
        <w:pStyle w:val="09Para"/>
      </w:pPr>
      <w:r w:rsidRPr="00B33AA4">
        <w:t xml:space="preserve">Tous les droits et privilèges liés aux titres de capitaux propres en circulation ont été présentés </w:t>
      </w:r>
      <w:r w:rsidR="005E5138" w:rsidRPr="00B33AA4">
        <w:t>de façon appropriée</w:t>
      </w:r>
      <w:r w:rsidR="00805412" w:rsidRPr="00B33AA4">
        <w:t>.</w:t>
      </w:r>
    </w:p>
    <w:p w14:paraId="43E9CE5D" w14:textId="4C7F938C" w:rsidR="00805412" w:rsidRPr="00B33AA4" w:rsidRDefault="00261ACF" w:rsidP="008F2193">
      <w:pPr>
        <w:pStyle w:val="09Para"/>
      </w:pPr>
      <w:r w:rsidRPr="00B33AA4">
        <w:t xml:space="preserve">Les </w:t>
      </w:r>
      <w:r w:rsidR="002D537E" w:rsidRPr="00B33AA4">
        <w:t>opérations</w:t>
      </w:r>
      <w:r w:rsidRPr="00B33AA4">
        <w:t xml:space="preserve"> qui sont survenues </w:t>
      </w:r>
      <w:r w:rsidR="005348C0">
        <w:t xml:space="preserve">après </w:t>
      </w:r>
      <w:r w:rsidRPr="00B33AA4">
        <w:t>l</w:t>
      </w:r>
      <w:r w:rsidR="005348C0">
        <w:t xml:space="preserve">a date de l’état </w:t>
      </w:r>
      <w:r w:rsidR="005348C0" w:rsidRPr="00B33AA4">
        <w:t>[</w:t>
      </w:r>
      <w:r w:rsidR="005348C0" w:rsidRPr="00B33AA4">
        <w:rPr>
          <w:color w:val="0000FF"/>
        </w:rPr>
        <w:t>consolidé</w:t>
      </w:r>
      <w:r w:rsidR="005348C0">
        <w:t xml:space="preserve">] de la situation financière, mais avant </w:t>
      </w:r>
      <w:r w:rsidRPr="00B33AA4">
        <w:t>le</w:t>
      </w:r>
      <w:r w:rsidR="00805412" w:rsidRPr="00B33AA4">
        <w:t xml:space="preserve"> [</w:t>
      </w:r>
      <w:r w:rsidR="00805412" w:rsidRPr="00B33AA4">
        <w:rPr>
          <w:color w:val="0000FF"/>
        </w:rPr>
        <w:t xml:space="preserve">date </w:t>
      </w:r>
      <w:r w:rsidRPr="00B33AA4">
        <w:rPr>
          <w:color w:val="0000FF"/>
        </w:rPr>
        <w:t>de la lettre</w:t>
      </w:r>
      <w:r w:rsidR="00805412" w:rsidRPr="00B33AA4">
        <w:t>]</w:t>
      </w:r>
      <w:r w:rsidRPr="00B33AA4">
        <w:t xml:space="preserve"> qui auraient pu modifier de manière significative</w:t>
      </w:r>
      <w:r w:rsidR="00824125" w:rsidRPr="00B33AA4">
        <w:t xml:space="preserve"> le nombre </w:t>
      </w:r>
      <w:r w:rsidR="00824125" w:rsidRPr="00B33AA4">
        <w:lastRenderedPageBreak/>
        <w:t>d</w:t>
      </w:r>
      <w:r w:rsidR="00865E23" w:rsidRPr="00B33AA4">
        <w:t>’</w:t>
      </w:r>
      <w:r w:rsidR="00824125" w:rsidRPr="00B33AA4">
        <w:t>actions ordinaires ou d</w:t>
      </w:r>
      <w:r w:rsidR="00865E23" w:rsidRPr="00B33AA4">
        <w:t>’</w:t>
      </w:r>
      <w:r w:rsidR="00824125" w:rsidRPr="00B33AA4">
        <w:t>actions ordinaires potentielles en circulation à la clôture de l</w:t>
      </w:r>
      <w:r w:rsidR="00865E23" w:rsidRPr="00B33AA4">
        <w:t>’</w:t>
      </w:r>
      <w:r w:rsidR="00824125" w:rsidRPr="00B33AA4">
        <w:t>exercice si</w:t>
      </w:r>
      <w:r w:rsidR="009E4F8A">
        <w:t> </w:t>
      </w:r>
      <w:r w:rsidR="00824125" w:rsidRPr="00B33AA4">
        <w:t>la tra</w:t>
      </w:r>
      <w:r w:rsidR="00805412" w:rsidRPr="00B33AA4">
        <w:t xml:space="preserve">nsaction </w:t>
      </w:r>
      <w:r w:rsidR="00824125" w:rsidRPr="00B33AA4">
        <w:t>avait été réalisée avant la fin de l</w:t>
      </w:r>
      <w:r w:rsidR="00865E23" w:rsidRPr="00B33AA4">
        <w:t>’</w:t>
      </w:r>
      <w:r w:rsidR="00824125" w:rsidRPr="00B33AA4">
        <w:t xml:space="preserve">exercice ont été </w:t>
      </w:r>
      <w:r w:rsidR="008C093A" w:rsidRPr="00B33AA4">
        <w:t>présentées</w:t>
      </w:r>
      <w:r w:rsidR="00824125" w:rsidRPr="00B33AA4">
        <w:t xml:space="preserve"> de manière appropriée</w:t>
      </w:r>
      <w:r w:rsidR="00805412" w:rsidRPr="00B33AA4">
        <w:t>.</w:t>
      </w:r>
    </w:p>
    <w:p w14:paraId="7B9E9162" w14:textId="26065FE5" w:rsidR="00805412" w:rsidRPr="00B33AA4" w:rsidRDefault="00824125" w:rsidP="008F2193">
      <w:pPr>
        <w:pStyle w:val="09Para"/>
      </w:pPr>
      <w:r w:rsidRPr="00B33AA4">
        <w:t>Tous les apports en capital ont été reflétés dans les comptes de capitaux propres</w:t>
      </w:r>
      <w:r w:rsidR="005E5138" w:rsidRPr="00B33AA4">
        <w:t xml:space="preserve"> appropriés</w:t>
      </w:r>
      <w:r w:rsidR="009D3150">
        <w:t>.</w:t>
      </w:r>
    </w:p>
    <w:p w14:paraId="0D3C675F" w14:textId="77777777" w:rsidR="00805412" w:rsidRPr="00B33AA4" w:rsidRDefault="00824125" w:rsidP="008F2193">
      <w:pPr>
        <w:pStyle w:val="09Para"/>
      </w:pPr>
      <w:r w:rsidRPr="00B33AA4">
        <w:t>Nous vous avons communiqué tous les prêts destinés à l</w:t>
      </w:r>
      <w:r w:rsidR="00865E23" w:rsidRPr="00B33AA4">
        <w:t>’</w:t>
      </w:r>
      <w:r w:rsidRPr="00B33AA4">
        <w:t>achat d</w:t>
      </w:r>
      <w:r w:rsidR="00865E23" w:rsidRPr="00B33AA4">
        <w:t>’</w:t>
      </w:r>
      <w:r w:rsidRPr="00B33AA4">
        <w:t xml:space="preserve">actions </w:t>
      </w:r>
      <w:r w:rsidR="00805412" w:rsidRPr="00B33AA4">
        <w:t>(o</w:t>
      </w:r>
      <w:r w:rsidRPr="00B33AA4">
        <w:t xml:space="preserve">u tout autre </w:t>
      </w:r>
      <w:r w:rsidR="008C093A" w:rsidRPr="00B33AA4">
        <w:t>prêt</w:t>
      </w:r>
      <w:r w:rsidR="005E5138" w:rsidRPr="00B33AA4">
        <w:t xml:space="preserve"> aux actionnaires</w:t>
      </w:r>
      <w:r w:rsidR="00805412" w:rsidRPr="00B33AA4">
        <w:t xml:space="preserve">) </w:t>
      </w:r>
      <w:r w:rsidRPr="00B33AA4">
        <w:t xml:space="preserve">et avons déterminé </w:t>
      </w:r>
      <w:r w:rsidR="005E5138" w:rsidRPr="00B33AA4">
        <w:t>de manière appropriée</w:t>
      </w:r>
      <w:r w:rsidRPr="00B33AA4">
        <w:t xml:space="preserve"> si ces prêts constituaient des actifs de </w:t>
      </w:r>
      <w:r w:rsidR="00805412" w:rsidRPr="00B33AA4">
        <w:t>[</w:t>
      </w:r>
      <w:r w:rsidR="00805412" w:rsidRPr="00B33AA4">
        <w:rPr>
          <w:color w:val="0000FF"/>
        </w:rPr>
        <w:t>Entit</w:t>
      </w:r>
      <w:r w:rsidRPr="00B33AA4">
        <w:rPr>
          <w:color w:val="0000FF"/>
        </w:rPr>
        <w:t>é</w:t>
      </w:r>
      <w:r w:rsidR="00805412" w:rsidRPr="00B33AA4">
        <w:t>] o</w:t>
      </w:r>
      <w:r w:rsidRPr="00B33AA4">
        <w:t xml:space="preserve">u devaient être </w:t>
      </w:r>
      <w:r w:rsidR="0047118E" w:rsidRPr="00B33AA4">
        <w:t xml:space="preserve">comptabilisés en </w:t>
      </w:r>
      <w:r w:rsidRPr="00B33AA4">
        <w:t>capitaux propres</w:t>
      </w:r>
      <w:r w:rsidR="00805412" w:rsidRPr="00B33AA4">
        <w:t>.</w:t>
      </w:r>
    </w:p>
    <w:p w14:paraId="2B934E25" w14:textId="2BBFC5F3" w:rsidR="00805412" w:rsidRDefault="00AB52E5" w:rsidP="008F2193">
      <w:pPr>
        <w:pStyle w:val="09Para"/>
      </w:pPr>
      <w:r w:rsidRPr="00B33AA4">
        <w:t>Il n</w:t>
      </w:r>
      <w:r w:rsidR="00865E23" w:rsidRPr="00B33AA4">
        <w:t>’</w:t>
      </w:r>
      <w:r w:rsidRPr="00B33AA4">
        <w:t xml:space="preserve">y a aucune </w:t>
      </w:r>
      <w:r w:rsidR="00805412" w:rsidRPr="00B33AA4">
        <w:t xml:space="preserve">restriction, </w:t>
      </w:r>
      <w:r w:rsidR="00236249" w:rsidRPr="00B33AA4">
        <w:t>sauf</w:t>
      </w:r>
      <w:r w:rsidRPr="00B33AA4">
        <w:t xml:space="preserve"> celles qui ont été présentées dans les états financiers</w:t>
      </w:r>
      <w:r w:rsidR="00805412" w:rsidRPr="00B33AA4">
        <w:t xml:space="preserve"> [</w:t>
      </w:r>
      <w:r w:rsidR="00805412" w:rsidRPr="00B33AA4">
        <w:rPr>
          <w:color w:val="0000FF"/>
        </w:rPr>
        <w:t>consolid</w:t>
      </w:r>
      <w:r w:rsidRPr="00B33AA4">
        <w:rPr>
          <w:color w:val="0000FF"/>
        </w:rPr>
        <w:t>és</w:t>
      </w:r>
      <w:r w:rsidR="00805412" w:rsidRPr="00B33AA4">
        <w:t xml:space="preserve">], </w:t>
      </w:r>
      <w:r w:rsidRPr="00B33AA4">
        <w:t xml:space="preserve">qui </w:t>
      </w:r>
      <w:r w:rsidR="008C093A" w:rsidRPr="00B33AA4">
        <w:t>affecte</w:t>
      </w:r>
      <w:r w:rsidRPr="00B33AA4">
        <w:t xml:space="preserve"> la déclaration ou le versement de </w:t>
      </w:r>
      <w:r w:rsidR="0092054C" w:rsidRPr="00B33AA4">
        <w:t>dividende</w:t>
      </w:r>
      <w:r w:rsidRPr="00B33AA4">
        <w:t xml:space="preserve">s </w:t>
      </w:r>
      <w:r w:rsidR="00805412" w:rsidRPr="00B33AA4">
        <w:t>o</w:t>
      </w:r>
      <w:r w:rsidRPr="00B33AA4">
        <w:t xml:space="preserve">u </w:t>
      </w:r>
      <w:r w:rsidR="008C093A" w:rsidRPr="00B33AA4">
        <w:t>toute</w:t>
      </w:r>
      <w:r w:rsidRPr="00B33AA4">
        <w:t xml:space="preserve"> autre forme de</w:t>
      </w:r>
      <w:r w:rsidR="00F91D84">
        <w:t> </w:t>
      </w:r>
      <w:r w:rsidRPr="00B33AA4">
        <w:t>retrait des capitaux propres</w:t>
      </w:r>
      <w:r w:rsidR="00805412" w:rsidRPr="00B33AA4">
        <w:t>.</w:t>
      </w:r>
    </w:p>
    <w:p w14:paraId="28AE1BCC" w14:textId="77777777" w:rsidR="00805412" w:rsidRPr="00B33AA4" w:rsidRDefault="00B5609C" w:rsidP="001A78FD">
      <w:pPr>
        <w:pStyle w:val="Heading3"/>
      </w:pPr>
      <w:r w:rsidRPr="00B33AA4">
        <w:t>Actifs non courants détenus en vue de la vente et activités abandonnées</w:t>
      </w:r>
    </w:p>
    <w:p w14:paraId="3A6D18A2" w14:textId="77777777" w:rsidR="00121A3E" w:rsidRPr="00B33AA4" w:rsidRDefault="00B5609C" w:rsidP="008F2193">
      <w:pPr>
        <w:pStyle w:val="09Para"/>
      </w:pPr>
      <w:r w:rsidRPr="00B33AA4">
        <w:t xml:space="preserve">Nous avons comptabilisé un profit </w:t>
      </w:r>
      <w:r w:rsidR="00121A3E" w:rsidRPr="00B33AA4">
        <w:t>[</w:t>
      </w:r>
      <w:r w:rsidRPr="00B33AA4">
        <w:rPr>
          <w:color w:val="0000FF"/>
        </w:rPr>
        <w:t>une perte</w:t>
      </w:r>
      <w:r w:rsidR="00121A3E" w:rsidRPr="00B33AA4">
        <w:t xml:space="preserve">] </w:t>
      </w:r>
      <w:r w:rsidRPr="00B33AA4">
        <w:t xml:space="preserve">résultant </w:t>
      </w:r>
      <w:r w:rsidR="008C093A" w:rsidRPr="00B33AA4">
        <w:t>d</w:t>
      </w:r>
      <w:r w:rsidRPr="00B33AA4">
        <w:t>e l</w:t>
      </w:r>
      <w:r w:rsidR="00865E23" w:rsidRPr="00B33AA4">
        <w:t>’</w:t>
      </w:r>
      <w:r w:rsidRPr="00B33AA4">
        <w:t xml:space="preserve">évaluation à la juste valeur diminuée des coûts de la vente </w:t>
      </w:r>
      <w:r w:rsidR="00121A3E" w:rsidRPr="00B33AA4">
        <w:t>[</w:t>
      </w:r>
      <w:r w:rsidR="00121A3E" w:rsidRPr="00B33AA4">
        <w:rPr>
          <w:i/>
          <w:color w:val="0000FF"/>
        </w:rPr>
        <w:t>d</w:t>
      </w:r>
      <w:r w:rsidRPr="00B33AA4">
        <w:rPr>
          <w:i/>
          <w:color w:val="0000FF"/>
        </w:rPr>
        <w:t>écrire l</w:t>
      </w:r>
      <w:r w:rsidR="00865E23" w:rsidRPr="00B33AA4">
        <w:rPr>
          <w:i/>
          <w:color w:val="0000FF"/>
        </w:rPr>
        <w:t>’</w:t>
      </w:r>
      <w:r w:rsidRPr="00B33AA4">
        <w:rPr>
          <w:i/>
          <w:color w:val="0000FF"/>
        </w:rPr>
        <w:t xml:space="preserve">actif </w:t>
      </w:r>
      <w:r w:rsidR="00121A3E" w:rsidRPr="00B33AA4">
        <w:rPr>
          <w:i/>
          <w:color w:val="0000FF"/>
        </w:rPr>
        <w:t>(o</w:t>
      </w:r>
      <w:r w:rsidRPr="00B33AA4">
        <w:rPr>
          <w:i/>
          <w:color w:val="0000FF"/>
        </w:rPr>
        <w:t>u</w:t>
      </w:r>
      <w:r w:rsidR="00121A3E" w:rsidRPr="00B33AA4">
        <w:rPr>
          <w:i/>
          <w:color w:val="0000FF"/>
        </w:rPr>
        <w:t xml:space="preserve"> </w:t>
      </w:r>
      <w:r w:rsidRPr="00B33AA4">
        <w:rPr>
          <w:i/>
          <w:color w:val="0000FF"/>
        </w:rPr>
        <w:t>le groupe destiné à être cédé</w:t>
      </w:r>
      <w:r w:rsidR="00121A3E" w:rsidRPr="00B33AA4">
        <w:rPr>
          <w:i/>
          <w:color w:val="0000FF"/>
        </w:rPr>
        <w:t>)</w:t>
      </w:r>
      <w:r w:rsidR="008C093A" w:rsidRPr="00B33AA4">
        <w:rPr>
          <w:i/>
          <w:color w:val="0000FF"/>
        </w:rPr>
        <w:t xml:space="preserve"> </w:t>
      </w:r>
      <w:r w:rsidRPr="00B33AA4">
        <w:rPr>
          <w:i/>
          <w:color w:val="0000FF"/>
        </w:rPr>
        <w:t>qui a été cédé</w:t>
      </w:r>
      <w:r w:rsidR="007F69F5" w:rsidRPr="00B33AA4">
        <w:rPr>
          <w:i/>
          <w:color w:val="0000FF"/>
        </w:rPr>
        <w:t xml:space="preserve"> ou qui est détenu en vue de la vente</w:t>
      </w:r>
      <w:r w:rsidR="00121A3E" w:rsidRPr="00B33AA4">
        <w:t xml:space="preserve">], </w:t>
      </w:r>
      <w:r w:rsidR="007F69F5" w:rsidRPr="00B33AA4">
        <w:t>notamment le profit</w:t>
      </w:r>
      <w:r w:rsidR="00121A3E" w:rsidRPr="00B33AA4">
        <w:t xml:space="preserve"> [</w:t>
      </w:r>
      <w:r w:rsidR="00121A3E" w:rsidRPr="00D17C6D">
        <w:rPr>
          <w:color w:val="0000FF"/>
        </w:rPr>
        <w:t>l</w:t>
      </w:r>
      <w:r w:rsidR="007F69F5" w:rsidRPr="00D17C6D">
        <w:rPr>
          <w:color w:val="0000FF"/>
        </w:rPr>
        <w:t>a perte</w:t>
      </w:r>
      <w:r w:rsidR="00121A3E" w:rsidRPr="00B33AA4">
        <w:t>]</w:t>
      </w:r>
      <w:r w:rsidR="007F69F5" w:rsidRPr="00B33AA4">
        <w:t xml:space="preserve"> </w:t>
      </w:r>
      <w:r w:rsidR="008C093A" w:rsidRPr="00B33AA4">
        <w:t>lié</w:t>
      </w:r>
      <w:r w:rsidR="007F69F5" w:rsidRPr="00B33AA4">
        <w:t xml:space="preserve"> aux activités poursuivies pendant la période d</w:t>
      </w:r>
      <w:r w:rsidR="00865E23" w:rsidRPr="00B33AA4">
        <w:t>’</w:t>
      </w:r>
      <w:r w:rsidR="007F69F5" w:rsidRPr="00B33AA4">
        <w:t xml:space="preserve">abandon progressif et le profit </w:t>
      </w:r>
      <w:r w:rsidR="00121A3E" w:rsidRPr="00B33AA4">
        <w:t>[</w:t>
      </w:r>
      <w:r w:rsidR="00121A3E" w:rsidRPr="00B33AA4">
        <w:rPr>
          <w:color w:val="0000FF"/>
        </w:rPr>
        <w:t>l</w:t>
      </w:r>
      <w:r w:rsidR="007F69F5" w:rsidRPr="00B33AA4">
        <w:rPr>
          <w:color w:val="0000FF"/>
        </w:rPr>
        <w:t>a perte</w:t>
      </w:r>
      <w:r w:rsidR="00121A3E" w:rsidRPr="00B33AA4">
        <w:t xml:space="preserve">] </w:t>
      </w:r>
      <w:r w:rsidR="007F69F5" w:rsidRPr="00B33AA4">
        <w:t xml:space="preserve">à la sortie </w:t>
      </w:r>
      <w:r w:rsidR="005E5138" w:rsidRPr="00B33AA4">
        <w:t xml:space="preserve">in fine </w:t>
      </w:r>
      <w:r w:rsidR="00121A3E" w:rsidRPr="00B33AA4">
        <w:t>[</w:t>
      </w:r>
      <w:r w:rsidR="007F69F5" w:rsidRPr="00B33AA4">
        <w:rPr>
          <w:color w:val="0000FF"/>
        </w:rPr>
        <w:t>de l</w:t>
      </w:r>
      <w:r w:rsidR="00865E23" w:rsidRPr="00B33AA4">
        <w:rPr>
          <w:color w:val="0000FF"/>
        </w:rPr>
        <w:t>’</w:t>
      </w:r>
      <w:r w:rsidR="007F69F5" w:rsidRPr="00B33AA4">
        <w:rPr>
          <w:color w:val="0000FF"/>
        </w:rPr>
        <w:t xml:space="preserve">actif ou du groupe </w:t>
      </w:r>
      <w:r w:rsidR="008C093A" w:rsidRPr="00B33AA4">
        <w:rPr>
          <w:color w:val="0000FF"/>
        </w:rPr>
        <w:t>destiné</w:t>
      </w:r>
      <w:r w:rsidR="007F69F5" w:rsidRPr="00B33AA4">
        <w:rPr>
          <w:color w:val="0000FF"/>
        </w:rPr>
        <w:t xml:space="preserve"> à être cédé</w:t>
      </w:r>
      <w:r w:rsidR="00121A3E" w:rsidRPr="00B33AA4">
        <w:t>].</w:t>
      </w:r>
    </w:p>
    <w:p w14:paraId="0656C92F" w14:textId="312A7E20" w:rsidR="00121A3E" w:rsidRPr="00B33AA4" w:rsidRDefault="003A5B2E" w:rsidP="008F2193">
      <w:pPr>
        <w:pStyle w:val="09Para"/>
      </w:pPr>
      <w:r w:rsidRPr="00B33AA4">
        <w:t>Nous avons comptabilisé le profit</w:t>
      </w:r>
      <w:r w:rsidR="00121A3E" w:rsidRPr="00B33AA4">
        <w:t xml:space="preserve"> [</w:t>
      </w:r>
      <w:r w:rsidR="00121A3E" w:rsidRPr="00B33AA4">
        <w:rPr>
          <w:color w:val="0000FF"/>
        </w:rPr>
        <w:t>l</w:t>
      </w:r>
      <w:r w:rsidRPr="00B33AA4">
        <w:rPr>
          <w:color w:val="0000FF"/>
        </w:rPr>
        <w:t>a perte</w:t>
      </w:r>
      <w:r w:rsidR="00121A3E" w:rsidRPr="00B33AA4">
        <w:t xml:space="preserve">] </w:t>
      </w:r>
      <w:r w:rsidRPr="00B33AA4">
        <w:t>résultant de l</w:t>
      </w:r>
      <w:r w:rsidR="00865E23" w:rsidRPr="00B33AA4">
        <w:t>’</w:t>
      </w:r>
      <w:r w:rsidRPr="00B33AA4">
        <w:t>évaluation à la juste valeur diminuée des coûts de la vente</w:t>
      </w:r>
      <w:r w:rsidR="00714BDA" w:rsidRPr="00B33AA4">
        <w:t xml:space="preserve"> de</w:t>
      </w:r>
      <w:r w:rsidRPr="00B33AA4">
        <w:t xml:space="preserve"> </w:t>
      </w:r>
      <w:r w:rsidR="00121A3E" w:rsidRPr="00B33AA4">
        <w:t>[</w:t>
      </w:r>
      <w:r w:rsidR="00121A3E" w:rsidRPr="00B33AA4">
        <w:rPr>
          <w:i/>
          <w:color w:val="0000FF"/>
        </w:rPr>
        <w:t>d</w:t>
      </w:r>
      <w:r w:rsidRPr="00B33AA4">
        <w:rPr>
          <w:i/>
          <w:color w:val="0000FF"/>
        </w:rPr>
        <w:t>écrire l</w:t>
      </w:r>
      <w:r w:rsidR="00865E23" w:rsidRPr="00B33AA4">
        <w:rPr>
          <w:i/>
          <w:color w:val="0000FF"/>
        </w:rPr>
        <w:t>’</w:t>
      </w:r>
      <w:r w:rsidRPr="00B33AA4">
        <w:rPr>
          <w:i/>
          <w:color w:val="0000FF"/>
        </w:rPr>
        <w:t>actif</w:t>
      </w:r>
      <w:r w:rsidR="00121A3E" w:rsidRPr="00B33AA4">
        <w:rPr>
          <w:i/>
          <w:color w:val="0000FF"/>
        </w:rPr>
        <w:t xml:space="preserve"> (o</w:t>
      </w:r>
      <w:r w:rsidRPr="00B33AA4">
        <w:rPr>
          <w:i/>
          <w:color w:val="0000FF"/>
        </w:rPr>
        <w:t>u le groupe destiné à être cédé</w:t>
      </w:r>
      <w:r w:rsidR="00121A3E" w:rsidRPr="00B33AA4">
        <w:rPr>
          <w:i/>
          <w:color w:val="0000FF"/>
        </w:rPr>
        <w:t xml:space="preserve">) </w:t>
      </w:r>
      <w:r w:rsidRPr="00B33AA4">
        <w:rPr>
          <w:i/>
          <w:color w:val="0000FF"/>
        </w:rPr>
        <w:t>qui a été</w:t>
      </w:r>
      <w:r w:rsidR="00EE0948">
        <w:rPr>
          <w:i/>
          <w:color w:val="0000FF"/>
        </w:rPr>
        <w:t xml:space="preserve"> s</w:t>
      </w:r>
      <w:r w:rsidRPr="00B33AA4">
        <w:rPr>
          <w:i/>
          <w:color w:val="0000FF"/>
        </w:rPr>
        <w:t>orti ou qui est détenu en vue de la vente</w:t>
      </w:r>
      <w:r w:rsidR="00121A3E" w:rsidRPr="00B33AA4">
        <w:t xml:space="preserve">] </w:t>
      </w:r>
      <w:r w:rsidRPr="00B33AA4">
        <w:t>et le</w:t>
      </w:r>
      <w:r w:rsidR="005E5138" w:rsidRPr="00B33AA4">
        <w:t xml:space="preserve"> résultat net après impôt</w:t>
      </w:r>
      <w:r w:rsidR="00503F7D" w:rsidRPr="00B33AA4">
        <w:t xml:space="preserve"> </w:t>
      </w:r>
      <w:r w:rsidR="005E5138" w:rsidRPr="00B33AA4">
        <w:t xml:space="preserve">des </w:t>
      </w:r>
      <w:r w:rsidRPr="00B33AA4">
        <w:t>activité</w:t>
      </w:r>
      <w:r w:rsidR="005E5138" w:rsidRPr="00B33AA4">
        <w:t>s</w:t>
      </w:r>
      <w:r w:rsidRPr="00B33AA4">
        <w:t xml:space="preserve"> abandonnée</w:t>
      </w:r>
      <w:r w:rsidR="005E5138" w:rsidRPr="00B33AA4">
        <w:t>s</w:t>
      </w:r>
      <w:r w:rsidR="00121A3E" w:rsidRPr="00B33AA4">
        <w:t>.</w:t>
      </w:r>
    </w:p>
    <w:p w14:paraId="4A70CABE" w14:textId="46356BB0" w:rsidR="00515998" w:rsidRPr="00B33AA4" w:rsidRDefault="00515998" w:rsidP="008F2193">
      <w:pPr>
        <w:pStyle w:val="09Para"/>
      </w:pPr>
      <w:r w:rsidRPr="00B33AA4">
        <w:rPr>
          <w:rFonts w:cs="Arial"/>
        </w:rPr>
        <w:t>[</w:t>
      </w:r>
      <w:r w:rsidRPr="00B33AA4">
        <w:rPr>
          <w:rStyle w:val="BlueItalText"/>
          <w:rFonts w:cs="Arial"/>
        </w:rPr>
        <w:t>Si les actifs/groupes d’actifs qui ont été cédés sont considérés comme une activité abandonnée :</w:t>
      </w:r>
    </w:p>
    <w:p w14:paraId="641EBD7A" w14:textId="426A2962" w:rsidR="00805412" w:rsidRPr="00B33AA4" w:rsidRDefault="003A5B2E" w:rsidP="008F2193">
      <w:pPr>
        <w:pStyle w:val="09Para"/>
      </w:pPr>
      <w:r w:rsidRPr="00B33AA4">
        <w:t>Nous avons conclu que [</w:t>
      </w:r>
      <w:r w:rsidR="004E6A4F">
        <w:rPr>
          <w:i/>
          <w:color w:val="0000FF"/>
        </w:rPr>
        <w:t>décrire l</w:t>
      </w:r>
      <w:r w:rsidR="00EE0948" w:rsidRPr="00B33AA4">
        <w:rPr>
          <w:i/>
          <w:color w:val="0000FF"/>
        </w:rPr>
        <w:t xml:space="preserve">’actif </w:t>
      </w:r>
      <w:r w:rsidR="00EE0948">
        <w:rPr>
          <w:i/>
          <w:color w:val="0000FF"/>
        </w:rPr>
        <w:t xml:space="preserve">à long terme </w:t>
      </w:r>
      <w:r w:rsidR="00EE0948" w:rsidRPr="00B33AA4">
        <w:rPr>
          <w:i/>
          <w:color w:val="0000FF"/>
        </w:rPr>
        <w:t>(o</w:t>
      </w:r>
      <w:r w:rsidR="00EE0948">
        <w:rPr>
          <w:i/>
          <w:color w:val="0000FF"/>
        </w:rPr>
        <w:t>u du</w:t>
      </w:r>
      <w:r w:rsidR="00EE0948" w:rsidRPr="00B33AA4">
        <w:rPr>
          <w:i/>
          <w:color w:val="0000FF"/>
        </w:rPr>
        <w:t xml:space="preserve"> groupe destiné à être cédé) qui a été sorti ou qui est détenu en vue de la vente</w:t>
      </w:r>
      <w:r w:rsidR="00805412" w:rsidRPr="00B33AA4">
        <w:t>]</w:t>
      </w:r>
      <w:r w:rsidRPr="00B33AA4">
        <w:t xml:space="preserve"> était une </w:t>
      </w:r>
      <w:r w:rsidR="00805412" w:rsidRPr="00B33AA4">
        <w:t>compo</w:t>
      </w:r>
      <w:r w:rsidRPr="00B33AA4">
        <w:t xml:space="preserve">sante de </w:t>
      </w:r>
      <w:r w:rsidR="00805412" w:rsidRPr="00B33AA4">
        <w:t>[</w:t>
      </w:r>
      <w:r w:rsidR="00805412" w:rsidRPr="00B33AA4">
        <w:rPr>
          <w:color w:val="0000FF"/>
        </w:rPr>
        <w:t>Entit</w:t>
      </w:r>
      <w:r w:rsidRPr="00B33AA4">
        <w:rPr>
          <w:color w:val="0000FF"/>
        </w:rPr>
        <w:t>é</w:t>
      </w:r>
      <w:r w:rsidR="00805412" w:rsidRPr="00B33AA4">
        <w:t>]</w:t>
      </w:r>
      <w:r w:rsidR="007A25A3" w:rsidRPr="00B33AA4">
        <w:t>, qui représente une ligne d</w:t>
      </w:r>
      <w:r w:rsidR="00865E23" w:rsidRPr="00B33AA4">
        <w:t>’</w:t>
      </w:r>
      <w:r w:rsidR="007A25A3" w:rsidRPr="00B33AA4">
        <w:t>activité ou une région géographique principale et distincte</w:t>
      </w:r>
      <w:r w:rsidR="00805412" w:rsidRPr="00B33AA4">
        <w:t>, o</w:t>
      </w:r>
      <w:r w:rsidR="007A25A3" w:rsidRPr="00B33AA4">
        <w:t>u qui fait partie d</w:t>
      </w:r>
      <w:r w:rsidR="00865E23" w:rsidRPr="00B33AA4">
        <w:t>’</w:t>
      </w:r>
      <w:r w:rsidR="007A25A3" w:rsidRPr="00B33AA4">
        <w:t>un plan unique et coordonné pour se séparer d</w:t>
      </w:r>
      <w:r w:rsidR="00865E23" w:rsidRPr="00B33AA4">
        <w:t>’</w:t>
      </w:r>
      <w:r w:rsidR="007A25A3" w:rsidRPr="00B33AA4">
        <w:t>une ligne d</w:t>
      </w:r>
      <w:r w:rsidR="00865E23" w:rsidRPr="00B33AA4">
        <w:t>’</w:t>
      </w:r>
      <w:r w:rsidR="007A25A3" w:rsidRPr="00B33AA4">
        <w:t>activité ou d</w:t>
      </w:r>
      <w:r w:rsidR="00865E23" w:rsidRPr="00B33AA4">
        <w:t>’</w:t>
      </w:r>
      <w:r w:rsidR="007A25A3" w:rsidRPr="00B33AA4">
        <w:t>une région géographique principale et distincte</w:t>
      </w:r>
      <w:r w:rsidR="00805412" w:rsidRPr="00B33AA4">
        <w:t>, o</w:t>
      </w:r>
      <w:r w:rsidR="007A25A3" w:rsidRPr="00B33AA4">
        <w:t>u</w:t>
      </w:r>
      <w:r w:rsidR="00805412" w:rsidRPr="00B33AA4">
        <w:t xml:space="preserve"> </w:t>
      </w:r>
      <w:r w:rsidR="007A25A3" w:rsidRPr="00B33AA4">
        <w:t>est une filiale acquise exclusivement en vue de la revente, conformément à l</w:t>
      </w:r>
      <w:r w:rsidR="00865E23" w:rsidRPr="00B33AA4">
        <w:t>’</w:t>
      </w:r>
      <w:r w:rsidR="00805412" w:rsidRPr="00B33AA4">
        <w:t>IFRS</w:t>
      </w:r>
      <w:r w:rsidR="00467B01" w:rsidRPr="00B33AA4">
        <w:t> </w:t>
      </w:r>
      <w:r w:rsidR="00805412" w:rsidRPr="00B33AA4">
        <w:t>5</w:t>
      </w:r>
      <w:r w:rsidR="006F6FBE" w:rsidRPr="00B33AA4">
        <w:t>,</w:t>
      </w:r>
      <w:r w:rsidR="00805412" w:rsidRPr="00B33AA4">
        <w:t xml:space="preserve"> </w:t>
      </w:r>
      <w:r w:rsidR="007A25A3" w:rsidRPr="00B33AA4">
        <w:t xml:space="preserve">Actifs non </w:t>
      </w:r>
      <w:r w:rsidR="008C093A" w:rsidRPr="00B33AA4">
        <w:t xml:space="preserve">courants </w:t>
      </w:r>
      <w:r w:rsidR="007A25A3" w:rsidRPr="00B33AA4">
        <w:t>détenus en vue de la vente et activités abandonnées</w:t>
      </w:r>
      <w:r w:rsidR="00805412" w:rsidRPr="00B33AA4">
        <w:t>.</w:t>
      </w:r>
      <w:r w:rsidR="00EE0948">
        <w:rPr>
          <w:rFonts w:cs="Arial"/>
          <w:snapToGrid w:val="0"/>
          <w:kern w:val="28"/>
        </w:rPr>
        <w:t>]</w:t>
      </w:r>
    </w:p>
    <w:p w14:paraId="0A57E517" w14:textId="34A1969D" w:rsidR="00805412" w:rsidRPr="00B33AA4" w:rsidRDefault="005F4323" w:rsidP="008F2193">
      <w:pPr>
        <w:pStyle w:val="09Para"/>
      </w:pPr>
      <w:r w:rsidRPr="00B33AA4">
        <w:t xml:space="preserve">Les actifs </w:t>
      </w:r>
      <w:r w:rsidR="00805412" w:rsidRPr="00B33AA4">
        <w:t>[</w:t>
      </w:r>
      <w:r w:rsidR="00805412" w:rsidRPr="00B33AA4">
        <w:rPr>
          <w:color w:val="0000FF"/>
        </w:rPr>
        <w:t>o</w:t>
      </w:r>
      <w:r w:rsidRPr="00B33AA4">
        <w:rPr>
          <w:color w:val="0000FF"/>
        </w:rPr>
        <w:t>u</w:t>
      </w:r>
      <w:r w:rsidR="00C40F21" w:rsidRPr="00B33AA4">
        <w:rPr>
          <w:color w:val="0000FF"/>
        </w:rPr>
        <w:t xml:space="preserve"> le</w:t>
      </w:r>
      <w:r w:rsidRPr="00B33AA4">
        <w:rPr>
          <w:color w:val="0000FF"/>
        </w:rPr>
        <w:t xml:space="preserve"> groupe destiné à être cédé</w:t>
      </w:r>
      <w:r w:rsidR="00805412" w:rsidRPr="00B33AA4">
        <w:t xml:space="preserve">] </w:t>
      </w:r>
      <w:r w:rsidR="00195310" w:rsidRPr="00B33AA4">
        <w:t xml:space="preserve">qui </w:t>
      </w:r>
      <w:r w:rsidRPr="00B33AA4">
        <w:t>ont été classés comme étant détenus en vue de</w:t>
      </w:r>
      <w:r w:rsidR="00F91D84">
        <w:t> </w:t>
      </w:r>
      <w:r w:rsidRPr="00B33AA4">
        <w:t xml:space="preserve">la vente </w:t>
      </w:r>
      <w:r w:rsidR="00195310" w:rsidRPr="00B33AA4">
        <w:t xml:space="preserve">répondent aux </w:t>
      </w:r>
      <w:r w:rsidR="0096580E">
        <w:t>dispositions relatives à l’</w:t>
      </w:r>
      <w:r w:rsidR="00195310" w:rsidRPr="00B33AA4">
        <w:t xml:space="preserve">évaluation et </w:t>
      </w:r>
      <w:r w:rsidR="00323316">
        <w:t xml:space="preserve">aux critères </w:t>
      </w:r>
      <w:r w:rsidR="00195310" w:rsidRPr="00B33AA4">
        <w:t>de classement énoncés dans l</w:t>
      </w:r>
      <w:r w:rsidR="00865E23" w:rsidRPr="00B33AA4">
        <w:t>’</w:t>
      </w:r>
      <w:r w:rsidR="00195310" w:rsidRPr="00B33AA4">
        <w:t>IFRS</w:t>
      </w:r>
      <w:r w:rsidR="00467B01" w:rsidRPr="00B33AA4">
        <w:t> </w:t>
      </w:r>
      <w:r w:rsidR="00195310" w:rsidRPr="00B33AA4">
        <w:t xml:space="preserve">5, Actifs non </w:t>
      </w:r>
      <w:r w:rsidR="008C093A" w:rsidRPr="00B33AA4">
        <w:t xml:space="preserve">courants </w:t>
      </w:r>
      <w:r w:rsidR="00195310" w:rsidRPr="00B33AA4">
        <w:t>détenus en vue de la vente et activités abandonnées</w:t>
      </w:r>
      <w:r w:rsidR="00805412" w:rsidRPr="00B33AA4">
        <w:t xml:space="preserve">. </w:t>
      </w:r>
      <w:r w:rsidR="00195310" w:rsidRPr="00D17C6D">
        <w:rPr>
          <w:i/>
        </w:rPr>
        <w:t>[</w:t>
      </w:r>
      <w:r w:rsidR="00195310" w:rsidRPr="00B33AA4">
        <w:rPr>
          <w:i/>
          <w:color w:val="0000FF"/>
        </w:rPr>
        <w:t>Envisager d</w:t>
      </w:r>
      <w:r w:rsidR="00865E23" w:rsidRPr="00B33AA4">
        <w:rPr>
          <w:i/>
          <w:color w:val="0000FF"/>
        </w:rPr>
        <w:t>’</w:t>
      </w:r>
      <w:r w:rsidR="00195310" w:rsidRPr="00B33AA4">
        <w:rPr>
          <w:i/>
          <w:color w:val="0000FF"/>
        </w:rPr>
        <w:t xml:space="preserve">ajouter des déclarations supplémentaires si les actifs ne </w:t>
      </w:r>
      <w:r w:rsidR="00236249" w:rsidRPr="00B33AA4">
        <w:rPr>
          <w:i/>
          <w:color w:val="0000FF"/>
        </w:rPr>
        <w:t>doivent</w:t>
      </w:r>
      <w:r w:rsidR="00195310" w:rsidRPr="00B33AA4">
        <w:rPr>
          <w:i/>
          <w:color w:val="0000FF"/>
        </w:rPr>
        <w:t xml:space="preserve"> pas être cédés dans un délai d</w:t>
      </w:r>
      <w:r w:rsidR="00865E23" w:rsidRPr="00B33AA4">
        <w:rPr>
          <w:i/>
          <w:color w:val="0000FF"/>
        </w:rPr>
        <w:t>’</w:t>
      </w:r>
      <w:r w:rsidR="00195310" w:rsidRPr="00B33AA4">
        <w:rPr>
          <w:i/>
          <w:color w:val="0000FF"/>
        </w:rPr>
        <w:t xml:space="preserve">un an et que les </w:t>
      </w:r>
      <w:r w:rsidR="004E1816" w:rsidRPr="00B33AA4">
        <w:rPr>
          <w:i/>
          <w:color w:val="0000FF"/>
        </w:rPr>
        <w:t xml:space="preserve">critères </w:t>
      </w:r>
      <w:r w:rsidR="00195310" w:rsidRPr="00B33AA4">
        <w:rPr>
          <w:i/>
          <w:color w:val="0000FF"/>
        </w:rPr>
        <w:t xml:space="preserve">du </w:t>
      </w:r>
      <w:r w:rsidR="00D026CC" w:rsidRPr="00B33AA4">
        <w:rPr>
          <w:i/>
          <w:color w:val="0000FF"/>
        </w:rPr>
        <w:t>paragraphe</w:t>
      </w:r>
      <w:r w:rsidR="00467B01" w:rsidRPr="00B33AA4">
        <w:rPr>
          <w:i/>
          <w:color w:val="0000FF"/>
        </w:rPr>
        <w:t> </w:t>
      </w:r>
      <w:r w:rsidR="00195310" w:rsidRPr="00B33AA4">
        <w:rPr>
          <w:i/>
          <w:color w:val="0000FF"/>
        </w:rPr>
        <w:t>9 de l</w:t>
      </w:r>
      <w:r w:rsidR="00865E23" w:rsidRPr="00B33AA4">
        <w:rPr>
          <w:i/>
          <w:color w:val="0000FF"/>
        </w:rPr>
        <w:t>’</w:t>
      </w:r>
      <w:r w:rsidR="00195310" w:rsidRPr="00B33AA4">
        <w:rPr>
          <w:i/>
          <w:color w:val="0000FF"/>
        </w:rPr>
        <w:t>IFRS</w:t>
      </w:r>
      <w:r w:rsidR="00467B01" w:rsidRPr="00B33AA4">
        <w:rPr>
          <w:i/>
          <w:color w:val="0000FF"/>
        </w:rPr>
        <w:t> </w:t>
      </w:r>
      <w:r w:rsidR="00195310" w:rsidRPr="00B33AA4">
        <w:rPr>
          <w:i/>
          <w:color w:val="0000FF"/>
        </w:rPr>
        <w:t>5 sont respectés</w:t>
      </w:r>
      <w:r w:rsidR="00217A6C" w:rsidRPr="00B33AA4">
        <w:rPr>
          <w:i/>
          <w:color w:val="0000FF"/>
        </w:rPr>
        <w:t>.</w:t>
      </w:r>
      <w:r w:rsidR="004E6A4F" w:rsidRPr="00C55C35">
        <w:rPr>
          <w:i/>
        </w:rPr>
        <w:t>]</w:t>
      </w:r>
    </w:p>
    <w:p w14:paraId="68FC48D1" w14:textId="77777777" w:rsidR="00805412" w:rsidRPr="00B33AA4" w:rsidRDefault="00195310" w:rsidP="00C04620">
      <w:pPr>
        <w:pStyle w:val="Heading3"/>
      </w:pPr>
      <w:r w:rsidRPr="00B33AA4">
        <w:t xml:space="preserve">Provision pour </w:t>
      </w:r>
      <w:r w:rsidR="008C093A" w:rsidRPr="00B33AA4">
        <w:t>restructuration</w:t>
      </w:r>
    </w:p>
    <w:p w14:paraId="3182733C" w14:textId="674A7D26" w:rsidR="00805412" w:rsidRPr="00B33AA4" w:rsidRDefault="00515998" w:rsidP="008F2193">
      <w:pPr>
        <w:pStyle w:val="09Para"/>
      </w:pPr>
      <w:r w:rsidRPr="00B33AA4">
        <w:t>Les états financiers [</w:t>
      </w:r>
      <w:r w:rsidRPr="00B33AA4">
        <w:rPr>
          <w:color w:val="0000FF"/>
        </w:rPr>
        <w:t>consolidé</w:t>
      </w:r>
      <w:r w:rsidR="00820EDE">
        <w:rPr>
          <w:color w:val="0000FF"/>
        </w:rPr>
        <w:t>s</w:t>
      </w:r>
      <w:r w:rsidRPr="00B33AA4">
        <w:t>] présentent une provision pour coûts de restructuration de [</w:t>
      </w:r>
      <w:r w:rsidRPr="00B33AA4">
        <w:rPr>
          <w:color w:val="0000FF"/>
        </w:rPr>
        <w:t>montant</w:t>
      </w:r>
      <w:r w:rsidRPr="00B33AA4">
        <w:t>] $, qui a été comptabilisée le [</w:t>
      </w:r>
      <w:r w:rsidRPr="00B33AA4">
        <w:rPr>
          <w:color w:val="0000FF"/>
        </w:rPr>
        <w:t>date</w:t>
      </w:r>
      <w:r w:rsidRPr="00B33AA4">
        <w:t>]. Cette provision représente les coûts comptabilisés conformément aux exigences de l’IAS 37, Provisions, passifs éventuels et actifs éventuels. [</w:t>
      </w:r>
      <w:r w:rsidRPr="00B33AA4">
        <w:rPr>
          <w:color w:val="0000FF"/>
        </w:rPr>
        <w:t>Entité</w:t>
      </w:r>
      <w:r w:rsidRPr="00B33AA4">
        <w:t xml:space="preserve">] un plan formalisé et détaillé de restructuration précisant au moins l’activité ou la partie de l’activité concernée, les principaux sites affectés, la localisation, la fonction et le nombre approximatif de membres du personnel qui seront indemnisés au titre de la fin de leur </w:t>
      </w:r>
      <w:r w:rsidRPr="00B33AA4">
        <w:lastRenderedPageBreak/>
        <w:t>contrat de</w:t>
      </w:r>
      <w:r w:rsidR="00F91D84">
        <w:t> </w:t>
      </w:r>
      <w:r w:rsidRPr="00B33AA4">
        <w:t>travail, les dépenses qui seront engagées, et la date à laquelle le plan sera mis en œuvre. [</w:t>
      </w:r>
      <w:r w:rsidRPr="00B33AA4">
        <w:rPr>
          <w:color w:val="0000FF"/>
        </w:rPr>
        <w:t>Entité</w:t>
      </w:r>
      <w:r w:rsidRPr="00B33AA4">
        <w:t>] a créé, chez les personnes concernées, une attente fondée [</w:t>
      </w:r>
      <w:r w:rsidRPr="00B33AA4">
        <w:rPr>
          <w:color w:val="0000FF"/>
        </w:rPr>
        <w:t xml:space="preserve">qu’il </w:t>
      </w:r>
      <w:r w:rsidRPr="00B33AA4">
        <w:rPr>
          <w:i/>
          <w:color w:val="0000FF"/>
        </w:rPr>
        <w:t>OU</w:t>
      </w:r>
      <w:r w:rsidRPr="00B33AA4">
        <w:rPr>
          <w:color w:val="0000FF"/>
        </w:rPr>
        <w:t xml:space="preserve"> qu’elle</w:t>
      </w:r>
      <w:r w:rsidRPr="00B33AA4">
        <w:t>] mettra en œuvre la restructuration, soit en commençant à exécuter le plan, soit en leur annonçant ses principales caractéristiques. La provision a été correctement classée et présentée dans les états financiers [</w:t>
      </w:r>
      <w:r w:rsidRPr="00B33AA4">
        <w:rPr>
          <w:color w:val="0000FF"/>
        </w:rPr>
        <w:t>consolidés</w:t>
      </w:r>
      <w:r w:rsidRPr="00B33AA4">
        <w:t>] de manière appropriée.</w:t>
      </w:r>
    </w:p>
    <w:p w14:paraId="748BA18E" w14:textId="7ED7D32E" w:rsidR="00BA20D1" w:rsidRPr="00B33AA4" w:rsidRDefault="00BA20D1" w:rsidP="008F2193">
      <w:pPr>
        <w:pStyle w:val="09Para"/>
      </w:pPr>
      <w:r w:rsidRPr="00B33AA4">
        <w:t>[</w:t>
      </w:r>
      <w:r w:rsidRPr="00B33AA4">
        <w:rPr>
          <w:color w:val="0000FF"/>
        </w:rPr>
        <w:t>Entit</w:t>
      </w:r>
      <w:r w:rsidR="00CF55A5" w:rsidRPr="00B33AA4">
        <w:rPr>
          <w:color w:val="0000FF"/>
        </w:rPr>
        <w:t>é</w:t>
      </w:r>
      <w:r w:rsidRPr="00B33AA4">
        <w:t>] a</w:t>
      </w:r>
      <w:r w:rsidR="00CF55A5" w:rsidRPr="00B33AA4">
        <w:t xml:space="preserve"> constaté un passif et une </w:t>
      </w:r>
      <w:r w:rsidR="008C093A" w:rsidRPr="00B33AA4">
        <w:t xml:space="preserve">charge </w:t>
      </w:r>
      <w:r w:rsidR="00CF55A5" w:rsidRPr="00B33AA4">
        <w:t>au titre des indemnités de cessation d</w:t>
      </w:r>
      <w:r w:rsidR="00865E23" w:rsidRPr="00B33AA4">
        <w:t>’</w:t>
      </w:r>
      <w:r w:rsidR="00CF55A5" w:rsidRPr="00B33AA4">
        <w:t>emploi</w:t>
      </w:r>
      <w:r w:rsidR="00C40F21" w:rsidRPr="00B33AA4">
        <w:t xml:space="preserve"> le</w:t>
      </w:r>
      <w:r w:rsidR="009E4F8A">
        <w:t> </w:t>
      </w:r>
      <w:r w:rsidR="00C40F21" w:rsidRPr="00B33AA4">
        <w:t>[</w:t>
      </w:r>
      <w:r w:rsidR="00C40F21" w:rsidRPr="00B33AA4">
        <w:rPr>
          <w:color w:val="0000FF"/>
        </w:rPr>
        <w:t>date</w:t>
      </w:r>
      <w:r w:rsidR="00C40F21" w:rsidRPr="00B33AA4">
        <w:t>]</w:t>
      </w:r>
      <w:r w:rsidR="00CF55A5" w:rsidRPr="00B33AA4">
        <w:t xml:space="preserve"> </w:t>
      </w:r>
      <w:r w:rsidRPr="00B33AA4">
        <w:t>[</w:t>
      </w:r>
      <w:r w:rsidR="00CF55A5" w:rsidRPr="00B33AA4">
        <w:rPr>
          <w:i/>
          <w:color w:val="0000FF"/>
        </w:rPr>
        <w:t>à la première</w:t>
      </w:r>
      <w:r w:rsidR="008C093A" w:rsidRPr="00B33AA4">
        <w:rPr>
          <w:i/>
          <w:color w:val="0000FF"/>
        </w:rPr>
        <w:t xml:space="preserve"> des </w:t>
      </w:r>
      <w:r w:rsidR="00CF55A5" w:rsidRPr="00B33AA4">
        <w:rPr>
          <w:i/>
          <w:color w:val="0000FF"/>
        </w:rPr>
        <w:t>dates suivantes</w:t>
      </w:r>
      <w:r w:rsidR="00605C59" w:rsidRPr="00B33AA4">
        <w:rPr>
          <w:i/>
          <w:color w:val="0000FF"/>
        </w:rPr>
        <w:t> :</w:t>
      </w:r>
      <w:r w:rsidRPr="00B33AA4">
        <w:rPr>
          <w:i/>
          <w:color w:val="0000FF"/>
        </w:rPr>
        <w:t xml:space="preserve"> </w:t>
      </w:r>
      <w:r w:rsidR="00CF55A5" w:rsidRPr="00B33AA4">
        <w:rPr>
          <w:i/>
          <w:color w:val="0000FF"/>
        </w:rPr>
        <w:t>la date où elle ne peut plus retirer son offre d</w:t>
      </w:r>
      <w:r w:rsidR="00865E23" w:rsidRPr="00B33AA4">
        <w:rPr>
          <w:i/>
          <w:color w:val="0000FF"/>
        </w:rPr>
        <w:t>’</w:t>
      </w:r>
      <w:r w:rsidR="00CF55A5" w:rsidRPr="00B33AA4">
        <w:rPr>
          <w:i/>
          <w:color w:val="0000FF"/>
        </w:rPr>
        <w:t xml:space="preserve">indemnités </w:t>
      </w:r>
      <w:r w:rsidRPr="00B33AA4">
        <w:rPr>
          <w:color w:val="0000FF"/>
        </w:rPr>
        <w:t>O</w:t>
      </w:r>
      <w:r w:rsidR="00CF55A5" w:rsidRPr="00B33AA4">
        <w:rPr>
          <w:color w:val="0000FF"/>
        </w:rPr>
        <w:t>U</w:t>
      </w:r>
      <w:r w:rsidRPr="00B33AA4">
        <w:rPr>
          <w:i/>
          <w:color w:val="0000FF"/>
        </w:rPr>
        <w:t xml:space="preserve"> </w:t>
      </w:r>
      <w:r w:rsidR="00CF55A5" w:rsidRPr="00B33AA4">
        <w:rPr>
          <w:i/>
          <w:color w:val="0000FF"/>
        </w:rPr>
        <w:t>la date où elle comptabilise les coûts d</w:t>
      </w:r>
      <w:r w:rsidR="00865E23" w:rsidRPr="00B33AA4">
        <w:rPr>
          <w:i/>
          <w:color w:val="0000FF"/>
        </w:rPr>
        <w:t>’</w:t>
      </w:r>
      <w:r w:rsidR="00CF55A5" w:rsidRPr="00B33AA4">
        <w:rPr>
          <w:i/>
          <w:color w:val="0000FF"/>
        </w:rPr>
        <w:t>une restructuration entrant dans le</w:t>
      </w:r>
      <w:r w:rsidR="009E4F8A">
        <w:rPr>
          <w:i/>
          <w:color w:val="0000FF"/>
        </w:rPr>
        <w:t> </w:t>
      </w:r>
      <w:r w:rsidR="00CF55A5" w:rsidRPr="00B33AA4">
        <w:rPr>
          <w:i/>
          <w:color w:val="0000FF"/>
        </w:rPr>
        <w:t>champ d</w:t>
      </w:r>
      <w:r w:rsidR="00865E23" w:rsidRPr="00B33AA4">
        <w:rPr>
          <w:i/>
          <w:color w:val="0000FF"/>
        </w:rPr>
        <w:t>’</w:t>
      </w:r>
      <w:r w:rsidR="00CF55A5" w:rsidRPr="00B33AA4">
        <w:rPr>
          <w:i/>
          <w:color w:val="0000FF"/>
        </w:rPr>
        <w:t>application d</w:t>
      </w:r>
      <w:r w:rsidR="00865E23" w:rsidRPr="00B33AA4">
        <w:rPr>
          <w:i/>
          <w:color w:val="0000FF"/>
        </w:rPr>
        <w:t>’</w:t>
      </w:r>
      <w:r w:rsidR="00515998" w:rsidRPr="00B33AA4">
        <w:rPr>
          <w:i/>
          <w:color w:val="0000FF"/>
        </w:rPr>
        <w:t>IAS </w:t>
      </w:r>
      <w:r w:rsidR="00CF55A5" w:rsidRPr="00B33AA4">
        <w:rPr>
          <w:i/>
          <w:color w:val="0000FF"/>
        </w:rPr>
        <w:t>37, et prévoyant le paiement de telles indemnités</w:t>
      </w:r>
      <w:r w:rsidRPr="00B33AA4">
        <w:rPr>
          <w:i/>
          <w:color w:val="0000FF"/>
        </w:rPr>
        <w:t>.</w:t>
      </w:r>
      <w:r w:rsidRPr="00B33AA4">
        <w:t xml:space="preserve">] </w:t>
      </w:r>
      <w:r w:rsidR="00CF55A5" w:rsidRPr="00B33AA4">
        <w:t>En outre</w:t>
      </w:r>
      <w:r w:rsidRPr="00B33AA4">
        <w:t>, [</w:t>
      </w:r>
      <w:r w:rsidRPr="00B33AA4">
        <w:rPr>
          <w:color w:val="0000FF"/>
        </w:rPr>
        <w:t>Entit</w:t>
      </w:r>
      <w:r w:rsidR="00CF55A5" w:rsidRPr="00B33AA4">
        <w:rPr>
          <w:color w:val="0000FF"/>
        </w:rPr>
        <w:t>é</w:t>
      </w:r>
      <w:r w:rsidRPr="00B33AA4">
        <w:t>] a</w:t>
      </w:r>
      <w:r w:rsidR="00CF55A5" w:rsidRPr="00B33AA4">
        <w:t xml:space="preserve"> déterminé de manière appropriée si les</w:t>
      </w:r>
      <w:r w:rsidRPr="00B33AA4">
        <w:t xml:space="preserve"> </w:t>
      </w:r>
      <w:r w:rsidR="00CF55A5" w:rsidRPr="00B33AA4">
        <w:t>indemnités de cessation d</w:t>
      </w:r>
      <w:r w:rsidR="00865E23" w:rsidRPr="00B33AA4">
        <w:t>’</w:t>
      </w:r>
      <w:r w:rsidR="00CF55A5" w:rsidRPr="00B33AA4">
        <w:t>emploi étaient conformes à</w:t>
      </w:r>
      <w:r w:rsidR="00F91D84">
        <w:t> </w:t>
      </w:r>
      <w:r w:rsidR="00CF55A5" w:rsidRPr="00B33AA4">
        <w:t>la définition donnée à l</w:t>
      </w:r>
      <w:r w:rsidR="00865E23" w:rsidRPr="00B33AA4">
        <w:t>’</w:t>
      </w:r>
      <w:r w:rsidRPr="00B33AA4">
        <w:t>IAS</w:t>
      </w:r>
      <w:r w:rsidR="00467B01" w:rsidRPr="00B33AA4">
        <w:t> </w:t>
      </w:r>
      <w:r w:rsidRPr="00B33AA4">
        <w:t>19</w:t>
      </w:r>
      <w:r w:rsidR="007A3FB1" w:rsidRPr="00B33AA4">
        <w:t>,</w:t>
      </w:r>
      <w:r w:rsidR="00CF55A5" w:rsidRPr="00B33AA4">
        <w:t xml:space="preserve"> Avantages du personnel</w:t>
      </w:r>
      <w:r w:rsidRPr="00B33AA4">
        <w:t>.</w:t>
      </w:r>
    </w:p>
    <w:p w14:paraId="2BC1BFD8" w14:textId="7F1BF10B" w:rsidR="00BA20D1" w:rsidRPr="00B33AA4" w:rsidRDefault="0031022A" w:rsidP="008F2193">
      <w:pPr>
        <w:pStyle w:val="09Para"/>
      </w:pPr>
      <w:r w:rsidRPr="00B33AA4">
        <w:t>[</w:t>
      </w:r>
      <w:r w:rsidRPr="00B33AA4">
        <w:rPr>
          <w:i/>
          <w:color w:val="0000FF"/>
        </w:rPr>
        <w:t>Ajouter le paragraphe qui suit lorsque l</w:t>
      </w:r>
      <w:r w:rsidR="00865E23" w:rsidRPr="00B33AA4">
        <w:rPr>
          <w:i/>
          <w:color w:val="0000FF"/>
        </w:rPr>
        <w:t>’</w:t>
      </w:r>
      <w:r w:rsidRPr="00B33AA4">
        <w:rPr>
          <w:i/>
          <w:color w:val="0000FF"/>
        </w:rPr>
        <w:t>employé accepte les indemnités offerte</w:t>
      </w:r>
      <w:r w:rsidR="008C093A" w:rsidRPr="00B33AA4">
        <w:rPr>
          <w:i/>
          <w:color w:val="0000FF"/>
        </w:rPr>
        <w:t xml:space="preserve">s </w:t>
      </w:r>
      <w:r w:rsidRPr="00B33AA4">
        <w:rPr>
          <w:i/>
          <w:color w:val="0000FF"/>
        </w:rPr>
        <w:t>par l</w:t>
      </w:r>
      <w:r w:rsidR="00865E23" w:rsidRPr="00B33AA4">
        <w:rPr>
          <w:i/>
          <w:color w:val="0000FF"/>
        </w:rPr>
        <w:t>’</w:t>
      </w:r>
      <w:r w:rsidR="000A5259" w:rsidRPr="00B33AA4">
        <w:rPr>
          <w:i/>
          <w:color w:val="0000FF"/>
        </w:rPr>
        <w:t xml:space="preserve">employeur </w:t>
      </w:r>
      <w:r w:rsidRPr="00B33AA4">
        <w:rPr>
          <w:i/>
          <w:color w:val="0000FF"/>
        </w:rPr>
        <w:t>en échange de la cessation de son emploi </w:t>
      </w:r>
      <w:r w:rsidR="00BA20D1" w:rsidRPr="00B33AA4">
        <w:rPr>
          <w:i/>
          <w:color w:val="0000FF"/>
        </w:rPr>
        <w:t>:</w:t>
      </w:r>
      <w:r w:rsidR="006C227B" w:rsidRPr="00F96EBA">
        <w:t>]</w:t>
      </w:r>
    </w:p>
    <w:p w14:paraId="42E993AA" w14:textId="2C340DDF" w:rsidR="00BA20D1" w:rsidRPr="00B33AA4" w:rsidRDefault="00BA20D1" w:rsidP="008F2193">
      <w:pPr>
        <w:pStyle w:val="09Para"/>
      </w:pPr>
      <w:bookmarkStart w:id="52" w:name="_GoBack"/>
      <w:bookmarkEnd w:id="52"/>
      <w:r w:rsidRPr="00B33AA4">
        <w:t>[</w:t>
      </w:r>
      <w:r w:rsidRPr="00B33AA4">
        <w:rPr>
          <w:color w:val="0000FF"/>
        </w:rPr>
        <w:t>Entit</w:t>
      </w:r>
      <w:r w:rsidR="006F4B59" w:rsidRPr="00B33AA4">
        <w:rPr>
          <w:color w:val="0000FF"/>
        </w:rPr>
        <w:t>é</w:t>
      </w:r>
      <w:r w:rsidRPr="00B33AA4">
        <w:t>] a</w:t>
      </w:r>
      <w:r w:rsidR="006F4B59" w:rsidRPr="00B33AA4">
        <w:t xml:space="preserve"> constaté des indemnités de cessation d</w:t>
      </w:r>
      <w:r w:rsidR="00865E23" w:rsidRPr="00B33AA4">
        <w:t>’</w:t>
      </w:r>
      <w:r w:rsidR="006F4B59" w:rsidRPr="00B33AA4">
        <w:t xml:space="preserve">emploi à la suite de la décision du </w:t>
      </w:r>
      <w:r w:rsidR="000A5259" w:rsidRPr="00B33AA4">
        <w:t xml:space="preserve">membre du </w:t>
      </w:r>
      <w:r w:rsidR="006F4B59" w:rsidRPr="00B33AA4">
        <w:t>personnel d</w:t>
      </w:r>
      <w:r w:rsidR="00865E23" w:rsidRPr="00B33AA4">
        <w:t>’</w:t>
      </w:r>
      <w:r w:rsidR="006F4B59" w:rsidRPr="00B33AA4">
        <w:t>accepter une offre d</w:t>
      </w:r>
      <w:r w:rsidR="00865E23" w:rsidRPr="00B33AA4">
        <w:t>’</w:t>
      </w:r>
      <w:r w:rsidR="006F4B59" w:rsidRPr="00B33AA4">
        <w:t>indemnités en échange de la cess</w:t>
      </w:r>
      <w:r w:rsidR="00BC66EF" w:rsidRPr="00B33AA4">
        <w:t>at</w:t>
      </w:r>
      <w:r w:rsidR="006F4B59" w:rsidRPr="00B33AA4">
        <w:t xml:space="preserve">ion de son emploi </w:t>
      </w:r>
      <w:r w:rsidRPr="00B33AA4">
        <w:t>[</w:t>
      </w:r>
      <w:r w:rsidR="006F4B59" w:rsidRPr="00B33AA4">
        <w:rPr>
          <w:i/>
          <w:color w:val="0000FF"/>
        </w:rPr>
        <w:t>à la première des deux</w:t>
      </w:r>
      <w:r w:rsidR="000A5259" w:rsidRPr="00B33AA4">
        <w:rPr>
          <w:i/>
          <w:color w:val="0000FF"/>
        </w:rPr>
        <w:t> </w:t>
      </w:r>
      <w:r w:rsidR="006F4B59" w:rsidRPr="00B33AA4">
        <w:rPr>
          <w:i/>
          <w:color w:val="0000FF"/>
        </w:rPr>
        <w:t>dates suivantes</w:t>
      </w:r>
      <w:r w:rsidR="00605C59" w:rsidRPr="00B33AA4">
        <w:rPr>
          <w:i/>
          <w:color w:val="0000FF"/>
        </w:rPr>
        <w:t> :</w:t>
      </w:r>
      <w:r w:rsidRPr="00B33AA4">
        <w:rPr>
          <w:i/>
          <w:color w:val="0000FF"/>
        </w:rPr>
        <w:t xml:space="preserve"> </w:t>
      </w:r>
      <w:r w:rsidR="006F4B59" w:rsidRPr="00B33AA4">
        <w:rPr>
          <w:i/>
          <w:color w:val="0000FF"/>
        </w:rPr>
        <w:t>la date où le membre du personnel accepte l</w:t>
      </w:r>
      <w:r w:rsidR="00865E23" w:rsidRPr="00B33AA4">
        <w:rPr>
          <w:i/>
          <w:color w:val="0000FF"/>
        </w:rPr>
        <w:t>’</w:t>
      </w:r>
      <w:r w:rsidR="006F4B59" w:rsidRPr="00B33AA4">
        <w:rPr>
          <w:i/>
          <w:color w:val="0000FF"/>
        </w:rPr>
        <w:t xml:space="preserve">offre </w:t>
      </w:r>
      <w:r w:rsidR="006F4B59" w:rsidRPr="00B33AA4">
        <w:rPr>
          <w:color w:val="0000FF"/>
        </w:rPr>
        <w:t>OU</w:t>
      </w:r>
      <w:r w:rsidRPr="00B33AA4">
        <w:rPr>
          <w:i/>
          <w:color w:val="0000FF"/>
        </w:rPr>
        <w:t xml:space="preserve"> </w:t>
      </w:r>
      <w:r w:rsidR="006F4B59" w:rsidRPr="00B33AA4">
        <w:rPr>
          <w:i/>
          <w:color w:val="0000FF"/>
        </w:rPr>
        <w:t>la date de prise d</w:t>
      </w:r>
      <w:r w:rsidR="00865E23" w:rsidRPr="00B33AA4">
        <w:rPr>
          <w:i/>
          <w:color w:val="0000FF"/>
        </w:rPr>
        <w:t>’</w:t>
      </w:r>
      <w:r w:rsidR="006F4B59" w:rsidRPr="00B33AA4">
        <w:rPr>
          <w:i/>
          <w:color w:val="0000FF"/>
        </w:rPr>
        <w:t xml:space="preserve">effet de toute restriction limitant la capacité de </w:t>
      </w:r>
      <w:r w:rsidRPr="00B33AA4">
        <w:t>[</w:t>
      </w:r>
      <w:r w:rsidRPr="00B33AA4">
        <w:rPr>
          <w:i/>
          <w:color w:val="0000FF"/>
        </w:rPr>
        <w:t>Entit</w:t>
      </w:r>
      <w:r w:rsidR="006F4B59" w:rsidRPr="00B33AA4">
        <w:rPr>
          <w:i/>
          <w:color w:val="0000FF"/>
        </w:rPr>
        <w:t>é</w:t>
      </w:r>
      <w:r w:rsidRPr="00B33AA4">
        <w:t xml:space="preserve">] </w:t>
      </w:r>
      <w:r w:rsidR="006F4B59" w:rsidRPr="00B33AA4">
        <w:rPr>
          <w:i/>
          <w:color w:val="0000FF"/>
        </w:rPr>
        <w:t>de retirer son offre</w:t>
      </w:r>
      <w:r w:rsidRPr="00B33AA4">
        <w:t xml:space="preserve">], </w:t>
      </w:r>
      <w:r w:rsidR="006F4B59" w:rsidRPr="00B33AA4">
        <w:t>qui est la date où l</w:t>
      </w:r>
      <w:r w:rsidR="00865E23" w:rsidRPr="00B33AA4">
        <w:t>’</w:t>
      </w:r>
      <w:r w:rsidR="006F4B59" w:rsidRPr="00B33AA4">
        <w:t>entité ne peut plus retirer son offre d</w:t>
      </w:r>
      <w:r w:rsidR="00865E23" w:rsidRPr="00B33AA4">
        <w:t>’</w:t>
      </w:r>
      <w:r w:rsidR="006F4B59" w:rsidRPr="00B33AA4">
        <w:t>indemnités</w:t>
      </w:r>
      <w:r w:rsidRPr="00B33AA4">
        <w:t>. [</w:t>
      </w:r>
      <w:r w:rsidRPr="00B33AA4">
        <w:rPr>
          <w:color w:val="0000FF"/>
        </w:rPr>
        <w:t>Entit</w:t>
      </w:r>
      <w:r w:rsidR="006F4B59" w:rsidRPr="00B33AA4">
        <w:rPr>
          <w:color w:val="0000FF"/>
        </w:rPr>
        <w:t>é</w:t>
      </w:r>
      <w:r w:rsidRPr="00B33AA4">
        <w:t xml:space="preserve">] </w:t>
      </w:r>
      <w:r w:rsidR="006F4B59" w:rsidRPr="00B33AA4">
        <w:t>a déterminé de manière appropriée si les indemnités de cessation d</w:t>
      </w:r>
      <w:r w:rsidR="00865E23" w:rsidRPr="00B33AA4">
        <w:t>’</w:t>
      </w:r>
      <w:r w:rsidR="006F4B59" w:rsidRPr="00B33AA4">
        <w:t>emploi étaient conformes à la définition donnée à l</w:t>
      </w:r>
      <w:r w:rsidR="00865E23" w:rsidRPr="00B33AA4">
        <w:t>’</w:t>
      </w:r>
      <w:r w:rsidR="006F4B59" w:rsidRPr="00B33AA4">
        <w:t>IAS</w:t>
      </w:r>
      <w:r w:rsidR="00467B01" w:rsidRPr="00B33AA4">
        <w:t> </w:t>
      </w:r>
      <w:r w:rsidR="006F4B59" w:rsidRPr="00B33AA4">
        <w:t>19</w:t>
      </w:r>
      <w:r w:rsidR="006C227B" w:rsidRPr="00764D50">
        <w:t>, Avantages du personnel</w:t>
      </w:r>
      <w:r w:rsidR="006F4B59" w:rsidRPr="00764D50">
        <w:t>.</w:t>
      </w:r>
    </w:p>
    <w:p w14:paraId="15D2C491" w14:textId="487C64DA" w:rsidR="00BA20D1" w:rsidRPr="00B33AA4" w:rsidDel="00E072B6" w:rsidRDefault="00BA20D1" w:rsidP="00700075">
      <w:pPr>
        <w:pStyle w:val="09Para"/>
        <w:keepNext/>
        <w:keepLines/>
      </w:pPr>
      <w:r w:rsidRPr="00B33AA4" w:rsidDel="00E072B6">
        <w:t>[</w:t>
      </w:r>
      <w:r w:rsidR="006F4B59" w:rsidRPr="00B33AA4">
        <w:rPr>
          <w:i/>
          <w:color w:val="0000FF"/>
        </w:rPr>
        <w:t>Ajouter le paragraphe qui suit lorsque c</w:t>
      </w:r>
      <w:r w:rsidR="00865E23" w:rsidRPr="00B33AA4">
        <w:rPr>
          <w:i/>
          <w:color w:val="0000FF"/>
        </w:rPr>
        <w:t>’</w:t>
      </w:r>
      <w:r w:rsidR="006F4B59" w:rsidRPr="00B33AA4">
        <w:rPr>
          <w:i/>
          <w:color w:val="0000FF"/>
        </w:rPr>
        <w:t>est l</w:t>
      </w:r>
      <w:r w:rsidR="00865E23" w:rsidRPr="00B33AA4">
        <w:rPr>
          <w:i/>
          <w:color w:val="0000FF"/>
        </w:rPr>
        <w:t>’</w:t>
      </w:r>
      <w:r w:rsidR="006F4B59" w:rsidRPr="00B33AA4">
        <w:rPr>
          <w:i/>
          <w:color w:val="0000FF"/>
        </w:rPr>
        <w:t>employeur qui décide de mettre fin à l</w:t>
      </w:r>
      <w:r w:rsidR="00865E23" w:rsidRPr="00B33AA4">
        <w:rPr>
          <w:i/>
          <w:color w:val="0000FF"/>
        </w:rPr>
        <w:t>’</w:t>
      </w:r>
      <w:r w:rsidR="006F4B59" w:rsidRPr="00B33AA4">
        <w:rPr>
          <w:i/>
          <w:color w:val="0000FF"/>
        </w:rPr>
        <w:t>emploi d</w:t>
      </w:r>
      <w:r w:rsidR="00865E23" w:rsidRPr="00B33AA4">
        <w:rPr>
          <w:i/>
          <w:color w:val="0000FF"/>
        </w:rPr>
        <w:t>’</w:t>
      </w:r>
      <w:r w:rsidR="006F4B59" w:rsidRPr="00B33AA4">
        <w:rPr>
          <w:i/>
          <w:color w:val="0000FF"/>
        </w:rPr>
        <w:t>un ou de plusieurs membres du personnel</w:t>
      </w:r>
      <w:r w:rsidR="00605C59" w:rsidRPr="00B33AA4">
        <w:rPr>
          <w:i/>
          <w:color w:val="0000FF"/>
        </w:rPr>
        <w:t> :</w:t>
      </w:r>
      <w:r w:rsidR="0096580E" w:rsidRPr="00F96EBA">
        <w:t>]</w:t>
      </w:r>
    </w:p>
    <w:p w14:paraId="51CBA00E" w14:textId="50C1F9FB" w:rsidR="00BA20D1" w:rsidRPr="00B33AA4" w:rsidRDefault="00BA20D1" w:rsidP="008F2193">
      <w:pPr>
        <w:pStyle w:val="09Para"/>
      </w:pPr>
      <w:r w:rsidRPr="00B33AA4">
        <w:t>[</w:t>
      </w:r>
      <w:r w:rsidRPr="00B33AA4">
        <w:rPr>
          <w:color w:val="0000FF"/>
        </w:rPr>
        <w:t>Entit</w:t>
      </w:r>
      <w:r w:rsidR="006F4B59" w:rsidRPr="00B33AA4">
        <w:rPr>
          <w:color w:val="0000FF"/>
        </w:rPr>
        <w:t>é</w:t>
      </w:r>
      <w:r w:rsidR="00503F7D" w:rsidRPr="00B33AA4">
        <w:t>]</w:t>
      </w:r>
      <w:r w:rsidRPr="00B33AA4">
        <w:t xml:space="preserve"> a </w:t>
      </w:r>
      <w:r w:rsidR="006F4B59" w:rsidRPr="00B33AA4">
        <w:t xml:space="preserve">comptabilisé </w:t>
      </w:r>
      <w:r w:rsidR="00107271" w:rsidRPr="00B33AA4">
        <w:t xml:space="preserve">des </w:t>
      </w:r>
      <w:r w:rsidR="006F4B59" w:rsidRPr="00B33AA4">
        <w:t>indemnités de cessation d</w:t>
      </w:r>
      <w:r w:rsidR="00865E23" w:rsidRPr="00B33AA4">
        <w:t>’</w:t>
      </w:r>
      <w:r w:rsidR="006F4B59" w:rsidRPr="00B33AA4">
        <w:t>emploi par suite de sa décision de mettre</w:t>
      </w:r>
      <w:r w:rsidR="009E4F8A">
        <w:t> </w:t>
      </w:r>
      <w:r w:rsidR="006F4B59" w:rsidRPr="00B33AA4">
        <w:t>fin à l</w:t>
      </w:r>
      <w:r w:rsidR="00865E23" w:rsidRPr="00B33AA4">
        <w:t>’</w:t>
      </w:r>
      <w:r w:rsidR="006F4B59" w:rsidRPr="00B33AA4">
        <w:t>emploi d</w:t>
      </w:r>
      <w:r w:rsidR="00865E23" w:rsidRPr="00B33AA4">
        <w:t>’</w:t>
      </w:r>
      <w:r w:rsidR="006F4B59" w:rsidRPr="00B33AA4">
        <w:t>un ou de plusieurs membres du personnel selon les critères suivants</w:t>
      </w:r>
      <w:r w:rsidR="00605C59" w:rsidRPr="00B33AA4">
        <w:t> :</w:t>
      </w:r>
      <w:r w:rsidRPr="00B33AA4">
        <w:t xml:space="preserve"> </w:t>
      </w:r>
      <w:r w:rsidR="004F6364" w:rsidRPr="00B33AA4">
        <w:t>les</w:t>
      </w:r>
      <w:r w:rsidR="009E4F8A">
        <w:t> </w:t>
      </w:r>
      <w:r w:rsidR="004F6364" w:rsidRPr="00B33AA4">
        <w:t>mesures requises pour mener le plan à bien indiquent qu</w:t>
      </w:r>
      <w:r w:rsidR="00865E23" w:rsidRPr="00B33AA4">
        <w:t>’</w:t>
      </w:r>
      <w:r w:rsidR="004F6364" w:rsidRPr="00B33AA4">
        <w:t>il est improbable que des changements importants soient apportés au plan</w:t>
      </w:r>
      <w:r w:rsidRPr="00B33AA4">
        <w:t xml:space="preserve">; </w:t>
      </w:r>
      <w:r w:rsidR="008C093A" w:rsidRPr="00B33AA4">
        <w:t>le</w:t>
      </w:r>
      <w:r w:rsidR="004F6364" w:rsidRPr="00B33AA4">
        <w:t xml:space="preserve"> plan indique le nombre de personnes visées par le licenciement, leur catégorie d</w:t>
      </w:r>
      <w:r w:rsidR="00865E23" w:rsidRPr="00B33AA4">
        <w:t>’</w:t>
      </w:r>
      <w:r w:rsidR="004F6364" w:rsidRPr="00B33AA4">
        <w:t>emploi ou leur fonction, et leur lieu de travail, ainsi que sa date de réalisation prévue</w:t>
      </w:r>
      <w:r w:rsidRPr="00B33AA4">
        <w:t xml:space="preserve">; </w:t>
      </w:r>
      <w:r w:rsidR="004F6364" w:rsidRPr="00B33AA4">
        <w:t>le plan fixe les indemnités de cessation d</w:t>
      </w:r>
      <w:r w:rsidR="00865E23" w:rsidRPr="00B33AA4">
        <w:t>’</w:t>
      </w:r>
      <w:r w:rsidR="004F6364" w:rsidRPr="00B33AA4">
        <w:t>emploi avec une précision suffisante pour permettre aux membres du personnel de déterminer la nature et le montant des prestations qu</w:t>
      </w:r>
      <w:r w:rsidR="00865E23" w:rsidRPr="00B33AA4">
        <w:t>’</w:t>
      </w:r>
      <w:r w:rsidR="004F6364" w:rsidRPr="00B33AA4">
        <w:t>ils toucheront lors de la cessation de leur emploi</w:t>
      </w:r>
      <w:r w:rsidRPr="00B33AA4">
        <w:t>.</w:t>
      </w:r>
    </w:p>
    <w:p w14:paraId="0BC80777" w14:textId="59695761" w:rsidR="00805412" w:rsidRDefault="00691B39" w:rsidP="008F2193">
      <w:pPr>
        <w:pStyle w:val="09Para"/>
      </w:pPr>
      <w:r w:rsidRPr="00B33AA4">
        <w:t>Nous poursuivons la mise en œuvre du plan de restructuration</w:t>
      </w:r>
      <w:r w:rsidR="00805412" w:rsidRPr="00B33AA4">
        <w:t xml:space="preserve">. </w:t>
      </w:r>
      <w:r w:rsidRPr="00B33AA4">
        <w:t xml:space="preserve">Les états financiers </w:t>
      </w:r>
      <w:r w:rsidR="00805412" w:rsidRPr="00B33AA4">
        <w:t>[</w:t>
      </w:r>
      <w:r w:rsidR="00805412" w:rsidRPr="00B33AA4">
        <w:rPr>
          <w:color w:val="0000FF"/>
        </w:rPr>
        <w:t>consolid</w:t>
      </w:r>
      <w:r w:rsidRPr="00B33AA4">
        <w:rPr>
          <w:color w:val="0000FF"/>
        </w:rPr>
        <w:t>és</w:t>
      </w:r>
      <w:r w:rsidR="00805412" w:rsidRPr="00B33AA4">
        <w:t xml:space="preserve">] </w:t>
      </w:r>
      <w:r w:rsidR="00C40F21" w:rsidRPr="00B33AA4">
        <w:t>comprennent</w:t>
      </w:r>
      <w:r w:rsidRPr="00B33AA4">
        <w:t xml:space="preserve"> une provision pour restructuration qui comprend des coûts de retrait et des coûts de</w:t>
      </w:r>
      <w:r w:rsidR="00107271" w:rsidRPr="00B33AA4">
        <w:t>s indemnités</w:t>
      </w:r>
      <w:r w:rsidRPr="00B33AA4">
        <w:t xml:space="preserve"> de cessation d</w:t>
      </w:r>
      <w:r w:rsidR="00865E23" w:rsidRPr="00B33AA4">
        <w:t>’</w:t>
      </w:r>
      <w:r w:rsidRPr="00B33AA4">
        <w:t xml:space="preserve">emploi pour départ forcé </w:t>
      </w:r>
      <w:r w:rsidR="00D824A7" w:rsidRPr="00B33AA4">
        <w:t>à la date de clôture</w:t>
      </w:r>
      <w:r w:rsidR="00805412" w:rsidRPr="00B33AA4">
        <w:t xml:space="preserve">. </w:t>
      </w:r>
      <w:r w:rsidRPr="00B33AA4">
        <w:t>Nous avons évalué cette provision et conclu qu</w:t>
      </w:r>
      <w:r w:rsidR="00865E23" w:rsidRPr="00B33AA4">
        <w:t>’</w:t>
      </w:r>
      <w:r w:rsidRPr="00B33AA4">
        <w:t>elle n</w:t>
      </w:r>
      <w:r w:rsidR="00865E23" w:rsidRPr="00B33AA4">
        <w:t>’</w:t>
      </w:r>
      <w:r w:rsidRPr="00B33AA4">
        <w:t>était pas excessive.</w:t>
      </w:r>
      <w:r w:rsidR="00805412" w:rsidRPr="00B33AA4">
        <w:t xml:space="preserve"> </w:t>
      </w:r>
      <w:r w:rsidRPr="00B33AA4">
        <w:t xml:space="preserve">La provision pour restructuration comptabilisée et tous les changements importants, le cas échéant, par </w:t>
      </w:r>
      <w:r w:rsidR="003C05D4" w:rsidRPr="00B33AA4">
        <w:t xml:space="preserve">rapport au plan de restructuration original </w:t>
      </w:r>
      <w:r w:rsidR="003C05D4" w:rsidRPr="00764D50">
        <w:t xml:space="preserve">ont été </w:t>
      </w:r>
      <w:r w:rsidR="008C093A" w:rsidRPr="00764D50">
        <w:t>comptabilisés</w:t>
      </w:r>
      <w:r w:rsidR="003C05D4" w:rsidRPr="00764D50">
        <w:t>, classés et présentés de manière appropriée</w:t>
      </w:r>
      <w:r w:rsidR="00236249" w:rsidRPr="00764D50">
        <w:t xml:space="preserve">, </w:t>
      </w:r>
      <w:r w:rsidR="003C05D4" w:rsidRPr="00764D50">
        <w:t>conform</w:t>
      </w:r>
      <w:r w:rsidR="00236249" w:rsidRPr="00764D50">
        <w:t xml:space="preserve">ément </w:t>
      </w:r>
      <w:r w:rsidR="003C05D4" w:rsidRPr="00764D50">
        <w:t>à l</w:t>
      </w:r>
      <w:r w:rsidR="00865E23" w:rsidRPr="00764D50">
        <w:t>’</w:t>
      </w:r>
      <w:r w:rsidR="003C05D4" w:rsidRPr="00764D50">
        <w:t>IAS</w:t>
      </w:r>
      <w:r w:rsidR="00467B01" w:rsidRPr="00764D50">
        <w:t> </w:t>
      </w:r>
      <w:r w:rsidR="003C05D4" w:rsidRPr="00764D50">
        <w:t>37</w:t>
      </w:r>
      <w:r w:rsidR="006C227B" w:rsidRPr="00764D50">
        <w:t>, Provisions, passifs éventuels et actifs éventuels</w:t>
      </w:r>
      <w:r w:rsidR="00805412" w:rsidRPr="00764D50">
        <w:t>.</w:t>
      </w:r>
    </w:p>
    <w:p w14:paraId="4D470C0D" w14:textId="77777777" w:rsidR="006C227B" w:rsidRPr="00B33AA4" w:rsidRDefault="006C227B" w:rsidP="006C227B">
      <w:pPr>
        <w:pStyle w:val="Heading3"/>
      </w:pPr>
      <w:r w:rsidRPr="00B33AA4">
        <w:t>Regroupements d’entreprises</w:t>
      </w:r>
    </w:p>
    <w:p w14:paraId="39A64064" w14:textId="77777777" w:rsidR="006C227B" w:rsidRPr="00B33AA4" w:rsidRDefault="006C227B" w:rsidP="006C227B">
      <w:pPr>
        <w:pStyle w:val="09Para"/>
      </w:pPr>
      <w:r w:rsidRPr="00B33AA4">
        <w:t>Nous vous avons communiqué tous les regroupements d’entreprises qui entrent dans le champ d’application de l’IFRS </w:t>
      </w:r>
      <w:r w:rsidRPr="00764D50">
        <w:t>3, Regroupements d’entreprises qui</w:t>
      </w:r>
      <w:r w:rsidRPr="00B33AA4">
        <w:t xml:space="preserve"> ont été réalisés par [</w:t>
      </w:r>
      <w:r w:rsidRPr="00B33AA4">
        <w:rPr>
          <w:color w:val="0000FF"/>
        </w:rPr>
        <w:t>Entité</w:t>
      </w:r>
      <w:r w:rsidRPr="00B33AA4">
        <w:t>] au cours de l’exercice.</w:t>
      </w:r>
    </w:p>
    <w:p w14:paraId="3A0104DC" w14:textId="77777777" w:rsidR="006C227B" w:rsidRPr="00B33AA4" w:rsidRDefault="006C227B" w:rsidP="006C227B">
      <w:pPr>
        <w:pStyle w:val="09Para"/>
      </w:pPr>
      <w:r w:rsidRPr="00B33AA4">
        <w:lastRenderedPageBreak/>
        <w:t>Nous n’avons connaissance d’aucun passif éventuel ni d’aucune contrepartie éventuelle liés à l’acquisition de [</w:t>
      </w:r>
      <w:r w:rsidRPr="00B33AA4">
        <w:rPr>
          <w:color w:val="0000FF"/>
        </w:rPr>
        <w:t>société acquise</w:t>
      </w:r>
      <w:r w:rsidRPr="00B33AA4">
        <w:t>], autres que ceux qui vous ont déjà été communiqués.</w:t>
      </w:r>
    </w:p>
    <w:p w14:paraId="54243F2B" w14:textId="48AD5395" w:rsidR="006C227B" w:rsidRDefault="006C227B" w:rsidP="006C227B">
      <w:pPr>
        <w:pStyle w:val="09Para"/>
      </w:pPr>
      <w:r w:rsidRPr="00B33AA4">
        <w:t>Nous avons comptabilisé de manière appropriée la juste valeur de la contrepartie éventuelle à la date d’acquisition de [</w:t>
      </w:r>
      <w:r w:rsidRPr="00B33AA4">
        <w:rPr>
          <w:i/>
          <w:color w:val="0000FF"/>
        </w:rPr>
        <w:t>inclure le nom de la société acquise</w:t>
      </w:r>
      <w:r w:rsidRPr="00B33AA4">
        <w:t xml:space="preserve">] dans le coût de la société acquise et avons procédé de manière appropriée à la réévaluation à la juste valeur de la contrepartie éventuelle, qui a été classée à titre de passif financier, autres que des instruments de capitaux propres de </w:t>
      </w:r>
      <w:r w:rsidR="00006630" w:rsidRPr="00B33AA4">
        <w:t>[</w:t>
      </w:r>
      <w:r w:rsidR="00006630" w:rsidRPr="00B33AA4">
        <w:rPr>
          <w:color w:val="0000FF"/>
        </w:rPr>
        <w:t>Entité</w:t>
      </w:r>
      <w:r w:rsidR="00006630" w:rsidRPr="00B33AA4">
        <w:t>]</w:t>
      </w:r>
      <w:r w:rsidR="00006630">
        <w:t xml:space="preserve">, </w:t>
      </w:r>
      <w:r w:rsidR="00006630" w:rsidRPr="00B33AA4">
        <w:t>conformément à l’IFRS 3</w:t>
      </w:r>
      <w:r w:rsidR="00006630">
        <w:t>, Regroupements d’entreprises.</w:t>
      </w:r>
    </w:p>
    <w:p w14:paraId="24994CF2" w14:textId="61A6ABE3" w:rsidR="006C227B" w:rsidRPr="00871F3A" w:rsidRDefault="00CB12C3" w:rsidP="009E4F8A">
      <w:pPr>
        <w:pStyle w:val="LetterBodyPwC"/>
        <w:keepNext/>
        <w:rPr>
          <w:rFonts w:ascii="Arial" w:hAnsi="Arial"/>
          <w:sz w:val="22"/>
          <w:szCs w:val="22"/>
          <w:lang w:val="fr-CA"/>
        </w:rPr>
      </w:pPr>
      <w:bookmarkStart w:id="53" w:name="lt_pId691"/>
      <w:bookmarkStart w:id="54" w:name="Paragraph_1153"/>
      <w:r w:rsidRPr="00871F3A">
        <w:rPr>
          <w:rFonts w:ascii="Arial" w:hAnsi="Arial"/>
          <w:color w:val="auto"/>
          <w:sz w:val="22"/>
          <w:szCs w:val="22"/>
          <w:lang w:val="fr-CA"/>
        </w:rPr>
        <w:t>Lors de l’</w:t>
      </w:r>
      <w:r w:rsidR="006C227B" w:rsidRPr="00871F3A">
        <w:rPr>
          <w:rFonts w:ascii="Arial" w:hAnsi="Arial"/>
          <w:color w:val="auto"/>
          <w:sz w:val="22"/>
          <w:szCs w:val="22"/>
          <w:lang w:val="fr-CA"/>
        </w:rPr>
        <w:t>acquisition</w:t>
      </w:r>
      <w:r w:rsidRPr="00871F3A">
        <w:rPr>
          <w:rFonts w:ascii="Arial" w:hAnsi="Arial"/>
          <w:color w:val="auto"/>
          <w:sz w:val="22"/>
          <w:szCs w:val="22"/>
          <w:lang w:val="fr-CA"/>
        </w:rPr>
        <w:t xml:space="preserve"> de</w:t>
      </w:r>
      <w:r w:rsidR="006C227B" w:rsidRPr="00871F3A">
        <w:rPr>
          <w:rFonts w:ascii="Arial" w:hAnsi="Arial"/>
          <w:color w:val="auto"/>
          <w:sz w:val="22"/>
          <w:szCs w:val="22"/>
          <w:lang w:val="fr-CA"/>
        </w:rPr>
        <w:t xml:space="preserve"> </w:t>
      </w:r>
      <w:r w:rsidRPr="00871F3A">
        <w:rPr>
          <w:rFonts w:ascii="Arial" w:hAnsi="Arial"/>
          <w:color w:val="auto"/>
          <w:sz w:val="22"/>
          <w:szCs w:val="22"/>
          <w:lang w:val="fr-CA"/>
        </w:rPr>
        <w:t>[</w:t>
      </w:r>
      <w:r w:rsidRPr="00871F3A">
        <w:rPr>
          <w:rFonts w:ascii="Arial" w:hAnsi="Arial" w:cs="Times New Roman"/>
          <w:color w:val="0000FF"/>
          <w:sz w:val="22"/>
          <w:szCs w:val="22"/>
          <w:lang w:val="fr-CA"/>
        </w:rPr>
        <w:t>société acquise</w:t>
      </w:r>
      <w:r w:rsidRPr="00871F3A">
        <w:rPr>
          <w:rFonts w:ascii="Arial" w:hAnsi="Arial"/>
          <w:color w:val="auto"/>
          <w:sz w:val="22"/>
          <w:szCs w:val="22"/>
          <w:lang w:val="fr-CA"/>
        </w:rPr>
        <w:t>]</w:t>
      </w:r>
      <w:r w:rsidR="006C227B" w:rsidRPr="00871F3A">
        <w:rPr>
          <w:rFonts w:ascii="Arial" w:hAnsi="Arial"/>
          <w:color w:val="auto"/>
          <w:sz w:val="22"/>
          <w:szCs w:val="22"/>
          <w:lang w:val="fr-CA"/>
        </w:rPr>
        <w:t>,</w:t>
      </w:r>
      <w:r w:rsidR="006C227B" w:rsidRPr="00871F3A">
        <w:rPr>
          <w:rFonts w:ascii="Arial" w:hAnsi="Arial"/>
          <w:sz w:val="22"/>
          <w:szCs w:val="22"/>
          <w:lang w:val="fr-CA"/>
        </w:rPr>
        <w:t xml:space="preserve"> [</w:t>
      </w:r>
      <w:r w:rsidRPr="00871F3A">
        <w:rPr>
          <w:rStyle w:val="BlueText"/>
          <w:rFonts w:ascii="Arial" w:hAnsi="Arial"/>
          <w:sz w:val="22"/>
          <w:szCs w:val="22"/>
          <w:lang w:val="fr-CA"/>
        </w:rPr>
        <w:t>Entité</w:t>
      </w:r>
      <w:r w:rsidR="006C227B" w:rsidRPr="00871F3A">
        <w:rPr>
          <w:rFonts w:ascii="Arial" w:hAnsi="Arial"/>
          <w:sz w:val="22"/>
          <w:szCs w:val="22"/>
          <w:lang w:val="fr-CA"/>
        </w:rPr>
        <w:t xml:space="preserve">] </w:t>
      </w:r>
      <w:r w:rsidRPr="00871F3A">
        <w:rPr>
          <w:rFonts w:ascii="Arial" w:hAnsi="Arial"/>
          <w:sz w:val="22"/>
          <w:szCs w:val="22"/>
          <w:lang w:val="fr-CA"/>
        </w:rPr>
        <w:t>a adéquatement</w:t>
      </w:r>
      <w:r w:rsidR="009E4F8A">
        <w:rPr>
          <w:rFonts w:ascii="Arial" w:hAnsi="Arial"/>
          <w:sz w:val="22"/>
          <w:szCs w:val="22"/>
          <w:lang w:val="fr-CA"/>
        </w:rPr>
        <w:t> </w:t>
      </w:r>
      <w:r w:rsidR="006C227B" w:rsidRPr="00871F3A">
        <w:rPr>
          <w:rFonts w:ascii="Arial" w:hAnsi="Arial"/>
          <w:sz w:val="22"/>
          <w:szCs w:val="22"/>
          <w:lang w:val="fr-CA"/>
        </w:rPr>
        <w:t>:</w:t>
      </w:r>
      <w:bookmarkEnd w:id="53"/>
      <w:bookmarkEnd w:id="54"/>
    </w:p>
    <w:p w14:paraId="2829B88E" w14:textId="70931588" w:rsidR="006C227B" w:rsidRPr="00871F3A" w:rsidRDefault="00CB12C3" w:rsidP="004C5215">
      <w:pPr>
        <w:pStyle w:val="LetterBulletsPwC"/>
        <w:numPr>
          <w:ilvl w:val="0"/>
          <w:numId w:val="29"/>
        </w:numPr>
        <w:rPr>
          <w:rFonts w:ascii="Arial" w:hAnsi="Arial"/>
          <w:sz w:val="22"/>
          <w:szCs w:val="22"/>
          <w:lang w:val="fr-CA"/>
        </w:rPr>
      </w:pPr>
      <w:bookmarkStart w:id="55" w:name="lt_pId692"/>
      <w:bookmarkStart w:id="56" w:name="Paragraph_778"/>
      <w:r w:rsidRPr="00871F3A">
        <w:rPr>
          <w:rFonts w:ascii="Arial" w:hAnsi="Arial"/>
          <w:sz w:val="22"/>
          <w:szCs w:val="22"/>
          <w:lang w:val="fr-CA"/>
        </w:rPr>
        <w:t xml:space="preserve">conclu que l’acquisition </w:t>
      </w:r>
      <w:r w:rsidR="00697ECB" w:rsidRPr="00871F3A">
        <w:rPr>
          <w:rFonts w:ascii="Arial" w:hAnsi="Arial"/>
          <w:sz w:val="22"/>
          <w:szCs w:val="22"/>
          <w:lang w:val="fr-CA"/>
        </w:rPr>
        <w:t xml:space="preserve">constituait </w:t>
      </w:r>
      <w:r w:rsidRPr="00871F3A">
        <w:rPr>
          <w:rFonts w:ascii="Arial" w:hAnsi="Arial"/>
          <w:sz w:val="22"/>
          <w:szCs w:val="22"/>
          <w:lang w:val="fr-CA"/>
        </w:rPr>
        <w:t>un regroupement d’entreprises, au sens donné à</w:t>
      </w:r>
      <w:r w:rsidR="004C5215">
        <w:rPr>
          <w:rFonts w:ascii="Arial" w:hAnsi="Arial"/>
          <w:sz w:val="22"/>
          <w:szCs w:val="22"/>
          <w:lang w:val="fr-CA"/>
        </w:rPr>
        <w:t> </w:t>
      </w:r>
      <w:r w:rsidRPr="00871F3A">
        <w:rPr>
          <w:rFonts w:ascii="Arial" w:hAnsi="Arial"/>
          <w:sz w:val="22"/>
          <w:szCs w:val="22"/>
          <w:lang w:val="fr-CA"/>
        </w:rPr>
        <w:t xml:space="preserve">ce terme dans la norme </w:t>
      </w:r>
      <w:r w:rsidR="006C227B" w:rsidRPr="00871F3A">
        <w:rPr>
          <w:rStyle w:val="BodyTextChar"/>
          <w:sz w:val="22"/>
          <w:szCs w:val="22"/>
          <w:lang w:val="fr-CA"/>
        </w:rPr>
        <w:t>IFRS</w:t>
      </w:r>
      <w:r w:rsidR="004C5215">
        <w:rPr>
          <w:rStyle w:val="BodyTextChar"/>
          <w:sz w:val="22"/>
          <w:szCs w:val="22"/>
          <w:lang w:val="fr-CA"/>
        </w:rPr>
        <w:t> </w:t>
      </w:r>
      <w:r w:rsidR="006C227B" w:rsidRPr="00871F3A">
        <w:rPr>
          <w:rStyle w:val="BodyTextChar"/>
          <w:sz w:val="22"/>
          <w:szCs w:val="22"/>
          <w:lang w:val="fr-CA"/>
        </w:rPr>
        <w:t xml:space="preserve">3, </w:t>
      </w:r>
      <w:r w:rsidRPr="00871F3A">
        <w:rPr>
          <w:rStyle w:val="Italics"/>
          <w:rFonts w:ascii="Arial" w:hAnsi="Arial"/>
          <w:i w:val="0"/>
          <w:sz w:val="22"/>
          <w:szCs w:val="22"/>
          <w:lang w:val="fr-CA"/>
        </w:rPr>
        <w:t>Regroupements d’entreprises</w:t>
      </w:r>
      <w:r w:rsidR="006C227B" w:rsidRPr="00871F3A">
        <w:rPr>
          <w:rFonts w:ascii="Arial" w:hAnsi="Arial"/>
          <w:sz w:val="22"/>
          <w:szCs w:val="22"/>
          <w:lang w:val="fr-CA"/>
        </w:rPr>
        <w:t>;</w:t>
      </w:r>
      <w:bookmarkEnd w:id="55"/>
      <w:bookmarkEnd w:id="56"/>
    </w:p>
    <w:p w14:paraId="6399F4DA" w14:textId="471271A0" w:rsidR="006C227B" w:rsidRPr="00871F3A" w:rsidRDefault="00CB12C3" w:rsidP="004C5215">
      <w:pPr>
        <w:pStyle w:val="LetterBulletsPwC"/>
        <w:numPr>
          <w:ilvl w:val="0"/>
          <w:numId w:val="29"/>
        </w:numPr>
        <w:rPr>
          <w:rFonts w:ascii="Arial" w:hAnsi="Arial"/>
          <w:sz w:val="22"/>
          <w:szCs w:val="22"/>
          <w:lang w:val="fr-CA"/>
        </w:rPr>
      </w:pPr>
      <w:bookmarkStart w:id="57" w:name="lt_pId693"/>
      <w:bookmarkStart w:id="58" w:name="Paragraph_1049"/>
      <w:r w:rsidRPr="00871F3A">
        <w:rPr>
          <w:rFonts w:ascii="Arial" w:hAnsi="Arial"/>
          <w:sz w:val="22"/>
          <w:szCs w:val="22"/>
          <w:lang w:val="fr-CA"/>
        </w:rPr>
        <w:t>identifié, évalué et comptabilisé à la juste valeur tous les actifs acquis et les passifs repris, y</w:t>
      </w:r>
      <w:r w:rsidR="00F91D84">
        <w:rPr>
          <w:rFonts w:ascii="Arial" w:hAnsi="Arial"/>
          <w:sz w:val="22"/>
          <w:szCs w:val="22"/>
          <w:lang w:val="fr-CA"/>
        </w:rPr>
        <w:t> </w:t>
      </w:r>
      <w:r w:rsidRPr="00871F3A">
        <w:rPr>
          <w:rFonts w:ascii="Arial" w:hAnsi="Arial"/>
          <w:sz w:val="22"/>
          <w:szCs w:val="22"/>
          <w:lang w:val="fr-CA"/>
        </w:rPr>
        <w:t xml:space="preserve">compris toutes les immobilisations incorporelles qui </w:t>
      </w:r>
      <w:r w:rsidR="00697ECB" w:rsidRPr="00871F3A">
        <w:rPr>
          <w:rFonts w:ascii="Arial" w:hAnsi="Arial"/>
          <w:sz w:val="22"/>
          <w:szCs w:val="22"/>
          <w:lang w:val="fr-CA"/>
        </w:rPr>
        <w:t xml:space="preserve">répondaient </w:t>
      </w:r>
      <w:r w:rsidRPr="00871F3A">
        <w:rPr>
          <w:rFonts w:ascii="Arial" w:hAnsi="Arial"/>
          <w:sz w:val="22"/>
          <w:szCs w:val="22"/>
          <w:lang w:val="fr-CA"/>
        </w:rPr>
        <w:t xml:space="preserve">aux critères de comptabilisation </w:t>
      </w:r>
      <w:r w:rsidR="00697ECB" w:rsidRPr="00871F3A">
        <w:rPr>
          <w:rFonts w:ascii="Arial" w:hAnsi="Arial"/>
          <w:sz w:val="22"/>
          <w:szCs w:val="22"/>
          <w:lang w:val="fr-CA"/>
        </w:rPr>
        <w:t>séparée énoncés dans l’</w:t>
      </w:r>
      <w:r w:rsidRPr="009E4F8A">
        <w:rPr>
          <w:rFonts w:ascii="Arial" w:hAnsi="Arial"/>
          <w:sz w:val="22"/>
          <w:szCs w:val="22"/>
          <w:lang w:val="fr-CA"/>
        </w:rPr>
        <w:t>IFRS</w:t>
      </w:r>
      <w:r w:rsidR="004C5215">
        <w:rPr>
          <w:rFonts w:ascii="Arial" w:hAnsi="Arial"/>
          <w:sz w:val="22"/>
          <w:szCs w:val="22"/>
          <w:lang w:val="fr-CA"/>
        </w:rPr>
        <w:t> </w:t>
      </w:r>
      <w:r w:rsidRPr="009E4F8A">
        <w:rPr>
          <w:rFonts w:ascii="Arial" w:hAnsi="Arial"/>
          <w:sz w:val="22"/>
          <w:szCs w:val="22"/>
          <w:lang w:val="fr-CA"/>
        </w:rPr>
        <w:t>3, Regroupements d’entreprises</w:t>
      </w:r>
      <w:r w:rsidR="006C227B" w:rsidRPr="00871F3A">
        <w:rPr>
          <w:rFonts w:ascii="Arial" w:hAnsi="Arial"/>
          <w:sz w:val="22"/>
          <w:szCs w:val="22"/>
          <w:lang w:val="fr-CA"/>
        </w:rPr>
        <w:t>;</w:t>
      </w:r>
      <w:bookmarkEnd w:id="57"/>
      <w:bookmarkEnd w:id="58"/>
    </w:p>
    <w:p w14:paraId="24534429" w14:textId="0CE4C887" w:rsidR="006C227B" w:rsidRPr="00871F3A" w:rsidRDefault="004A0293" w:rsidP="004C5215">
      <w:pPr>
        <w:pStyle w:val="LetterBulletsPwC"/>
        <w:numPr>
          <w:ilvl w:val="0"/>
          <w:numId w:val="29"/>
        </w:numPr>
        <w:rPr>
          <w:rFonts w:ascii="Arial" w:hAnsi="Arial"/>
          <w:sz w:val="22"/>
          <w:szCs w:val="22"/>
          <w:lang w:val="fr-CA"/>
        </w:rPr>
      </w:pPr>
      <w:bookmarkStart w:id="59" w:name="lt_pId694"/>
      <w:bookmarkStart w:id="60" w:name="Paragraph_743"/>
      <w:r w:rsidRPr="00871F3A">
        <w:rPr>
          <w:rFonts w:ascii="Arial" w:hAnsi="Arial"/>
          <w:sz w:val="22"/>
          <w:szCs w:val="22"/>
          <w:lang w:val="fr-CA"/>
        </w:rPr>
        <w:t xml:space="preserve">attribué </w:t>
      </w:r>
      <w:r w:rsidR="00697ECB" w:rsidRPr="00871F3A">
        <w:rPr>
          <w:rFonts w:ascii="Arial" w:hAnsi="Arial"/>
          <w:sz w:val="22"/>
          <w:szCs w:val="22"/>
          <w:lang w:val="fr-CA"/>
        </w:rPr>
        <w:t xml:space="preserve">les actifs acquis et les passifs repris, y compris le </w:t>
      </w:r>
      <w:r w:rsidRPr="00871F3A">
        <w:rPr>
          <w:rFonts w:ascii="Arial" w:hAnsi="Arial"/>
          <w:sz w:val="22"/>
          <w:szCs w:val="22"/>
          <w:lang w:val="fr-CA"/>
        </w:rPr>
        <w:t>goodwill, aux unités d’exploitation appropriées, conformément à l’</w:t>
      </w:r>
      <w:r w:rsidR="006C227B" w:rsidRPr="009E4F8A">
        <w:rPr>
          <w:rFonts w:ascii="Arial" w:hAnsi="Arial"/>
          <w:sz w:val="22"/>
          <w:szCs w:val="22"/>
          <w:lang w:val="fr-CA"/>
        </w:rPr>
        <w:t xml:space="preserve">IAS 36, </w:t>
      </w:r>
      <w:r w:rsidRPr="009E4F8A">
        <w:rPr>
          <w:rFonts w:ascii="Arial" w:hAnsi="Arial"/>
          <w:sz w:val="22"/>
          <w:szCs w:val="22"/>
          <w:lang w:val="fr-CA"/>
        </w:rPr>
        <w:t>Dépréciation d’actifs</w:t>
      </w:r>
      <w:r w:rsidR="006C227B" w:rsidRPr="00871F3A">
        <w:rPr>
          <w:rFonts w:ascii="Arial" w:hAnsi="Arial"/>
          <w:sz w:val="22"/>
          <w:szCs w:val="22"/>
          <w:lang w:val="fr-CA"/>
        </w:rPr>
        <w:t>;</w:t>
      </w:r>
      <w:bookmarkEnd w:id="59"/>
      <w:r w:rsidR="006C227B" w:rsidRPr="00871F3A">
        <w:rPr>
          <w:rFonts w:ascii="Arial" w:hAnsi="Arial"/>
          <w:sz w:val="22"/>
          <w:szCs w:val="22"/>
          <w:lang w:val="fr-CA"/>
        </w:rPr>
        <w:t xml:space="preserve"> </w:t>
      </w:r>
      <w:bookmarkEnd w:id="60"/>
    </w:p>
    <w:p w14:paraId="4E5DC2AC" w14:textId="264E48C1" w:rsidR="004A0293" w:rsidRPr="00871F3A" w:rsidRDefault="004A0293" w:rsidP="004C5215">
      <w:pPr>
        <w:pStyle w:val="LetterBulletsPwC"/>
        <w:numPr>
          <w:ilvl w:val="0"/>
          <w:numId w:val="29"/>
        </w:numPr>
        <w:rPr>
          <w:lang w:val="fr-CA"/>
        </w:rPr>
      </w:pPr>
      <w:bookmarkStart w:id="61" w:name="lt_pId695"/>
      <w:bookmarkStart w:id="62" w:name="Paragraph_1373"/>
      <w:r w:rsidRPr="00871F3A">
        <w:rPr>
          <w:rFonts w:ascii="Arial" w:hAnsi="Arial"/>
          <w:sz w:val="22"/>
          <w:szCs w:val="22"/>
          <w:lang w:val="fr-CA"/>
        </w:rPr>
        <w:t>évalué l</w:t>
      </w:r>
      <w:r w:rsidR="00A84169" w:rsidRPr="00871F3A">
        <w:rPr>
          <w:rFonts w:ascii="Arial" w:hAnsi="Arial"/>
          <w:sz w:val="22"/>
          <w:szCs w:val="22"/>
          <w:lang w:val="fr-CA"/>
        </w:rPr>
        <w:t>es</w:t>
      </w:r>
      <w:r w:rsidRPr="00871F3A">
        <w:rPr>
          <w:rFonts w:ascii="Arial" w:hAnsi="Arial"/>
          <w:sz w:val="22"/>
          <w:szCs w:val="22"/>
          <w:lang w:val="fr-CA"/>
        </w:rPr>
        <w:t xml:space="preserve"> durée</w:t>
      </w:r>
      <w:r w:rsidR="00A84169" w:rsidRPr="00871F3A">
        <w:rPr>
          <w:rFonts w:ascii="Arial" w:hAnsi="Arial"/>
          <w:sz w:val="22"/>
          <w:szCs w:val="22"/>
          <w:lang w:val="fr-CA"/>
        </w:rPr>
        <w:t>s</w:t>
      </w:r>
      <w:r w:rsidRPr="00871F3A">
        <w:rPr>
          <w:rFonts w:ascii="Arial" w:hAnsi="Arial"/>
          <w:sz w:val="22"/>
          <w:szCs w:val="22"/>
          <w:lang w:val="fr-CA"/>
        </w:rPr>
        <w:t xml:space="preserve"> d’utilité des immobilisations incorporelles acquises amortissables et des immobilisations incorporelles à durée d’utilité illimitée</w:t>
      </w:r>
      <w:r w:rsidR="006C227B" w:rsidRPr="00871F3A">
        <w:rPr>
          <w:rFonts w:ascii="Arial" w:hAnsi="Arial"/>
          <w:sz w:val="22"/>
          <w:szCs w:val="22"/>
          <w:lang w:val="fr-CA"/>
        </w:rPr>
        <w:t>;</w:t>
      </w:r>
      <w:bookmarkStart w:id="63" w:name="lt_pId696"/>
      <w:bookmarkStart w:id="64" w:name="Paragraph_1252"/>
      <w:bookmarkEnd w:id="61"/>
      <w:bookmarkEnd w:id="62"/>
    </w:p>
    <w:p w14:paraId="2118E39A" w14:textId="4C8A860B" w:rsidR="006C227B" w:rsidRPr="00871F3A" w:rsidRDefault="004A0293" w:rsidP="004C5215">
      <w:pPr>
        <w:pStyle w:val="LetterBulletsPwC"/>
        <w:numPr>
          <w:ilvl w:val="0"/>
          <w:numId w:val="29"/>
        </w:numPr>
        <w:rPr>
          <w:lang w:val="fr-CA"/>
        </w:rPr>
      </w:pPr>
      <w:r w:rsidRPr="00871F3A">
        <w:rPr>
          <w:rFonts w:ascii="Arial" w:hAnsi="Arial"/>
          <w:sz w:val="22"/>
          <w:szCs w:val="22"/>
          <w:lang w:val="fr-CA"/>
        </w:rPr>
        <w:t>évalué à la juste valeur l</w:t>
      </w:r>
      <w:r w:rsidR="006C4303" w:rsidRPr="00871F3A">
        <w:rPr>
          <w:rFonts w:ascii="Arial" w:hAnsi="Arial"/>
          <w:sz w:val="22"/>
          <w:szCs w:val="22"/>
          <w:lang w:val="fr-CA"/>
        </w:rPr>
        <w:t>es</w:t>
      </w:r>
      <w:r w:rsidRPr="00871F3A">
        <w:rPr>
          <w:rFonts w:ascii="Arial" w:hAnsi="Arial"/>
          <w:sz w:val="22"/>
          <w:szCs w:val="22"/>
          <w:lang w:val="fr-CA"/>
        </w:rPr>
        <w:t xml:space="preserve"> contrepartie</w:t>
      </w:r>
      <w:r w:rsidR="006C4303" w:rsidRPr="00871F3A">
        <w:rPr>
          <w:rFonts w:ascii="Arial" w:hAnsi="Arial"/>
          <w:sz w:val="22"/>
          <w:szCs w:val="22"/>
          <w:lang w:val="fr-CA"/>
        </w:rPr>
        <w:t>s</w:t>
      </w:r>
      <w:r w:rsidRPr="00871F3A">
        <w:rPr>
          <w:rFonts w:ascii="Arial" w:hAnsi="Arial"/>
          <w:sz w:val="22"/>
          <w:szCs w:val="22"/>
          <w:lang w:val="fr-CA"/>
        </w:rPr>
        <w:t xml:space="preserve"> transférée</w:t>
      </w:r>
      <w:r w:rsidR="006C4303" w:rsidRPr="00871F3A">
        <w:rPr>
          <w:rFonts w:ascii="Arial" w:hAnsi="Arial"/>
          <w:sz w:val="22"/>
          <w:szCs w:val="22"/>
          <w:lang w:val="fr-CA"/>
        </w:rPr>
        <w:t>s</w:t>
      </w:r>
      <w:r w:rsidRPr="00871F3A">
        <w:rPr>
          <w:rFonts w:ascii="Arial" w:hAnsi="Arial"/>
          <w:sz w:val="22"/>
          <w:szCs w:val="22"/>
          <w:lang w:val="fr-CA"/>
        </w:rPr>
        <w:t xml:space="preserve">, y compris les actifs transférés, les passifs contractés par l’acquéreur à l’égard des détenteurs antérieurs de l’entreprise acquise et des titres de capitaux propres émis par l’acquéreur.  </w:t>
      </w:r>
      <w:bookmarkEnd w:id="63"/>
      <w:bookmarkEnd w:id="64"/>
    </w:p>
    <w:p w14:paraId="13D3138F" w14:textId="77777777" w:rsidR="00805412" w:rsidRPr="00B33AA4" w:rsidRDefault="001364F5" w:rsidP="00C04620">
      <w:pPr>
        <w:pStyle w:val="Heading3"/>
      </w:pPr>
      <w:r w:rsidRPr="00B33AA4">
        <w:t>O</w:t>
      </w:r>
      <w:r w:rsidR="00805412" w:rsidRPr="00B33AA4">
        <w:t>bligations</w:t>
      </w:r>
      <w:r w:rsidRPr="00B33AA4">
        <w:t xml:space="preserve"> liées à la mise hors service d</w:t>
      </w:r>
      <w:r w:rsidR="00865E23" w:rsidRPr="00B33AA4">
        <w:t>’</w:t>
      </w:r>
      <w:r w:rsidRPr="00B33AA4">
        <w:t>immobilisations</w:t>
      </w:r>
      <w:r w:rsidR="00805412" w:rsidRPr="00B33AA4">
        <w:t xml:space="preserve"> </w:t>
      </w:r>
    </w:p>
    <w:p w14:paraId="23A218B0" w14:textId="77777777" w:rsidR="00805412" w:rsidRPr="00B33AA4" w:rsidRDefault="002533F2" w:rsidP="008F2193">
      <w:pPr>
        <w:pStyle w:val="09Para"/>
      </w:pPr>
      <w:r w:rsidRPr="00B33AA4">
        <w:t>Il n</w:t>
      </w:r>
      <w:r w:rsidR="00865E23" w:rsidRPr="00B33AA4">
        <w:t>’</w:t>
      </w:r>
      <w:r w:rsidRPr="00B33AA4">
        <w:t xml:space="preserve">y a aucune obligation juridique ou implicite </w:t>
      </w:r>
      <w:r w:rsidR="008C093A" w:rsidRPr="00B33AA4">
        <w:t>liée</w:t>
      </w:r>
      <w:r w:rsidRPr="00B33AA4">
        <w:t xml:space="preserve"> à la mise hors service d</w:t>
      </w:r>
      <w:r w:rsidR="00865E23" w:rsidRPr="00B33AA4">
        <w:t>’</w:t>
      </w:r>
      <w:r w:rsidRPr="00B33AA4">
        <w:t>immobilisations qui ne vous a pas déjà été communiquée</w:t>
      </w:r>
      <w:r w:rsidR="00805412" w:rsidRPr="00B33AA4">
        <w:t>.</w:t>
      </w:r>
    </w:p>
    <w:p w14:paraId="1C99D335" w14:textId="7ECC7480" w:rsidR="00805412" w:rsidRPr="00B33AA4" w:rsidRDefault="00CE1061" w:rsidP="008F2193">
      <w:pPr>
        <w:pStyle w:val="09Para"/>
      </w:pPr>
      <w:r w:rsidRPr="00B33AA4">
        <w:t>Les passifs au titre d</w:t>
      </w:r>
      <w:r w:rsidR="00865E23" w:rsidRPr="00B33AA4">
        <w:t>’</w:t>
      </w:r>
      <w:r w:rsidRPr="00B33AA4">
        <w:t xml:space="preserve">obligations environnementales juridiques ou implicites ont été comptabilisés, évalués et présentés, de manière appropriée, dans les états financiers </w:t>
      </w:r>
      <w:r w:rsidR="00805412" w:rsidRPr="00B33AA4">
        <w:t>[</w:t>
      </w:r>
      <w:r w:rsidR="00805412" w:rsidRPr="00B33AA4">
        <w:rPr>
          <w:color w:val="0000FF"/>
        </w:rPr>
        <w:t>consolid</w:t>
      </w:r>
      <w:r w:rsidRPr="00B33AA4">
        <w:rPr>
          <w:color w:val="0000FF"/>
        </w:rPr>
        <w:t>és</w:t>
      </w:r>
      <w:r w:rsidR="00805412" w:rsidRPr="00B33AA4">
        <w:t>].</w:t>
      </w:r>
    </w:p>
    <w:p w14:paraId="544865BB" w14:textId="7D7073E5" w:rsidR="00805412" w:rsidRPr="00B33AA4" w:rsidRDefault="00304E2A" w:rsidP="008F2193">
      <w:pPr>
        <w:pStyle w:val="09Para"/>
      </w:pPr>
      <w:r w:rsidRPr="00B33AA4">
        <w:t>Après avoir p</w:t>
      </w:r>
      <w:r w:rsidR="008815F3" w:rsidRPr="00B33AA4">
        <w:t>assé en revue les</w:t>
      </w:r>
      <w:r w:rsidRPr="00B33AA4">
        <w:t xml:space="preserve"> immobilisations corporelles </w:t>
      </w:r>
      <w:r w:rsidR="002A1587">
        <w:t>à long terme</w:t>
      </w:r>
      <w:r w:rsidRPr="00B33AA4">
        <w:t xml:space="preserve">, les contrats de location simple et les autres accords se rattachant aux </w:t>
      </w:r>
      <w:r w:rsidR="008C093A" w:rsidRPr="00B33AA4">
        <w:t>o</w:t>
      </w:r>
      <w:r w:rsidRPr="00B33AA4">
        <w:t>bligations liées à la mise hors service d</w:t>
      </w:r>
      <w:r w:rsidR="00865E23" w:rsidRPr="00B33AA4">
        <w:t>’</w:t>
      </w:r>
      <w:r w:rsidRPr="00B33AA4">
        <w:t>immobilisations</w:t>
      </w:r>
      <w:r w:rsidR="00805412" w:rsidRPr="00B33AA4">
        <w:t xml:space="preserve">, </w:t>
      </w:r>
      <w:r w:rsidRPr="00B33AA4">
        <w:t>nous avons comptabilisé les passifs nécessaires à ce titre conformément aux</w:t>
      </w:r>
      <w:r w:rsidR="006F3CFE">
        <w:t> </w:t>
      </w:r>
      <w:r w:rsidR="00A67263" w:rsidRPr="00B33AA4">
        <w:t xml:space="preserve">normes </w:t>
      </w:r>
      <w:r w:rsidRPr="00B33AA4">
        <w:t>suivant</w:t>
      </w:r>
      <w:r w:rsidR="00A67263" w:rsidRPr="00B33AA4">
        <w:t>e</w:t>
      </w:r>
      <w:r w:rsidRPr="00B33AA4">
        <w:t xml:space="preserve">s : </w:t>
      </w:r>
    </w:p>
    <w:p w14:paraId="787389BA" w14:textId="67F91125" w:rsidR="00805412" w:rsidRPr="00B33AA4" w:rsidRDefault="00515998" w:rsidP="000E4CFF">
      <w:pPr>
        <w:pStyle w:val="09ParaBullet1"/>
      </w:pPr>
      <w:r w:rsidRPr="00B33AA4">
        <w:t>IAS </w:t>
      </w:r>
      <w:r w:rsidR="00805412" w:rsidRPr="00B33AA4">
        <w:t>37</w:t>
      </w:r>
      <w:r w:rsidR="001638F4" w:rsidRPr="00B33AA4">
        <w:t>,</w:t>
      </w:r>
      <w:r w:rsidR="00805412" w:rsidRPr="00B33AA4">
        <w:t xml:space="preserve"> Provisions, </w:t>
      </w:r>
      <w:r w:rsidR="00304E2A" w:rsidRPr="00B33AA4">
        <w:t>passifs éventuels et actifs éventuels</w:t>
      </w:r>
      <w:r w:rsidR="009D3150">
        <w:t>;</w:t>
      </w:r>
    </w:p>
    <w:p w14:paraId="037799C3" w14:textId="5FB17C63" w:rsidR="00805412" w:rsidRPr="00B33AA4" w:rsidRDefault="00515998" w:rsidP="000E4CFF">
      <w:pPr>
        <w:pStyle w:val="09ParaBullet1"/>
      </w:pPr>
      <w:r w:rsidRPr="00B33AA4">
        <w:t>IFRIC </w:t>
      </w:r>
      <w:r w:rsidR="00805412" w:rsidRPr="00B33AA4">
        <w:t>1</w:t>
      </w:r>
      <w:r w:rsidR="001638F4" w:rsidRPr="00B33AA4">
        <w:t>,</w:t>
      </w:r>
      <w:r w:rsidR="00805412" w:rsidRPr="00B33AA4">
        <w:t xml:space="preserve"> </w:t>
      </w:r>
      <w:r w:rsidR="00304E2A" w:rsidRPr="00B33AA4">
        <w:t>Variation des passifs existants relatifs au démantèlement ou à la remise en état et d</w:t>
      </w:r>
      <w:r w:rsidR="00865E23" w:rsidRPr="00B33AA4">
        <w:t>’</w:t>
      </w:r>
      <w:r w:rsidR="00304E2A" w:rsidRPr="00B33AA4">
        <w:t>autres passifs similaires</w:t>
      </w:r>
      <w:r w:rsidR="009D3150">
        <w:t>;</w:t>
      </w:r>
    </w:p>
    <w:p w14:paraId="1E52849D" w14:textId="24ACA3CA" w:rsidR="00805412" w:rsidRPr="00B33AA4" w:rsidRDefault="00515998" w:rsidP="000E4CFF">
      <w:pPr>
        <w:pStyle w:val="09ParaBullet1"/>
      </w:pPr>
      <w:r w:rsidRPr="00B33AA4">
        <w:t>IFRIC </w:t>
      </w:r>
      <w:r w:rsidR="00805412" w:rsidRPr="00B33AA4">
        <w:t>5</w:t>
      </w:r>
      <w:r w:rsidR="001638F4" w:rsidRPr="00B33AA4">
        <w:t>,</w:t>
      </w:r>
      <w:r w:rsidR="00805412" w:rsidRPr="00B33AA4">
        <w:t xml:space="preserve"> </w:t>
      </w:r>
      <w:r w:rsidR="00304E2A" w:rsidRPr="00B33AA4">
        <w:t xml:space="preserve">Droits aux intérêts émanant de fonds de gestion </w:t>
      </w:r>
      <w:r w:rsidR="008C093A" w:rsidRPr="00B33AA4">
        <w:t>dédiés</w:t>
      </w:r>
      <w:r w:rsidR="00304E2A" w:rsidRPr="00B33AA4">
        <w:t xml:space="preserve"> au démantèlement, à</w:t>
      </w:r>
      <w:r w:rsidR="00F91D84">
        <w:t> </w:t>
      </w:r>
      <w:r w:rsidR="00304E2A" w:rsidRPr="00B33AA4">
        <w:t>la</w:t>
      </w:r>
      <w:r w:rsidR="00F91D84">
        <w:t> </w:t>
      </w:r>
      <w:r w:rsidR="00304E2A" w:rsidRPr="00B33AA4">
        <w:t>remise en état et à la réhabilitation de l</w:t>
      </w:r>
      <w:r w:rsidR="00865E23" w:rsidRPr="00B33AA4">
        <w:t>’</w:t>
      </w:r>
      <w:r w:rsidR="00304E2A" w:rsidRPr="00B33AA4">
        <w:t>environnement</w:t>
      </w:r>
      <w:r w:rsidR="00805412" w:rsidRPr="00B33AA4">
        <w:t>;</w:t>
      </w:r>
    </w:p>
    <w:p w14:paraId="5EB64C68" w14:textId="24EBCF8E" w:rsidR="00805412" w:rsidRPr="00B33AA4" w:rsidRDefault="00515998" w:rsidP="000E4CFF">
      <w:pPr>
        <w:pStyle w:val="09ParaBullet1"/>
      </w:pPr>
      <w:r w:rsidRPr="00B33AA4">
        <w:t>IFRIC </w:t>
      </w:r>
      <w:r w:rsidR="00805412" w:rsidRPr="00B33AA4">
        <w:t>6</w:t>
      </w:r>
      <w:r w:rsidR="001638F4" w:rsidRPr="00B33AA4">
        <w:t>,</w:t>
      </w:r>
      <w:r w:rsidR="00805412" w:rsidRPr="00B33AA4">
        <w:t xml:space="preserve"> </w:t>
      </w:r>
      <w:r w:rsidR="00304E2A" w:rsidRPr="00B33AA4">
        <w:t>Passifs découlant de la pa</w:t>
      </w:r>
      <w:r w:rsidR="00805412" w:rsidRPr="00B33AA4">
        <w:t>rticipati</w:t>
      </w:r>
      <w:r w:rsidR="00C55C35">
        <w:t>on à un marché spécifique </w:t>
      </w:r>
      <w:r w:rsidR="001638F4" w:rsidRPr="00B33AA4">
        <w:t>—</w:t>
      </w:r>
      <w:r w:rsidR="00304E2A" w:rsidRPr="00B33AA4">
        <w:t xml:space="preserve"> déch</w:t>
      </w:r>
      <w:r w:rsidR="008C093A" w:rsidRPr="00B33AA4">
        <w:t>e</w:t>
      </w:r>
      <w:r w:rsidR="00304E2A" w:rsidRPr="00B33AA4">
        <w:t>ts d</w:t>
      </w:r>
      <w:r w:rsidR="00865E23" w:rsidRPr="00B33AA4">
        <w:t>’</w:t>
      </w:r>
      <w:r w:rsidR="00304E2A" w:rsidRPr="00B33AA4">
        <w:t>équipements électriques et électroniques</w:t>
      </w:r>
      <w:r w:rsidR="00805412" w:rsidRPr="00B33AA4">
        <w:t xml:space="preserve"> </w:t>
      </w:r>
      <w:r w:rsidR="00304E2A" w:rsidRPr="00B33AA4">
        <w:t>[</w:t>
      </w:r>
      <w:r w:rsidR="00304E2A" w:rsidRPr="00B33AA4">
        <w:rPr>
          <w:i/>
          <w:color w:val="0000FF"/>
        </w:rPr>
        <w:t xml:space="preserve">adapter le libellé si certaines </w:t>
      </w:r>
      <w:r w:rsidR="00805412" w:rsidRPr="00B33AA4">
        <w:rPr>
          <w:i/>
          <w:color w:val="0000FF"/>
        </w:rPr>
        <w:t xml:space="preserve">IFRIC </w:t>
      </w:r>
      <w:r w:rsidR="00304E2A" w:rsidRPr="00B33AA4">
        <w:rPr>
          <w:i/>
          <w:color w:val="0000FF"/>
        </w:rPr>
        <w:t>ne s</w:t>
      </w:r>
      <w:r w:rsidR="00865E23" w:rsidRPr="00B33AA4">
        <w:rPr>
          <w:i/>
          <w:color w:val="0000FF"/>
        </w:rPr>
        <w:t>’</w:t>
      </w:r>
      <w:r w:rsidR="00304E2A" w:rsidRPr="00B33AA4">
        <w:rPr>
          <w:i/>
          <w:color w:val="0000FF"/>
        </w:rPr>
        <w:t>appliquent pas</w:t>
      </w:r>
      <w:r w:rsidR="00C04620" w:rsidRPr="00B33AA4">
        <w:t>].</w:t>
      </w:r>
    </w:p>
    <w:p w14:paraId="64B14BD1" w14:textId="77777777" w:rsidR="00466A97" w:rsidRDefault="00BA20D1" w:rsidP="008F2193">
      <w:pPr>
        <w:pStyle w:val="09Para"/>
        <w:rPr>
          <w:color w:val="0000FF"/>
        </w:rPr>
      </w:pPr>
      <w:r w:rsidRPr="00B33AA4">
        <w:lastRenderedPageBreak/>
        <w:t>[</w:t>
      </w:r>
      <w:r w:rsidRPr="00B33AA4">
        <w:rPr>
          <w:i/>
          <w:color w:val="0000FF"/>
        </w:rPr>
        <w:t>Cho</w:t>
      </w:r>
      <w:r w:rsidR="00D33560" w:rsidRPr="00B33AA4">
        <w:rPr>
          <w:i/>
          <w:color w:val="0000FF"/>
        </w:rPr>
        <w:t>isir l</w:t>
      </w:r>
      <w:r w:rsidR="00865E23" w:rsidRPr="00B33AA4">
        <w:rPr>
          <w:i/>
          <w:color w:val="0000FF"/>
        </w:rPr>
        <w:t>’</w:t>
      </w:r>
      <w:r w:rsidR="00D33560" w:rsidRPr="00B33AA4">
        <w:rPr>
          <w:i/>
          <w:color w:val="0000FF"/>
        </w:rPr>
        <w:t>un des paragraphes suivants</w:t>
      </w:r>
      <w:r w:rsidR="00605C59" w:rsidRPr="00B33AA4">
        <w:rPr>
          <w:i/>
          <w:color w:val="0000FF"/>
        </w:rPr>
        <w:t> :</w:t>
      </w:r>
      <w:r w:rsidR="00F267B1" w:rsidRPr="00B33AA4">
        <w:rPr>
          <w:color w:val="0000FF"/>
        </w:rPr>
        <w:t xml:space="preserve"> </w:t>
      </w:r>
    </w:p>
    <w:p w14:paraId="129E15AA" w14:textId="00B671BD" w:rsidR="00805412" w:rsidRPr="00B33AA4" w:rsidRDefault="00D33560" w:rsidP="008F2193">
      <w:pPr>
        <w:pStyle w:val="09Para"/>
      </w:pPr>
      <w:r w:rsidRPr="00B33AA4">
        <w:t xml:space="preserve">Une </w:t>
      </w:r>
      <w:r w:rsidR="00805412" w:rsidRPr="00B33AA4">
        <w:t xml:space="preserve">provision </w:t>
      </w:r>
      <w:r w:rsidRPr="00B33AA4">
        <w:t xml:space="preserve">a été constituée pour </w:t>
      </w:r>
      <w:r w:rsidR="003B0AEE" w:rsidRPr="00B33AA4">
        <w:t>la perte significative estimée qui devrait découler des p</w:t>
      </w:r>
      <w:r w:rsidR="00982364" w:rsidRPr="00B33AA4">
        <w:t>assifs au titre d</w:t>
      </w:r>
      <w:r w:rsidR="00865E23" w:rsidRPr="00B33AA4">
        <w:t>’</w:t>
      </w:r>
      <w:r w:rsidR="00982364" w:rsidRPr="00B33AA4">
        <w:t>obligations environnementales</w:t>
      </w:r>
      <w:r w:rsidR="003B0AEE" w:rsidRPr="00B33AA4">
        <w:t xml:space="preserve"> associé à </w:t>
      </w:r>
      <w:r w:rsidR="00805412" w:rsidRPr="00B33AA4">
        <w:t>[</w:t>
      </w:r>
      <w:r w:rsidR="00805412" w:rsidRPr="00B33AA4">
        <w:rPr>
          <w:color w:val="0000FF"/>
        </w:rPr>
        <w:t>n</w:t>
      </w:r>
      <w:r w:rsidR="003B0AEE" w:rsidRPr="00B33AA4">
        <w:rPr>
          <w:color w:val="0000FF"/>
        </w:rPr>
        <w:t xml:space="preserve">om du </w:t>
      </w:r>
      <w:r w:rsidR="00805412" w:rsidRPr="00B33AA4">
        <w:rPr>
          <w:color w:val="0000FF"/>
        </w:rPr>
        <w:t>site</w:t>
      </w:r>
      <w:r w:rsidR="00805412" w:rsidRPr="00B33AA4">
        <w:t>]</w:t>
      </w:r>
      <w:r w:rsidR="003B0AEE" w:rsidRPr="00B33AA4">
        <w:t xml:space="preserve">. Nous avons procédé à un examen complet de nos </w:t>
      </w:r>
      <w:r w:rsidR="00982364" w:rsidRPr="00B33AA4">
        <w:t>obligation</w:t>
      </w:r>
      <w:r w:rsidR="003B0AEE" w:rsidRPr="00B33AA4">
        <w:t>s</w:t>
      </w:r>
      <w:r w:rsidR="00982364" w:rsidRPr="00B33AA4">
        <w:t xml:space="preserve"> juridique</w:t>
      </w:r>
      <w:r w:rsidR="003B0AEE" w:rsidRPr="00B33AA4">
        <w:t>s</w:t>
      </w:r>
      <w:r w:rsidR="00982364" w:rsidRPr="00B33AA4">
        <w:t xml:space="preserve"> ou implicite</w:t>
      </w:r>
      <w:r w:rsidR="003B0AEE" w:rsidRPr="00B33AA4">
        <w:t>s</w:t>
      </w:r>
      <w:r w:rsidR="00982364" w:rsidRPr="00B33AA4">
        <w:t xml:space="preserve"> </w:t>
      </w:r>
      <w:r w:rsidR="003B0AEE" w:rsidRPr="00B33AA4">
        <w:t>et nous sommes d</w:t>
      </w:r>
      <w:r w:rsidR="00865E23" w:rsidRPr="00B33AA4">
        <w:t>’</w:t>
      </w:r>
      <w:r w:rsidR="003B0AEE" w:rsidRPr="00B33AA4">
        <w:t>avis que cette estimation est raisonnable</w:t>
      </w:r>
      <w:r w:rsidR="00805412" w:rsidRPr="00B33AA4">
        <w:t xml:space="preserve">, </w:t>
      </w:r>
      <w:r w:rsidR="003B0AEE" w:rsidRPr="00B33AA4">
        <w:t>à la lumière des informations disponibles</w:t>
      </w:r>
      <w:r w:rsidR="00404094" w:rsidRPr="00B33AA4">
        <w:t>.</w:t>
      </w:r>
      <w:r w:rsidR="00805412" w:rsidRPr="00B33AA4">
        <w:t xml:space="preserve"> </w:t>
      </w:r>
      <w:r w:rsidR="003B0AEE" w:rsidRPr="00B33AA4">
        <w:t xml:space="preserve">Les passifs et les passifs éventuels et les résultats prévus des incertitudes ont été décrits de manière adéquate dans les états financiers </w:t>
      </w:r>
      <w:r w:rsidR="00805412" w:rsidRPr="00B33AA4">
        <w:t>[</w:t>
      </w:r>
      <w:r w:rsidR="00805412" w:rsidRPr="00B33AA4">
        <w:rPr>
          <w:color w:val="0000FF"/>
        </w:rPr>
        <w:t>consolid</w:t>
      </w:r>
      <w:r w:rsidR="003B0AEE" w:rsidRPr="00B33AA4">
        <w:rPr>
          <w:color w:val="0000FF"/>
        </w:rPr>
        <w:t>és</w:t>
      </w:r>
      <w:r w:rsidR="00805412" w:rsidRPr="00B33AA4">
        <w:t>].</w:t>
      </w:r>
    </w:p>
    <w:p w14:paraId="55B1D31A" w14:textId="77777777" w:rsidR="00805412" w:rsidRPr="00B33AA4" w:rsidRDefault="00805412" w:rsidP="008F2193">
      <w:pPr>
        <w:pStyle w:val="09Para"/>
        <w:rPr>
          <w:i/>
        </w:rPr>
      </w:pPr>
      <w:r w:rsidRPr="00B33AA4">
        <w:rPr>
          <w:i/>
          <w:color w:val="0000FF"/>
        </w:rPr>
        <w:t>O</w:t>
      </w:r>
      <w:r w:rsidR="003B0AEE" w:rsidRPr="00B33AA4">
        <w:rPr>
          <w:i/>
          <w:color w:val="0000FF"/>
        </w:rPr>
        <w:t>U</w:t>
      </w:r>
    </w:p>
    <w:p w14:paraId="21FC7D11" w14:textId="4EDA3F94" w:rsidR="00805412" w:rsidRPr="00B33AA4" w:rsidRDefault="003B0AEE" w:rsidP="008F2193">
      <w:pPr>
        <w:pStyle w:val="09Para"/>
      </w:pPr>
      <w:r w:rsidRPr="00B33AA4">
        <w:t xml:space="preserve">Nous </w:t>
      </w:r>
      <w:r w:rsidR="008C093A" w:rsidRPr="00B33AA4">
        <w:t>avons p</w:t>
      </w:r>
      <w:r w:rsidRPr="00B33AA4">
        <w:t>rocédé à un examen complet de nos obligations juridiques ou implicites et conclu qu</w:t>
      </w:r>
      <w:r w:rsidR="00865E23" w:rsidRPr="00B33AA4">
        <w:t>’</w:t>
      </w:r>
      <w:r w:rsidRPr="00B33AA4">
        <w:t>il n</w:t>
      </w:r>
      <w:r w:rsidR="00865E23" w:rsidRPr="00B33AA4">
        <w:t>’</w:t>
      </w:r>
      <w:r w:rsidRPr="00B33AA4">
        <w:t xml:space="preserve">était pas nécessaire de comptabiliser une provision pour les pertes </w:t>
      </w:r>
      <w:r w:rsidR="00107271" w:rsidRPr="00B33AA4">
        <w:t xml:space="preserve">découlant des </w:t>
      </w:r>
      <w:r w:rsidR="00982364" w:rsidRPr="00B33AA4">
        <w:t>passifs au titre d</w:t>
      </w:r>
      <w:r w:rsidR="00865E23" w:rsidRPr="00B33AA4">
        <w:t>’</w:t>
      </w:r>
      <w:r w:rsidR="00982364" w:rsidRPr="00B33AA4">
        <w:t>obligations environnementales</w:t>
      </w:r>
      <w:r w:rsidRPr="00B33AA4">
        <w:t xml:space="preserve"> associé</w:t>
      </w:r>
      <w:r w:rsidR="00095A33" w:rsidRPr="00B33AA4">
        <w:t>es</w:t>
      </w:r>
      <w:r w:rsidRPr="00B33AA4">
        <w:t xml:space="preserve"> à [</w:t>
      </w:r>
      <w:r w:rsidRPr="00B33AA4">
        <w:rPr>
          <w:color w:val="0000FF"/>
        </w:rPr>
        <w:t>nom du site</w:t>
      </w:r>
      <w:r w:rsidRPr="00B33AA4">
        <w:t>],</w:t>
      </w:r>
      <w:r w:rsidR="00805412" w:rsidRPr="00B33AA4">
        <w:t xml:space="preserve"> </w:t>
      </w:r>
      <w:r w:rsidRPr="00B33AA4">
        <w:t>et nous sommes d</w:t>
      </w:r>
      <w:r w:rsidR="00865E23" w:rsidRPr="00B33AA4">
        <w:t>’</w:t>
      </w:r>
      <w:r w:rsidRPr="00B33AA4">
        <w:t>avis que les critères de comptabilisation définis dans l</w:t>
      </w:r>
      <w:r w:rsidR="00865E23" w:rsidRPr="00B33AA4">
        <w:t>’</w:t>
      </w:r>
      <w:r w:rsidR="00805412" w:rsidRPr="00B33AA4">
        <w:t>IAS</w:t>
      </w:r>
      <w:r w:rsidR="00467B01" w:rsidRPr="00B33AA4">
        <w:t> </w:t>
      </w:r>
      <w:r w:rsidR="00805412" w:rsidRPr="00B33AA4">
        <w:t>37</w:t>
      </w:r>
      <w:r w:rsidRPr="00B33AA4">
        <w:t xml:space="preserve"> ne sont pas satisfaits à la date des états financiers</w:t>
      </w:r>
      <w:r w:rsidR="00805412" w:rsidRPr="00B33AA4">
        <w:t xml:space="preserve"> [</w:t>
      </w:r>
      <w:r w:rsidR="00805412" w:rsidRPr="00B33AA4">
        <w:rPr>
          <w:color w:val="0000FF"/>
        </w:rPr>
        <w:t>consolid</w:t>
      </w:r>
      <w:r w:rsidRPr="00B33AA4">
        <w:rPr>
          <w:color w:val="0000FF"/>
        </w:rPr>
        <w:t>és</w:t>
      </w:r>
      <w:r w:rsidR="00805412" w:rsidRPr="00B33AA4">
        <w:t>]</w:t>
      </w:r>
      <w:r w:rsidRPr="00B33AA4">
        <w:t>. Cependant</w:t>
      </w:r>
      <w:r w:rsidR="00805412" w:rsidRPr="00B33AA4">
        <w:t xml:space="preserve">, </w:t>
      </w:r>
      <w:r w:rsidRPr="00B33AA4">
        <w:t>comme [</w:t>
      </w:r>
      <w:r w:rsidRPr="00B33AA4">
        <w:rPr>
          <w:i/>
          <w:color w:val="0000FF"/>
        </w:rPr>
        <w:t>l</w:t>
      </w:r>
      <w:r w:rsidR="00865E23" w:rsidRPr="00B33AA4">
        <w:rPr>
          <w:i/>
          <w:color w:val="0000FF"/>
        </w:rPr>
        <w:t>’</w:t>
      </w:r>
      <w:r w:rsidRPr="00B33AA4">
        <w:rPr>
          <w:i/>
          <w:color w:val="0000FF"/>
        </w:rPr>
        <w:t>équipe d</w:t>
      </w:r>
      <w:r w:rsidR="00865E23" w:rsidRPr="00B33AA4">
        <w:rPr>
          <w:i/>
          <w:color w:val="0000FF"/>
        </w:rPr>
        <w:t>’</w:t>
      </w:r>
      <w:r w:rsidRPr="00B33AA4">
        <w:rPr>
          <w:i/>
          <w:color w:val="0000FF"/>
        </w:rPr>
        <w:t>a</w:t>
      </w:r>
      <w:r w:rsidR="00805412" w:rsidRPr="00B33AA4">
        <w:rPr>
          <w:i/>
          <w:color w:val="0000FF"/>
        </w:rPr>
        <w:t xml:space="preserve">udit </w:t>
      </w:r>
      <w:r w:rsidRPr="00B33AA4">
        <w:rPr>
          <w:i/>
          <w:color w:val="0000FF"/>
        </w:rPr>
        <w:t xml:space="preserve">doit décrire la raison pour laquelle il y a un passif éventuel qui </w:t>
      </w:r>
      <w:r w:rsidR="00B43BCE" w:rsidRPr="00B33AA4">
        <w:rPr>
          <w:i/>
          <w:color w:val="0000FF"/>
        </w:rPr>
        <w:t>donne lieu à la fourniture d</w:t>
      </w:r>
      <w:r w:rsidR="00865E23" w:rsidRPr="00B33AA4">
        <w:rPr>
          <w:i/>
          <w:color w:val="0000FF"/>
        </w:rPr>
        <w:t>’</w:t>
      </w:r>
      <w:r w:rsidR="00B43BCE" w:rsidRPr="00B33AA4">
        <w:rPr>
          <w:i/>
          <w:color w:val="0000FF"/>
        </w:rPr>
        <w:t>information</w:t>
      </w:r>
      <w:r w:rsidR="00107271" w:rsidRPr="00B33AA4">
        <w:rPr>
          <w:i/>
          <w:color w:val="0000FF"/>
        </w:rPr>
        <w:t>s</w:t>
      </w:r>
      <w:r w:rsidRPr="00B33AA4">
        <w:rPr>
          <w:i/>
          <w:color w:val="0000FF"/>
        </w:rPr>
        <w:t> :</w:t>
      </w:r>
      <w:r w:rsidRPr="00B33AA4">
        <w:rPr>
          <w:color w:val="0000FF"/>
        </w:rPr>
        <w:t xml:space="preserve"> il n</w:t>
      </w:r>
      <w:r w:rsidR="00865E23" w:rsidRPr="00B33AA4">
        <w:rPr>
          <w:color w:val="0000FF"/>
        </w:rPr>
        <w:t>’</w:t>
      </w:r>
      <w:r w:rsidRPr="00B33AA4">
        <w:rPr>
          <w:color w:val="0000FF"/>
        </w:rPr>
        <w:t>y a qu</w:t>
      </w:r>
      <w:r w:rsidR="00865E23" w:rsidRPr="00B33AA4">
        <w:rPr>
          <w:color w:val="0000FF"/>
        </w:rPr>
        <w:t>’</w:t>
      </w:r>
      <w:r w:rsidRPr="00B33AA4">
        <w:rPr>
          <w:color w:val="0000FF"/>
        </w:rPr>
        <w:t>une obligation p</w:t>
      </w:r>
      <w:r w:rsidR="00A67263" w:rsidRPr="00B33AA4">
        <w:rPr>
          <w:color w:val="0000FF"/>
        </w:rPr>
        <w:t>otentielle</w:t>
      </w:r>
      <w:r w:rsidRPr="00B33AA4">
        <w:rPr>
          <w:color w:val="0000FF"/>
        </w:rPr>
        <w:t xml:space="preserve"> qui pourrait entraîner une perte </w:t>
      </w:r>
      <w:r w:rsidR="00805412" w:rsidRPr="00C55C35">
        <w:rPr>
          <w:b/>
          <w:i/>
          <w:color w:val="0000FF"/>
        </w:rPr>
        <w:t>O</w:t>
      </w:r>
      <w:r w:rsidRPr="00C55C35">
        <w:rPr>
          <w:b/>
          <w:i/>
          <w:color w:val="0000FF"/>
        </w:rPr>
        <w:t>U</w:t>
      </w:r>
      <w:r w:rsidR="00805412" w:rsidRPr="00C55C35">
        <w:rPr>
          <w:b/>
          <w:color w:val="0000FF"/>
        </w:rPr>
        <w:t xml:space="preserve"> </w:t>
      </w:r>
      <w:r w:rsidR="008C093A" w:rsidRPr="00B33AA4">
        <w:rPr>
          <w:color w:val="0000FF"/>
        </w:rPr>
        <w:t xml:space="preserve">une </w:t>
      </w:r>
      <w:r w:rsidR="00805412" w:rsidRPr="00B33AA4">
        <w:rPr>
          <w:color w:val="0000FF"/>
        </w:rPr>
        <w:t xml:space="preserve">obligation </w:t>
      </w:r>
      <w:r w:rsidR="00A67263" w:rsidRPr="00B33AA4">
        <w:rPr>
          <w:color w:val="0000FF"/>
        </w:rPr>
        <w:t>présente existe</w:t>
      </w:r>
      <w:r w:rsidR="00B43BCE" w:rsidRPr="00B33AA4">
        <w:rPr>
          <w:color w:val="0000FF"/>
        </w:rPr>
        <w:t>, mais il est peu</w:t>
      </w:r>
      <w:r w:rsidR="006F3CFE">
        <w:rPr>
          <w:color w:val="0000FF"/>
        </w:rPr>
        <w:t> </w:t>
      </w:r>
      <w:r w:rsidR="00B43BCE" w:rsidRPr="00B33AA4">
        <w:rPr>
          <w:color w:val="0000FF"/>
        </w:rPr>
        <w:t>probable qu</w:t>
      </w:r>
      <w:r w:rsidR="00865E23" w:rsidRPr="00B33AA4">
        <w:rPr>
          <w:color w:val="0000FF"/>
        </w:rPr>
        <w:t>’</w:t>
      </w:r>
      <w:r w:rsidR="00B43BCE" w:rsidRPr="00B33AA4">
        <w:rPr>
          <w:color w:val="0000FF"/>
        </w:rPr>
        <w:t>une sortie de ressources représentatives d</w:t>
      </w:r>
      <w:r w:rsidR="00865E23" w:rsidRPr="00B33AA4">
        <w:rPr>
          <w:color w:val="0000FF"/>
        </w:rPr>
        <w:t>’</w:t>
      </w:r>
      <w:r w:rsidR="00B43BCE" w:rsidRPr="00B33AA4">
        <w:rPr>
          <w:color w:val="0000FF"/>
        </w:rPr>
        <w:t>avantages économiques sera nécessaire pour éteindre l</w:t>
      </w:r>
      <w:r w:rsidR="00865E23" w:rsidRPr="00B33AA4">
        <w:rPr>
          <w:color w:val="0000FF"/>
        </w:rPr>
        <w:t>’</w:t>
      </w:r>
      <w:r w:rsidR="00B43BCE" w:rsidRPr="00B33AA4">
        <w:rPr>
          <w:color w:val="0000FF"/>
        </w:rPr>
        <w:t>obligation</w:t>
      </w:r>
      <w:r w:rsidR="00805412" w:rsidRPr="00B33AA4">
        <w:t xml:space="preserve">], </w:t>
      </w:r>
      <w:r w:rsidR="00B43BCE" w:rsidRPr="00B33AA4">
        <w:t xml:space="preserve">nous avons présenté de manière adéquate les informations à fournir sur les </w:t>
      </w:r>
      <w:r w:rsidR="002A1587">
        <w:t xml:space="preserve">passifs </w:t>
      </w:r>
      <w:r w:rsidR="00B43BCE" w:rsidRPr="00B33AA4">
        <w:t>éventu</w:t>
      </w:r>
      <w:r w:rsidR="002A1587">
        <w:t>els</w:t>
      </w:r>
      <w:r w:rsidR="00B43BCE" w:rsidRPr="00B33AA4">
        <w:t xml:space="preserve"> dans les états financiers </w:t>
      </w:r>
      <w:r w:rsidR="00805412" w:rsidRPr="00B33AA4">
        <w:t>[</w:t>
      </w:r>
      <w:r w:rsidR="00805412" w:rsidRPr="00B33AA4">
        <w:rPr>
          <w:color w:val="0000FF"/>
        </w:rPr>
        <w:t>consolid</w:t>
      </w:r>
      <w:r w:rsidR="00B43BCE" w:rsidRPr="00B33AA4">
        <w:rPr>
          <w:color w:val="0000FF"/>
        </w:rPr>
        <w:t>és</w:t>
      </w:r>
      <w:r w:rsidR="00805412" w:rsidRPr="00B33AA4">
        <w:t>].</w:t>
      </w:r>
    </w:p>
    <w:p w14:paraId="6E56A8E0" w14:textId="77777777" w:rsidR="00805412" w:rsidRPr="00B33AA4" w:rsidRDefault="00805412" w:rsidP="008F2193">
      <w:pPr>
        <w:pStyle w:val="09Para"/>
        <w:rPr>
          <w:i/>
        </w:rPr>
      </w:pPr>
      <w:r w:rsidRPr="00B33AA4">
        <w:rPr>
          <w:i/>
          <w:color w:val="0000FF"/>
        </w:rPr>
        <w:t>O</w:t>
      </w:r>
      <w:r w:rsidR="00CE3BD8" w:rsidRPr="00B33AA4">
        <w:rPr>
          <w:i/>
          <w:color w:val="0000FF"/>
        </w:rPr>
        <w:t>U</w:t>
      </w:r>
    </w:p>
    <w:p w14:paraId="0D997FF5" w14:textId="60CB780A" w:rsidR="00805412" w:rsidRDefault="00CE3BD8" w:rsidP="008F2193">
      <w:pPr>
        <w:pStyle w:val="09Para"/>
      </w:pPr>
      <w:r w:rsidRPr="00B33AA4">
        <w:t>Aucune provision n</w:t>
      </w:r>
      <w:r w:rsidR="00865E23" w:rsidRPr="00B33AA4">
        <w:t>’</w:t>
      </w:r>
      <w:r w:rsidRPr="00B33AA4">
        <w:t>a été constitu</w:t>
      </w:r>
      <w:r w:rsidR="00095A33" w:rsidRPr="00B33AA4">
        <w:t xml:space="preserve">ée pour les pertes </w:t>
      </w:r>
      <w:r w:rsidR="002A1587">
        <w:t xml:space="preserve">liées à </w:t>
      </w:r>
      <w:r w:rsidR="00095A33" w:rsidRPr="00B33AA4">
        <w:t xml:space="preserve">des </w:t>
      </w:r>
      <w:r w:rsidR="00982364" w:rsidRPr="00B33AA4">
        <w:t>passifs au titre d</w:t>
      </w:r>
      <w:r w:rsidR="00865E23" w:rsidRPr="00B33AA4">
        <w:t>’</w:t>
      </w:r>
      <w:r w:rsidR="00982364" w:rsidRPr="00B33AA4">
        <w:t>obligations environnementales</w:t>
      </w:r>
      <w:r w:rsidR="00095A33" w:rsidRPr="00B33AA4">
        <w:t xml:space="preserve"> associées à [</w:t>
      </w:r>
      <w:r w:rsidR="00095A33" w:rsidRPr="00B33AA4">
        <w:rPr>
          <w:color w:val="0000FF"/>
        </w:rPr>
        <w:t>nom du site</w:t>
      </w:r>
      <w:r w:rsidR="00095A33" w:rsidRPr="00B33AA4">
        <w:t>],</w:t>
      </w:r>
      <w:r w:rsidR="00805412" w:rsidRPr="00B33AA4">
        <w:t xml:space="preserve"> </w:t>
      </w:r>
      <w:r w:rsidR="00095A33" w:rsidRPr="00B33AA4">
        <w:t>car nous sommes d</w:t>
      </w:r>
      <w:r w:rsidR="00865E23" w:rsidRPr="00B33AA4">
        <w:t>’</w:t>
      </w:r>
      <w:r w:rsidR="00095A33" w:rsidRPr="00B33AA4">
        <w:t>avis que même s</w:t>
      </w:r>
      <w:r w:rsidR="00865E23" w:rsidRPr="00B33AA4">
        <w:t>’</w:t>
      </w:r>
      <w:r w:rsidR="00095A33" w:rsidRPr="00B33AA4">
        <w:t xml:space="preserve">il </w:t>
      </w:r>
      <w:r w:rsidR="002A1587">
        <w:t>existe une obligation actuelle</w:t>
      </w:r>
      <w:r w:rsidR="00095A33" w:rsidRPr="00B33AA4">
        <w:t xml:space="preserve"> à la date des états financiers </w:t>
      </w:r>
      <w:r w:rsidR="00805412" w:rsidRPr="00B33AA4">
        <w:t>[</w:t>
      </w:r>
      <w:r w:rsidR="00805412" w:rsidRPr="00B33AA4">
        <w:rPr>
          <w:color w:val="0000FF"/>
        </w:rPr>
        <w:t>consolid</w:t>
      </w:r>
      <w:r w:rsidR="00095A33" w:rsidRPr="00B33AA4">
        <w:rPr>
          <w:color w:val="0000FF"/>
        </w:rPr>
        <w:t>és</w:t>
      </w:r>
      <w:r w:rsidR="00805412" w:rsidRPr="00B33AA4">
        <w:t xml:space="preserve">], </w:t>
      </w:r>
      <w:r w:rsidR="00095A33" w:rsidRPr="00B33AA4">
        <w:t>le montant de la perte ne peut</w:t>
      </w:r>
      <w:r w:rsidR="00466A97">
        <w:t xml:space="preserve"> pas</w:t>
      </w:r>
      <w:r w:rsidR="00095A33" w:rsidRPr="00B33AA4">
        <w:t xml:space="preserve"> </w:t>
      </w:r>
      <w:r w:rsidR="00A67263" w:rsidRPr="00B33AA4">
        <w:t>faire l’objet d’une estimation raisonnable</w:t>
      </w:r>
      <w:r w:rsidR="00805412" w:rsidRPr="00B33AA4">
        <w:t xml:space="preserve">. </w:t>
      </w:r>
      <w:r w:rsidR="00095A33" w:rsidRPr="00B33AA4">
        <w:t>Nous avons présenté de manière adéquate les informations à fournir sur les éventualités dans les états financiers [</w:t>
      </w:r>
      <w:r w:rsidR="00095A33" w:rsidRPr="00B33AA4">
        <w:rPr>
          <w:color w:val="0000FF"/>
        </w:rPr>
        <w:t>consolidés</w:t>
      </w:r>
      <w:r w:rsidR="00D36F64" w:rsidRPr="00B33AA4">
        <w:t>]</w:t>
      </w:r>
      <w:r w:rsidR="00805412" w:rsidRPr="00B33AA4">
        <w:t>.</w:t>
      </w:r>
      <w:r w:rsidR="00404094" w:rsidRPr="00B33AA4">
        <w:t>]</w:t>
      </w:r>
    </w:p>
    <w:p w14:paraId="41E16A1F" w14:textId="3F6B9FD3" w:rsidR="002A1587" w:rsidRPr="00B33AA4" w:rsidRDefault="002A1587" w:rsidP="002A1587">
      <w:pPr>
        <w:pStyle w:val="Heading3"/>
      </w:pPr>
      <w:r w:rsidRPr="00B33AA4">
        <w:t>Droits ou taxes</w:t>
      </w:r>
    </w:p>
    <w:p w14:paraId="7FB0F46F" w14:textId="4783DFB9" w:rsidR="002A1587" w:rsidRPr="00B33AA4" w:rsidRDefault="002A1587" w:rsidP="002A1587">
      <w:pPr>
        <w:pStyle w:val="09Para"/>
        <w:rPr>
          <w:color w:val="000000"/>
        </w:rPr>
      </w:pPr>
      <w:r w:rsidRPr="00B33AA4">
        <w:rPr>
          <w:color w:val="000000"/>
        </w:rPr>
        <w:t xml:space="preserve">Nous vous avons communiqué tous les paiements qui répondent à la définition des droits </w:t>
      </w:r>
      <w:r w:rsidR="008533E7">
        <w:rPr>
          <w:color w:val="000000"/>
        </w:rPr>
        <w:t>ou</w:t>
      </w:r>
      <w:r w:rsidRPr="00B33AA4">
        <w:rPr>
          <w:color w:val="000000"/>
        </w:rPr>
        <w:t xml:space="preserve"> des taxes énoncée dans IFRIC 21, Droits ou taxes, qui sont imposés par les autorités publiques selon des dispositions légales ou réglementaires. Des provisions pour passifs relativement aux</w:t>
      </w:r>
      <w:r w:rsidR="006F3CFE">
        <w:rPr>
          <w:color w:val="000000"/>
        </w:rPr>
        <w:t> </w:t>
      </w:r>
      <w:r w:rsidRPr="00B33AA4">
        <w:rPr>
          <w:color w:val="000000"/>
        </w:rPr>
        <w:t>droit</w:t>
      </w:r>
      <w:r>
        <w:rPr>
          <w:color w:val="000000"/>
        </w:rPr>
        <w:t xml:space="preserve">s </w:t>
      </w:r>
      <w:r w:rsidRPr="00B33AA4">
        <w:rPr>
          <w:color w:val="000000"/>
        </w:rPr>
        <w:t>ou taxes ont été comptabilisées dans les états financiers [</w:t>
      </w:r>
      <w:r w:rsidRPr="00B33AA4">
        <w:rPr>
          <w:color w:val="0000FF"/>
        </w:rPr>
        <w:t>consolidés</w:t>
      </w:r>
      <w:r w:rsidRPr="00B33AA4">
        <w:rPr>
          <w:color w:val="000000"/>
        </w:rPr>
        <w:t>], lorsque le fait</w:t>
      </w:r>
      <w:r w:rsidR="006F3CFE">
        <w:rPr>
          <w:color w:val="000000"/>
        </w:rPr>
        <w:t> </w:t>
      </w:r>
      <w:r w:rsidRPr="00B33AA4">
        <w:rPr>
          <w:color w:val="000000"/>
        </w:rPr>
        <w:t xml:space="preserve">générateur d’obligation qui crée un passif se produit. La </w:t>
      </w:r>
      <w:r w:rsidR="008533E7">
        <w:rPr>
          <w:color w:val="000000"/>
        </w:rPr>
        <w:t xml:space="preserve">direction </w:t>
      </w:r>
      <w:r w:rsidRPr="00B33AA4">
        <w:rPr>
          <w:color w:val="000000"/>
        </w:rPr>
        <w:t xml:space="preserve">est d’avis que le fait générateur d’obligation pour </w:t>
      </w:r>
      <w:r w:rsidRPr="00B33AA4">
        <w:rPr>
          <w:rFonts w:cs="Arial"/>
          <w:color w:val="000000"/>
        </w:rPr>
        <w:t>[</w:t>
      </w:r>
      <w:r w:rsidRPr="00C55C35">
        <w:rPr>
          <w:color w:val="0000FF"/>
        </w:rPr>
        <w:t>d</w:t>
      </w:r>
      <w:r w:rsidRPr="008533E7">
        <w:rPr>
          <w:color w:val="0000FF"/>
        </w:rPr>
        <w:t>escription</w:t>
      </w:r>
      <w:r w:rsidRPr="00B33AA4">
        <w:rPr>
          <w:color w:val="0000FF"/>
        </w:rPr>
        <w:t xml:space="preserve"> du droit ou de la taxe, par exemple, les impôts fonciers</w:t>
      </w:r>
      <w:r w:rsidRPr="00B33AA4">
        <w:rPr>
          <w:rFonts w:cs="Arial"/>
          <w:color w:val="000000"/>
        </w:rPr>
        <w:t>] se produit [</w:t>
      </w:r>
      <w:r w:rsidRPr="00B33AA4">
        <w:rPr>
          <w:color w:val="0000FF"/>
        </w:rPr>
        <w:t>proportionnellement sur l’année (noter le moment précis)</w:t>
      </w:r>
      <w:r w:rsidRPr="00B33AA4">
        <w:rPr>
          <w:rFonts w:cs="Arial"/>
          <w:color w:val="000000"/>
        </w:rPr>
        <w:t>]</w:t>
      </w:r>
      <w:r w:rsidRPr="00B33AA4">
        <w:rPr>
          <w:color w:val="000000"/>
        </w:rPr>
        <w:t>.</w:t>
      </w:r>
    </w:p>
    <w:p w14:paraId="429E49F9" w14:textId="77777777" w:rsidR="002A1587" w:rsidRPr="00B33AA4" w:rsidRDefault="002A1587" w:rsidP="002A1587">
      <w:pPr>
        <w:pStyle w:val="09Para"/>
        <w:rPr>
          <w:i/>
          <w:color w:val="0000FF"/>
        </w:rPr>
      </w:pPr>
      <w:r w:rsidRPr="00B33AA4">
        <w:rPr>
          <w:i/>
          <w:color w:val="0000FF"/>
        </w:rPr>
        <w:t>OU</w:t>
      </w:r>
    </w:p>
    <w:p w14:paraId="0C71D489" w14:textId="023DD0B2" w:rsidR="00805412" w:rsidRPr="00B33AA4" w:rsidRDefault="002A1587" w:rsidP="008F2193">
      <w:pPr>
        <w:pStyle w:val="09Para"/>
      </w:pPr>
      <w:r w:rsidRPr="00B33AA4">
        <w:rPr>
          <w:color w:val="000000"/>
        </w:rPr>
        <w:t xml:space="preserve">Nous confirmons que nous n’avons aucun paiement qui répond à la définition des droits </w:t>
      </w:r>
      <w:r w:rsidR="008533E7">
        <w:rPr>
          <w:color w:val="000000"/>
        </w:rPr>
        <w:t>ou</w:t>
      </w:r>
      <w:r w:rsidRPr="00B33AA4">
        <w:rPr>
          <w:color w:val="000000"/>
        </w:rPr>
        <w:t xml:space="preserve"> des taxes </w:t>
      </w:r>
      <w:r w:rsidR="008533E7">
        <w:rPr>
          <w:color w:val="000000"/>
        </w:rPr>
        <w:t xml:space="preserve">au sens de </w:t>
      </w:r>
      <w:r w:rsidRPr="00B33AA4">
        <w:rPr>
          <w:color w:val="000000"/>
        </w:rPr>
        <w:t>IFRIC 21, Droits ou taxes, qui sont imposés par les autorités publiques selon des dispositions légales ou réglementaires, et que nous n’avons donc comptabilisé aucun montant correspondant dans les états financiers [</w:t>
      </w:r>
      <w:r w:rsidRPr="00B33AA4">
        <w:rPr>
          <w:color w:val="0000FF"/>
        </w:rPr>
        <w:t>consolidés</w:t>
      </w:r>
      <w:r w:rsidRPr="00B33AA4">
        <w:rPr>
          <w:color w:val="000000"/>
        </w:rPr>
        <w:t>].</w:t>
      </w:r>
    </w:p>
    <w:p w14:paraId="7263ED25" w14:textId="77777777" w:rsidR="00805412" w:rsidRPr="00B33AA4" w:rsidRDefault="00DB5B6E" w:rsidP="00726E00">
      <w:pPr>
        <w:pStyle w:val="Heading3"/>
      </w:pPr>
      <w:r w:rsidRPr="00B33AA4">
        <w:lastRenderedPageBreak/>
        <w:t>Monnaie fonctionnelle</w:t>
      </w:r>
    </w:p>
    <w:p w14:paraId="3E2F41D6" w14:textId="609D305F" w:rsidR="00E61681" w:rsidRDefault="00DB5B6E" w:rsidP="008F2193">
      <w:pPr>
        <w:pStyle w:val="09Para"/>
      </w:pPr>
      <w:r w:rsidRPr="00B33AA4">
        <w:t xml:space="preserve">Nous avons déterminé </w:t>
      </w:r>
      <w:r w:rsidR="00805412" w:rsidRPr="00B33AA4">
        <w:t>[</w:t>
      </w:r>
      <w:r w:rsidR="00805412" w:rsidRPr="00B33AA4">
        <w:rPr>
          <w:color w:val="0000FF"/>
        </w:rPr>
        <w:t>O</w:t>
      </w:r>
      <w:r w:rsidRPr="00B33AA4">
        <w:rPr>
          <w:color w:val="0000FF"/>
        </w:rPr>
        <w:t>U</w:t>
      </w:r>
      <w:r w:rsidR="00805412" w:rsidRPr="00B33AA4">
        <w:rPr>
          <w:i/>
          <w:color w:val="0000FF"/>
        </w:rPr>
        <w:t xml:space="preserve"> </w:t>
      </w:r>
      <w:r w:rsidRPr="00B33AA4">
        <w:rPr>
          <w:i/>
          <w:color w:val="0000FF"/>
        </w:rPr>
        <w:t>s</w:t>
      </w:r>
      <w:r w:rsidR="00865E23" w:rsidRPr="00B33AA4">
        <w:rPr>
          <w:i/>
          <w:color w:val="0000FF"/>
        </w:rPr>
        <w:t>’</w:t>
      </w:r>
      <w:r w:rsidRPr="00B33AA4">
        <w:rPr>
          <w:i/>
          <w:color w:val="0000FF"/>
        </w:rPr>
        <w:t xml:space="preserve">il y a eu un changement </w:t>
      </w:r>
      <w:r w:rsidR="00A67263" w:rsidRPr="00B33AA4">
        <w:rPr>
          <w:i/>
          <w:color w:val="0000FF"/>
        </w:rPr>
        <w:t xml:space="preserve">important </w:t>
      </w:r>
      <w:r w:rsidRPr="00B33AA4">
        <w:rPr>
          <w:i/>
          <w:color w:val="0000FF"/>
        </w:rPr>
        <w:t xml:space="preserve">dans la situation économique, </w:t>
      </w:r>
      <w:r w:rsidR="008C093A" w:rsidRPr="00B33AA4">
        <w:rPr>
          <w:i/>
          <w:color w:val="0000FF"/>
        </w:rPr>
        <w:t>r</w:t>
      </w:r>
      <w:r w:rsidR="00A67263" w:rsidRPr="00B33AA4">
        <w:rPr>
          <w:i/>
          <w:color w:val="0000FF"/>
        </w:rPr>
        <w:t>évisé</w:t>
      </w:r>
      <w:r w:rsidR="008C093A" w:rsidRPr="00B33AA4">
        <w:t>]</w:t>
      </w:r>
      <w:r w:rsidRPr="00B33AA4">
        <w:t xml:space="preserve"> la monnaie fonctionnelle de chaque </w:t>
      </w:r>
      <w:r w:rsidR="00E61681">
        <w:t>[</w:t>
      </w:r>
      <w:r w:rsidRPr="00B33AA4">
        <w:t>filiale, succursale</w:t>
      </w:r>
      <w:r w:rsidR="00CF2807" w:rsidRPr="00B33AA4">
        <w:t>, coentreprise ou entreprise associée</w:t>
      </w:r>
      <w:r w:rsidR="00E61681">
        <w:t>]</w:t>
      </w:r>
      <w:r w:rsidR="00805412" w:rsidRPr="00B33AA4">
        <w:t xml:space="preserve"> (</w:t>
      </w:r>
      <w:r w:rsidR="00CF2807" w:rsidRPr="00B33AA4">
        <w:t>établissements</w:t>
      </w:r>
      <w:r w:rsidR="00805412" w:rsidRPr="00B33AA4">
        <w:t xml:space="preserve">) </w:t>
      </w:r>
      <w:r w:rsidR="00236249" w:rsidRPr="00B33AA4">
        <w:t xml:space="preserve">qui sont </w:t>
      </w:r>
      <w:r w:rsidR="00CF2807" w:rsidRPr="00B33AA4">
        <w:t>comptabilisée</w:t>
      </w:r>
      <w:r w:rsidR="00236249" w:rsidRPr="00B33AA4">
        <w:t>s dans</w:t>
      </w:r>
      <w:r w:rsidR="00CF2807" w:rsidRPr="00B33AA4">
        <w:t xml:space="preserve"> les états financiers</w:t>
      </w:r>
      <w:r w:rsidR="00805412" w:rsidRPr="00B33AA4">
        <w:t xml:space="preserve"> [</w:t>
      </w:r>
      <w:r w:rsidR="00805412" w:rsidRPr="00B33AA4">
        <w:rPr>
          <w:color w:val="0000FF"/>
        </w:rPr>
        <w:t>consolid</w:t>
      </w:r>
      <w:r w:rsidR="00CF2807" w:rsidRPr="00B33AA4">
        <w:rPr>
          <w:color w:val="0000FF"/>
        </w:rPr>
        <w:t>és</w:t>
      </w:r>
      <w:r w:rsidR="00805412" w:rsidRPr="00B33AA4">
        <w:t xml:space="preserve">] </w:t>
      </w:r>
      <w:r w:rsidR="00CF2807" w:rsidRPr="00B33AA4">
        <w:t>selon les indicateurs décrits à l</w:t>
      </w:r>
      <w:r w:rsidR="00865E23" w:rsidRPr="00B33AA4">
        <w:t>’</w:t>
      </w:r>
      <w:r w:rsidR="00805412" w:rsidRPr="00B33AA4">
        <w:t>IAS</w:t>
      </w:r>
      <w:r w:rsidR="00C14D45" w:rsidRPr="00B33AA4">
        <w:t> </w:t>
      </w:r>
      <w:r w:rsidR="00805412" w:rsidRPr="00B33AA4">
        <w:t>21</w:t>
      </w:r>
      <w:r w:rsidR="00CD6746" w:rsidRPr="00B33AA4">
        <w:t>,</w:t>
      </w:r>
      <w:r w:rsidR="00CF2807" w:rsidRPr="00B33AA4">
        <w:t xml:space="preserve"> Effets des variations des cours des monnaies étrangères</w:t>
      </w:r>
      <w:r w:rsidR="00C8523A">
        <w:t xml:space="preserve"> (IAS 21)</w:t>
      </w:r>
      <w:r w:rsidR="00805412" w:rsidRPr="00B33AA4">
        <w:t xml:space="preserve">. </w:t>
      </w:r>
      <w:r w:rsidR="00CF2807" w:rsidRPr="00B33AA4">
        <w:t xml:space="preserve">Nous avons converti correctement les </w:t>
      </w:r>
      <w:r w:rsidR="00A67263" w:rsidRPr="00B33AA4">
        <w:t>comptes</w:t>
      </w:r>
      <w:r w:rsidR="00CF2807" w:rsidRPr="00B33AA4">
        <w:t xml:space="preserve"> de ces établissements </w:t>
      </w:r>
      <w:r w:rsidR="00BE336A" w:rsidRPr="00B33AA4">
        <w:t>à l’</w:t>
      </w:r>
      <w:r w:rsidR="00CF2807" w:rsidRPr="00B33AA4">
        <w:t xml:space="preserve">étranger dans la monnaie de présentation de </w:t>
      </w:r>
      <w:r w:rsidR="00E61681">
        <w:t>[</w:t>
      </w:r>
      <w:r w:rsidR="00CF2807" w:rsidRPr="00871F3A">
        <w:rPr>
          <w:color w:val="0000FF"/>
        </w:rPr>
        <w:t>la société mère afin qu</w:t>
      </w:r>
      <w:r w:rsidR="00865E23" w:rsidRPr="00871F3A">
        <w:rPr>
          <w:color w:val="0000FF"/>
        </w:rPr>
        <w:t>’</w:t>
      </w:r>
      <w:r w:rsidR="00CF2807" w:rsidRPr="00871F3A">
        <w:rPr>
          <w:color w:val="0000FF"/>
        </w:rPr>
        <w:t>ils puisse</w:t>
      </w:r>
      <w:r w:rsidR="0001531C" w:rsidRPr="00871F3A">
        <w:rPr>
          <w:color w:val="0000FF"/>
        </w:rPr>
        <w:t>nt</w:t>
      </w:r>
      <w:r w:rsidR="00CF2807" w:rsidRPr="00871F3A">
        <w:rPr>
          <w:color w:val="0000FF"/>
        </w:rPr>
        <w:t xml:space="preserve"> être intégrés</w:t>
      </w:r>
      <w:r w:rsidR="000F0C4A" w:rsidRPr="00871F3A">
        <w:rPr>
          <w:color w:val="0000FF"/>
        </w:rPr>
        <w:t xml:space="preserve"> aux fins </w:t>
      </w:r>
      <w:r w:rsidR="00CF2807" w:rsidRPr="00871F3A">
        <w:rPr>
          <w:color w:val="0000FF"/>
        </w:rPr>
        <w:t>de consolidation</w:t>
      </w:r>
      <w:r w:rsidR="00E61681">
        <w:t>]</w:t>
      </w:r>
      <w:r w:rsidR="00CF2807" w:rsidRPr="00B33AA4">
        <w:t xml:space="preserve">, </w:t>
      </w:r>
      <w:r w:rsidR="00D026CC" w:rsidRPr="00B33AA4">
        <w:t xml:space="preserve">conformément </w:t>
      </w:r>
      <w:r w:rsidR="00CF2807" w:rsidRPr="00B33AA4">
        <w:t>à l</w:t>
      </w:r>
      <w:r w:rsidR="00865E23" w:rsidRPr="00B33AA4">
        <w:t>’</w:t>
      </w:r>
      <w:r w:rsidR="00CF2807" w:rsidRPr="00B33AA4">
        <w:t>IAS</w:t>
      </w:r>
      <w:r w:rsidR="00C14D45" w:rsidRPr="00B33AA4">
        <w:t> </w:t>
      </w:r>
      <w:r w:rsidR="00805412" w:rsidRPr="00B33AA4">
        <w:t>21</w:t>
      </w:r>
      <w:r w:rsidR="00434A7B">
        <w:t>,</w:t>
      </w:r>
      <w:r w:rsidR="00E61681">
        <w:t xml:space="preserve"> lorsque la monnaie de présentation diffère de</w:t>
      </w:r>
      <w:r w:rsidR="0048324C">
        <w:t>s établissements de</w:t>
      </w:r>
      <w:r w:rsidR="00E61681">
        <w:t xml:space="preserve"> </w:t>
      </w:r>
      <w:r w:rsidR="00E61681" w:rsidRPr="00764D50">
        <w:t>la monnaie fonctionnelle.</w:t>
      </w:r>
      <w:r w:rsidR="00E61681">
        <w:t xml:space="preserve"> </w:t>
      </w:r>
    </w:p>
    <w:p w14:paraId="590EDD94" w14:textId="3642E07D" w:rsidR="00E61681" w:rsidRPr="00B33AA4" w:rsidRDefault="00E61681" w:rsidP="00E61681">
      <w:pPr>
        <w:pStyle w:val="09Para"/>
      </w:pPr>
      <w:r w:rsidRPr="00B33AA4">
        <w:t xml:space="preserve">Toutes les opérations qui ne sont pas libellées dans la monnaie fonctionnelle sont considérées comme des opérations en monnaie étrangère et ont été converties </w:t>
      </w:r>
      <w:r w:rsidRPr="00871F3A">
        <w:t>dans la monnaie fonctionnelle</w:t>
      </w:r>
      <w:r w:rsidRPr="00B33AA4">
        <w:rPr>
          <w:color w:val="0000FF"/>
        </w:rPr>
        <w:t xml:space="preserve"> </w:t>
      </w:r>
      <w:r w:rsidR="0078172D" w:rsidRPr="00B33AA4">
        <w:t>[</w:t>
      </w:r>
      <w:r w:rsidRPr="00B33AA4">
        <w:rPr>
          <w:color w:val="0000FF"/>
        </w:rPr>
        <w:t>de l’établissement</w:t>
      </w:r>
      <w:r w:rsidRPr="00B33AA4">
        <w:t>] conformément à l’IAS 21.</w:t>
      </w:r>
    </w:p>
    <w:p w14:paraId="1B95F83F" w14:textId="64352039" w:rsidR="00805412" w:rsidRPr="00B33AA4" w:rsidRDefault="0001531C" w:rsidP="008F2193">
      <w:pPr>
        <w:pStyle w:val="09Para"/>
      </w:pPr>
      <w:r w:rsidRPr="00B33AA4">
        <w:t>Nous vous avons communiqué toutes les sorties totales ou partielles d</w:t>
      </w:r>
      <w:r w:rsidR="00865E23" w:rsidRPr="00B33AA4">
        <w:t>’</w:t>
      </w:r>
      <w:r w:rsidRPr="00B33AA4">
        <w:t>un établissement à l</w:t>
      </w:r>
      <w:r w:rsidR="00865E23" w:rsidRPr="00B33AA4">
        <w:t>’</w:t>
      </w:r>
      <w:r w:rsidRPr="00B33AA4">
        <w:t xml:space="preserve">étranger et avons comptabilisé </w:t>
      </w:r>
      <w:r w:rsidR="00BE336A" w:rsidRPr="00B33AA4">
        <w:t xml:space="preserve">de manière appropriée </w:t>
      </w:r>
      <w:r w:rsidR="00A67263" w:rsidRPr="00B33AA4">
        <w:t xml:space="preserve">de telles </w:t>
      </w:r>
      <w:r w:rsidRPr="00B33AA4">
        <w:t>réductions conformément à</w:t>
      </w:r>
      <w:r w:rsidR="006F3CFE">
        <w:t> </w:t>
      </w:r>
      <w:r w:rsidRPr="00B33AA4">
        <w:t>l</w:t>
      </w:r>
      <w:r w:rsidR="00865E23" w:rsidRPr="00B33AA4">
        <w:t>’</w:t>
      </w:r>
      <w:r w:rsidR="00805412" w:rsidRPr="00B33AA4">
        <w:t>IAS</w:t>
      </w:r>
      <w:r w:rsidR="00C14D45" w:rsidRPr="00B33AA4">
        <w:t> </w:t>
      </w:r>
      <w:r w:rsidR="00805412" w:rsidRPr="00B33AA4">
        <w:t>21.</w:t>
      </w:r>
    </w:p>
    <w:p w14:paraId="23921641" w14:textId="6A36E56D" w:rsidR="00805412" w:rsidRPr="00B33AA4" w:rsidRDefault="00FE5E86" w:rsidP="008F2193">
      <w:pPr>
        <w:pStyle w:val="09Para"/>
      </w:pPr>
      <w:r w:rsidRPr="00B33AA4">
        <w:t xml:space="preserve">Nous avons réparti de manière appropriée le </w:t>
      </w:r>
      <w:r w:rsidR="00805412" w:rsidRPr="00B33AA4">
        <w:t xml:space="preserve">goodwill </w:t>
      </w:r>
      <w:r w:rsidRPr="00B33AA4">
        <w:t>provenant de l</w:t>
      </w:r>
      <w:r w:rsidR="00865E23" w:rsidRPr="00B33AA4">
        <w:t>’</w:t>
      </w:r>
      <w:r w:rsidRPr="00B33AA4">
        <w:t>acquisition d</w:t>
      </w:r>
      <w:r w:rsidR="00865E23" w:rsidRPr="00B33AA4">
        <w:t>’</w:t>
      </w:r>
      <w:r w:rsidRPr="00B33AA4">
        <w:t>un établissement à l</w:t>
      </w:r>
      <w:r w:rsidR="00865E23" w:rsidRPr="00B33AA4">
        <w:t>’</w:t>
      </w:r>
      <w:r w:rsidRPr="00B33AA4">
        <w:t xml:space="preserve">étranger comme un actif de </w:t>
      </w:r>
      <w:r w:rsidR="00BE336A" w:rsidRPr="00B33AA4">
        <w:t xml:space="preserve">cet </w:t>
      </w:r>
      <w:r w:rsidRPr="00B33AA4">
        <w:t>établissement en vue de sa conversion dans</w:t>
      </w:r>
      <w:r w:rsidR="006F3CFE">
        <w:t> </w:t>
      </w:r>
      <w:r w:rsidRPr="00B33AA4">
        <w:t>la monnaie fonctionnelle ou de présentation de la société mère.</w:t>
      </w:r>
    </w:p>
    <w:p w14:paraId="366C7A54" w14:textId="02EEBDEF" w:rsidR="00805412" w:rsidRPr="00B33AA4" w:rsidRDefault="00805412" w:rsidP="00726E00">
      <w:pPr>
        <w:pStyle w:val="Heading3"/>
      </w:pPr>
      <w:r w:rsidRPr="00B33AA4">
        <w:t>U</w:t>
      </w:r>
      <w:r w:rsidR="00D34A8A" w:rsidRPr="00B33AA4">
        <w:t>tilisation des travaux d</w:t>
      </w:r>
      <w:r w:rsidR="00F925B1">
        <w:t>e</w:t>
      </w:r>
      <w:r w:rsidR="00D34A8A" w:rsidRPr="00B33AA4">
        <w:t xml:space="preserve"> </w:t>
      </w:r>
      <w:r w:rsidR="00E61681">
        <w:t>spécialiste</w:t>
      </w:r>
      <w:r w:rsidR="00F925B1">
        <w:t>s</w:t>
      </w:r>
    </w:p>
    <w:p w14:paraId="232C1099" w14:textId="1603DF00" w:rsidR="00E61681" w:rsidRDefault="00E61681" w:rsidP="008F2193">
      <w:pPr>
        <w:pStyle w:val="09Para"/>
        <w:rPr>
          <w:rStyle w:val="BlueItalText"/>
        </w:rPr>
      </w:pPr>
      <w:bookmarkStart w:id="65" w:name="lt_pId728"/>
      <w:r w:rsidRPr="00957D59">
        <w:rPr>
          <w:rStyle w:val="BlueItalText"/>
          <w:i w:val="0"/>
          <w:color w:val="auto"/>
        </w:rPr>
        <w:t>[</w:t>
      </w:r>
      <w:r w:rsidR="00434A7B" w:rsidRPr="00F91D84">
        <w:rPr>
          <w:i/>
          <w:color w:val="0000FF"/>
        </w:rPr>
        <w:t xml:space="preserve">Cette déclaration doit être ajoutée à la lettre d’affirmation uniquement si la direction a eu recours à des spécialistes pour établir des montants et des informations présentés dans les états financiers et les </w:t>
      </w:r>
      <w:r w:rsidR="00E67DDF" w:rsidRPr="00F91D84">
        <w:rPr>
          <w:i/>
          <w:color w:val="0000FF"/>
        </w:rPr>
        <w:t>documents</w:t>
      </w:r>
      <w:r w:rsidR="00434A7B" w:rsidRPr="00F91D84">
        <w:rPr>
          <w:i/>
          <w:color w:val="0000FF"/>
        </w:rPr>
        <w:t xml:space="preserve"> sous-jacents. Dans le cas contraire, ce paragraphe </w:t>
      </w:r>
      <w:r w:rsidR="00C93CAD" w:rsidRPr="00F91D84">
        <w:rPr>
          <w:i/>
          <w:color w:val="0000FF"/>
        </w:rPr>
        <w:t>doit</w:t>
      </w:r>
      <w:r w:rsidR="00434A7B" w:rsidRPr="00F91D84">
        <w:rPr>
          <w:i/>
          <w:color w:val="0000FF"/>
        </w:rPr>
        <w:t xml:space="preserve"> être</w:t>
      </w:r>
      <w:r w:rsidR="006F3CFE">
        <w:rPr>
          <w:i/>
          <w:color w:val="0000FF"/>
        </w:rPr>
        <w:t> </w:t>
      </w:r>
      <w:r w:rsidR="00434A7B" w:rsidRPr="00F91D84">
        <w:rPr>
          <w:i/>
          <w:color w:val="0000FF"/>
        </w:rPr>
        <w:t>omis.</w:t>
      </w:r>
      <w:bookmarkStart w:id="66" w:name="lt_pId729"/>
      <w:bookmarkEnd w:id="65"/>
      <w:r w:rsidRPr="00871F3A">
        <w:rPr>
          <w:sz w:val="20"/>
        </w:rPr>
        <w:t>]</w:t>
      </w:r>
      <w:bookmarkEnd w:id="66"/>
    </w:p>
    <w:p w14:paraId="7A9DC3A0" w14:textId="3B6DCC4F" w:rsidR="00805412" w:rsidRPr="00B33AA4" w:rsidRDefault="00D34A8A" w:rsidP="008F2193">
      <w:pPr>
        <w:pStyle w:val="09Para"/>
      </w:pPr>
      <w:r w:rsidRPr="00B33AA4">
        <w:t xml:space="preserve">Nous assumons la responsabilité des constatations des </w:t>
      </w:r>
      <w:r w:rsidR="00E61681">
        <w:t>spécialistes</w:t>
      </w:r>
      <w:r w:rsidR="000210E4" w:rsidRPr="00B33AA4">
        <w:t xml:space="preserve"> </w:t>
      </w:r>
      <w:r w:rsidRPr="00B33AA4">
        <w:t xml:space="preserve">qui ont évalué </w:t>
      </w:r>
      <w:r w:rsidR="000210E4" w:rsidRPr="00B33AA4">
        <w:t>[</w:t>
      </w:r>
      <w:r w:rsidR="000210E4" w:rsidRPr="00B33AA4">
        <w:rPr>
          <w:i/>
          <w:color w:val="0000FF"/>
        </w:rPr>
        <w:t xml:space="preserve">fournir une description du </w:t>
      </w:r>
      <w:r w:rsidR="000210E4" w:rsidRPr="006C4303">
        <w:rPr>
          <w:i/>
          <w:color w:val="0000FF"/>
        </w:rPr>
        <w:t>secteur</w:t>
      </w:r>
      <w:r w:rsidR="000210E4" w:rsidRPr="00B33AA4">
        <w:rPr>
          <w:i/>
          <w:color w:val="0000FF"/>
        </w:rPr>
        <w:t xml:space="preserve"> pour lequel les travaux d</w:t>
      </w:r>
      <w:r w:rsidR="00E61681">
        <w:rPr>
          <w:i/>
          <w:color w:val="0000FF"/>
        </w:rPr>
        <w:t>u spécialiste</w:t>
      </w:r>
      <w:r w:rsidR="000210E4" w:rsidRPr="00B33AA4">
        <w:rPr>
          <w:i/>
          <w:color w:val="0000FF"/>
        </w:rPr>
        <w:t xml:space="preserve"> ont été utilisés</w:t>
      </w:r>
      <w:r w:rsidR="00805412" w:rsidRPr="00B33AA4">
        <w:t xml:space="preserve">] </w:t>
      </w:r>
      <w:r w:rsidRPr="00B33AA4">
        <w:t>et avons examiné adéquatement les</w:t>
      </w:r>
      <w:r w:rsidR="00DA1F3C" w:rsidRPr="00B33AA4">
        <w:t xml:space="preserve"> qualifications</w:t>
      </w:r>
      <w:r w:rsidRPr="00B33AA4">
        <w:t xml:space="preserve"> des </w:t>
      </w:r>
      <w:r w:rsidR="00E61681">
        <w:t>spécialistes</w:t>
      </w:r>
      <w:r w:rsidR="000210E4" w:rsidRPr="00B33AA4">
        <w:t xml:space="preserve"> chargés </w:t>
      </w:r>
      <w:r w:rsidRPr="00B33AA4">
        <w:t xml:space="preserve">de déterminer les montants et les informations fournis dans les états financiers </w:t>
      </w:r>
      <w:r w:rsidR="000210E4" w:rsidRPr="00B33AA4">
        <w:t>[</w:t>
      </w:r>
      <w:r w:rsidR="000210E4" w:rsidRPr="00B33AA4">
        <w:rPr>
          <w:color w:val="0000FF"/>
        </w:rPr>
        <w:t>consolidés</w:t>
      </w:r>
      <w:r w:rsidR="000210E4" w:rsidRPr="00B33AA4">
        <w:t xml:space="preserve">] </w:t>
      </w:r>
      <w:r w:rsidRPr="00B33AA4">
        <w:t>et dans les documents comptables sous-jacents. Nous n</w:t>
      </w:r>
      <w:r w:rsidR="00865E23" w:rsidRPr="00B33AA4">
        <w:t>’</w:t>
      </w:r>
      <w:r w:rsidRPr="00B33AA4">
        <w:t xml:space="preserve">avons pas donné de directives aux </w:t>
      </w:r>
      <w:r w:rsidR="00E61681">
        <w:t>spécialistes</w:t>
      </w:r>
      <w:r w:rsidRPr="00B33AA4">
        <w:t>, ni directement</w:t>
      </w:r>
      <w:r w:rsidR="00B50242" w:rsidRPr="00B33AA4">
        <w:t xml:space="preserve"> </w:t>
      </w:r>
      <w:r w:rsidRPr="00B33AA4">
        <w:t xml:space="preserve">ni indirectement, en ce qui concerne les valeurs ou les montants établis </w:t>
      </w:r>
      <w:r w:rsidR="00DA1F3C" w:rsidRPr="00B33AA4">
        <w:t xml:space="preserve">pour tenter </w:t>
      </w:r>
      <w:r w:rsidRPr="00B33AA4">
        <w:t>d</w:t>
      </w:r>
      <w:r w:rsidR="00865E23" w:rsidRPr="00B33AA4">
        <w:t>’</w:t>
      </w:r>
      <w:r w:rsidRPr="00B33AA4">
        <w:t>introduire un</w:t>
      </w:r>
      <w:r w:rsidR="00644ACA">
        <w:t> </w:t>
      </w:r>
      <w:r w:rsidRPr="00B33AA4">
        <w:t>parti pris dans leur travail, et nous n</w:t>
      </w:r>
      <w:r w:rsidR="00B50242" w:rsidRPr="00B33AA4">
        <w:t>’avons pas autrement pris connaissance de</w:t>
      </w:r>
      <w:r w:rsidRPr="00B33AA4">
        <w:t xml:space="preserve"> question</w:t>
      </w:r>
      <w:r w:rsidR="00D03339" w:rsidRPr="00B33AA4">
        <w:t>s</w:t>
      </w:r>
      <w:r w:rsidRPr="00B33AA4">
        <w:t xml:space="preserve"> qui aurai</w:t>
      </w:r>
      <w:r w:rsidR="00D03339" w:rsidRPr="00B33AA4">
        <w:t>en</w:t>
      </w:r>
      <w:r w:rsidRPr="00B33AA4">
        <w:t>t pu influer sur l</w:t>
      </w:r>
      <w:r w:rsidR="00865E23" w:rsidRPr="00B33AA4">
        <w:t>’</w:t>
      </w:r>
      <w:r w:rsidRPr="00B33AA4">
        <w:t>indépendance ou l</w:t>
      </w:r>
      <w:r w:rsidR="00865E23" w:rsidRPr="00B33AA4">
        <w:t>’</w:t>
      </w:r>
      <w:r w:rsidRPr="00B33AA4">
        <w:t xml:space="preserve">objectivité des </w:t>
      </w:r>
      <w:r w:rsidR="00E61681">
        <w:t>spécialistes</w:t>
      </w:r>
      <w:r w:rsidR="00805412" w:rsidRPr="00B33AA4">
        <w:t>.</w:t>
      </w:r>
    </w:p>
    <w:p w14:paraId="1166CC89" w14:textId="77777777" w:rsidR="00805412" w:rsidRPr="00B33AA4" w:rsidRDefault="00D34A8A" w:rsidP="008A7797">
      <w:pPr>
        <w:pStyle w:val="Heading3"/>
      </w:pPr>
      <w:r w:rsidRPr="00B33AA4">
        <w:t>Instruments financiers (</w:t>
      </w:r>
      <w:r w:rsidR="00FE2A9C" w:rsidRPr="00B33AA4">
        <w:t>informations à fournir selon l’IFRS 7</w:t>
      </w:r>
      <w:r w:rsidR="00805412" w:rsidRPr="00B33AA4">
        <w:t>)</w:t>
      </w:r>
    </w:p>
    <w:p w14:paraId="282E52B2" w14:textId="77777777" w:rsidR="00805412" w:rsidRPr="00B33AA4" w:rsidRDefault="009C7016" w:rsidP="006F3CFE">
      <w:pPr>
        <w:pStyle w:val="09Para"/>
        <w:keepNext/>
      </w:pPr>
      <w:r w:rsidRPr="00B33AA4">
        <w:t xml:space="preserve">Nous confirmons ce qui suit concernant les risques associés aux instruments financiers de </w:t>
      </w:r>
      <w:r w:rsidR="00EF4717" w:rsidRPr="00B33AA4">
        <w:t>[</w:t>
      </w:r>
      <w:r w:rsidR="00EF4717" w:rsidRPr="00B33AA4">
        <w:rPr>
          <w:color w:val="0000FF"/>
        </w:rPr>
        <w:t>Entit</w:t>
      </w:r>
      <w:r w:rsidRPr="00B33AA4">
        <w:rPr>
          <w:color w:val="0000FF"/>
        </w:rPr>
        <w:t>é</w:t>
      </w:r>
      <w:r w:rsidR="00EF4717" w:rsidRPr="00B33AA4">
        <w:t>]</w:t>
      </w:r>
      <w:r w:rsidR="00805412" w:rsidRPr="00B33AA4">
        <w:t xml:space="preserve"> </w:t>
      </w:r>
      <w:r w:rsidRPr="00B33AA4">
        <w:t>et les informations à fournir selon l</w:t>
      </w:r>
      <w:r w:rsidR="00865E23" w:rsidRPr="00B33AA4">
        <w:t>’</w:t>
      </w:r>
      <w:r w:rsidR="00805412" w:rsidRPr="00B33AA4">
        <w:t>IFRS</w:t>
      </w:r>
      <w:r w:rsidR="00C14D45" w:rsidRPr="00B33AA4">
        <w:t> </w:t>
      </w:r>
      <w:r w:rsidR="00805412" w:rsidRPr="00B33AA4">
        <w:t>7</w:t>
      </w:r>
      <w:r w:rsidR="00EF4717" w:rsidRPr="00B33AA4">
        <w:t>,</w:t>
      </w:r>
      <w:r w:rsidR="00805412" w:rsidRPr="00B33AA4">
        <w:t xml:space="preserve"> </w:t>
      </w:r>
      <w:r w:rsidRPr="00B33AA4">
        <w:t>Instruments financiers : Informations à fournir</w:t>
      </w:r>
      <w:r w:rsidR="005556E0" w:rsidRPr="00B33AA4">
        <w:t> :</w:t>
      </w:r>
    </w:p>
    <w:p w14:paraId="14274F28" w14:textId="0A7CEAC7" w:rsidR="00805412" w:rsidRPr="00B33AA4" w:rsidRDefault="009A2652" w:rsidP="000E4CFF">
      <w:pPr>
        <w:pStyle w:val="09ParaBullet1"/>
      </w:pPr>
      <w:r w:rsidRPr="00B33AA4">
        <w:t xml:space="preserve">Tous les risques </w:t>
      </w:r>
      <w:r w:rsidR="00BE5964" w:rsidRPr="00B33AA4">
        <w:t>importants</w:t>
      </w:r>
      <w:r w:rsidRPr="00B33AA4">
        <w:t xml:space="preserve"> auxquels </w:t>
      </w:r>
      <w:r w:rsidR="002A1587" w:rsidRPr="00B33AA4">
        <w:t>[</w:t>
      </w:r>
      <w:r w:rsidR="002A1587" w:rsidRPr="00B33AA4">
        <w:rPr>
          <w:color w:val="0000FF"/>
        </w:rPr>
        <w:t>Entité</w:t>
      </w:r>
      <w:r w:rsidR="002A1587" w:rsidRPr="00B33AA4">
        <w:t xml:space="preserve">] </w:t>
      </w:r>
      <w:r w:rsidR="009A629D" w:rsidRPr="00B33AA4">
        <w:t>est exposé</w:t>
      </w:r>
      <w:r w:rsidR="002A1587">
        <w:t>[</w:t>
      </w:r>
      <w:r w:rsidR="009A629D" w:rsidRPr="00B33AA4">
        <w:t>e</w:t>
      </w:r>
      <w:r w:rsidR="002A1587">
        <w:t>]</w:t>
      </w:r>
      <w:r w:rsidR="009A629D" w:rsidRPr="00B33AA4">
        <w:t xml:space="preserve"> et qui </w:t>
      </w:r>
      <w:r w:rsidR="00DA1F3C" w:rsidRPr="00B33AA4">
        <w:t>résult</w:t>
      </w:r>
      <w:r w:rsidR="009A629D" w:rsidRPr="00B33AA4">
        <w:t>e</w:t>
      </w:r>
      <w:r w:rsidR="00DA1F3C" w:rsidRPr="00B33AA4">
        <w:t xml:space="preserve">nt </w:t>
      </w:r>
      <w:r w:rsidRPr="00B33AA4">
        <w:t>des instruments financiers qu</w:t>
      </w:r>
      <w:r w:rsidR="00865E23" w:rsidRPr="00B33AA4">
        <w:t>’</w:t>
      </w:r>
      <w:r w:rsidRPr="00B33AA4">
        <w:t>elle détient, notamment les risques découlant d</w:t>
      </w:r>
      <w:r w:rsidR="00865E23" w:rsidRPr="00B33AA4">
        <w:t>’</w:t>
      </w:r>
      <w:r w:rsidRPr="00B33AA4">
        <w:t>actifs financiers transférés</w:t>
      </w:r>
      <w:r w:rsidR="00805412" w:rsidRPr="00B33AA4">
        <w:t xml:space="preserve">, </w:t>
      </w:r>
      <w:r w:rsidR="0053003C" w:rsidRPr="00B33AA4">
        <w:t>ont été présentés</w:t>
      </w:r>
      <w:r w:rsidR="00805412" w:rsidRPr="00B33AA4">
        <w:t>.</w:t>
      </w:r>
    </w:p>
    <w:p w14:paraId="431478DD" w14:textId="033470CE" w:rsidR="00805412" w:rsidRPr="00B33AA4" w:rsidRDefault="0053003C" w:rsidP="000E4CFF">
      <w:pPr>
        <w:pStyle w:val="09ParaBullet1"/>
      </w:pPr>
      <w:r w:rsidRPr="00B33AA4">
        <w:lastRenderedPageBreak/>
        <w:t>L</w:t>
      </w:r>
      <w:r w:rsidR="00865E23" w:rsidRPr="00B33AA4">
        <w:t>’</w:t>
      </w:r>
      <w:r w:rsidRPr="00B33AA4">
        <w:t xml:space="preserve">analyse de sensibilité qui a été fournie pour tous les </w:t>
      </w:r>
      <w:r w:rsidR="009A2652" w:rsidRPr="00B33AA4">
        <w:t xml:space="preserve">risques de marché </w:t>
      </w:r>
      <w:r w:rsidR="00BE5964" w:rsidRPr="00B33AA4">
        <w:t xml:space="preserve">importants </w:t>
      </w:r>
      <w:r w:rsidR="001D46F3">
        <w:t>décrit notamment :</w:t>
      </w:r>
    </w:p>
    <w:p w14:paraId="036D8D22" w14:textId="77777777" w:rsidR="00805412" w:rsidRPr="00B33AA4" w:rsidRDefault="0053003C" w:rsidP="000E4CFF">
      <w:pPr>
        <w:pStyle w:val="09ParaBullet2"/>
      </w:pPr>
      <w:r w:rsidRPr="00B33AA4">
        <w:t>les c</w:t>
      </w:r>
      <w:r w:rsidR="00805412" w:rsidRPr="00B33AA4">
        <w:t>hange</w:t>
      </w:r>
      <w:r w:rsidRPr="00B33AA4">
        <w:t>ment</w:t>
      </w:r>
      <w:r w:rsidR="00805412" w:rsidRPr="00B33AA4">
        <w:t xml:space="preserve">s </w:t>
      </w:r>
      <w:r w:rsidRPr="00B33AA4">
        <w:t xml:space="preserve">des </w:t>
      </w:r>
      <w:r w:rsidR="00805412" w:rsidRPr="00B33AA4">
        <w:t xml:space="preserve">variables </w:t>
      </w:r>
      <w:r w:rsidR="009A2652" w:rsidRPr="00B33AA4">
        <w:t xml:space="preserve">de risque </w:t>
      </w:r>
      <w:r w:rsidRPr="00B33AA4">
        <w:t>pertinentes qui étaient raisonnablement possible</w:t>
      </w:r>
      <w:r w:rsidR="00F1757D" w:rsidRPr="00B33AA4">
        <w:t>s</w:t>
      </w:r>
      <w:r w:rsidRPr="00B33AA4">
        <w:t xml:space="preserve"> à la date de l</w:t>
      </w:r>
      <w:r w:rsidR="00865E23" w:rsidRPr="00B33AA4">
        <w:t>’</w:t>
      </w:r>
      <w:r w:rsidRPr="00B33AA4">
        <w:t>analyse, selon notre meilleure estimation</w:t>
      </w:r>
      <w:r w:rsidR="00805412" w:rsidRPr="00B33AA4">
        <w:t xml:space="preserve">; </w:t>
      </w:r>
    </w:p>
    <w:p w14:paraId="1CCBF279" w14:textId="77777777" w:rsidR="00805412" w:rsidRPr="00B33AA4" w:rsidRDefault="0053003C" w:rsidP="000E4CFF">
      <w:pPr>
        <w:pStyle w:val="09ParaBullet2"/>
      </w:pPr>
      <w:r w:rsidRPr="00B33AA4">
        <w:t>les montants, selon notre meilleure estimation, qui montrent comment le résultat net et le</w:t>
      </w:r>
      <w:r w:rsidR="00BE5964" w:rsidRPr="00B33AA4">
        <w:t xml:space="preserve"> résultat global </w:t>
      </w:r>
      <w:r w:rsidRPr="00B33AA4">
        <w:t xml:space="preserve">auraient été influencés par </w:t>
      </w:r>
      <w:r w:rsidR="00BE5964" w:rsidRPr="00B33AA4">
        <w:t>c</w:t>
      </w:r>
      <w:r w:rsidRPr="00B33AA4">
        <w:t xml:space="preserve">es changements des variables </w:t>
      </w:r>
      <w:r w:rsidR="00BE5964" w:rsidRPr="00B33AA4">
        <w:t xml:space="preserve">de risque </w:t>
      </w:r>
      <w:r w:rsidRPr="00B33AA4">
        <w:t>pertinentes</w:t>
      </w:r>
      <w:r w:rsidR="00805412" w:rsidRPr="00B33AA4">
        <w:t>.</w:t>
      </w:r>
    </w:p>
    <w:p w14:paraId="5721CA5F" w14:textId="2D952E63" w:rsidR="00805412" w:rsidRPr="00B33AA4" w:rsidRDefault="00284C63" w:rsidP="000E4CFF">
      <w:pPr>
        <w:pStyle w:val="09ParaBullet1"/>
      </w:pPr>
      <w:r w:rsidRPr="00B33AA4">
        <w:t>L</w:t>
      </w:r>
      <w:r w:rsidR="00865E23" w:rsidRPr="00B33AA4">
        <w:t>’</w:t>
      </w:r>
      <w:r w:rsidRPr="00B33AA4">
        <w:t>analyse d</w:t>
      </w:r>
      <w:r w:rsidR="002A1587">
        <w:t>u risque de</w:t>
      </w:r>
      <w:r w:rsidRPr="00B33AA4">
        <w:t xml:space="preserve"> liquidité fournie décrit les flux de trésorerie </w:t>
      </w:r>
      <w:r w:rsidR="00271428" w:rsidRPr="00B33AA4">
        <w:t xml:space="preserve">contractuels </w:t>
      </w:r>
      <w:r w:rsidRPr="00B33AA4">
        <w:t xml:space="preserve">des passifs financiers dérivés et non dérivés de </w:t>
      </w:r>
      <w:r w:rsidR="00EF4717" w:rsidRPr="00B33AA4">
        <w:t>[</w:t>
      </w:r>
      <w:r w:rsidR="00EF4717" w:rsidRPr="00B33AA4">
        <w:rPr>
          <w:color w:val="0000FF"/>
        </w:rPr>
        <w:t>Entit</w:t>
      </w:r>
      <w:r w:rsidR="0065206B" w:rsidRPr="00B33AA4">
        <w:rPr>
          <w:color w:val="0000FF"/>
        </w:rPr>
        <w:t>é</w:t>
      </w:r>
      <w:r w:rsidR="00EF4717" w:rsidRPr="00B33AA4">
        <w:t xml:space="preserve">] </w:t>
      </w:r>
      <w:r w:rsidR="0065206B" w:rsidRPr="00B33AA4">
        <w:t xml:space="preserve">et le montant brut des </w:t>
      </w:r>
      <w:r w:rsidR="00805412" w:rsidRPr="00B33AA4">
        <w:t>garant</w:t>
      </w:r>
      <w:r w:rsidR="0065206B" w:rsidRPr="00B33AA4">
        <w:t xml:space="preserve">ies financières </w:t>
      </w:r>
      <w:r w:rsidR="00C14D45" w:rsidRPr="00B33AA4">
        <w:t>[</w:t>
      </w:r>
      <w:r w:rsidR="00C14D45" w:rsidRPr="00B33AA4">
        <w:rPr>
          <w:color w:val="0000FF"/>
        </w:rPr>
        <w:t xml:space="preserve">qu’il </w:t>
      </w:r>
      <w:r w:rsidR="00C14D45" w:rsidRPr="00B33AA4">
        <w:rPr>
          <w:i/>
          <w:color w:val="0000FF"/>
        </w:rPr>
        <w:t>OU</w:t>
      </w:r>
      <w:r w:rsidR="00C14D45" w:rsidRPr="00B33AA4">
        <w:rPr>
          <w:color w:val="0000FF"/>
        </w:rPr>
        <w:t xml:space="preserve"> qu’elle</w:t>
      </w:r>
      <w:r w:rsidR="00C14D45" w:rsidRPr="00B33AA4">
        <w:t>]</w:t>
      </w:r>
      <w:r w:rsidR="0065206B" w:rsidRPr="00B33AA4">
        <w:t xml:space="preserve"> a octroyées</w:t>
      </w:r>
      <w:r w:rsidR="00805412" w:rsidRPr="00B33AA4">
        <w:t xml:space="preserve">. </w:t>
      </w:r>
      <w:r w:rsidR="0065206B" w:rsidRPr="00B33AA4">
        <w:t>Les flux de trésorerie</w:t>
      </w:r>
      <w:r w:rsidR="00C14D45" w:rsidRPr="00B33AA4">
        <w:t xml:space="preserve"> </w:t>
      </w:r>
      <w:r w:rsidR="0065206B" w:rsidRPr="00B33AA4">
        <w:t>futurs dont l</w:t>
      </w:r>
      <w:r w:rsidR="00865E23" w:rsidRPr="00B33AA4">
        <w:t>’</w:t>
      </w:r>
      <w:r w:rsidR="0065206B" w:rsidRPr="00B33AA4">
        <w:t xml:space="preserve">échéancier est incertain, </w:t>
      </w:r>
      <w:r w:rsidR="0005532E" w:rsidRPr="00B33AA4">
        <w:t xml:space="preserve">parce que la contrepartie </w:t>
      </w:r>
      <w:r w:rsidR="00A469DC" w:rsidRPr="00B33AA4">
        <w:t>a le choix de la date de paiement</w:t>
      </w:r>
      <w:r w:rsidR="0005532E" w:rsidRPr="00B33AA4">
        <w:t>, font partie de l</w:t>
      </w:r>
      <w:r w:rsidR="00865E23" w:rsidRPr="00B33AA4">
        <w:t>’</w:t>
      </w:r>
      <w:r w:rsidR="0005532E" w:rsidRPr="00B33AA4">
        <w:t>analyse des échéances</w:t>
      </w:r>
      <w:r w:rsidR="00E67E89" w:rsidRPr="00B33AA4">
        <w:t xml:space="preserve"> des flux de trésorerie, ceux-ci étant présentés en fonction de la</w:t>
      </w:r>
      <w:r w:rsidR="00644ACA">
        <w:t> </w:t>
      </w:r>
      <w:r w:rsidR="00E67E89" w:rsidRPr="00B33AA4">
        <w:t>date la plus proche à laquelle le paiement peut être requis</w:t>
      </w:r>
      <w:r w:rsidR="00805412" w:rsidRPr="00B33AA4">
        <w:t>.</w:t>
      </w:r>
    </w:p>
    <w:p w14:paraId="465D841D" w14:textId="77777777" w:rsidR="00805412" w:rsidRDefault="007F1A3D" w:rsidP="000E4CFF">
      <w:pPr>
        <w:pStyle w:val="09ParaBullet1"/>
      </w:pPr>
      <w:r w:rsidRPr="00B33AA4">
        <w:t xml:space="preserve">Les actifs détenus en garantie et les autres rehaussements de crédit obtenus par </w:t>
      </w:r>
      <w:r w:rsidR="00805412" w:rsidRPr="00B33AA4">
        <w:t>[</w:t>
      </w:r>
      <w:r w:rsidR="00805412" w:rsidRPr="00B33AA4">
        <w:rPr>
          <w:color w:val="0000FF"/>
        </w:rPr>
        <w:t>Entit</w:t>
      </w:r>
      <w:r w:rsidRPr="00B33AA4">
        <w:rPr>
          <w:color w:val="0000FF"/>
        </w:rPr>
        <w:t>é</w:t>
      </w:r>
      <w:r w:rsidR="00805412" w:rsidRPr="00B33AA4">
        <w:t xml:space="preserve">] </w:t>
      </w:r>
      <w:r w:rsidRPr="00B33AA4">
        <w:t xml:space="preserve">ont tous été présentés dans les états financiers </w:t>
      </w:r>
      <w:r w:rsidR="00805412" w:rsidRPr="00B33AA4">
        <w:t>[</w:t>
      </w:r>
      <w:r w:rsidR="00805412" w:rsidRPr="00B33AA4">
        <w:rPr>
          <w:color w:val="0000FF"/>
        </w:rPr>
        <w:t>consolid</w:t>
      </w:r>
      <w:r w:rsidRPr="00B33AA4">
        <w:rPr>
          <w:color w:val="0000FF"/>
        </w:rPr>
        <w:t>és</w:t>
      </w:r>
      <w:r w:rsidR="00805412" w:rsidRPr="00B33AA4">
        <w:t>]</w:t>
      </w:r>
      <w:r w:rsidRPr="00B33AA4">
        <w:t xml:space="preserve">, </w:t>
      </w:r>
      <w:r w:rsidR="00805412" w:rsidRPr="00B33AA4">
        <w:t>c</w:t>
      </w:r>
      <w:r w:rsidRPr="00B33AA4">
        <w:t>e qui comprend notre meilleure estimation de leurs justes valeurs</w:t>
      </w:r>
      <w:r w:rsidR="00805412" w:rsidRPr="00B33AA4">
        <w:t xml:space="preserve">. </w:t>
      </w:r>
      <w:r w:rsidRPr="00B33AA4">
        <w:t xml:space="preserve">Lorsque </w:t>
      </w:r>
      <w:r w:rsidR="00805412" w:rsidRPr="00B33AA4">
        <w:t>[</w:t>
      </w:r>
      <w:r w:rsidR="00805412" w:rsidRPr="00B33AA4">
        <w:rPr>
          <w:color w:val="0000FF"/>
        </w:rPr>
        <w:t>Entit</w:t>
      </w:r>
      <w:r w:rsidR="00271428" w:rsidRPr="00B33AA4">
        <w:rPr>
          <w:color w:val="0000FF"/>
        </w:rPr>
        <w:t>é</w:t>
      </w:r>
      <w:r w:rsidR="00805412" w:rsidRPr="00B33AA4">
        <w:t>] a</w:t>
      </w:r>
      <w:r w:rsidRPr="00B33AA4">
        <w:t xml:space="preserve"> comptabilisé des actifs financiers et des actifs non financiers à la suite de la prise de possession de biens reçus en garantie ou d</w:t>
      </w:r>
      <w:r w:rsidR="00865E23" w:rsidRPr="00B33AA4">
        <w:t>’</w:t>
      </w:r>
      <w:r w:rsidRPr="00B33AA4">
        <w:t>autres rehaussements de crédit</w:t>
      </w:r>
      <w:r w:rsidR="00805412" w:rsidRPr="00B33AA4">
        <w:t xml:space="preserve">, </w:t>
      </w:r>
      <w:r w:rsidR="00C14D45" w:rsidRPr="00B33AA4">
        <w:t>[</w:t>
      </w:r>
      <w:r w:rsidR="00C14D45" w:rsidRPr="00B33AA4">
        <w:rPr>
          <w:color w:val="0000FF"/>
        </w:rPr>
        <w:t xml:space="preserve">il </w:t>
      </w:r>
      <w:r w:rsidR="00C14D45" w:rsidRPr="00B33AA4">
        <w:rPr>
          <w:i/>
          <w:color w:val="0000FF"/>
        </w:rPr>
        <w:t>OU</w:t>
      </w:r>
      <w:r w:rsidR="00C14D45" w:rsidRPr="00B33AA4">
        <w:rPr>
          <w:color w:val="0000FF"/>
        </w:rPr>
        <w:t xml:space="preserve"> elle</w:t>
      </w:r>
      <w:r w:rsidR="00C14D45" w:rsidRPr="00B33AA4">
        <w:t>]</w:t>
      </w:r>
      <w:r w:rsidRPr="00B33AA4">
        <w:t xml:space="preserve"> a fourni des informations sur :</w:t>
      </w:r>
    </w:p>
    <w:p w14:paraId="0CA23211" w14:textId="3FF235CF" w:rsidR="00805412" w:rsidRPr="00B33AA4" w:rsidRDefault="007F1A3D" w:rsidP="004C5215">
      <w:pPr>
        <w:pStyle w:val="09ParaBullet1"/>
        <w:numPr>
          <w:ilvl w:val="0"/>
          <w:numId w:val="27"/>
        </w:numPr>
      </w:pPr>
      <w:r w:rsidRPr="00B33AA4">
        <w:t xml:space="preserve">la </w:t>
      </w:r>
      <w:r w:rsidR="00805412" w:rsidRPr="00B33AA4">
        <w:t xml:space="preserve">nature </w:t>
      </w:r>
      <w:r w:rsidRPr="00B33AA4">
        <w:t>et la valeur comptable des actifs obtenus</w:t>
      </w:r>
      <w:r w:rsidR="009D3150">
        <w:t>;</w:t>
      </w:r>
    </w:p>
    <w:p w14:paraId="45676E5F" w14:textId="77777777" w:rsidR="00805412" w:rsidRDefault="007F1A3D" w:rsidP="004C5215">
      <w:pPr>
        <w:pStyle w:val="09ParaBullet1"/>
        <w:numPr>
          <w:ilvl w:val="0"/>
          <w:numId w:val="27"/>
        </w:numPr>
      </w:pPr>
      <w:r w:rsidRPr="00B33AA4">
        <w:t>lorsque ces actifs ne sont pas immédiatement convertibles en trésorerie</w:t>
      </w:r>
      <w:r w:rsidR="00805412" w:rsidRPr="00B33AA4">
        <w:t>,</w:t>
      </w:r>
      <w:r w:rsidRPr="00B33AA4">
        <w:t xml:space="preserve"> sa politique sur leur cession ou utilisation dans le cadre de ses activités</w:t>
      </w:r>
      <w:r w:rsidR="00805412" w:rsidRPr="00B33AA4">
        <w:t>.</w:t>
      </w:r>
    </w:p>
    <w:p w14:paraId="454663A5" w14:textId="77777777" w:rsidR="00E61681" w:rsidRDefault="00E61681" w:rsidP="000E4CFF">
      <w:pPr>
        <w:pStyle w:val="09ParaBullet1"/>
        <w:numPr>
          <w:ilvl w:val="0"/>
          <w:numId w:val="0"/>
        </w:numPr>
        <w:ind w:left="360"/>
      </w:pPr>
      <w:bookmarkStart w:id="67" w:name="lt_pId745"/>
      <w:r w:rsidRPr="00871F3A">
        <w:t>Nous avons adéquatement divulgué notre exposition au risque de crédit et fourni les informations sur l’exposition au risque de crédit, conformément aux exigences de l’IFRS 7.</w:t>
      </w:r>
      <w:bookmarkEnd w:id="67"/>
    </w:p>
    <w:p w14:paraId="2C021532" w14:textId="77777777" w:rsidR="00FE2A9C" w:rsidRPr="00B33AA4" w:rsidRDefault="00FE2A9C" w:rsidP="00FE2A9C">
      <w:pPr>
        <w:pStyle w:val="Heading3"/>
      </w:pPr>
      <w:r w:rsidRPr="00B33AA4">
        <w:t>Passifs financiers comptabilisés selon l’IFRS 9</w:t>
      </w:r>
    </w:p>
    <w:p w14:paraId="342980A3" w14:textId="3C7D6859" w:rsidR="00FE2A9C" w:rsidRPr="00B33AA4" w:rsidRDefault="00FE2A9C" w:rsidP="00FE2A9C">
      <w:pPr>
        <w:pStyle w:val="09Para"/>
      </w:pPr>
      <w:r w:rsidRPr="00B33AA4">
        <w:t>[</w:t>
      </w:r>
      <w:r w:rsidRPr="00B33AA4">
        <w:rPr>
          <w:color w:val="0000FF"/>
        </w:rPr>
        <w:t>Entité</w:t>
      </w:r>
      <w:r w:rsidRPr="00B33AA4">
        <w:t>] a adéquatement comptabilisé les passifs financiers au moyen des deux classes d’évaluation : « évaluation à la juste valeur par le biais du résultat net » ou « évaluation au coût amorti ». Nous avons évalué tous les passifs financiers détenus à des fins de transaction à la juste valeur par le biais du résultat net. Nous avons évalué tous les autres passifs financiers au coût amorti sauf dans les cas où l’option d</w:t>
      </w:r>
      <w:r w:rsidR="001D46F3">
        <w:t>e juste valeur a été appliquée.</w:t>
      </w:r>
    </w:p>
    <w:p w14:paraId="3738C149" w14:textId="0CD1B24D" w:rsidR="00FE2A9C" w:rsidRPr="00B33AA4" w:rsidRDefault="00FE2A9C" w:rsidP="00FE2A9C">
      <w:pPr>
        <w:pStyle w:val="09Para"/>
      </w:pPr>
      <w:r w:rsidRPr="00B33AA4">
        <w:t>[</w:t>
      </w:r>
      <w:r w:rsidRPr="00B33AA4">
        <w:rPr>
          <w:color w:val="0000FF"/>
        </w:rPr>
        <w:t>Nous avons choisi, lors de la comptabilisation initiale, de désigner irrévocablement un passif financier comme étant évalué à la juste valeur par le biais du résultat net, lorsque cela aboutit à</w:t>
      </w:r>
      <w:r w:rsidR="006F3CFE">
        <w:rPr>
          <w:color w:val="0000FF"/>
        </w:rPr>
        <w:t> </w:t>
      </w:r>
      <w:r w:rsidRPr="00B33AA4">
        <w:rPr>
          <w:color w:val="0000FF"/>
        </w:rPr>
        <w:t>des informations d’une pertinence accrue du fait</w:t>
      </w:r>
      <w:r w:rsidRPr="00B33AA4">
        <w:t> :</w:t>
      </w:r>
    </w:p>
    <w:p w14:paraId="175BDFB8" w14:textId="77777777" w:rsidR="00FE2A9C" w:rsidRPr="00B33AA4" w:rsidRDefault="00FE2A9C" w:rsidP="000E4CFF">
      <w:pPr>
        <w:pStyle w:val="09ParaBullet1"/>
      </w:pPr>
      <w:r w:rsidRPr="00B33AA4">
        <w:t>soit que s’en trouve éliminée ou sensiblement réduite une incohérence dans l’évaluation ou la comptabilisation (parfois appelée « non-concordance comptable ») qui, autrement, découlerait de l’évaluation d’actifs ou de passifs ou de la comptabilisation des profits ou pertes sur ceux-ci sur des bases différentes;</w:t>
      </w:r>
    </w:p>
    <w:p w14:paraId="3AA25349" w14:textId="273FAE3E" w:rsidR="00FE2A9C" w:rsidRPr="00B33AA4" w:rsidRDefault="00FE2A9C" w:rsidP="000E4CFF">
      <w:pPr>
        <w:pStyle w:val="09ParaBullet1"/>
      </w:pPr>
      <w:r w:rsidRPr="00B33AA4">
        <w:lastRenderedPageBreak/>
        <w:t>soit que la gestion d’un groupe de passifs financiers (ou d’un groupe d’actifs financiers et de passifs financiers) et l’appréciation de sa performance sont effectuées sur la base de la juste valeur conformément à une stratégie de gestion des risques ou d’investissement établie par écrit, et que les informations sur le groupe sont fournies</w:t>
      </w:r>
      <w:r w:rsidR="00A9087F">
        <w:t> </w:t>
      </w:r>
      <w:r w:rsidRPr="00B33AA4">
        <w:t>en</w:t>
      </w:r>
      <w:r w:rsidR="00A9087F">
        <w:t> </w:t>
      </w:r>
      <w:r w:rsidRPr="00B33AA4">
        <w:t xml:space="preserve">interne sur cette base aux principaux dirigeants de </w:t>
      </w:r>
      <w:r w:rsidR="00931617" w:rsidRPr="00B33AA4">
        <w:t>[</w:t>
      </w:r>
      <w:r w:rsidR="00931617" w:rsidRPr="00B33AA4">
        <w:rPr>
          <w:color w:val="0000FF"/>
        </w:rPr>
        <w:t>Entité</w:t>
      </w:r>
      <w:r w:rsidR="00931617" w:rsidRPr="00B33AA4">
        <w:t>]</w:t>
      </w:r>
      <w:r w:rsidRPr="00B33AA4">
        <w:t>.]</w:t>
      </w:r>
    </w:p>
    <w:p w14:paraId="0061EF44" w14:textId="77777777" w:rsidR="00FE2A9C" w:rsidRPr="001D46F3" w:rsidRDefault="00FE2A9C" w:rsidP="00796BBE">
      <w:pPr>
        <w:pStyle w:val="Heading3"/>
        <w:rPr>
          <w:b w:val="0"/>
          <w:i/>
        </w:rPr>
      </w:pPr>
      <w:r w:rsidRPr="001D46F3">
        <w:rPr>
          <w:b w:val="0"/>
          <w:i/>
        </w:rPr>
        <w:t>Risque de crédit propre à l’entité</w:t>
      </w:r>
    </w:p>
    <w:p w14:paraId="4824ABB7" w14:textId="1743A755" w:rsidR="00FE2A9C" w:rsidRPr="00B33AA4" w:rsidRDefault="00FE2A9C" w:rsidP="00FE2A9C">
      <w:pPr>
        <w:pStyle w:val="09Para"/>
      </w:pPr>
      <w:r w:rsidRPr="00B33AA4">
        <w:t>À l’exception des engagements de prêt et des garanties financières, pour les passifs financiers désignés comme étant évalués à la juste valeur par le biais du résultat net en utilisant l’option de juste valeur, nous confirmons que les variations de la juste valeur qui découlent de variations du risque de crédit propre à l’entité sont présentées séparément dans les autres éléments du résultat global, tandis que les autres variations de la juste valeur sont présentées dans [</w:t>
      </w:r>
      <w:r w:rsidRPr="00B33AA4">
        <w:rPr>
          <w:color w:val="0000FF"/>
        </w:rPr>
        <w:t xml:space="preserve">l’état </w:t>
      </w:r>
      <w:r w:rsidR="00F96EBA" w:rsidRPr="00F96EBA">
        <w:t>[</w:t>
      </w:r>
      <w:r w:rsidR="00931617">
        <w:rPr>
          <w:color w:val="0000FF"/>
        </w:rPr>
        <w:t>consolidé</w:t>
      </w:r>
      <w:r w:rsidR="00F96EBA" w:rsidRPr="00F96EBA">
        <w:t>]</w:t>
      </w:r>
      <w:r w:rsidR="00931617">
        <w:rPr>
          <w:color w:val="0000FF"/>
        </w:rPr>
        <w:t xml:space="preserve"> </w:t>
      </w:r>
      <w:r w:rsidRPr="00B33AA4">
        <w:rPr>
          <w:color w:val="0000FF"/>
        </w:rPr>
        <w:t>des résultats</w:t>
      </w:r>
      <w:r w:rsidRPr="00B33AA4">
        <w:t>]. Nous confirmons que si la présentation des variations du risque de crédit propre à l’entité pour un passif financier dans les autres éléments du résultat global crée une non-concordance comptable au niveau du résultat net, ces variations de la juste valeur sont comptabilisées dans le résultat net. Nous confirmons que les montants des autres éléments du résultat global liés aux variations du risque de crédit propre à l’entité ne sont pas reclassés à [</w:t>
      </w:r>
      <w:r w:rsidRPr="00B33AA4">
        <w:rPr>
          <w:color w:val="0000FF"/>
        </w:rPr>
        <w:t>l’état</w:t>
      </w:r>
      <w:r w:rsidR="0013281A">
        <w:rPr>
          <w:color w:val="0000FF"/>
        </w:rPr>
        <w:t xml:space="preserve"> </w:t>
      </w:r>
      <w:r w:rsidR="00F96EBA" w:rsidRPr="00F96EBA">
        <w:t>[</w:t>
      </w:r>
      <w:r w:rsidR="0013281A">
        <w:rPr>
          <w:color w:val="0000FF"/>
        </w:rPr>
        <w:t>consolidé</w:t>
      </w:r>
      <w:r w:rsidR="00F96EBA" w:rsidRPr="00F96EBA">
        <w:t>]</w:t>
      </w:r>
      <w:r w:rsidRPr="00B33AA4">
        <w:rPr>
          <w:color w:val="0000FF"/>
        </w:rPr>
        <w:t xml:space="preserve"> des résultats</w:t>
      </w:r>
      <w:r w:rsidRPr="00B33AA4">
        <w:t xml:space="preserve">], même lorsque le passif est </w:t>
      </w:r>
      <w:proofErr w:type="spellStart"/>
      <w:r w:rsidRPr="00B33AA4">
        <w:t>décomptabilisé</w:t>
      </w:r>
      <w:proofErr w:type="spellEnd"/>
      <w:r w:rsidRPr="00B33AA4">
        <w:t xml:space="preserve"> et </w:t>
      </w:r>
      <w:r w:rsidR="001D46F3">
        <w:t>que les montants sont réalisés.</w:t>
      </w:r>
    </w:p>
    <w:p w14:paraId="41DC652C" w14:textId="77777777" w:rsidR="00FE2A9C" w:rsidRPr="001D46F3" w:rsidRDefault="00FE2A9C" w:rsidP="00FE2A9C">
      <w:pPr>
        <w:pStyle w:val="Heading3"/>
        <w:rPr>
          <w:b w:val="0"/>
          <w:i/>
        </w:rPr>
      </w:pPr>
      <w:proofErr w:type="spellStart"/>
      <w:r w:rsidRPr="001D46F3">
        <w:rPr>
          <w:b w:val="0"/>
          <w:i/>
        </w:rPr>
        <w:t>Décomptabilisation</w:t>
      </w:r>
      <w:proofErr w:type="spellEnd"/>
      <w:r w:rsidRPr="001D46F3">
        <w:rPr>
          <w:b w:val="0"/>
          <w:i/>
        </w:rPr>
        <w:t xml:space="preserve"> de passifs financiers</w:t>
      </w:r>
    </w:p>
    <w:p w14:paraId="3F221B1B" w14:textId="43AEB6BB" w:rsidR="00FE2A9C" w:rsidRPr="00B33AA4" w:rsidRDefault="00FE2A9C" w:rsidP="00FE2A9C">
      <w:pPr>
        <w:pStyle w:val="09Para"/>
      </w:pPr>
      <w:r w:rsidRPr="00B33AA4">
        <w:t>Nous avons sorti un passif financier [</w:t>
      </w:r>
      <w:r w:rsidRPr="00B33AA4">
        <w:rPr>
          <w:color w:val="0000FF"/>
        </w:rPr>
        <w:t>ou une partie de passif financier</w:t>
      </w:r>
      <w:r w:rsidRPr="00B33AA4">
        <w:t>] de</w:t>
      </w:r>
      <w:r w:rsidR="005D7E9F" w:rsidRPr="00B33AA4">
        <w:t xml:space="preserve"> </w:t>
      </w:r>
      <w:r w:rsidR="00D17C6D">
        <w:t>nos états financiers</w:t>
      </w:r>
      <w:r w:rsidR="005D7E9F">
        <w:t xml:space="preserve"> </w:t>
      </w:r>
      <w:r w:rsidRPr="00B33AA4">
        <w:t>[</w:t>
      </w:r>
      <w:r w:rsidRPr="00B33AA4">
        <w:rPr>
          <w:color w:val="0000FF"/>
        </w:rPr>
        <w:t>consolidé</w:t>
      </w:r>
      <w:r w:rsidR="003F7DA6">
        <w:rPr>
          <w:color w:val="0000FF"/>
        </w:rPr>
        <w:t>s</w:t>
      </w:r>
      <w:r w:rsidRPr="00B33AA4">
        <w:t>] uniquement lorsque ce passif est éteint, par exemple lorsque l’obligation précisée au contrat est exécutée, qu’elle est annulée ou qu’elle expire.</w:t>
      </w:r>
    </w:p>
    <w:p w14:paraId="1A76B7A6" w14:textId="77777777" w:rsidR="00FE2A9C" w:rsidRPr="00B33AA4" w:rsidRDefault="00FE2A9C" w:rsidP="00FE2A9C">
      <w:pPr>
        <w:pStyle w:val="09Para"/>
      </w:pPr>
      <w:r w:rsidRPr="00B33AA4">
        <w:t>Nous confirmons que la différence entre la valeur comptable d’un passif financier [</w:t>
      </w:r>
      <w:r w:rsidRPr="00B33AA4">
        <w:rPr>
          <w:color w:val="0000FF"/>
        </w:rPr>
        <w:t>ou d’une partie d’un passif financier</w:t>
      </w:r>
      <w:r w:rsidRPr="00B33AA4">
        <w:t>] éteint ou transféré à un tiers et la contrepartie payée, y compris, s’il y a lieu, les actifs hors trésorerie transférés et les passifs assumés, a été comptabilisée en résultat net.</w:t>
      </w:r>
    </w:p>
    <w:p w14:paraId="577010CD" w14:textId="77777777" w:rsidR="00FE2A9C" w:rsidRPr="001D46F3" w:rsidRDefault="00FE2A9C" w:rsidP="00FE2A9C">
      <w:pPr>
        <w:pStyle w:val="Heading3"/>
        <w:rPr>
          <w:b w:val="0"/>
          <w:i/>
        </w:rPr>
      </w:pPr>
      <w:r w:rsidRPr="001D46F3">
        <w:rPr>
          <w:b w:val="0"/>
          <w:i/>
        </w:rPr>
        <w:t>Modification de passifs financiers</w:t>
      </w:r>
    </w:p>
    <w:p w14:paraId="01417CD7" w14:textId="77777777" w:rsidR="00FE2A9C" w:rsidRPr="00B33AA4" w:rsidRDefault="00FE2A9C" w:rsidP="00796BBE">
      <w:pPr>
        <w:pStyle w:val="09Para"/>
      </w:pPr>
      <w:r w:rsidRPr="00B33AA4">
        <w:t>Pour les passifs financiers comptabilisés au coût amorti, nous avons communiqué toutes les modifications de passifs entre le même emprunteur et le même prêteur et évalué si elles sont assez importantes pour être comptabilisées comme une extinction. Lorsque la modification de passifs ne constitue pas une extinction, nous avons adéquatement recalculé le coût amorti des passifs et comptabilisé le gain ou la perte qui en découle en [</w:t>
      </w:r>
      <w:r w:rsidRPr="00B33AA4">
        <w:rPr>
          <w:color w:val="0000FF"/>
        </w:rPr>
        <w:t>résultat net</w:t>
      </w:r>
      <w:r w:rsidRPr="00B33AA4">
        <w:t>].</w:t>
      </w:r>
    </w:p>
    <w:p w14:paraId="485EFAF4" w14:textId="34E4248D" w:rsidR="00805412" w:rsidRPr="00B33AA4" w:rsidRDefault="005C1E5D" w:rsidP="008A7797">
      <w:pPr>
        <w:pStyle w:val="Heading3"/>
      </w:pPr>
      <w:r w:rsidRPr="00B33AA4">
        <w:t>Instruments financiers dérivés</w:t>
      </w:r>
    </w:p>
    <w:p w14:paraId="13655EED" w14:textId="0E6A66C0" w:rsidR="00805412" w:rsidRPr="00B33AA4" w:rsidRDefault="00805412" w:rsidP="008F2193">
      <w:pPr>
        <w:pStyle w:val="09Para"/>
      </w:pPr>
      <w:r w:rsidRPr="00B33AA4">
        <w:t>[</w:t>
      </w:r>
      <w:r w:rsidR="00D34A8A" w:rsidRPr="00B33AA4">
        <w:rPr>
          <w:i/>
          <w:color w:val="0000FF"/>
        </w:rPr>
        <w:t>Bien que la lettre d</w:t>
      </w:r>
      <w:r w:rsidR="00865E23" w:rsidRPr="00B33AA4">
        <w:rPr>
          <w:i/>
          <w:color w:val="0000FF"/>
        </w:rPr>
        <w:t>’</w:t>
      </w:r>
      <w:r w:rsidR="00D34A8A" w:rsidRPr="00B33AA4">
        <w:rPr>
          <w:i/>
          <w:color w:val="0000FF"/>
        </w:rPr>
        <w:t xml:space="preserve">affirmation soit </w:t>
      </w:r>
      <w:r w:rsidR="00466DF1" w:rsidRPr="00B33AA4">
        <w:rPr>
          <w:i/>
          <w:color w:val="0000FF"/>
        </w:rPr>
        <w:t>généralement</w:t>
      </w:r>
      <w:r w:rsidR="00D34A8A" w:rsidRPr="00B33AA4">
        <w:rPr>
          <w:i/>
          <w:color w:val="0000FF"/>
        </w:rPr>
        <w:t xml:space="preserve"> signée par les membres de la direction qui sont les principaux responsables de l</w:t>
      </w:r>
      <w:r w:rsidR="00865E23" w:rsidRPr="00B33AA4">
        <w:rPr>
          <w:i/>
          <w:color w:val="0000FF"/>
        </w:rPr>
        <w:t>’</w:t>
      </w:r>
      <w:r w:rsidR="00D34A8A" w:rsidRPr="00B33AA4">
        <w:rPr>
          <w:i/>
          <w:color w:val="0000FF"/>
        </w:rPr>
        <w:t xml:space="preserve">entité et de ses aspects financiers (habituellement, le </w:t>
      </w:r>
      <w:r w:rsidR="005424C7" w:rsidRPr="00764D50">
        <w:rPr>
          <w:i/>
          <w:color w:val="0000FF"/>
        </w:rPr>
        <w:t>directeur général</w:t>
      </w:r>
      <w:r w:rsidR="00D34A8A" w:rsidRPr="00764D50">
        <w:rPr>
          <w:i/>
          <w:color w:val="0000FF"/>
        </w:rPr>
        <w:t xml:space="preserve"> et le</w:t>
      </w:r>
      <w:r w:rsidR="005424C7" w:rsidRPr="00764D50">
        <w:rPr>
          <w:i/>
          <w:color w:val="0000FF"/>
        </w:rPr>
        <w:t xml:space="preserve"> directeur </w:t>
      </w:r>
      <w:r w:rsidR="00D34A8A" w:rsidRPr="00764D50">
        <w:rPr>
          <w:i/>
          <w:color w:val="0000FF"/>
        </w:rPr>
        <w:t>financ</w:t>
      </w:r>
      <w:r w:rsidR="005424C7" w:rsidRPr="00764D50">
        <w:rPr>
          <w:i/>
          <w:color w:val="0000FF"/>
        </w:rPr>
        <w:t>ier</w:t>
      </w:r>
      <w:r w:rsidR="00D34A8A" w:rsidRPr="00B33AA4">
        <w:rPr>
          <w:i/>
          <w:color w:val="0000FF"/>
        </w:rPr>
        <w:t>), l</w:t>
      </w:r>
      <w:r w:rsidR="00865E23" w:rsidRPr="00B33AA4">
        <w:rPr>
          <w:i/>
          <w:color w:val="0000FF"/>
        </w:rPr>
        <w:t>’</w:t>
      </w:r>
      <w:r w:rsidR="00D34A8A" w:rsidRPr="00B33AA4">
        <w:rPr>
          <w:i/>
          <w:color w:val="0000FF"/>
        </w:rPr>
        <w:t>auditeur peut vouloir obtenir des déclarations sur les activités liées aux instruments financiers dérivés des personnes qui sont responsables de ces activités au sein de l</w:t>
      </w:r>
      <w:r w:rsidR="00865E23" w:rsidRPr="00B33AA4">
        <w:rPr>
          <w:i/>
          <w:color w:val="0000FF"/>
        </w:rPr>
        <w:t>’</w:t>
      </w:r>
      <w:r w:rsidR="00D34A8A" w:rsidRPr="00B33AA4">
        <w:rPr>
          <w:i/>
          <w:color w:val="0000FF"/>
        </w:rPr>
        <w:t>entité</w:t>
      </w:r>
      <w:r w:rsidRPr="00B33AA4">
        <w:rPr>
          <w:i/>
          <w:color w:val="0000FF"/>
        </w:rPr>
        <w:t xml:space="preserve">. </w:t>
      </w:r>
      <w:r w:rsidR="00D34A8A" w:rsidRPr="00B33AA4">
        <w:rPr>
          <w:i/>
          <w:color w:val="0000FF"/>
        </w:rPr>
        <w:t xml:space="preserve">Selon le volume et la complexité des activités sur </w:t>
      </w:r>
      <w:r w:rsidR="00BE5964" w:rsidRPr="00B33AA4">
        <w:rPr>
          <w:i/>
          <w:color w:val="0000FF"/>
        </w:rPr>
        <w:t xml:space="preserve">des </w:t>
      </w:r>
      <w:r w:rsidR="00D34A8A" w:rsidRPr="00B33AA4">
        <w:rPr>
          <w:i/>
          <w:color w:val="0000FF"/>
        </w:rPr>
        <w:t>instruments financiers dérivés, les déclarations de la direction pourraient comprendre ce qui suit</w:t>
      </w:r>
      <w:r w:rsidR="00714BDA" w:rsidRPr="00B33AA4">
        <w:rPr>
          <w:i/>
          <w:color w:val="0000FF"/>
        </w:rPr>
        <w:t> </w:t>
      </w:r>
      <w:r w:rsidRPr="00B33AA4">
        <w:rPr>
          <w:i/>
          <w:color w:val="0000FF"/>
        </w:rPr>
        <w:t>:</w:t>
      </w:r>
    </w:p>
    <w:p w14:paraId="32F76717" w14:textId="538308CD" w:rsidR="009415B5" w:rsidRDefault="00D34A8A" w:rsidP="008F2193">
      <w:pPr>
        <w:pStyle w:val="09Para"/>
      </w:pPr>
      <w:r w:rsidRPr="00B33AA4">
        <w:lastRenderedPageBreak/>
        <w:t xml:space="preserve">En ce qui concerne les instruments financiers dérivés, nous confirmons que nos objectifs sont </w:t>
      </w:r>
      <w:r w:rsidR="00EF4717" w:rsidRPr="00B33AA4">
        <w:t>[</w:t>
      </w:r>
      <w:r w:rsidRPr="00B33AA4">
        <w:rPr>
          <w:i/>
          <w:color w:val="0000FF"/>
        </w:rPr>
        <w:t>décrire les objectifs</w:t>
      </w:r>
      <w:r w:rsidR="00BB7F06" w:rsidRPr="00B33AA4">
        <w:rPr>
          <w:i/>
          <w:color w:val="0000FF"/>
        </w:rPr>
        <w:t>,</w:t>
      </w:r>
      <w:r w:rsidRPr="00B33AA4">
        <w:rPr>
          <w:i/>
          <w:color w:val="0000FF"/>
        </w:rPr>
        <w:t xml:space="preserve"> par exemple, si les instruments financiers sont utilisés à des fins de couverture ou de spéculation</w:t>
      </w:r>
      <w:r w:rsidR="001D46F3">
        <w:t>].</w:t>
      </w:r>
    </w:p>
    <w:p w14:paraId="3C0F6763" w14:textId="76F7C3C9" w:rsidR="00E61681" w:rsidRPr="006E247A" w:rsidRDefault="00D6586C" w:rsidP="003E3357">
      <w:pPr>
        <w:pStyle w:val="09Para"/>
        <w:rPr>
          <w:rFonts w:cs="Arial"/>
        </w:rPr>
      </w:pPr>
      <w:r w:rsidRPr="00E10E28">
        <w:rPr>
          <w:rStyle w:val="BlueText"/>
          <w:rFonts w:cs="Arial"/>
          <w:color w:val="auto"/>
        </w:rPr>
        <w:t>[</w:t>
      </w:r>
      <w:r w:rsidR="00E61681" w:rsidRPr="00DB6AB2">
        <w:rPr>
          <w:rStyle w:val="BlueText"/>
          <w:rFonts w:cs="Arial"/>
        </w:rPr>
        <w:t>Entit</w:t>
      </w:r>
      <w:r w:rsidRPr="00DB6AB2">
        <w:rPr>
          <w:rStyle w:val="BlueText"/>
          <w:rFonts w:cs="Arial"/>
        </w:rPr>
        <w:t>é</w:t>
      </w:r>
      <w:r w:rsidR="00E61681" w:rsidRPr="00DB6AB2">
        <w:rPr>
          <w:rFonts w:cs="Arial"/>
          <w:snapToGrid w:val="0"/>
        </w:rPr>
        <w:t>]</w:t>
      </w:r>
      <w:r w:rsidR="00E61681" w:rsidRPr="00DB6AB2">
        <w:rPr>
          <w:rFonts w:cs="Arial"/>
        </w:rPr>
        <w:t xml:space="preserve"> </w:t>
      </w:r>
      <w:r w:rsidR="00DB6AB2" w:rsidRPr="00DB6AB2">
        <w:rPr>
          <w:rFonts w:cs="Arial"/>
        </w:rPr>
        <w:t>a correctement identifié tous les contrats financiers et non financiers qui répondent à la</w:t>
      </w:r>
      <w:r w:rsidR="00193F32">
        <w:rPr>
          <w:rFonts w:cs="Arial"/>
        </w:rPr>
        <w:t> </w:t>
      </w:r>
      <w:r w:rsidR="00DB6AB2" w:rsidRPr="00DB6AB2">
        <w:rPr>
          <w:rFonts w:cs="Arial"/>
        </w:rPr>
        <w:t>définition d’un instrument dérivé au sens de l’</w:t>
      </w:r>
      <w:r w:rsidR="00E61681" w:rsidRPr="00DB6AB2">
        <w:rPr>
          <w:rFonts w:cs="Arial"/>
        </w:rPr>
        <w:t>IFRS</w:t>
      </w:r>
      <w:r w:rsidR="003E3357">
        <w:rPr>
          <w:rFonts w:cs="Arial"/>
        </w:rPr>
        <w:t> </w:t>
      </w:r>
      <w:r w:rsidR="00E61681" w:rsidRPr="00DB6AB2">
        <w:rPr>
          <w:rFonts w:cs="Arial"/>
        </w:rPr>
        <w:t xml:space="preserve">9 </w:t>
      </w:r>
      <w:r w:rsidR="00DB6AB2" w:rsidRPr="00DB6AB2">
        <w:rPr>
          <w:rFonts w:cs="Arial"/>
        </w:rPr>
        <w:t xml:space="preserve">pour l’exercice clos le </w:t>
      </w:r>
      <w:r w:rsidR="00E61681" w:rsidRPr="00DB6AB2">
        <w:rPr>
          <w:rFonts w:cs="Arial"/>
        </w:rPr>
        <w:t>[</w:t>
      </w:r>
      <w:r w:rsidR="00DB6AB2" w:rsidRPr="00DB6AB2">
        <w:rPr>
          <w:rStyle w:val="BlueText"/>
        </w:rPr>
        <w:t>date de clôture applicable</w:t>
      </w:r>
      <w:r w:rsidR="00F96EBA" w:rsidRPr="00F96EBA">
        <w:rPr>
          <w:rStyle w:val="BlueText"/>
          <w:color w:val="auto"/>
        </w:rPr>
        <w:t>]</w:t>
      </w:r>
      <w:r w:rsidR="00E61681" w:rsidRPr="00DB6AB2">
        <w:rPr>
          <w:rFonts w:cs="Arial"/>
        </w:rPr>
        <w:t xml:space="preserve">. </w:t>
      </w:r>
      <w:bookmarkStart w:id="68" w:name="lt_pId769"/>
      <w:r w:rsidR="00E61681" w:rsidRPr="00871F3A">
        <w:rPr>
          <w:rFonts w:cs="Arial"/>
          <w:snapToGrid w:val="0"/>
        </w:rPr>
        <w:t>[</w:t>
      </w:r>
      <w:r w:rsidR="00DB6AB2" w:rsidRPr="00DB6AB2">
        <w:rPr>
          <w:rStyle w:val="BlueText"/>
          <w:rFonts w:cs="Arial"/>
        </w:rPr>
        <w:t>Entité</w:t>
      </w:r>
      <w:r w:rsidR="00E61681" w:rsidRPr="00871F3A">
        <w:rPr>
          <w:rFonts w:cs="Arial"/>
          <w:snapToGrid w:val="0"/>
        </w:rPr>
        <w:t xml:space="preserve">] a enregistré adéquatement les dérivés à la juste valeur, </w:t>
      </w:r>
      <w:r w:rsidR="00E748B2">
        <w:rPr>
          <w:rFonts w:cs="Arial"/>
          <w:snapToGrid w:val="0"/>
        </w:rPr>
        <w:t xml:space="preserve">en </w:t>
      </w:r>
      <w:r w:rsidR="00E61681" w:rsidRPr="00871F3A">
        <w:rPr>
          <w:rFonts w:cs="Arial"/>
          <w:snapToGrid w:val="0"/>
        </w:rPr>
        <w:t>comptabilisa</w:t>
      </w:r>
      <w:r w:rsidR="00E748B2">
        <w:rPr>
          <w:rFonts w:cs="Arial"/>
          <w:snapToGrid w:val="0"/>
        </w:rPr>
        <w:t>nt</w:t>
      </w:r>
      <w:r w:rsidR="00E61681" w:rsidRPr="00871F3A">
        <w:rPr>
          <w:rFonts w:cs="Arial"/>
          <w:snapToGrid w:val="0"/>
        </w:rPr>
        <w:t xml:space="preserve"> </w:t>
      </w:r>
      <w:r w:rsidR="00E748B2">
        <w:rPr>
          <w:rFonts w:cs="Arial"/>
          <w:snapToGrid w:val="0"/>
        </w:rPr>
        <w:t>l</w:t>
      </w:r>
      <w:r w:rsidR="00E61681" w:rsidRPr="00871F3A">
        <w:rPr>
          <w:rFonts w:cs="Arial"/>
          <w:snapToGrid w:val="0"/>
        </w:rPr>
        <w:t>es variations en résultat net.</w:t>
      </w:r>
      <w:bookmarkEnd w:id="68"/>
      <w:r w:rsidR="00E61681" w:rsidRPr="00DB6AB2">
        <w:rPr>
          <w:rFonts w:cs="Arial"/>
        </w:rPr>
        <w:t xml:space="preserve"> </w:t>
      </w:r>
      <w:bookmarkStart w:id="69" w:name="lt_pId770"/>
      <w:r w:rsidR="00E61681" w:rsidRPr="00871F3A">
        <w:rPr>
          <w:rFonts w:cs="Arial"/>
          <w:snapToGrid w:val="0"/>
        </w:rPr>
        <w:t>[</w:t>
      </w:r>
      <w:r w:rsidR="00DB6AB2" w:rsidRPr="00DB6AB2">
        <w:rPr>
          <w:rStyle w:val="BlueText"/>
          <w:rFonts w:cs="Arial"/>
        </w:rPr>
        <w:t>Entité</w:t>
      </w:r>
      <w:r w:rsidR="00E61681" w:rsidRPr="00871F3A">
        <w:rPr>
          <w:rFonts w:cs="Arial"/>
          <w:snapToGrid w:val="0"/>
        </w:rPr>
        <w:t>] a également identifié adéquatement tous les dérivés incorporés faisant partie d’autres contrats non dérivés et déterminé si ces dérivés incorporés devaient être comptabilisés séparément conformément aux dispositions de l’IFRS 9.</w:t>
      </w:r>
      <w:bookmarkEnd w:id="69"/>
    </w:p>
    <w:p w14:paraId="5E1BDC14" w14:textId="2073430F" w:rsidR="003E3357" w:rsidRPr="006E247A" w:rsidRDefault="003E3357" w:rsidP="003E3357">
      <w:pPr>
        <w:pStyle w:val="09Para"/>
        <w:rPr>
          <w:rFonts w:cs="Arial"/>
        </w:rPr>
      </w:pPr>
      <w:bookmarkStart w:id="70" w:name="lt_pId771"/>
      <w:r w:rsidRPr="00871F3A">
        <w:rPr>
          <w:rFonts w:cs="Arial"/>
          <w:snapToGrid w:val="0"/>
        </w:rPr>
        <w:t>[</w:t>
      </w:r>
      <w:r w:rsidRPr="00E748B2">
        <w:rPr>
          <w:rStyle w:val="BlueText"/>
          <w:rFonts w:cs="Arial"/>
        </w:rPr>
        <w:t>Entité</w:t>
      </w:r>
      <w:r w:rsidRPr="00871F3A">
        <w:rPr>
          <w:rFonts w:cs="Arial"/>
          <w:snapToGrid w:val="0"/>
        </w:rPr>
        <w:t>] a comptabilisé, et inscrit à la juste valeur, tous les instruments dérivés incorporés qu’il</w:t>
      </w:r>
      <w:r>
        <w:rPr>
          <w:rFonts w:cs="Arial"/>
          <w:snapToGrid w:val="0"/>
        </w:rPr>
        <w:t> </w:t>
      </w:r>
      <w:r w:rsidRPr="00871F3A">
        <w:rPr>
          <w:rFonts w:cs="Arial"/>
          <w:snapToGrid w:val="0"/>
        </w:rPr>
        <w:t xml:space="preserve">fallait séparer du contrat hôte conformément aux dispositions de </w:t>
      </w:r>
      <w:bookmarkStart w:id="71" w:name="lt_pId772"/>
      <w:bookmarkEnd w:id="70"/>
      <w:r w:rsidRPr="0075594D">
        <w:rPr>
          <w:rStyle w:val="BlueText"/>
          <w:color w:val="auto"/>
        </w:rPr>
        <w:t>l’IFRS</w:t>
      </w:r>
      <w:r>
        <w:rPr>
          <w:rStyle w:val="BlueText"/>
          <w:color w:val="auto"/>
        </w:rPr>
        <w:t> </w:t>
      </w:r>
      <w:r w:rsidRPr="0075594D">
        <w:rPr>
          <w:rStyle w:val="BlueText"/>
          <w:color w:val="auto"/>
        </w:rPr>
        <w:t>9, Instruments financiers</w:t>
      </w:r>
      <w:r w:rsidRPr="00D66C9A">
        <w:rPr>
          <w:rStyle w:val="BlueText"/>
          <w:color w:val="auto"/>
        </w:rPr>
        <w:t>, chapitre</w:t>
      </w:r>
      <w:r>
        <w:rPr>
          <w:rStyle w:val="BlueText"/>
          <w:color w:val="auto"/>
        </w:rPr>
        <w:t> 4</w:t>
      </w:r>
      <w:r w:rsidRPr="00D66C9A">
        <w:rPr>
          <w:rStyle w:val="BlueText"/>
          <w:color w:val="auto"/>
        </w:rPr>
        <w:t xml:space="preserve"> :</w:t>
      </w:r>
      <w:bookmarkEnd w:id="71"/>
      <w:r w:rsidRPr="00D66C9A">
        <w:rPr>
          <w:rStyle w:val="BlueText"/>
          <w:color w:val="auto"/>
        </w:rPr>
        <w:t xml:space="preserve"> </w:t>
      </w:r>
      <w:bookmarkStart w:id="72" w:name="lt_pId773"/>
      <w:r w:rsidRPr="00D66C9A">
        <w:rPr>
          <w:rStyle w:val="BlueText"/>
          <w:color w:val="auto"/>
        </w:rPr>
        <w:t xml:space="preserve">Classement, 4.3 – Dérivés incorporés pour </w:t>
      </w:r>
      <w:r>
        <w:rPr>
          <w:rStyle w:val="BlueText"/>
          <w:color w:val="auto"/>
        </w:rPr>
        <w:t>l’exercice clos</w:t>
      </w:r>
      <w:r w:rsidRPr="00D66C9A">
        <w:rPr>
          <w:rStyle w:val="BlueText"/>
          <w:color w:val="auto"/>
        </w:rPr>
        <w:t xml:space="preserve"> </w:t>
      </w:r>
      <w:r w:rsidRPr="0075594D">
        <w:rPr>
          <w:rStyle w:val="BlueText"/>
          <w:color w:val="auto"/>
        </w:rPr>
        <w:t xml:space="preserve">le </w:t>
      </w:r>
      <w:r w:rsidRPr="00F96EBA">
        <w:rPr>
          <w:rStyle w:val="BlueText"/>
          <w:color w:val="auto"/>
        </w:rPr>
        <w:t>[</w:t>
      </w:r>
      <w:r w:rsidRPr="0075594D">
        <w:rPr>
          <w:rStyle w:val="BlueText"/>
        </w:rPr>
        <w:t>insérer la</w:t>
      </w:r>
      <w:r>
        <w:rPr>
          <w:rStyle w:val="BlueText"/>
        </w:rPr>
        <w:t> </w:t>
      </w:r>
      <w:r w:rsidRPr="00764D50">
        <w:rPr>
          <w:rStyle w:val="BlueText"/>
        </w:rPr>
        <w:t>date de clôture applicable</w:t>
      </w:r>
      <w:r w:rsidRPr="00764D50">
        <w:rPr>
          <w:rFonts w:cs="Arial"/>
        </w:rPr>
        <w:t>].</w:t>
      </w:r>
      <w:bookmarkEnd w:id="72"/>
    </w:p>
    <w:p w14:paraId="2824F039" w14:textId="77777777" w:rsidR="003E3357" w:rsidRDefault="00E61681" w:rsidP="003E3357">
      <w:pPr>
        <w:pStyle w:val="09Para"/>
        <w:rPr>
          <w:rFonts w:cs="Arial"/>
        </w:rPr>
      </w:pPr>
      <w:bookmarkStart w:id="73" w:name="lt_pId774"/>
      <w:r w:rsidRPr="0088764B">
        <w:rPr>
          <w:rFonts w:cs="Arial"/>
          <w:snapToGrid w:val="0"/>
        </w:rPr>
        <w:t>[</w:t>
      </w:r>
      <w:r w:rsidRPr="0088764B">
        <w:rPr>
          <w:rStyle w:val="BlueText"/>
          <w:rFonts w:cs="Arial"/>
        </w:rPr>
        <w:t>Entit</w:t>
      </w:r>
      <w:r w:rsidR="002D12D7">
        <w:rPr>
          <w:rStyle w:val="BlueText"/>
          <w:rFonts w:cs="Arial"/>
        </w:rPr>
        <w:t>é</w:t>
      </w:r>
      <w:r w:rsidRPr="0088764B">
        <w:rPr>
          <w:rFonts w:cs="Arial"/>
          <w:snapToGrid w:val="0"/>
        </w:rPr>
        <w:t>]</w:t>
      </w:r>
      <w:r w:rsidR="00540AE4">
        <w:rPr>
          <w:rFonts w:cs="Arial"/>
        </w:rPr>
        <w:t xml:space="preserve"> a comptabilisé et inscrit à la juste valeur tous les instruments dérivés non financiers qui</w:t>
      </w:r>
      <w:r w:rsidR="009D74D0">
        <w:rPr>
          <w:rFonts w:cs="Arial"/>
        </w:rPr>
        <w:t> </w:t>
      </w:r>
      <w:r w:rsidR="00540AE4">
        <w:rPr>
          <w:rFonts w:cs="Arial"/>
        </w:rPr>
        <w:t xml:space="preserve">entrent dans le </w:t>
      </w:r>
      <w:bookmarkEnd w:id="73"/>
      <w:r w:rsidR="003E3357">
        <w:rPr>
          <w:rFonts w:cs="Arial"/>
        </w:rPr>
        <w:t xml:space="preserve">champ </w:t>
      </w:r>
      <w:r w:rsidR="003E3357" w:rsidRPr="007B0024">
        <w:rPr>
          <w:rFonts w:cs="Arial"/>
        </w:rPr>
        <w:t>d’application de l’</w:t>
      </w:r>
      <w:r w:rsidR="003E3357" w:rsidRPr="0075594D">
        <w:rPr>
          <w:rStyle w:val="BlueText"/>
          <w:color w:val="auto"/>
        </w:rPr>
        <w:t>IFRS 9</w:t>
      </w:r>
      <w:r w:rsidR="003E3357" w:rsidRPr="007B0024">
        <w:rPr>
          <w:rFonts w:cs="Arial"/>
        </w:rPr>
        <w:t>.</w:t>
      </w:r>
    </w:p>
    <w:p w14:paraId="5EBE1468" w14:textId="0481D1A5" w:rsidR="00805412" w:rsidRPr="00B33AA4" w:rsidRDefault="00D34A8A" w:rsidP="003E3357">
      <w:pPr>
        <w:pStyle w:val="09Para"/>
      </w:pPr>
      <w:r w:rsidRPr="00B33AA4">
        <w:t xml:space="preserve">Nous confirmons </w:t>
      </w:r>
      <w:r w:rsidR="00C718A9">
        <w:t xml:space="preserve">que </w:t>
      </w:r>
      <w:r w:rsidRPr="00B33AA4">
        <w:t xml:space="preserve">nos documents comptables font état de toutes les </w:t>
      </w:r>
      <w:r w:rsidR="002D537E" w:rsidRPr="00B33AA4">
        <w:t>opérations</w:t>
      </w:r>
      <w:r w:rsidRPr="00B33AA4">
        <w:t xml:space="preserve"> sur des instruments financiers dérivés</w:t>
      </w:r>
      <w:r w:rsidR="00B7704F" w:rsidRPr="00B33AA4">
        <w:t xml:space="preserve">, </w:t>
      </w:r>
      <w:r w:rsidR="00BD5254" w:rsidRPr="00B33AA4">
        <w:t xml:space="preserve">y compris </w:t>
      </w:r>
      <w:r w:rsidR="00B7704F" w:rsidRPr="00B33AA4">
        <w:t xml:space="preserve">celles portant sur des </w:t>
      </w:r>
      <w:r w:rsidR="00BD5254" w:rsidRPr="00B33AA4">
        <w:t xml:space="preserve">instruments </w:t>
      </w:r>
      <w:r w:rsidR="00B7704F" w:rsidRPr="00B33AA4">
        <w:t>dérivés incorporés</w:t>
      </w:r>
      <w:r w:rsidRPr="00B33AA4">
        <w:t xml:space="preserve"> </w:t>
      </w:r>
      <w:r w:rsidR="00B7704F" w:rsidRPr="00B33AA4">
        <w:t>et des instruments dérivés non financiers</w:t>
      </w:r>
      <w:r w:rsidR="00C718A9">
        <w:t>.</w:t>
      </w:r>
    </w:p>
    <w:p w14:paraId="434BE9F5" w14:textId="2DE2D5AF" w:rsidR="00C718A9" w:rsidRDefault="00D34A8A" w:rsidP="008F2193">
      <w:pPr>
        <w:pStyle w:val="09Para"/>
      </w:pPr>
      <w:r w:rsidRPr="00B33AA4">
        <w:t xml:space="preserve">Toutes les </w:t>
      </w:r>
      <w:r w:rsidR="002D537E" w:rsidRPr="00B33AA4">
        <w:t>opérations</w:t>
      </w:r>
      <w:r w:rsidRPr="00B33AA4">
        <w:t xml:space="preserve"> sur</w:t>
      </w:r>
      <w:r w:rsidR="00DA1F3C" w:rsidRPr="00B33AA4">
        <w:t xml:space="preserve"> des</w:t>
      </w:r>
      <w:r w:rsidRPr="00B33AA4">
        <w:t xml:space="preserve"> instruments</w:t>
      </w:r>
      <w:r w:rsidR="00A469DC" w:rsidRPr="00B33AA4">
        <w:t xml:space="preserve"> </w:t>
      </w:r>
      <w:r w:rsidRPr="00B33AA4">
        <w:t>financiers dérivés ont été conclues à la juste valeur, dans des conditions de concurrence</w:t>
      </w:r>
      <w:r w:rsidR="00DA1F3C" w:rsidRPr="00B33AA4">
        <w:t xml:space="preserve"> normale</w:t>
      </w:r>
      <w:r w:rsidR="00805412" w:rsidRPr="00B33AA4">
        <w:t>.</w:t>
      </w:r>
    </w:p>
    <w:p w14:paraId="0CBABB37" w14:textId="23B09E1E" w:rsidR="00805412" w:rsidRPr="00B33AA4" w:rsidRDefault="00D34A8A" w:rsidP="008F2193">
      <w:pPr>
        <w:pStyle w:val="09Para"/>
      </w:pPr>
      <w:r w:rsidRPr="00B33AA4">
        <w:t xml:space="preserve">Nous vous avons communiqué les modalités des </w:t>
      </w:r>
      <w:r w:rsidR="002D537E" w:rsidRPr="00B33AA4">
        <w:t>opérations</w:t>
      </w:r>
      <w:r w:rsidRPr="00B33AA4">
        <w:t xml:space="preserve"> sur </w:t>
      </w:r>
      <w:r w:rsidRPr="00540AE4">
        <w:t xml:space="preserve">instruments financiers dérivés </w:t>
      </w:r>
      <w:r w:rsidR="00805412" w:rsidRPr="00540AE4">
        <w:t>[</w:t>
      </w:r>
      <w:r w:rsidRPr="00540AE4">
        <w:rPr>
          <w:i/>
          <w:color w:val="0000FF"/>
        </w:rPr>
        <w:t xml:space="preserve">envisager de décrire les conditions relatives aux </w:t>
      </w:r>
      <w:r w:rsidR="002D537E" w:rsidRPr="00540AE4">
        <w:rPr>
          <w:i/>
          <w:color w:val="0000FF"/>
        </w:rPr>
        <w:t>opérations</w:t>
      </w:r>
      <w:r w:rsidRPr="00540AE4">
        <w:rPr>
          <w:i/>
          <w:color w:val="0000FF"/>
        </w:rPr>
        <w:t xml:space="preserve"> individuelles</w:t>
      </w:r>
      <w:r w:rsidR="00805412" w:rsidRPr="00540AE4">
        <w:t>].</w:t>
      </w:r>
      <w:r w:rsidR="00C718A9" w:rsidRPr="00540AE4">
        <w:t xml:space="preserve"> </w:t>
      </w:r>
      <w:bookmarkStart w:id="74" w:name="lt_pId778"/>
      <w:r w:rsidR="00C718A9" w:rsidRPr="00871F3A">
        <w:t>Les états financiers [</w:t>
      </w:r>
      <w:r w:rsidR="00C718A9" w:rsidRPr="00871F3A">
        <w:rPr>
          <w:rStyle w:val="BlueText"/>
          <w:rFonts w:cs="Arial"/>
        </w:rPr>
        <w:t>consolidés</w:t>
      </w:r>
      <w:r w:rsidR="00C718A9" w:rsidRPr="00871F3A">
        <w:t>] présentent toutes les conditions importantes, selon l’IFRS 7, Instruments financiers :</w:t>
      </w:r>
      <w:bookmarkEnd w:id="74"/>
      <w:r w:rsidR="00C718A9" w:rsidRPr="00764D50">
        <w:t xml:space="preserve"> </w:t>
      </w:r>
      <w:r w:rsidR="00C718A9" w:rsidRPr="00871F3A">
        <w:t>Informations à fournir, relatives à tous les contrats dérivés ouverts à la date de</w:t>
      </w:r>
      <w:r w:rsidR="00193F32">
        <w:t> </w:t>
      </w:r>
      <w:r w:rsidR="00540AE4">
        <w:t xml:space="preserve">clôture. </w:t>
      </w:r>
    </w:p>
    <w:p w14:paraId="72ACEF37" w14:textId="77777777" w:rsidR="00805412" w:rsidRPr="00B33AA4" w:rsidRDefault="00D34A8A" w:rsidP="008F2193">
      <w:pPr>
        <w:pStyle w:val="09Para"/>
      </w:pPr>
      <w:r w:rsidRPr="00B33AA4">
        <w:t>Il n</w:t>
      </w:r>
      <w:r w:rsidR="00865E23" w:rsidRPr="00B33AA4">
        <w:t>’</w:t>
      </w:r>
      <w:r w:rsidRPr="00B33AA4">
        <w:t xml:space="preserve">y a pas </w:t>
      </w:r>
      <w:r w:rsidR="00BD5254" w:rsidRPr="00B33AA4">
        <w:t>d’</w:t>
      </w:r>
      <w:r w:rsidR="00DA1F3C" w:rsidRPr="00B33AA4">
        <w:t xml:space="preserve">accords parallèles </w:t>
      </w:r>
      <w:r w:rsidRPr="00B33AA4">
        <w:t xml:space="preserve">liés </w:t>
      </w:r>
      <w:r w:rsidR="00BE5964" w:rsidRPr="00B33AA4">
        <w:t xml:space="preserve">aux </w:t>
      </w:r>
      <w:r w:rsidRPr="00B33AA4">
        <w:t>instruments financiers dérivés</w:t>
      </w:r>
      <w:r w:rsidR="00D824A7" w:rsidRPr="00B33AA4">
        <w:t>, sauf</w:t>
      </w:r>
      <w:r w:rsidRPr="00B33AA4">
        <w:t xml:space="preserve"> </w:t>
      </w:r>
      <w:r w:rsidR="00805412" w:rsidRPr="00B33AA4">
        <w:t>[</w:t>
      </w:r>
      <w:r w:rsidR="00642181" w:rsidRPr="00B33AA4">
        <w:rPr>
          <w:i/>
          <w:color w:val="0000FF"/>
        </w:rPr>
        <w:t>décrire les circonstances particulières</w:t>
      </w:r>
      <w:r w:rsidR="00805412" w:rsidRPr="00B33AA4">
        <w:t>].</w:t>
      </w:r>
    </w:p>
    <w:p w14:paraId="6F6200B2" w14:textId="77777777" w:rsidR="00805412" w:rsidRPr="00B33AA4" w:rsidRDefault="009415B5" w:rsidP="008F2193">
      <w:pPr>
        <w:pStyle w:val="09Para"/>
      </w:pPr>
      <w:r w:rsidRPr="00B33AA4">
        <w:t>[</w:t>
      </w:r>
      <w:r w:rsidRPr="00B33AA4">
        <w:rPr>
          <w:color w:val="0000FF"/>
        </w:rPr>
        <w:t>E</w:t>
      </w:r>
      <w:r w:rsidR="00805412" w:rsidRPr="00B33AA4">
        <w:rPr>
          <w:color w:val="0000FF"/>
        </w:rPr>
        <w:t>ntit</w:t>
      </w:r>
      <w:r w:rsidR="00642181" w:rsidRPr="00B33AA4">
        <w:rPr>
          <w:color w:val="0000FF"/>
        </w:rPr>
        <w:t>é</w:t>
      </w:r>
      <w:r w:rsidRPr="00B33AA4">
        <w:t>]</w:t>
      </w:r>
      <w:r w:rsidR="00715E28" w:rsidRPr="00B33AA4">
        <w:t xml:space="preserve"> </w:t>
      </w:r>
      <w:r w:rsidR="00DA1F3C" w:rsidRPr="00B33AA4">
        <w:t xml:space="preserve">a </w:t>
      </w:r>
      <w:r w:rsidR="00642181" w:rsidRPr="00B33AA4">
        <w:t>conclu les options de vente suivantes</w:t>
      </w:r>
      <w:r w:rsidR="00605C59" w:rsidRPr="00B33AA4">
        <w:t> :</w:t>
      </w:r>
      <w:r w:rsidR="00805412" w:rsidRPr="00B33AA4">
        <w:t xml:space="preserve"> </w:t>
      </w:r>
      <w:r w:rsidR="00642181" w:rsidRPr="00B33AA4">
        <w:t>[</w:t>
      </w:r>
      <w:r w:rsidR="00715E28" w:rsidRPr="00B33AA4">
        <w:rPr>
          <w:i/>
          <w:color w:val="0000FF"/>
        </w:rPr>
        <w:t>f</w:t>
      </w:r>
      <w:r w:rsidR="00642181" w:rsidRPr="00B33AA4">
        <w:rPr>
          <w:i/>
          <w:color w:val="0000FF"/>
        </w:rPr>
        <w:t>ournir une description</w:t>
      </w:r>
      <w:r w:rsidR="00805412" w:rsidRPr="00B33AA4">
        <w:t>]. [</w:t>
      </w:r>
      <w:r w:rsidR="00642181" w:rsidRPr="00B33AA4">
        <w:rPr>
          <w:i/>
          <w:color w:val="0000FF"/>
        </w:rPr>
        <w:t>Supprimer cette déclaration si elle ne s</w:t>
      </w:r>
      <w:r w:rsidR="00865E23" w:rsidRPr="00B33AA4">
        <w:rPr>
          <w:i/>
          <w:color w:val="0000FF"/>
        </w:rPr>
        <w:t>’</w:t>
      </w:r>
      <w:r w:rsidR="00642181" w:rsidRPr="00B33AA4">
        <w:rPr>
          <w:i/>
          <w:color w:val="0000FF"/>
        </w:rPr>
        <w:t>applique pas</w:t>
      </w:r>
      <w:r w:rsidR="00BE5964" w:rsidRPr="00B33AA4">
        <w:t>].</w:t>
      </w:r>
    </w:p>
    <w:p w14:paraId="1DC1A646" w14:textId="179F86AD" w:rsidR="00805412" w:rsidRPr="00B33AA4" w:rsidRDefault="0073586F" w:rsidP="000655B2">
      <w:pPr>
        <w:pStyle w:val="Heading3"/>
      </w:pPr>
      <w:r>
        <w:t>Couverture</w:t>
      </w:r>
    </w:p>
    <w:p w14:paraId="16F5A6AC" w14:textId="3A3B129C" w:rsidR="00805412" w:rsidRPr="00B33AA4" w:rsidRDefault="00193F32" w:rsidP="008F2193">
      <w:pPr>
        <w:pStyle w:val="09Para"/>
      </w:pPr>
      <w:r w:rsidRPr="00B33AA4">
        <w:t xml:space="preserve">Nous avons tenu des registres à jour sur les couvertures qui respectent entièrement les exigences en matière de documentation </w:t>
      </w:r>
      <w:r w:rsidRPr="008C6E23">
        <w:t>du chapitre 6 : Comptabilité de couverture, de l’IFRS 9, Instruments financiers</w:t>
      </w:r>
    </w:p>
    <w:p w14:paraId="6907E3FB" w14:textId="058645BE" w:rsidR="00805412" w:rsidRPr="00B33AA4" w:rsidRDefault="00515998" w:rsidP="008F2193">
      <w:pPr>
        <w:pStyle w:val="09Para"/>
      </w:pPr>
      <w:r w:rsidRPr="00B33AA4">
        <w:t>Au moment de la transaction couverte</w:t>
      </w:r>
      <w:r w:rsidR="004C0C87">
        <w:t xml:space="preserve"> [</w:t>
      </w:r>
      <w:r w:rsidR="004C0C87">
        <w:rPr>
          <w:color w:val="0000FF"/>
        </w:rPr>
        <w:t>OU d</w:t>
      </w:r>
      <w:r w:rsidR="004C0C87" w:rsidRPr="00C55C35">
        <w:rPr>
          <w:color w:val="0000FF"/>
        </w:rPr>
        <w:t>es transactions couvertes</w:t>
      </w:r>
      <w:r w:rsidR="004C0C87">
        <w:t>]</w:t>
      </w:r>
      <w:r w:rsidRPr="00B33AA4">
        <w:t xml:space="preserve">, </w:t>
      </w:r>
      <w:r w:rsidR="0077790D" w:rsidRPr="00B33AA4">
        <w:t xml:space="preserve">nous avons identifié, pour toutes les </w:t>
      </w:r>
      <w:r w:rsidR="002D537E" w:rsidRPr="00B33AA4">
        <w:t>opérations</w:t>
      </w:r>
      <w:r w:rsidR="00DA1F3C" w:rsidRPr="00B33AA4">
        <w:t xml:space="preserve"> </w:t>
      </w:r>
      <w:r w:rsidR="0077790D" w:rsidRPr="00B33AA4">
        <w:t xml:space="preserve">qui </w:t>
      </w:r>
      <w:r w:rsidR="00DA1F3C" w:rsidRPr="00B33AA4">
        <w:t xml:space="preserve">remplissent les </w:t>
      </w:r>
      <w:r w:rsidR="0077790D" w:rsidRPr="00B33AA4">
        <w:t>conditions requises pour la comptabilité de couverture et pour lesquelles la comptabilité de couverture a été appliquée</w:t>
      </w:r>
      <w:r w:rsidR="00805412" w:rsidRPr="00B33AA4">
        <w:t xml:space="preserve">, </w:t>
      </w:r>
      <w:r w:rsidR="000A5C47" w:rsidRPr="00B33AA4">
        <w:t>les relations de couverture entr</w:t>
      </w:r>
      <w:r w:rsidR="00271428" w:rsidRPr="00B33AA4">
        <w:t xml:space="preserve">e </w:t>
      </w:r>
      <w:r w:rsidR="000A5C47" w:rsidRPr="00B33AA4">
        <w:t>les dérivés et les éléments couverts [</w:t>
      </w:r>
      <w:r w:rsidR="00C14D45" w:rsidRPr="00B33AA4">
        <w:rPr>
          <w:i/>
          <w:color w:val="0000FF"/>
        </w:rPr>
        <w:t>OU</w:t>
      </w:r>
      <w:r w:rsidR="00C14D45" w:rsidRPr="00B33AA4">
        <w:rPr>
          <w:color w:val="0000FF"/>
        </w:rPr>
        <w:t xml:space="preserve"> </w:t>
      </w:r>
      <w:r w:rsidR="000A5C47" w:rsidRPr="00B33AA4">
        <w:rPr>
          <w:color w:val="0000FF"/>
        </w:rPr>
        <w:t>opérations</w:t>
      </w:r>
      <w:r w:rsidR="00441745" w:rsidRPr="00B33AA4">
        <w:rPr>
          <w:color w:val="0000FF"/>
        </w:rPr>
        <w:t xml:space="preserve"> couvertes</w:t>
      </w:r>
      <w:r w:rsidR="000A5C47" w:rsidRPr="00B33AA4">
        <w:t xml:space="preserve">], nous avons </w:t>
      </w:r>
      <w:r w:rsidR="00271428" w:rsidRPr="00B33AA4">
        <w:t>établi</w:t>
      </w:r>
      <w:r w:rsidR="000A5C47" w:rsidRPr="00B33AA4">
        <w:t xml:space="preserve"> les liens pertinents et les avons documentées.</w:t>
      </w:r>
    </w:p>
    <w:p w14:paraId="6ECFF731" w14:textId="1A815AC0" w:rsidR="00913F07" w:rsidRPr="00B33AA4" w:rsidRDefault="00E22832" w:rsidP="00913F07">
      <w:pPr>
        <w:pStyle w:val="09Para"/>
      </w:pPr>
      <w:r>
        <w:t>N</w:t>
      </w:r>
      <w:r w:rsidR="00BD7880" w:rsidRPr="00B33AA4">
        <w:t>o</w:t>
      </w:r>
      <w:r w:rsidR="00913F07" w:rsidRPr="00B33AA4">
        <w:t xml:space="preserve">us avons évalué officiellement, et à l’origine de la couverture et de façon continue, l’efficacité de l’instrument dérivé à compenser l’exposition aux variations de juste valeur ou de flux de </w:t>
      </w:r>
      <w:r w:rsidR="00913F07" w:rsidRPr="00B33AA4">
        <w:lastRenderedPageBreak/>
        <w:t>trésorerie conformément aux trois contraintes d’efficacité de la couverture selon</w:t>
      </w:r>
      <w:r w:rsidR="00BD7880" w:rsidRPr="00B33AA4">
        <w:t xml:space="preserve"> le</w:t>
      </w:r>
      <w:r w:rsidR="00913F07" w:rsidRPr="00B33AA4">
        <w:t xml:space="preserve"> </w:t>
      </w:r>
      <w:r w:rsidR="00C55C35">
        <w:t>chapitre </w:t>
      </w:r>
      <w:r w:rsidR="00BD7880" w:rsidRPr="00D17C6D">
        <w:t>6 : Compta</w:t>
      </w:r>
      <w:r w:rsidR="00C55C35">
        <w:t>bilité de couverture, de l’IFRS </w:t>
      </w:r>
      <w:r w:rsidR="00BD7880" w:rsidRPr="00D17C6D">
        <w:t>9, Instruments financiers</w:t>
      </w:r>
      <w:r w:rsidR="00913F07" w:rsidRPr="00B33AA4">
        <w:t>. Nous sommes d’avis que toutes les opérations qui sont actuellement comptabilisées en tant que couvertures sont efficaces et le resteront durant toute la période pour laquell</w:t>
      </w:r>
      <w:r w:rsidR="001D46F3">
        <w:t>e la couverture a été désignée.</w:t>
      </w:r>
    </w:p>
    <w:p w14:paraId="3B4B1181" w14:textId="77777777" w:rsidR="00913F07" w:rsidRPr="00B33AA4" w:rsidRDefault="00913F07" w:rsidP="00913F07">
      <w:pPr>
        <w:pStyle w:val="09Para"/>
      </w:pPr>
      <w:r w:rsidRPr="00B33AA4">
        <w:t>Après avoir évalué l’échéance attendue des opérations prévues couvertes, nous sommes d’avis que ces opérations se réaliseront probablement au cours de l’exercice [</w:t>
      </w:r>
      <w:r w:rsidRPr="00B33AA4">
        <w:rPr>
          <w:i/>
          <w:color w:val="0000FF"/>
        </w:rPr>
        <w:t>OU</w:t>
      </w:r>
      <w:r w:rsidRPr="00B33AA4">
        <w:rPr>
          <w:color w:val="0000FF"/>
        </w:rPr>
        <w:t xml:space="preserve"> des exercices</w:t>
      </w:r>
      <w:r w:rsidRPr="00B33AA4">
        <w:t>] inscrit[</w:t>
      </w:r>
      <w:r w:rsidRPr="00B33AA4">
        <w:rPr>
          <w:color w:val="0000FF"/>
        </w:rPr>
        <w:t>s</w:t>
      </w:r>
      <w:r w:rsidRPr="00B33AA4">
        <w:t>] dans les documents de couverture.</w:t>
      </w:r>
    </w:p>
    <w:p w14:paraId="660FCFB7" w14:textId="566B9162" w:rsidR="00913F07" w:rsidRPr="00B33AA4" w:rsidRDefault="00E22832" w:rsidP="00913F07">
      <w:pPr>
        <w:pStyle w:val="09Para"/>
      </w:pPr>
      <w:r>
        <w:t>N</w:t>
      </w:r>
      <w:r w:rsidR="00913F07" w:rsidRPr="00B33AA4">
        <w:t>ous avons appliqué les directives sur la cessation de la comptabilité de couverture d</w:t>
      </w:r>
      <w:r w:rsidR="00CD7791" w:rsidRPr="00B33AA4">
        <w:t>u chapitre</w:t>
      </w:r>
      <w:r w:rsidR="004C0C87">
        <w:t> </w:t>
      </w:r>
      <w:r w:rsidR="00CD7791" w:rsidRPr="00B33AA4">
        <w:t xml:space="preserve">6 : </w:t>
      </w:r>
      <w:r w:rsidR="004C0C87">
        <w:t>C</w:t>
      </w:r>
      <w:r w:rsidR="00CD7791" w:rsidRPr="00B33AA4">
        <w:t>ompta</w:t>
      </w:r>
      <w:r w:rsidR="00C55C35">
        <w:t>bilité de couverture, de l’IFRS </w:t>
      </w:r>
      <w:r w:rsidR="00CD7791" w:rsidRPr="00B33AA4">
        <w:t>9, Instruments financiers</w:t>
      </w:r>
      <w:r w:rsidR="00913F07" w:rsidRPr="00B33AA4">
        <w:t>, pour toutes les couvertures qui ne satisfont plus aux critères applicables pour la comptabilité de couverture ou</w:t>
      </w:r>
      <w:r w:rsidR="006C7604">
        <w:t> </w:t>
      </w:r>
      <w:r w:rsidR="00913F07" w:rsidRPr="00B33AA4">
        <w:t>pour lesquelles nos objectifs en matière de gestion des risques ont changé au cours de l’exercice considéré ou des exercices antérieurs.</w:t>
      </w:r>
    </w:p>
    <w:p w14:paraId="07A08875" w14:textId="6BC826E8" w:rsidR="00CD7791" w:rsidRPr="00D17C6D" w:rsidRDefault="00CD7791" w:rsidP="00CD7791">
      <w:pPr>
        <w:pStyle w:val="LetterCommentsinBodyPwC"/>
        <w:rPr>
          <w:rFonts w:ascii="Arial" w:hAnsi="Arial" w:cs="Times New Roman"/>
          <w:i/>
          <w:color w:val="auto"/>
          <w:sz w:val="22"/>
          <w:szCs w:val="22"/>
          <w:lang w:val="fr-CA"/>
        </w:rPr>
      </w:pPr>
      <w:r w:rsidRPr="00D17C6D">
        <w:rPr>
          <w:rFonts w:ascii="Arial" w:hAnsi="Arial" w:cs="Times New Roman"/>
          <w:i/>
          <w:color w:val="auto"/>
          <w:sz w:val="22"/>
          <w:szCs w:val="22"/>
          <w:lang w:val="fr-CA"/>
        </w:rPr>
        <w:t>[</w:t>
      </w:r>
      <w:r w:rsidRPr="00D17C6D">
        <w:rPr>
          <w:rFonts w:ascii="Arial" w:hAnsi="Arial" w:cs="Times New Roman"/>
          <w:i/>
          <w:color w:val="0000FF"/>
          <w:sz w:val="22"/>
          <w:szCs w:val="22"/>
          <w:lang w:val="fr-CA"/>
        </w:rPr>
        <w:t>Les trois paragraphes ci-après s’appliquent uniquement à l’exercice comptabilisé selon l’IFRS 9</w:t>
      </w:r>
      <w:r w:rsidR="00E22832">
        <w:rPr>
          <w:rFonts w:ascii="Arial" w:hAnsi="Arial" w:cs="Times New Roman"/>
          <w:i/>
          <w:color w:val="auto"/>
          <w:sz w:val="22"/>
          <w:szCs w:val="22"/>
          <w:lang w:val="fr-CA"/>
        </w:rPr>
        <w:t>.</w:t>
      </w:r>
    </w:p>
    <w:p w14:paraId="6E22E62B" w14:textId="77777777" w:rsidR="00913F07" w:rsidRPr="00B33AA4" w:rsidRDefault="00913F07" w:rsidP="00871F3A">
      <w:pPr>
        <w:pStyle w:val="09Para"/>
      </w:pPr>
      <w:r w:rsidRPr="00B33AA4">
        <w:t>Nous avons documenté une stratégie et un objectif en matière de gestion des risques pour nos relations de couverture et, s’il y a lieu, rééquilibré les relations de couverture conformément aux exigences de l’IFRS 9.</w:t>
      </w:r>
    </w:p>
    <w:p w14:paraId="4BE4F329" w14:textId="77777777" w:rsidR="00913F07" w:rsidRPr="00B33AA4" w:rsidRDefault="00913F07" w:rsidP="00871F3A">
      <w:pPr>
        <w:pStyle w:val="09Para"/>
      </w:pPr>
      <w:r w:rsidRPr="00B33AA4">
        <w:t xml:space="preserve">Nous avons comptabilisé adéquatement les coûts de couverture, y compris la valeur de temps des options, les éléments de report et les </w:t>
      </w:r>
      <w:proofErr w:type="spellStart"/>
      <w:r w:rsidRPr="00B33AA4">
        <w:rPr>
          <w:i/>
        </w:rPr>
        <w:t>foreign</w:t>
      </w:r>
      <w:proofErr w:type="spellEnd"/>
      <w:r w:rsidRPr="00B33AA4">
        <w:rPr>
          <w:i/>
        </w:rPr>
        <w:t xml:space="preserve"> </w:t>
      </w:r>
      <w:proofErr w:type="spellStart"/>
      <w:r w:rsidRPr="00B33AA4">
        <w:rPr>
          <w:i/>
        </w:rPr>
        <w:t>currency</w:t>
      </w:r>
      <w:proofErr w:type="spellEnd"/>
      <w:r w:rsidRPr="00B33AA4">
        <w:rPr>
          <w:i/>
        </w:rPr>
        <w:t xml:space="preserve"> basis spreads</w:t>
      </w:r>
      <w:r w:rsidRPr="00B33AA4">
        <w:t xml:space="preserve"> conformément à l’IFRS 9.</w:t>
      </w:r>
    </w:p>
    <w:p w14:paraId="29514955" w14:textId="65297FB6" w:rsidR="00913F07" w:rsidRPr="00B33AA4" w:rsidRDefault="00913F07" w:rsidP="00871F3A">
      <w:pPr>
        <w:pStyle w:val="09Para"/>
      </w:pPr>
      <w:r w:rsidRPr="00B33AA4">
        <w:t>Lorsque nous avons désigné les composantes de risque d’éléments de couverture, nous avons déterminé que celles-ci satisfont aux exigences selon lesquelles ces composantes sont isolables et peuvent être évaluées de façon fiable.</w:t>
      </w:r>
      <w:r w:rsidR="00E22832">
        <w:t>]</w:t>
      </w:r>
    </w:p>
    <w:p w14:paraId="2E7708C3" w14:textId="21C0A301" w:rsidR="00805412" w:rsidRPr="00B33AA4" w:rsidRDefault="00805412" w:rsidP="000655B2">
      <w:pPr>
        <w:pStyle w:val="Heading3"/>
      </w:pPr>
      <w:r w:rsidRPr="00B33AA4">
        <w:t>Consolidations</w:t>
      </w:r>
      <w:r w:rsidR="00847A58">
        <w:t xml:space="preserve"> </w:t>
      </w:r>
      <w:r w:rsidRPr="00B33AA4">
        <w:t>/</w:t>
      </w:r>
      <w:r w:rsidR="00847A58">
        <w:t xml:space="preserve"> </w:t>
      </w:r>
      <w:r w:rsidR="00515998" w:rsidRPr="00B33AA4">
        <w:t>I</w:t>
      </w:r>
      <w:r w:rsidR="00DC6ED0" w:rsidRPr="00B33AA4">
        <w:t>ntérêts détenus dans d</w:t>
      </w:r>
      <w:r w:rsidR="00865E23" w:rsidRPr="00B33AA4">
        <w:t>’</w:t>
      </w:r>
      <w:r w:rsidR="00DC6ED0" w:rsidRPr="00B33AA4">
        <w:t>autres entités</w:t>
      </w:r>
      <w:r w:rsidR="00847A58">
        <w:t xml:space="preserve"> </w:t>
      </w:r>
      <w:r w:rsidR="002F5960" w:rsidRPr="00B33AA4">
        <w:t>/</w:t>
      </w:r>
      <w:r w:rsidR="00847A58">
        <w:t xml:space="preserve"> </w:t>
      </w:r>
      <w:r w:rsidR="00DC6ED0" w:rsidRPr="00B33AA4">
        <w:t>des partenariats</w:t>
      </w:r>
      <w:r w:rsidR="00847A58">
        <w:t xml:space="preserve"> </w:t>
      </w:r>
      <w:r w:rsidR="00EC7EA2">
        <w:t>/</w:t>
      </w:r>
      <w:r w:rsidR="00847A58">
        <w:t xml:space="preserve"> </w:t>
      </w:r>
      <w:r w:rsidR="00EC7EA2">
        <w:t>méthode de la mise en équivalence</w:t>
      </w:r>
    </w:p>
    <w:p w14:paraId="2797F43D" w14:textId="77777777" w:rsidR="00805412" w:rsidRPr="00B33AA4" w:rsidRDefault="00C119D8" w:rsidP="008F2193">
      <w:pPr>
        <w:pStyle w:val="09Para"/>
      </w:pPr>
      <w:r w:rsidRPr="00B33AA4">
        <w:t xml:space="preserve">Nous vous avons communiqué </w:t>
      </w:r>
      <w:r w:rsidR="00EE2689" w:rsidRPr="00B33AA4">
        <w:t>toutes les filiales ou entreprises associées, tous les partenariats et tous les intérêts ou participations détenus dans d</w:t>
      </w:r>
      <w:r w:rsidR="00865E23" w:rsidRPr="00B33AA4">
        <w:t>’</w:t>
      </w:r>
      <w:r w:rsidR="00EE2689" w:rsidRPr="00B33AA4">
        <w:t>autres entités qui ont été acquis ou créés au cours de l</w:t>
      </w:r>
      <w:r w:rsidR="00865E23" w:rsidRPr="00B33AA4">
        <w:t>’</w:t>
      </w:r>
      <w:r w:rsidR="00EE2689" w:rsidRPr="00B33AA4">
        <w:t>exercice.</w:t>
      </w:r>
    </w:p>
    <w:p w14:paraId="0B818202" w14:textId="77777777" w:rsidR="00515998" w:rsidRPr="00B33AA4" w:rsidRDefault="00515998" w:rsidP="00515998">
      <w:pPr>
        <w:pStyle w:val="09Para"/>
      </w:pPr>
      <w:r w:rsidRPr="00B33AA4">
        <w:t>Nous vous avons communiqué toutes les modalités contractuelles des partenariats, y compris les lettres parallèles qui ont fait partie des contrats avec les partenariats ou avec d’autres parties à un partenariat.</w:t>
      </w:r>
    </w:p>
    <w:p w14:paraId="026542E6" w14:textId="6FE3E427" w:rsidR="00515998" w:rsidRPr="00B33AA4" w:rsidRDefault="00515998" w:rsidP="00515998">
      <w:pPr>
        <w:pStyle w:val="09Para"/>
      </w:pPr>
      <w:r w:rsidRPr="00B33AA4">
        <w:t xml:space="preserve">Nous vous avons communiqué tous les autres </w:t>
      </w:r>
      <w:r w:rsidRPr="00B33AA4">
        <w:rPr>
          <w:color w:val="000000"/>
        </w:rPr>
        <w:t>faits et circonstances qui sont pertinents</w:t>
      </w:r>
      <w:r w:rsidRPr="00B33AA4">
        <w:t xml:space="preserve"> pour l’acquisition d’une compréhension des </w:t>
      </w:r>
      <w:r w:rsidRPr="00B33AA4">
        <w:rPr>
          <w:color w:val="000000"/>
        </w:rPr>
        <w:t xml:space="preserve">droits de </w:t>
      </w:r>
      <w:r w:rsidRPr="00B33AA4">
        <w:t>[</w:t>
      </w:r>
      <w:r w:rsidRPr="00B33AA4">
        <w:rPr>
          <w:color w:val="0000FF"/>
        </w:rPr>
        <w:t>Entité</w:t>
      </w:r>
      <w:r w:rsidRPr="00B33AA4">
        <w:t>]</w:t>
      </w:r>
      <w:r w:rsidRPr="00B33AA4">
        <w:rPr>
          <w:color w:val="000000"/>
        </w:rPr>
        <w:t xml:space="preserve"> sur les éléments d’actifs et de ses obligations au titre des éléments de passif d</w:t>
      </w:r>
      <w:r w:rsidR="00540AE4">
        <w:rPr>
          <w:color w:val="000000"/>
        </w:rPr>
        <w:t>es</w:t>
      </w:r>
      <w:r w:rsidRPr="00B33AA4">
        <w:rPr>
          <w:color w:val="000000"/>
        </w:rPr>
        <w:t xml:space="preserve"> partenariat</w:t>
      </w:r>
      <w:r w:rsidR="00540AE4">
        <w:rPr>
          <w:color w:val="000000"/>
        </w:rPr>
        <w:t>s</w:t>
      </w:r>
      <w:r w:rsidRPr="00B33AA4">
        <w:rPr>
          <w:color w:val="000000"/>
        </w:rPr>
        <w:t>.</w:t>
      </w:r>
    </w:p>
    <w:p w14:paraId="01C41F91" w14:textId="79FC7A3B" w:rsidR="002F5960" w:rsidRPr="00B33AA4" w:rsidRDefault="00515998" w:rsidP="008F2193">
      <w:pPr>
        <w:pStyle w:val="09Para"/>
      </w:pPr>
      <w:r w:rsidRPr="00B33AA4">
        <w:t>Nous avons fourni dans les états financiers</w:t>
      </w:r>
      <w:r w:rsidR="00E22832">
        <w:t xml:space="preserve"> consolidés</w:t>
      </w:r>
      <w:r w:rsidRPr="00B33AA4">
        <w:t xml:space="preserve"> toutes les informations requises aux termes de l’IFRS 12, Intérêts détenus dans d’autres entités pour permettre aux utilisateurs de</w:t>
      </w:r>
      <w:r w:rsidR="00193F32">
        <w:t> </w:t>
      </w:r>
      <w:r w:rsidRPr="00B33AA4">
        <w:t>comprendre la nature, les risques et les effets financiers des intérêts dans des filiales et partenariats de [</w:t>
      </w:r>
      <w:r w:rsidRPr="00B33AA4">
        <w:rPr>
          <w:color w:val="0000FF"/>
        </w:rPr>
        <w:t>Entité</w:t>
      </w:r>
      <w:r w:rsidRPr="00B33AA4">
        <w:t>], ainsi que la nature et l’évolution des risques associés à ces intérêts.</w:t>
      </w:r>
    </w:p>
    <w:p w14:paraId="5BFB9F05" w14:textId="77777777" w:rsidR="002F5960" w:rsidRPr="00B33AA4" w:rsidRDefault="00AD3B30" w:rsidP="008F2193">
      <w:pPr>
        <w:pStyle w:val="09Para"/>
      </w:pPr>
      <w:r w:rsidRPr="00B33AA4">
        <w:lastRenderedPageBreak/>
        <w:t xml:space="preserve">Nous avons fourni des informations adéquates sur les hypothèses et jugements importants qui ont servi à déterminer si </w:t>
      </w:r>
      <w:r w:rsidR="002F5960" w:rsidRPr="00B33AA4">
        <w:t>[</w:t>
      </w:r>
      <w:r w:rsidR="00DC2CAE" w:rsidRPr="00B33AA4">
        <w:rPr>
          <w:color w:val="0000FF"/>
        </w:rPr>
        <w:t>Entit</w:t>
      </w:r>
      <w:r w:rsidRPr="00B33AA4">
        <w:rPr>
          <w:color w:val="0000FF"/>
        </w:rPr>
        <w:t>é</w:t>
      </w:r>
      <w:r w:rsidR="002F5960" w:rsidRPr="00B33AA4">
        <w:t>] contr</w:t>
      </w:r>
      <w:r w:rsidRPr="00B33AA4">
        <w:t xml:space="preserve">ôle </w:t>
      </w:r>
      <w:r w:rsidR="00FE1955" w:rsidRPr="00B33AA4">
        <w:t xml:space="preserve">une autre entité, </w:t>
      </w:r>
      <w:r w:rsidR="00C14D45" w:rsidRPr="00B33AA4">
        <w:t>[</w:t>
      </w:r>
      <w:r w:rsidR="00C14D45" w:rsidRPr="00B33AA4">
        <w:rPr>
          <w:color w:val="0000FF"/>
        </w:rPr>
        <w:t xml:space="preserve">s’il </w:t>
      </w:r>
      <w:r w:rsidR="00C14D45" w:rsidRPr="00B33AA4">
        <w:rPr>
          <w:i/>
          <w:color w:val="0000FF"/>
        </w:rPr>
        <w:t>OU</w:t>
      </w:r>
      <w:r w:rsidR="00C14D45" w:rsidRPr="00B33AA4">
        <w:rPr>
          <w:color w:val="0000FF"/>
        </w:rPr>
        <w:t xml:space="preserve"> si elle</w:t>
      </w:r>
      <w:r w:rsidR="00C14D45" w:rsidRPr="00B33AA4">
        <w:t xml:space="preserve">] </w:t>
      </w:r>
      <w:r w:rsidR="00FE1955" w:rsidRPr="00B33AA4">
        <w:t xml:space="preserve">exerce un contrôle conjoint ou une influence notable </w:t>
      </w:r>
      <w:r w:rsidR="00441745" w:rsidRPr="00B33AA4">
        <w:t xml:space="preserve">sur une autre entité, </w:t>
      </w:r>
      <w:r w:rsidR="00FE1955" w:rsidRPr="00B33AA4">
        <w:t xml:space="preserve">ou </w:t>
      </w:r>
      <w:r w:rsidR="00C14D45" w:rsidRPr="00B33AA4">
        <w:t>[</w:t>
      </w:r>
      <w:r w:rsidR="00C14D45" w:rsidRPr="00B33AA4">
        <w:rPr>
          <w:color w:val="0000FF"/>
        </w:rPr>
        <w:t xml:space="preserve">s’il </w:t>
      </w:r>
      <w:r w:rsidR="00C14D45" w:rsidRPr="00B33AA4">
        <w:rPr>
          <w:i/>
          <w:color w:val="0000FF"/>
        </w:rPr>
        <w:t>OU</w:t>
      </w:r>
      <w:r w:rsidR="00C14D45" w:rsidRPr="00B33AA4">
        <w:rPr>
          <w:color w:val="0000FF"/>
        </w:rPr>
        <w:t xml:space="preserve"> si elle</w:t>
      </w:r>
      <w:r w:rsidR="00C14D45" w:rsidRPr="00B33AA4">
        <w:t xml:space="preserve">] </w:t>
      </w:r>
      <w:r w:rsidR="00FE1955" w:rsidRPr="00B33AA4">
        <w:t>détient des intérêts dans d</w:t>
      </w:r>
      <w:r w:rsidR="00865E23" w:rsidRPr="00B33AA4">
        <w:t>’</w:t>
      </w:r>
      <w:r w:rsidR="00FE1955" w:rsidRPr="00B33AA4">
        <w:t>autres entités.</w:t>
      </w:r>
    </w:p>
    <w:p w14:paraId="5F106D22" w14:textId="1BF5FCAE" w:rsidR="00805412" w:rsidRPr="00B33AA4" w:rsidRDefault="001A6153" w:rsidP="008F2193">
      <w:pPr>
        <w:pStyle w:val="09Para"/>
      </w:pPr>
      <w:r w:rsidRPr="00B33AA4">
        <w:t>Il n</w:t>
      </w:r>
      <w:r w:rsidR="00865E23" w:rsidRPr="00B33AA4">
        <w:t>’</w:t>
      </w:r>
      <w:r w:rsidRPr="00B33AA4">
        <w:t xml:space="preserve">y a eu aucune activité dans </w:t>
      </w:r>
      <w:r w:rsidR="00232F30" w:rsidRPr="00B33AA4">
        <w:t>des f</w:t>
      </w:r>
      <w:r w:rsidRPr="00B33AA4">
        <w:t>iliale</w:t>
      </w:r>
      <w:r w:rsidR="00232F30" w:rsidRPr="00B33AA4">
        <w:t>s,</w:t>
      </w:r>
      <w:r w:rsidRPr="00B33AA4">
        <w:t xml:space="preserve"> </w:t>
      </w:r>
      <w:r w:rsidR="00441745" w:rsidRPr="00B33AA4">
        <w:t xml:space="preserve">des </w:t>
      </w:r>
      <w:r w:rsidRPr="00B33AA4">
        <w:t>entreprise</w:t>
      </w:r>
      <w:r w:rsidR="00232F30" w:rsidRPr="00B33AA4">
        <w:t xml:space="preserve">s </w:t>
      </w:r>
      <w:r w:rsidRPr="00B33AA4">
        <w:t>associée</w:t>
      </w:r>
      <w:r w:rsidR="00232F30" w:rsidRPr="00B33AA4">
        <w:t xml:space="preserve">s ou </w:t>
      </w:r>
      <w:r w:rsidR="00441745" w:rsidRPr="00B33AA4">
        <w:t>d’</w:t>
      </w:r>
      <w:r w:rsidR="00232F30" w:rsidRPr="00B33AA4">
        <w:t>a</w:t>
      </w:r>
      <w:r w:rsidRPr="00B33AA4">
        <w:t>utre</w:t>
      </w:r>
      <w:r w:rsidR="00232F30" w:rsidRPr="00B33AA4">
        <w:t xml:space="preserve">s </w:t>
      </w:r>
      <w:r w:rsidRPr="00B33AA4">
        <w:t>entité</w:t>
      </w:r>
      <w:r w:rsidR="00232F30" w:rsidRPr="00B33AA4">
        <w:t xml:space="preserve">s </w:t>
      </w:r>
      <w:r w:rsidRPr="00B33AA4">
        <w:t>dans</w:t>
      </w:r>
      <w:r w:rsidR="00193F32">
        <w:t> </w:t>
      </w:r>
      <w:r w:rsidRPr="00B33AA4">
        <w:t>l</w:t>
      </w:r>
      <w:r w:rsidR="00232F30" w:rsidRPr="00B33AA4">
        <w:t>es</w:t>
      </w:r>
      <w:r w:rsidRPr="00B33AA4">
        <w:t>quelle</w:t>
      </w:r>
      <w:r w:rsidR="00232F30" w:rsidRPr="00B33AA4">
        <w:t xml:space="preserve">s </w:t>
      </w:r>
      <w:r w:rsidRPr="00B33AA4">
        <w:t>[</w:t>
      </w:r>
      <w:r w:rsidRPr="00B33AA4">
        <w:rPr>
          <w:color w:val="0000FF"/>
        </w:rPr>
        <w:t>Entité</w:t>
      </w:r>
      <w:r w:rsidRPr="00B33AA4">
        <w:t xml:space="preserve">] détient des intérêts ou </w:t>
      </w:r>
      <w:r w:rsidR="00232F30" w:rsidRPr="00B33AA4">
        <w:t>dans u</w:t>
      </w:r>
      <w:r w:rsidRPr="00B33AA4">
        <w:t>n partenariat</w:t>
      </w:r>
      <w:r w:rsidR="00441745" w:rsidRPr="00B33AA4">
        <w:t xml:space="preserve"> qui étaient </w:t>
      </w:r>
      <w:r w:rsidRPr="00B33AA4">
        <w:t>inactifs</w:t>
      </w:r>
      <w:r w:rsidR="00DA1F3C" w:rsidRPr="00B33AA4">
        <w:t xml:space="preserve"> ou en</w:t>
      </w:r>
      <w:r w:rsidR="00193F32">
        <w:t> </w:t>
      </w:r>
      <w:proofErr w:type="gramStart"/>
      <w:r w:rsidR="00DA1F3C" w:rsidRPr="00B33AA4">
        <w:t>sommeil</w:t>
      </w:r>
      <w:r w:rsidR="00595624" w:rsidRPr="0073586F">
        <w:t>[</w:t>
      </w:r>
      <w:proofErr w:type="gramEnd"/>
      <w:r w:rsidR="00FC4318" w:rsidRPr="00C55C35">
        <w:rPr>
          <w:color w:val="0000FF"/>
        </w:rPr>
        <w:t>,</w:t>
      </w:r>
      <w:r w:rsidR="00E22832" w:rsidRPr="00C55C35">
        <w:rPr>
          <w:color w:val="0000FF"/>
        </w:rPr>
        <w:t> </w:t>
      </w:r>
      <w:r w:rsidRPr="00C55C35">
        <w:rPr>
          <w:color w:val="0000FF"/>
        </w:rPr>
        <w:t>à l</w:t>
      </w:r>
      <w:r w:rsidR="00865E23" w:rsidRPr="00C55C35">
        <w:rPr>
          <w:color w:val="0000FF"/>
        </w:rPr>
        <w:t>’</w:t>
      </w:r>
      <w:r w:rsidRPr="00C55C35">
        <w:rPr>
          <w:color w:val="0000FF"/>
        </w:rPr>
        <w:t>exception de celles qui vous ont déjà été communiquées</w:t>
      </w:r>
      <w:r w:rsidR="00F96EBA" w:rsidRPr="00F96EBA">
        <w:t>]</w:t>
      </w:r>
      <w:r w:rsidR="00805412" w:rsidRPr="00B33AA4">
        <w:t>.</w:t>
      </w:r>
    </w:p>
    <w:p w14:paraId="261451B6" w14:textId="77777777" w:rsidR="00EC7EA2" w:rsidRPr="004107D4" w:rsidRDefault="00EC7EA2" w:rsidP="00EC7EA2">
      <w:pPr>
        <w:pStyle w:val="09Para"/>
        <w:rPr>
          <w:rFonts w:cs="Arial"/>
          <w:snapToGrid w:val="0"/>
        </w:rPr>
      </w:pPr>
      <w:bookmarkStart w:id="75" w:name="lt_pId814"/>
      <w:r w:rsidRPr="00871F3A">
        <w:rPr>
          <w:rFonts w:cs="Arial"/>
          <w:snapToGrid w:val="0"/>
        </w:rPr>
        <w:t>Toutes les opérations avec des entreprises associées ou des filiales ont été comptabilisées dans les comptes qui vous ont été présentés, et tous les soldes et opérations intragroupe ont été éliminés complètement, conformément à l’IFRS 10, États financiers consolidés.</w:t>
      </w:r>
      <w:bookmarkEnd w:id="75"/>
      <w:r w:rsidRPr="00540AE4">
        <w:rPr>
          <w:rFonts w:cs="Arial"/>
          <w:snapToGrid w:val="0"/>
        </w:rPr>
        <w:t xml:space="preserve"> </w:t>
      </w:r>
      <w:bookmarkStart w:id="76" w:name="lt_pId815"/>
      <w:r w:rsidRPr="00871F3A">
        <w:rPr>
          <w:rFonts w:cs="Arial"/>
          <w:snapToGrid w:val="0"/>
        </w:rPr>
        <w:t>Toutes les participations dans une entreprise associée ou les avances à une filiale ont été comptabilisées correctement et rien n’indique qu’il existe une perte de valeur en deçà des soldes présentés dans les états financiers [</w:t>
      </w:r>
      <w:r w:rsidRPr="00871F3A">
        <w:rPr>
          <w:color w:val="0000FF"/>
        </w:rPr>
        <w:t>consolidés</w:t>
      </w:r>
      <w:r w:rsidRPr="00871F3A">
        <w:rPr>
          <w:rFonts w:cs="Arial"/>
          <w:snapToGrid w:val="0"/>
        </w:rPr>
        <w:t>].</w:t>
      </w:r>
      <w:bookmarkEnd w:id="76"/>
    </w:p>
    <w:p w14:paraId="748F7A25" w14:textId="58A48575" w:rsidR="00EC7EA2" w:rsidRPr="00540AE4" w:rsidRDefault="00EC7EA2" w:rsidP="00EC7EA2">
      <w:pPr>
        <w:pStyle w:val="09Para"/>
        <w:rPr>
          <w:rFonts w:cs="Arial"/>
          <w:snapToGrid w:val="0"/>
        </w:rPr>
      </w:pPr>
      <w:bookmarkStart w:id="77" w:name="lt_pId816"/>
      <w:r w:rsidRPr="00871F3A">
        <w:rPr>
          <w:rFonts w:cs="Arial"/>
          <w:snapToGrid w:val="0"/>
        </w:rPr>
        <w:t>Les placements en actions ordinaires de [</w:t>
      </w:r>
      <w:r w:rsidRPr="00871F3A">
        <w:rPr>
          <w:color w:val="0000FF"/>
        </w:rPr>
        <w:t>entité émettrice</w:t>
      </w:r>
      <w:r w:rsidRPr="00871F3A">
        <w:rPr>
          <w:rFonts w:cs="Arial"/>
          <w:snapToGrid w:val="0"/>
        </w:rPr>
        <w:t>] que possède [</w:t>
      </w:r>
      <w:r w:rsidRPr="00871F3A">
        <w:rPr>
          <w:color w:val="0000FF"/>
        </w:rPr>
        <w:t>Entité</w:t>
      </w:r>
      <w:r w:rsidRPr="00871F3A">
        <w:rPr>
          <w:rFonts w:cs="Arial"/>
          <w:snapToGrid w:val="0"/>
        </w:rPr>
        <w:t>] ont été comptabilisés selon la méthode de la mise en équivalence, car [</w:t>
      </w:r>
      <w:r w:rsidR="00540AE4" w:rsidRPr="00C94C43">
        <w:rPr>
          <w:color w:val="0000FF"/>
        </w:rPr>
        <w:t>Entité</w:t>
      </w:r>
      <w:r w:rsidRPr="00871F3A">
        <w:rPr>
          <w:rFonts w:cs="Arial"/>
          <w:snapToGrid w:val="0"/>
        </w:rPr>
        <w:t xml:space="preserve">] </w:t>
      </w:r>
      <w:proofErr w:type="gramStart"/>
      <w:r w:rsidRPr="00871F3A">
        <w:rPr>
          <w:rFonts w:cs="Arial"/>
          <w:snapToGrid w:val="0"/>
        </w:rPr>
        <w:t>a</w:t>
      </w:r>
      <w:proofErr w:type="gramEnd"/>
      <w:r w:rsidRPr="00871F3A">
        <w:rPr>
          <w:rFonts w:cs="Arial"/>
          <w:snapToGrid w:val="0"/>
        </w:rPr>
        <w:t xml:space="preserve"> le pouvoir de participer aux décisions relatives aux politiques financières et opérationnelles de [</w:t>
      </w:r>
      <w:r w:rsidR="009B7ED8" w:rsidRPr="00C94C43">
        <w:rPr>
          <w:color w:val="0000FF"/>
        </w:rPr>
        <w:t>entité émettrice</w:t>
      </w:r>
      <w:r w:rsidRPr="00871F3A">
        <w:rPr>
          <w:rFonts w:cs="Arial"/>
          <w:snapToGrid w:val="0"/>
        </w:rPr>
        <w:t>].</w:t>
      </w:r>
      <w:bookmarkEnd w:id="77"/>
    </w:p>
    <w:p w14:paraId="3F4DE523" w14:textId="29ED42AB" w:rsidR="00EC7EA2" w:rsidRPr="004107D4" w:rsidRDefault="00EC7EA2" w:rsidP="00EC7EA2">
      <w:pPr>
        <w:pStyle w:val="09Para"/>
        <w:rPr>
          <w:rFonts w:cs="Arial"/>
          <w:snapToGrid w:val="0"/>
        </w:rPr>
      </w:pPr>
      <w:bookmarkStart w:id="78" w:name="lt_pId817"/>
      <w:r w:rsidRPr="00871F3A">
        <w:rPr>
          <w:rFonts w:cs="Arial"/>
          <w:snapToGrid w:val="0"/>
        </w:rPr>
        <w:t>Les placements en actions ordinaires de [</w:t>
      </w:r>
      <w:r w:rsidR="00540AE4" w:rsidRPr="00C94C43">
        <w:rPr>
          <w:color w:val="0000FF"/>
        </w:rPr>
        <w:t>entité émettrice</w:t>
      </w:r>
      <w:r w:rsidRPr="00871F3A">
        <w:rPr>
          <w:rFonts w:cs="Arial"/>
          <w:snapToGrid w:val="0"/>
        </w:rPr>
        <w:t>] ont été comptabilisés au coût et ajustés par la suite pour prendre en compte les changements de la quote-part dans l’actif net de</w:t>
      </w:r>
      <w:r w:rsidR="00095C0D">
        <w:rPr>
          <w:rFonts w:cs="Arial"/>
          <w:snapToGrid w:val="0"/>
        </w:rPr>
        <w:t> </w:t>
      </w:r>
      <w:r w:rsidRPr="00871F3A">
        <w:rPr>
          <w:rFonts w:cs="Arial"/>
          <w:snapToGrid w:val="0"/>
        </w:rPr>
        <w:t>[</w:t>
      </w:r>
      <w:r w:rsidR="00540AE4" w:rsidRPr="00C94C43">
        <w:rPr>
          <w:color w:val="0000FF"/>
        </w:rPr>
        <w:t>entité émettrice</w:t>
      </w:r>
      <w:r w:rsidRPr="00871F3A">
        <w:rPr>
          <w:rFonts w:cs="Arial"/>
          <w:snapToGrid w:val="0"/>
        </w:rPr>
        <w:t>].</w:t>
      </w:r>
      <w:bookmarkEnd w:id="78"/>
      <w:r w:rsidRPr="00540AE4">
        <w:rPr>
          <w:rFonts w:cs="Arial"/>
          <w:snapToGrid w:val="0"/>
        </w:rPr>
        <w:t xml:space="preserve"> </w:t>
      </w:r>
      <w:bookmarkStart w:id="79" w:name="lt_pId818"/>
      <w:r w:rsidRPr="00871F3A">
        <w:rPr>
          <w:rFonts w:cs="Arial"/>
          <w:snapToGrid w:val="0"/>
        </w:rPr>
        <w:t>Nous avons présenté nos placements en actions ordinaires de [</w:t>
      </w:r>
      <w:r w:rsidR="00540AE4" w:rsidRPr="00C94C43">
        <w:rPr>
          <w:color w:val="0000FF"/>
        </w:rPr>
        <w:t xml:space="preserve">entité </w:t>
      </w:r>
      <w:r w:rsidR="00540AE4" w:rsidRPr="00764D50">
        <w:rPr>
          <w:color w:val="0000FF"/>
        </w:rPr>
        <w:t>émettrice</w:t>
      </w:r>
      <w:r w:rsidRPr="00871F3A">
        <w:rPr>
          <w:rFonts w:cs="Arial"/>
          <w:snapToGrid w:val="0"/>
        </w:rPr>
        <w:t>] dans un poste distinct du bilan et notre quote-part dans le résultat net de l’entité émettrice a été comptabilisée dans notre résultat net, et notre quote-part des autres éléments du résultat global de l’entité émettrice a été comptabilisée dans nos autres éléments du résultat global.</w:t>
      </w:r>
      <w:bookmarkEnd w:id="79"/>
      <w:r w:rsidRPr="004107D4">
        <w:rPr>
          <w:rFonts w:cs="Arial"/>
          <w:snapToGrid w:val="0"/>
        </w:rPr>
        <w:t xml:space="preserve"> </w:t>
      </w:r>
    </w:p>
    <w:p w14:paraId="350B6422" w14:textId="51B2635A" w:rsidR="00DC2CAE" w:rsidRPr="00B33AA4" w:rsidRDefault="00913F07" w:rsidP="008F2193">
      <w:pPr>
        <w:pStyle w:val="09Para"/>
      </w:pPr>
      <w:r w:rsidRPr="00B33AA4">
        <w:t>Nous avons déterminé que [</w:t>
      </w:r>
      <w:r w:rsidRPr="00B33AA4">
        <w:rPr>
          <w:color w:val="0000FF"/>
        </w:rPr>
        <w:t>Entité</w:t>
      </w:r>
      <w:r w:rsidRPr="00B33AA4">
        <w:t xml:space="preserve">] satisfaisait à la définition d’une entité d’investissement, selon l’IFRS 10, États financiers consolidés. </w:t>
      </w:r>
      <w:r w:rsidRPr="00B33AA4">
        <w:rPr>
          <w:rFonts w:cs="Arial"/>
          <w:i/>
        </w:rPr>
        <w:t>[</w:t>
      </w:r>
      <w:r w:rsidRPr="00B33AA4">
        <w:rPr>
          <w:i/>
          <w:color w:val="0000FF"/>
        </w:rPr>
        <w:t>Examiner la possibilité de demander des déclarations relatives aux jugements que la direction a portés pour parvenir à cette décision, y compris les</w:t>
      </w:r>
      <w:r w:rsidR="00193F32">
        <w:rPr>
          <w:i/>
          <w:color w:val="0000FF"/>
        </w:rPr>
        <w:t> </w:t>
      </w:r>
      <w:r w:rsidRPr="00B33AA4">
        <w:rPr>
          <w:i/>
          <w:color w:val="0000FF"/>
        </w:rPr>
        <w:t>cas où il y a absence des caractéristiques typiques d’une entité d’investissement.</w:t>
      </w:r>
      <w:r w:rsidRPr="00B33AA4">
        <w:rPr>
          <w:rFonts w:cs="Arial"/>
          <w:i/>
          <w:color w:val="000000"/>
        </w:rPr>
        <w:t>]</w:t>
      </w:r>
      <w:r w:rsidRPr="00B33AA4">
        <w:rPr>
          <w:rFonts w:cs="Arial"/>
          <w:color w:val="000000"/>
        </w:rPr>
        <w:t xml:space="preserve"> </w:t>
      </w:r>
      <w:r w:rsidRPr="00B33AA4">
        <w:t>Par conséquent, les participations dans nos filiales ont été comptabilisées à la juste valeur par le biais du résultat net conformément à l’IFRS 9, Instruments financiers, à l’exception des filiales qui fournissent des services liés aux activités d’investissement de [</w:t>
      </w:r>
      <w:r w:rsidR="00FC4318">
        <w:rPr>
          <w:color w:val="0000FF"/>
        </w:rPr>
        <w:t>Entité</w:t>
      </w:r>
      <w:r w:rsidRPr="00B33AA4">
        <w:t>], qui ont été consolidées.</w:t>
      </w:r>
    </w:p>
    <w:p w14:paraId="110D3EA0" w14:textId="77777777" w:rsidR="00515998" w:rsidRPr="00B33AA4" w:rsidRDefault="00515998" w:rsidP="003614BC">
      <w:pPr>
        <w:pStyle w:val="09Para"/>
        <w:keepNext/>
        <w:rPr>
          <w:i/>
          <w:color w:val="0000FF"/>
        </w:rPr>
      </w:pPr>
      <w:r w:rsidRPr="00B33AA4">
        <w:rPr>
          <w:i/>
          <w:color w:val="0000FF"/>
        </w:rPr>
        <w:t>OU</w:t>
      </w:r>
    </w:p>
    <w:p w14:paraId="44284489" w14:textId="3B1CBEE5" w:rsidR="00515998" w:rsidRPr="00B33AA4" w:rsidRDefault="00515998" w:rsidP="00515998">
      <w:pPr>
        <w:pStyle w:val="09Para"/>
      </w:pPr>
      <w:r w:rsidRPr="00B33AA4">
        <w:t>Nous avons déterminé que [</w:t>
      </w:r>
      <w:r w:rsidRPr="00B33AA4">
        <w:rPr>
          <w:color w:val="0000FF"/>
        </w:rPr>
        <w:t>Entité</w:t>
      </w:r>
      <w:r w:rsidRPr="00B33AA4">
        <w:t xml:space="preserve">] ne satisfaisait pas à la définition d’une entité d’investissement, selon l’IFRS 10, États financiers consolidés. </w:t>
      </w:r>
      <w:r w:rsidRPr="00B33AA4">
        <w:rPr>
          <w:rFonts w:cs="Arial"/>
          <w:i/>
        </w:rPr>
        <w:t>[</w:t>
      </w:r>
      <w:r w:rsidRPr="00B33AA4">
        <w:rPr>
          <w:i/>
          <w:color w:val="0000FF"/>
        </w:rPr>
        <w:t>Examiner la possibilité de demander des déclarations relatives aux jugements que la direction a portés pour parvenir à cette décision, y compris les cas où il y a absence des caractéristiques typiques d’une entité d’investissement.</w:t>
      </w:r>
      <w:r w:rsidRPr="00B33AA4">
        <w:rPr>
          <w:rFonts w:cs="Arial"/>
          <w:i/>
          <w:color w:val="000000"/>
        </w:rPr>
        <w:t>]</w:t>
      </w:r>
      <w:r w:rsidRPr="00B33AA4">
        <w:rPr>
          <w:rFonts w:cs="Arial"/>
          <w:color w:val="000000"/>
        </w:rPr>
        <w:t xml:space="preserve"> </w:t>
      </w:r>
      <w:r w:rsidRPr="00B33AA4">
        <w:t>Par conséquent, toutes les filiales de [</w:t>
      </w:r>
      <w:r w:rsidRPr="00B33AA4">
        <w:rPr>
          <w:color w:val="0000FF"/>
        </w:rPr>
        <w:t>Entité</w:t>
      </w:r>
      <w:r w:rsidRPr="00B33AA4">
        <w:t xml:space="preserve">] ont été consolidées </w:t>
      </w:r>
      <w:r w:rsidRPr="00B33AA4">
        <w:rPr>
          <w:color w:val="000000"/>
        </w:rPr>
        <w:t>dans les états financiers</w:t>
      </w:r>
      <w:r w:rsidR="00FC4318">
        <w:rPr>
          <w:color w:val="000000"/>
        </w:rPr>
        <w:t xml:space="preserve"> consolidés</w:t>
      </w:r>
      <w:r w:rsidRPr="00B33AA4">
        <w:rPr>
          <w:color w:val="000000"/>
        </w:rPr>
        <w:t>.</w:t>
      </w:r>
    </w:p>
    <w:p w14:paraId="57DA0F63" w14:textId="77777777" w:rsidR="00805412" w:rsidRPr="00B33AA4" w:rsidRDefault="00C743B1" w:rsidP="000655B2">
      <w:pPr>
        <w:pStyle w:val="Heading3"/>
      </w:pPr>
      <w:bookmarkStart w:id="80" w:name="OLE_LINK2"/>
      <w:r w:rsidRPr="00B33AA4">
        <w:lastRenderedPageBreak/>
        <w:t>Informations sectorielles</w:t>
      </w:r>
      <w:bookmarkEnd w:id="80"/>
    </w:p>
    <w:p w14:paraId="638D3E13" w14:textId="05AC230B" w:rsidR="00805412" w:rsidRPr="00B33AA4" w:rsidRDefault="00C743B1" w:rsidP="008F2193">
      <w:pPr>
        <w:pStyle w:val="09Para"/>
      </w:pPr>
      <w:r w:rsidRPr="00B33AA4">
        <w:t xml:space="preserve">Tous les secteurs </w:t>
      </w:r>
      <w:r w:rsidR="00E3052A" w:rsidRPr="00B33AA4">
        <w:t xml:space="preserve">à présenter </w:t>
      </w:r>
      <w:r w:rsidRPr="00B33AA4">
        <w:t>ont été identifiés</w:t>
      </w:r>
      <w:r w:rsidR="00E3052A" w:rsidRPr="00B33AA4">
        <w:t xml:space="preserve"> de manière appropriée conformément à</w:t>
      </w:r>
      <w:r w:rsidR="00193F32">
        <w:t> </w:t>
      </w:r>
      <w:r w:rsidRPr="00B33AA4">
        <w:t>l</w:t>
      </w:r>
      <w:r w:rsidR="00865E23" w:rsidRPr="00B33AA4">
        <w:t>’</w:t>
      </w:r>
      <w:r w:rsidR="00805412" w:rsidRPr="00B33AA4">
        <w:t>IFRS</w:t>
      </w:r>
      <w:r w:rsidR="00C14D45" w:rsidRPr="00B33AA4">
        <w:t> </w:t>
      </w:r>
      <w:r w:rsidR="00805412" w:rsidRPr="00B33AA4">
        <w:t>8</w:t>
      </w:r>
      <w:r w:rsidR="006F6FBE" w:rsidRPr="00B33AA4">
        <w:t>,</w:t>
      </w:r>
      <w:r w:rsidR="00805412" w:rsidRPr="00B33AA4">
        <w:t xml:space="preserve"> </w:t>
      </w:r>
      <w:r w:rsidRPr="00B33AA4">
        <w:t>Secteurs opérationnels</w:t>
      </w:r>
      <w:r w:rsidR="00805412" w:rsidRPr="00B33AA4">
        <w:t xml:space="preserve">. </w:t>
      </w:r>
      <w:r w:rsidRPr="00B33AA4">
        <w:t xml:space="preserve">Nous </w:t>
      </w:r>
      <w:r w:rsidR="00E3052A" w:rsidRPr="00B33AA4">
        <w:t xml:space="preserve">avons discuté </w:t>
      </w:r>
      <w:r w:rsidRPr="00B33AA4">
        <w:t>avec vous de nos méthodes d</w:t>
      </w:r>
      <w:r w:rsidR="00865E23" w:rsidRPr="00B33AA4">
        <w:t>’</w:t>
      </w:r>
      <w:r w:rsidRPr="00B33AA4">
        <w:t>identification des secteurs opérationnels et jugeons que ces méthodes sont raisonnables et</w:t>
      </w:r>
      <w:r w:rsidR="00193F32">
        <w:t> </w:t>
      </w:r>
      <w:r w:rsidRPr="00B33AA4">
        <w:t>cohérentes avec l</w:t>
      </w:r>
      <w:r w:rsidR="00865E23" w:rsidRPr="00B33AA4">
        <w:t>’</w:t>
      </w:r>
      <w:r w:rsidRPr="00B33AA4">
        <w:t xml:space="preserve">organisation de </w:t>
      </w:r>
      <w:r w:rsidR="00805412" w:rsidRPr="00B33AA4">
        <w:t>[</w:t>
      </w:r>
      <w:r w:rsidR="00805412" w:rsidRPr="00B33AA4">
        <w:rPr>
          <w:color w:val="0000FF"/>
        </w:rPr>
        <w:t>Entit</w:t>
      </w:r>
      <w:r w:rsidRPr="00B33AA4">
        <w:rPr>
          <w:color w:val="0000FF"/>
        </w:rPr>
        <w:t>é</w:t>
      </w:r>
      <w:r w:rsidR="00805412" w:rsidRPr="00B33AA4">
        <w:t xml:space="preserve">]. </w:t>
      </w:r>
      <w:r w:rsidRPr="00B33AA4">
        <w:t>Nous vous avons communiqué l</w:t>
      </w:r>
      <w:r w:rsidR="00865E23" w:rsidRPr="00B33AA4">
        <w:t>’</w:t>
      </w:r>
      <w:r w:rsidRPr="00B33AA4">
        <w:t>identité du principal décideur opérationnel de l</w:t>
      </w:r>
      <w:r w:rsidR="00865E23" w:rsidRPr="00B33AA4">
        <w:t>’</w:t>
      </w:r>
      <w:r w:rsidRPr="00B33AA4">
        <w:t>entité</w:t>
      </w:r>
      <w:r w:rsidR="00FC4318">
        <w:t>, [</w:t>
      </w:r>
      <w:r w:rsidR="00FC4318" w:rsidRPr="00B33AA4">
        <w:rPr>
          <w:i/>
          <w:color w:val="0000FF"/>
        </w:rPr>
        <w:t>indiquer qui est le principal décideur opérationnel de</w:t>
      </w:r>
      <w:r w:rsidR="00193F32">
        <w:rPr>
          <w:i/>
          <w:color w:val="0000FF"/>
        </w:rPr>
        <w:t> </w:t>
      </w:r>
      <w:r w:rsidR="00FC4318" w:rsidRPr="00B33AA4">
        <w:rPr>
          <w:i/>
          <w:color w:val="0000FF"/>
        </w:rPr>
        <w:t>l’entité (p. ex. :</w:t>
      </w:r>
      <w:r w:rsidR="00803BDF">
        <w:rPr>
          <w:i/>
          <w:color w:val="0000FF"/>
        </w:rPr>
        <w:t> </w:t>
      </w:r>
      <w:r w:rsidR="00FC4318" w:rsidRPr="00B33AA4">
        <w:rPr>
          <w:i/>
          <w:color w:val="0000FF"/>
        </w:rPr>
        <w:t>le PDG, le Conseil d’administration ou le comité de direction</w:t>
      </w:r>
      <w:r w:rsidR="00FC4318" w:rsidRPr="0088764B">
        <w:rPr>
          <w:rStyle w:val="BlueItalText"/>
          <w:rFonts w:cs="Arial"/>
        </w:rPr>
        <w:t>)</w:t>
      </w:r>
      <w:r w:rsidR="00FC4318" w:rsidRPr="0088764B">
        <w:rPr>
          <w:rFonts w:cs="Arial"/>
          <w:snapToGrid w:val="0"/>
        </w:rPr>
        <w:t>]</w:t>
      </w:r>
      <w:r w:rsidR="00805412" w:rsidRPr="00B33AA4">
        <w:t xml:space="preserve">. </w:t>
      </w:r>
      <w:r w:rsidRPr="00B33AA4">
        <w:t xml:space="preserve">Les états financiers </w:t>
      </w:r>
      <w:r w:rsidR="00805412" w:rsidRPr="00B33AA4">
        <w:t>[</w:t>
      </w:r>
      <w:r w:rsidR="00805412" w:rsidRPr="00B33AA4">
        <w:rPr>
          <w:color w:val="0000FF"/>
        </w:rPr>
        <w:t>consolid</w:t>
      </w:r>
      <w:r w:rsidRPr="00B33AA4">
        <w:rPr>
          <w:color w:val="0000FF"/>
        </w:rPr>
        <w:t>és</w:t>
      </w:r>
      <w:r w:rsidR="00805412" w:rsidRPr="00B33AA4">
        <w:t xml:space="preserve">] </w:t>
      </w:r>
      <w:r w:rsidRPr="00B33AA4">
        <w:t>présente</w:t>
      </w:r>
      <w:r w:rsidR="000E5078" w:rsidRPr="00B33AA4">
        <w:t>nt</w:t>
      </w:r>
      <w:r w:rsidRPr="00B33AA4">
        <w:t xml:space="preserve"> toutes les informations à fournir sur les secteurs opérationnels de </w:t>
      </w:r>
      <w:r w:rsidR="00805412" w:rsidRPr="00B33AA4">
        <w:t>[</w:t>
      </w:r>
      <w:r w:rsidR="00805412" w:rsidRPr="00B33AA4">
        <w:rPr>
          <w:color w:val="0000FF"/>
        </w:rPr>
        <w:t>Entit</w:t>
      </w:r>
      <w:r w:rsidRPr="00B33AA4">
        <w:rPr>
          <w:color w:val="0000FF"/>
        </w:rPr>
        <w:t>é</w:t>
      </w:r>
      <w:r w:rsidR="00805412" w:rsidRPr="00B33AA4">
        <w:t xml:space="preserve">], </w:t>
      </w:r>
      <w:r w:rsidRPr="00B33AA4">
        <w:t xml:space="preserve">ses </w:t>
      </w:r>
      <w:r w:rsidR="00805412" w:rsidRPr="00B33AA4">
        <w:t>produ</w:t>
      </w:r>
      <w:r w:rsidRPr="00B33AA4">
        <w:t xml:space="preserve">its et </w:t>
      </w:r>
      <w:r w:rsidR="00805412" w:rsidRPr="00B33AA4">
        <w:t xml:space="preserve">services, </w:t>
      </w:r>
      <w:r w:rsidRPr="00B33AA4">
        <w:t xml:space="preserve">les zones géographiques </w:t>
      </w:r>
      <w:r w:rsidR="003B0244" w:rsidRPr="00B33AA4">
        <w:t xml:space="preserve">où </w:t>
      </w:r>
      <w:r w:rsidR="00C14D45" w:rsidRPr="00B33AA4">
        <w:t>[</w:t>
      </w:r>
      <w:r w:rsidR="00C14D45" w:rsidRPr="00B33AA4">
        <w:rPr>
          <w:color w:val="0000FF"/>
        </w:rPr>
        <w:t xml:space="preserve">il </w:t>
      </w:r>
      <w:r w:rsidR="00C14D45" w:rsidRPr="00B33AA4">
        <w:rPr>
          <w:i/>
          <w:color w:val="0000FF"/>
        </w:rPr>
        <w:t>OU</w:t>
      </w:r>
      <w:r w:rsidR="00C14D45" w:rsidRPr="00B33AA4">
        <w:rPr>
          <w:color w:val="0000FF"/>
        </w:rPr>
        <w:t xml:space="preserve"> elle</w:t>
      </w:r>
      <w:r w:rsidR="00C14D45" w:rsidRPr="00B33AA4">
        <w:t xml:space="preserve">] </w:t>
      </w:r>
      <w:r w:rsidR="003B0244" w:rsidRPr="00B33AA4">
        <w:t>mène</w:t>
      </w:r>
      <w:r w:rsidR="00193F32">
        <w:t> </w:t>
      </w:r>
      <w:r w:rsidR="003B0244" w:rsidRPr="00B33AA4">
        <w:t>ses activités, et</w:t>
      </w:r>
      <w:r w:rsidR="00095C0D">
        <w:t> </w:t>
      </w:r>
      <w:r w:rsidR="003B0244" w:rsidRPr="00B33AA4">
        <w:t>ses principaux clients conformément à l</w:t>
      </w:r>
      <w:r w:rsidR="00865E23" w:rsidRPr="00B33AA4">
        <w:t>’</w:t>
      </w:r>
      <w:r w:rsidR="00805412" w:rsidRPr="00B33AA4">
        <w:t>IFRS</w:t>
      </w:r>
      <w:r w:rsidR="00C14D45" w:rsidRPr="00B33AA4">
        <w:t> </w:t>
      </w:r>
      <w:r w:rsidR="00805412" w:rsidRPr="00B33AA4">
        <w:t>8.</w:t>
      </w:r>
    </w:p>
    <w:p w14:paraId="3C935B6F" w14:textId="36535199" w:rsidR="00805412" w:rsidRPr="00B33AA4" w:rsidRDefault="000E5078" w:rsidP="008F2193">
      <w:pPr>
        <w:pStyle w:val="09Para"/>
      </w:pPr>
      <w:r w:rsidRPr="00B33AA4">
        <w:t>Conformément à l</w:t>
      </w:r>
      <w:r w:rsidR="00865E23" w:rsidRPr="00B33AA4">
        <w:t>’</w:t>
      </w:r>
      <w:r w:rsidR="00805412" w:rsidRPr="00B33AA4">
        <w:t>IFRS</w:t>
      </w:r>
      <w:r w:rsidR="00C14D45" w:rsidRPr="00B33AA4">
        <w:t> </w:t>
      </w:r>
      <w:r w:rsidR="00805412" w:rsidRPr="00B33AA4">
        <w:t xml:space="preserve">8, </w:t>
      </w:r>
      <w:r w:rsidRPr="00B33AA4">
        <w:t>y compris les résultats d</w:t>
      </w:r>
      <w:r w:rsidR="00865E23" w:rsidRPr="00B33AA4">
        <w:t>’</w:t>
      </w:r>
      <w:r w:rsidRPr="00B33AA4">
        <w:t>exploitation qui sont revus régulièrement</w:t>
      </w:r>
      <w:r w:rsidR="00574170" w:rsidRPr="00B33AA4">
        <w:t xml:space="preserve"> </w:t>
      </w:r>
      <w:r w:rsidRPr="00B33AA4">
        <w:t xml:space="preserve">par le </w:t>
      </w:r>
      <w:r w:rsidR="00C743B1" w:rsidRPr="00B33AA4">
        <w:t>principal décideur opérationnel de l</w:t>
      </w:r>
      <w:r w:rsidR="00865E23" w:rsidRPr="00B33AA4">
        <w:t>’</w:t>
      </w:r>
      <w:r w:rsidR="00C743B1" w:rsidRPr="00B33AA4">
        <w:t>entité</w:t>
      </w:r>
      <w:r w:rsidR="00EC7EA2">
        <w:t xml:space="preserve"> [</w:t>
      </w:r>
      <w:r w:rsidR="0056575D" w:rsidRPr="00B33AA4">
        <w:rPr>
          <w:i/>
          <w:color w:val="0000FF"/>
        </w:rPr>
        <w:t>indiquer qui est le principal décideur opérationnel de l’entité (p. ex. :</w:t>
      </w:r>
      <w:r w:rsidR="00803BDF">
        <w:rPr>
          <w:i/>
          <w:color w:val="0000FF"/>
        </w:rPr>
        <w:t> </w:t>
      </w:r>
      <w:r w:rsidR="0056575D" w:rsidRPr="00B33AA4">
        <w:rPr>
          <w:i/>
          <w:color w:val="0000FF"/>
        </w:rPr>
        <w:t>le PDG, le Conseil d’administration ou le comité de direction</w:t>
      </w:r>
      <w:r w:rsidR="00EC7EA2" w:rsidRPr="00EC7EA2">
        <w:t>)],</w:t>
      </w:r>
      <w:r w:rsidR="00805412" w:rsidRPr="00B33AA4">
        <w:t xml:space="preserve"> </w:t>
      </w:r>
      <w:r w:rsidRPr="00B33AA4">
        <w:t>la direction a recensé les secteurs opérationnels suivants </w:t>
      </w:r>
      <w:r w:rsidR="00805412" w:rsidRPr="00B33AA4">
        <w:t xml:space="preserve">: </w:t>
      </w:r>
      <w:r w:rsidRPr="00B33AA4">
        <w:t>[</w:t>
      </w:r>
      <w:r w:rsidRPr="00B33AA4">
        <w:rPr>
          <w:i/>
          <w:color w:val="0000FF"/>
        </w:rPr>
        <w:t>fournir une description</w:t>
      </w:r>
      <w:r w:rsidR="00D17C6D">
        <w:t>].</w:t>
      </w:r>
    </w:p>
    <w:p w14:paraId="7C2786D0" w14:textId="325F91AB" w:rsidR="00805412" w:rsidRPr="00B33AA4" w:rsidRDefault="00484D57" w:rsidP="008F2193">
      <w:pPr>
        <w:pStyle w:val="09Para"/>
      </w:pPr>
      <w:r w:rsidRPr="00B33AA4">
        <w:t>La direction a évalué les caractéristiques économiques et critères de regroupement pour identifier chacun des secteur</w:t>
      </w:r>
      <w:r w:rsidR="00C238E4" w:rsidRPr="00B33AA4">
        <w:t>s</w:t>
      </w:r>
      <w:r w:rsidRPr="00B33AA4">
        <w:t xml:space="preserve"> et déterminer que les secteurs opérationnels suivants</w:t>
      </w:r>
      <w:r w:rsidR="00605C59" w:rsidRPr="00B33AA4">
        <w:t> :</w:t>
      </w:r>
      <w:r w:rsidR="00805412" w:rsidRPr="00B33AA4">
        <w:t xml:space="preserve"> </w:t>
      </w:r>
      <w:r w:rsidRPr="00B33AA4">
        <w:t>[</w:t>
      </w:r>
      <w:r w:rsidRPr="00B33AA4">
        <w:rPr>
          <w:i/>
          <w:color w:val="0000FF"/>
        </w:rPr>
        <w:t>fournir une description des secteurs</w:t>
      </w:r>
      <w:r w:rsidR="00805412" w:rsidRPr="00B33AA4">
        <w:t>]</w:t>
      </w:r>
      <w:r w:rsidRPr="00B33AA4">
        <w:t xml:space="preserve"> présentaient les similarités dans tous les </w:t>
      </w:r>
      <w:r w:rsidR="00792327" w:rsidRPr="00B33AA4">
        <w:t xml:space="preserve">points </w:t>
      </w:r>
      <w:r w:rsidRPr="00B33AA4">
        <w:t xml:space="preserve">décrits au </w:t>
      </w:r>
      <w:r w:rsidR="00D026CC" w:rsidRPr="00B33AA4">
        <w:t>paragraphe</w:t>
      </w:r>
      <w:r w:rsidR="00C14D45" w:rsidRPr="00B33AA4">
        <w:t> </w:t>
      </w:r>
      <w:r w:rsidR="00805412" w:rsidRPr="00B33AA4">
        <w:t xml:space="preserve">12 </w:t>
      </w:r>
      <w:r w:rsidRPr="00B33AA4">
        <w:t>de l</w:t>
      </w:r>
      <w:r w:rsidR="00865E23" w:rsidRPr="00B33AA4">
        <w:t>’</w:t>
      </w:r>
      <w:r w:rsidR="00805412" w:rsidRPr="00B33AA4">
        <w:t>IFRS</w:t>
      </w:r>
      <w:r w:rsidR="00C14D45" w:rsidRPr="00B33AA4">
        <w:t> </w:t>
      </w:r>
      <w:r w:rsidR="00805412" w:rsidRPr="00B33AA4">
        <w:t xml:space="preserve">8 </w:t>
      </w:r>
      <w:r w:rsidRPr="00B33AA4">
        <w:t xml:space="preserve">et avaient donc été </w:t>
      </w:r>
      <w:r w:rsidR="00792327" w:rsidRPr="00B33AA4">
        <w:t>re</w:t>
      </w:r>
      <w:r w:rsidRPr="00B33AA4">
        <w:t xml:space="preserve">groupés </w:t>
      </w:r>
      <w:r w:rsidR="00792327" w:rsidRPr="00B33AA4">
        <w:t>de manière appropriée</w:t>
      </w:r>
      <w:r w:rsidR="007C3C22" w:rsidRPr="00B33AA4">
        <w:t>,</w:t>
      </w:r>
      <w:r w:rsidR="00792327" w:rsidRPr="00B33AA4">
        <w:t xml:space="preserve"> </w:t>
      </w:r>
      <w:r w:rsidRPr="00B33AA4">
        <w:t>conformément à ce paragraphe</w:t>
      </w:r>
      <w:r w:rsidR="001D46F3">
        <w:t>.</w:t>
      </w:r>
    </w:p>
    <w:p w14:paraId="136BE36F" w14:textId="5D824010" w:rsidR="00805412" w:rsidRDefault="00C238E4" w:rsidP="008F2193">
      <w:pPr>
        <w:pStyle w:val="09Para"/>
      </w:pPr>
      <w:r w:rsidRPr="00B33AA4">
        <w:t xml:space="preserve">Les états financiers </w:t>
      </w:r>
      <w:r w:rsidR="00805412" w:rsidRPr="00B33AA4">
        <w:t>[</w:t>
      </w:r>
      <w:r w:rsidR="00805412" w:rsidRPr="00B33AA4">
        <w:rPr>
          <w:color w:val="0000FF"/>
        </w:rPr>
        <w:t>consolid</w:t>
      </w:r>
      <w:r w:rsidRPr="00B33AA4">
        <w:rPr>
          <w:color w:val="0000FF"/>
        </w:rPr>
        <w:t>és</w:t>
      </w:r>
      <w:r w:rsidR="00805412" w:rsidRPr="00B33AA4">
        <w:t xml:space="preserve">] </w:t>
      </w:r>
      <w:r w:rsidR="00792327" w:rsidRPr="00B33AA4">
        <w:t>fournissent des informations sur tous l</w:t>
      </w:r>
      <w:r w:rsidRPr="00B33AA4">
        <w:t xml:space="preserve">es facteurs pertinents pour identifier les secteurs </w:t>
      </w:r>
      <w:r w:rsidR="00792327" w:rsidRPr="00B33AA4">
        <w:t>à présenter</w:t>
      </w:r>
      <w:r w:rsidR="00441745" w:rsidRPr="00B33AA4">
        <w:t xml:space="preserve"> </w:t>
      </w:r>
      <w:r w:rsidRPr="00B33AA4">
        <w:t xml:space="preserve">de </w:t>
      </w:r>
      <w:r w:rsidR="00805412" w:rsidRPr="00B33AA4">
        <w:t>[</w:t>
      </w:r>
      <w:r w:rsidR="00805412" w:rsidRPr="00B33AA4">
        <w:rPr>
          <w:color w:val="0000FF"/>
        </w:rPr>
        <w:t>Entit</w:t>
      </w:r>
      <w:r w:rsidRPr="00B33AA4">
        <w:rPr>
          <w:color w:val="0000FF"/>
        </w:rPr>
        <w:t>é</w:t>
      </w:r>
      <w:r w:rsidR="00805412" w:rsidRPr="00B33AA4">
        <w:t>]</w:t>
      </w:r>
      <w:r w:rsidRPr="00B33AA4">
        <w:t>, et décrivent si les secteurs opérationnels ont</w:t>
      </w:r>
      <w:r w:rsidR="00803BDF">
        <w:t> </w:t>
      </w:r>
      <w:r w:rsidRPr="00B33AA4">
        <w:t>été regroupés</w:t>
      </w:r>
      <w:r w:rsidR="00805412" w:rsidRPr="00B33AA4">
        <w:t>.</w:t>
      </w:r>
    </w:p>
    <w:p w14:paraId="3C0C7584" w14:textId="5E185637" w:rsidR="00FC4318" w:rsidRDefault="00FC4318" w:rsidP="00FC4318">
      <w:pPr>
        <w:pStyle w:val="09Para"/>
        <w:rPr>
          <w:rFonts w:cs="Arial"/>
          <w:snapToGrid w:val="0"/>
        </w:rPr>
      </w:pPr>
      <w:r>
        <w:rPr>
          <w:rFonts w:cs="Arial"/>
          <w:snapToGrid w:val="0"/>
        </w:rPr>
        <w:t>[</w:t>
      </w:r>
      <w:r>
        <w:rPr>
          <w:rFonts w:cs="Arial"/>
          <w:i/>
          <w:snapToGrid w:val="0"/>
          <w:color w:val="0000FF"/>
        </w:rPr>
        <w:t>S’il y a lieu</w:t>
      </w:r>
      <w:r w:rsidR="009D3150">
        <w:rPr>
          <w:rFonts w:cs="Arial"/>
          <w:i/>
          <w:snapToGrid w:val="0"/>
          <w:color w:val="0000FF"/>
        </w:rPr>
        <w:t> </w:t>
      </w:r>
      <w:r w:rsidRPr="005A2A2F">
        <w:rPr>
          <w:rFonts w:cs="Arial"/>
          <w:i/>
          <w:snapToGrid w:val="0"/>
          <w:color w:val="0000FF"/>
        </w:rPr>
        <w:t>:</w:t>
      </w:r>
    </w:p>
    <w:p w14:paraId="2D00D532" w14:textId="6A252E56" w:rsidR="00805412" w:rsidRDefault="00574170" w:rsidP="008F2193">
      <w:pPr>
        <w:pStyle w:val="09Para"/>
      </w:pPr>
      <w:r w:rsidRPr="00B33AA4">
        <w:t>Après avoir évalué les exigences de l</w:t>
      </w:r>
      <w:r w:rsidR="00865E23" w:rsidRPr="00B33AA4">
        <w:t>’</w:t>
      </w:r>
      <w:r w:rsidR="00805412" w:rsidRPr="00B33AA4">
        <w:t>IFRS</w:t>
      </w:r>
      <w:r w:rsidR="00C14D45" w:rsidRPr="00B33AA4">
        <w:t> </w:t>
      </w:r>
      <w:r w:rsidR="00805412" w:rsidRPr="00B33AA4">
        <w:t>8</w:t>
      </w:r>
      <w:r w:rsidRPr="00B33AA4">
        <w:t xml:space="preserve">, la direction a déterminé que </w:t>
      </w:r>
      <w:r w:rsidR="00805412" w:rsidRPr="00B33AA4">
        <w:t>[</w:t>
      </w:r>
      <w:r w:rsidR="00805412" w:rsidRPr="00B33AA4">
        <w:rPr>
          <w:color w:val="0000FF"/>
        </w:rPr>
        <w:t>Entit</w:t>
      </w:r>
      <w:r w:rsidRPr="00B33AA4">
        <w:rPr>
          <w:color w:val="0000FF"/>
        </w:rPr>
        <w:t>é</w:t>
      </w:r>
      <w:r w:rsidR="00805412" w:rsidRPr="00B33AA4">
        <w:t xml:space="preserve">] </w:t>
      </w:r>
      <w:r w:rsidRPr="00B33AA4">
        <w:t>n</w:t>
      </w:r>
      <w:r w:rsidR="00865E23" w:rsidRPr="00B33AA4">
        <w:t>’</w:t>
      </w:r>
      <w:r w:rsidRPr="00B33AA4">
        <w:t>avait qu</w:t>
      </w:r>
      <w:r w:rsidR="00865E23" w:rsidRPr="00B33AA4">
        <w:t>’</w:t>
      </w:r>
      <w:r w:rsidRPr="00B33AA4">
        <w:t xml:space="preserve">un seul secteur </w:t>
      </w:r>
      <w:r w:rsidR="00792327" w:rsidRPr="00B33AA4">
        <w:t>à présenter</w:t>
      </w:r>
      <w:r w:rsidRPr="00B33AA4">
        <w:t xml:space="preserve">. Les états financiers </w:t>
      </w:r>
      <w:r w:rsidR="00805412" w:rsidRPr="00B33AA4">
        <w:t>[</w:t>
      </w:r>
      <w:r w:rsidR="00805412" w:rsidRPr="00B33AA4">
        <w:rPr>
          <w:color w:val="0000FF"/>
        </w:rPr>
        <w:t>consolid</w:t>
      </w:r>
      <w:r w:rsidRPr="00B33AA4">
        <w:rPr>
          <w:color w:val="0000FF"/>
        </w:rPr>
        <w:t>és</w:t>
      </w:r>
      <w:r w:rsidR="00805412" w:rsidRPr="00B33AA4">
        <w:t xml:space="preserve">] </w:t>
      </w:r>
      <w:r w:rsidRPr="00B33AA4">
        <w:t>décrivent la base de l</w:t>
      </w:r>
      <w:r w:rsidR="00865E23" w:rsidRPr="00B33AA4">
        <w:t>’</w:t>
      </w:r>
      <w:r w:rsidRPr="00B33AA4">
        <w:t>organisation et présentent les informations à fournir pour l</w:t>
      </w:r>
      <w:r w:rsidR="00865E23" w:rsidRPr="00B33AA4">
        <w:t>’</w:t>
      </w:r>
      <w:r w:rsidRPr="00B33AA4">
        <w:t>ensemble de l</w:t>
      </w:r>
      <w:r w:rsidR="00865E23" w:rsidRPr="00B33AA4">
        <w:t>’</w:t>
      </w:r>
      <w:r w:rsidRPr="00B33AA4">
        <w:t>entité</w:t>
      </w:r>
      <w:r w:rsidR="00441745" w:rsidRPr="00B33AA4">
        <w:t xml:space="preserve">, </w:t>
      </w:r>
      <w:r w:rsidRPr="00B33AA4">
        <w:t xml:space="preserve">qui sont décrites aux </w:t>
      </w:r>
      <w:r w:rsidR="00D026CC" w:rsidRPr="00B33AA4">
        <w:t>paragraphes</w:t>
      </w:r>
      <w:r w:rsidR="00C14D45" w:rsidRPr="00B33AA4">
        <w:t> </w:t>
      </w:r>
      <w:r w:rsidR="00805412" w:rsidRPr="00B33AA4">
        <w:t>31</w:t>
      </w:r>
      <w:r w:rsidR="00C55C35">
        <w:t xml:space="preserve"> à </w:t>
      </w:r>
      <w:r w:rsidR="00805412" w:rsidRPr="00B33AA4">
        <w:t xml:space="preserve">34 </w:t>
      </w:r>
      <w:r w:rsidRPr="00B33AA4">
        <w:t>de l</w:t>
      </w:r>
      <w:r w:rsidR="00865E23" w:rsidRPr="00B33AA4">
        <w:t>’</w:t>
      </w:r>
      <w:r w:rsidR="00805412" w:rsidRPr="00B33AA4">
        <w:t>IFRS</w:t>
      </w:r>
      <w:r w:rsidR="00C14D45" w:rsidRPr="00B33AA4">
        <w:t> </w:t>
      </w:r>
      <w:r w:rsidR="00805412" w:rsidRPr="00B33AA4">
        <w:t>8.</w:t>
      </w:r>
      <w:r w:rsidR="00FC4318">
        <w:t>]</w:t>
      </w:r>
    </w:p>
    <w:p w14:paraId="0100F0CF" w14:textId="157D2F1A" w:rsidR="00FC4318" w:rsidRDefault="00FC4318" w:rsidP="00FC4318">
      <w:pPr>
        <w:pStyle w:val="09Para"/>
        <w:rPr>
          <w:rFonts w:cs="Arial"/>
          <w:snapToGrid w:val="0"/>
        </w:rPr>
      </w:pPr>
      <w:r>
        <w:rPr>
          <w:rFonts w:cs="Arial"/>
          <w:snapToGrid w:val="0"/>
        </w:rPr>
        <w:t>[</w:t>
      </w:r>
      <w:r>
        <w:rPr>
          <w:rFonts w:cs="Arial"/>
          <w:i/>
          <w:snapToGrid w:val="0"/>
          <w:color w:val="0000FF"/>
        </w:rPr>
        <w:t>S’il y a lieu</w:t>
      </w:r>
      <w:r w:rsidR="009D3150">
        <w:rPr>
          <w:rFonts w:cs="Arial"/>
          <w:i/>
          <w:snapToGrid w:val="0"/>
          <w:color w:val="0000FF"/>
        </w:rPr>
        <w:t> </w:t>
      </w:r>
      <w:r w:rsidRPr="005A2A2F">
        <w:rPr>
          <w:rFonts w:cs="Arial"/>
          <w:i/>
          <w:snapToGrid w:val="0"/>
          <w:color w:val="0000FF"/>
        </w:rPr>
        <w:t>:</w:t>
      </w:r>
    </w:p>
    <w:p w14:paraId="13FF97AA" w14:textId="7C96E533" w:rsidR="00805412" w:rsidRPr="00B33AA4" w:rsidRDefault="00805412" w:rsidP="008F2193">
      <w:pPr>
        <w:pStyle w:val="09Para"/>
      </w:pPr>
      <w:r w:rsidRPr="00B33AA4">
        <w:t>[</w:t>
      </w:r>
      <w:r w:rsidRPr="00B33AA4">
        <w:rPr>
          <w:color w:val="0000FF"/>
        </w:rPr>
        <w:t>Entit</w:t>
      </w:r>
      <w:r w:rsidR="00574170" w:rsidRPr="00B33AA4">
        <w:rPr>
          <w:color w:val="0000FF"/>
        </w:rPr>
        <w:t>é</w:t>
      </w:r>
      <w:r w:rsidRPr="00B33AA4">
        <w:t xml:space="preserve">] </w:t>
      </w:r>
      <w:r w:rsidR="00441745" w:rsidRPr="00B33AA4">
        <w:t>a modifié l</w:t>
      </w:r>
      <w:r w:rsidR="00574170" w:rsidRPr="00B33AA4">
        <w:t xml:space="preserve">a structure de son organisation interne, </w:t>
      </w:r>
      <w:r w:rsidR="00792327" w:rsidRPr="00B33AA4">
        <w:t>et</w:t>
      </w:r>
      <w:r w:rsidR="00574170" w:rsidRPr="00B33AA4">
        <w:t xml:space="preserve"> la composition de</w:t>
      </w:r>
      <w:r w:rsidR="00792327" w:rsidRPr="00B33AA4">
        <w:t xml:space="preserve"> ses</w:t>
      </w:r>
      <w:r w:rsidR="00574170" w:rsidRPr="00B33AA4">
        <w:t xml:space="preserve"> secteurs</w:t>
      </w:r>
      <w:r w:rsidR="00441745" w:rsidRPr="00B33AA4">
        <w:t xml:space="preserve"> </w:t>
      </w:r>
      <w:r w:rsidR="00792327" w:rsidRPr="00B33AA4">
        <w:t>à</w:t>
      </w:r>
      <w:r w:rsidR="00095C0D">
        <w:t> </w:t>
      </w:r>
      <w:r w:rsidR="00792327" w:rsidRPr="00B33AA4">
        <w:t xml:space="preserve">présenter s’en trouve modifiée </w:t>
      </w:r>
      <w:r w:rsidR="00F40BA4" w:rsidRPr="00B33AA4">
        <w:t xml:space="preserve">au </w:t>
      </w:r>
      <w:r w:rsidRPr="00B33AA4">
        <w:t>[</w:t>
      </w:r>
      <w:r w:rsidRPr="00B33AA4">
        <w:rPr>
          <w:color w:val="0000FF"/>
        </w:rPr>
        <w:t>date</w:t>
      </w:r>
      <w:r w:rsidRPr="00B33AA4">
        <w:t xml:space="preserve">]. </w:t>
      </w:r>
      <w:r w:rsidR="00F40BA4" w:rsidRPr="00B33AA4">
        <w:t>Les informations sectorielles correspondantes pour</w:t>
      </w:r>
      <w:r w:rsidR="00095C0D">
        <w:t> </w:t>
      </w:r>
      <w:r w:rsidR="00F40BA4" w:rsidRPr="00B33AA4">
        <w:t>les périodes antérieures, y compris [</w:t>
      </w:r>
      <w:r w:rsidR="00F40BA4" w:rsidRPr="00B33AA4">
        <w:rPr>
          <w:i/>
          <w:color w:val="0000FF"/>
        </w:rPr>
        <w:t>indiquer les périodes retraitées</w:t>
      </w:r>
      <w:r w:rsidRPr="00B33AA4">
        <w:t>]</w:t>
      </w:r>
      <w:r w:rsidR="00F40BA4" w:rsidRPr="00B33AA4">
        <w:t xml:space="preserve"> ont été retraitées</w:t>
      </w:r>
      <w:r w:rsidRPr="00B33AA4">
        <w:t xml:space="preserve">, </w:t>
      </w:r>
      <w:r w:rsidR="00F40BA4" w:rsidRPr="00B33AA4">
        <w:t xml:space="preserve">conformément au </w:t>
      </w:r>
      <w:r w:rsidR="00D026CC" w:rsidRPr="00B33AA4">
        <w:t>paragraphe</w:t>
      </w:r>
      <w:r w:rsidR="00C14D45" w:rsidRPr="00B33AA4">
        <w:t> </w:t>
      </w:r>
      <w:r w:rsidRPr="00B33AA4">
        <w:t xml:space="preserve">29 </w:t>
      </w:r>
      <w:r w:rsidR="00F40BA4" w:rsidRPr="00B33AA4">
        <w:t>de l</w:t>
      </w:r>
      <w:r w:rsidR="00865E23" w:rsidRPr="00B33AA4">
        <w:t>’</w:t>
      </w:r>
      <w:r w:rsidRPr="00B33AA4">
        <w:t>IFRS</w:t>
      </w:r>
      <w:r w:rsidR="00C14D45" w:rsidRPr="00B33AA4">
        <w:t> </w:t>
      </w:r>
      <w:r w:rsidRPr="00B33AA4">
        <w:t>8</w:t>
      </w:r>
      <w:r w:rsidR="00441745" w:rsidRPr="00B33AA4">
        <w:t xml:space="preserve">, </w:t>
      </w:r>
      <w:r w:rsidR="00F40BA4" w:rsidRPr="00B33AA4">
        <w:t xml:space="preserve">et ont été </w:t>
      </w:r>
      <w:r w:rsidR="00792327" w:rsidRPr="00B33AA4">
        <w:t xml:space="preserve">fournies </w:t>
      </w:r>
      <w:r w:rsidR="00F40BA4" w:rsidRPr="00B33AA4">
        <w:t>comme telles</w:t>
      </w:r>
      <w:r w:rsidRPr="00B33AA4">
        <w:t>.</w:t>
      </w:r>
      <w:r w:rsidR="00FC4318">
        <w:t>]</w:t>
      </w:r>
    </w:p>
    <w:p w14:paraId="4F6A0696" w14:textId="2F533276" w:rsidR="00805412" w:rsidRPr="00B33AA4" w:rsidRDefault="00F40BA4" w:rsidP="000655B2">
      <w:pPr>
        <w:pStyle w:val="Heading3"/>
      </w:pPr>
      <w:r w:rsidRPr="00B33AA4">
        <w:t>Comptabilisation des produits</w:t>
      </w:r>
      <w:r w:rsidR="006F643E">
        <w:t xml:space="preserve"> (IFRS 15 </w:t>
      </w:r>
      <w:r w:rsidR="00FC4318">
        <w:t>– Contrats conclus avec des clients)</w:t>
      </w:r>
    </w:p>
    <w:p w14:paraId="7E27F94F" w14:textId="77777777" w:rsidR="006B53FA" w:rsidRPr="00B33AA4" w:rsidRDefault="006B53FA" w:rsidP="00C55C35">
      <w:pPr>
        <w:pStyle w:val="09Para"/>
      </w:pPr>
      <w:r w:rsidRPr="00B33AA4">
        <w:t>[</w:t>
      </w:r>
      <w:r w:rsidRPr="00B33AA4">
        <w:rPr>
          <w:i/>
          <w:color w:val="0000FF"/>
        </w:rPr>
        <w:t>L’application des critères de comptabilisation des produits dépend de faits et circonstances très particulières. Un certain nombre de grandes déclarations types liées à la comptabilisation des produits sont présentées ci-après. Toutefois des déclarations supplémentaires devraient être envisagées en fonction de circonstances qui sont propres à l’entité auditée. Si l’entité a obtenu un avis juridique, une déclaration à ce sujet devrait être ajoutée.</w:t>
      </w:r>
      <w:r w:rsidRPr="00B33AA4">
        <w:t>]</w:t>
      </w:r>
    </w:p>
    <w:p w14:paraId="5E943B0B" w14:textId="016A4940" w:rsidR="00913F07" w:rsidRPr="00B33AA4" w:rsidRDefault="00913F07" w:rsidP="00803BDF">
      <w:pPr>
        <w:pStyle w:val="09ParaIndent2"/>
        <w:keepNext/>
        <w:ind w:left="0"/>
      </w:pPr>
      <w:r w:rsidRPr="00B33AA4">
        <w:lastRenderedPageBreak/>
        <w:t>Nous avons procédé à l’examen des critères de comptabilisation des produits selon l’IFRS 15</w:t>
      </w:r>
      <w:r w:rsidR="00FC4318">
        <w:t>, P</w:t>
      </w:r>
      <w:r w:rsidR="00FC4318" w:rsidRPr="00FC4318">
        <w:t xml:space="preserve">roduits des activités ordinaires </w:t>
      </w:r>
      <w:proofErr w:type="gramStart"/>
      <w:r w:rsidR="00FC4318" w:rsidRPr="00FC4318">
        <w:t>tirés</w:t>
      </w:r>
      <w:proofErr w:type="gramEnd"/>
      <w:r w:rsidR="00FC4318" w:rsidRPr="00FC4318">
        <w:t xml:space="preserve"> de contrats conclus avec des clients</w:t>
      </w:r>
      <w:r w:rsidR="00FC4318">
        <w:t xml:space="preserve">, </w:t>
      </w:r>
      <w:r w:rsidRPr="00B33AA4">
        <w:t>et nous avons conclu que notre méthode de comptabilisation des produits était conforme aux exigences des IFRS. Nous vous avons communiqué toutes les informations afférentes. De plus, nous avons transmis les résultats de cet examen</w:t>
      </w:r>
      <w:r w:rsidR="00F925B1">
        <w:t>, p</w:t>
      </w:r>
      <w:r w:rsidR="001D46F3">
        <w:t>lus particulièrement :</w:t>
      </w:r>
    </w:p>
    <w:p w14:paraId="77A9EBD6" w14:textId="0AB2D722" w:rsidR="00913F07" w:rsidRPr="00B33AA4" w:rsidRDefault="00913F07" w:rsidP="004C5215">
      <w:pPr>
        <w:pStyle w:val="09ParaIndent2"/>
        <w:numPr>
          <w:ilvl w:val="0"/>
          <w:numId w:val="22"/>
        </w:numPr>
      </w:pPr>
      <w:r w:rsidRPr="00B33AA4">
        <w:t>Nous avons identifié tous les accords générateurs de produits des activités ordinaires (y</w:t>
      </w:r>
      <w:r w:rsidR="00803BDF">
        <w:t> </w:t>
      </w:r>
      <w:r w:rsidRPr="00B33AA4">
        <w:t>compris ceux comportant plusieurs obligations de prestation) et nous avons appliqué l’IFRS 15 à chaque obli</w:t>
      </w:r>
      <w:r w:rsidR="00436FFA" w:rsidRPr="00B33AA4">
        <w:t>gation de prestation distincte.</w:t>
      </w:r>
    </w:p>
    <w:p w14:paraId="4CC95E96" w14:textId="77777777" w:rsidR="00913F07" w:rsidRPr="00B33AA4" w:rsidRDefault="00913F07" w:rsidP="004C5215">
      <w:pPr>
        <w:pStyle w:val="09ParaIndent2"/>
        <w:numPr>
          <w:ilvl w:val="0"/>
          <w:numId w:val="22"/>
        </w:numPr>
      </w:pPr>
      <w:r w:rsidRPr="00B33AA4">
        <w:t>Pour déterminer le prix de transaction, nous avons recensé toutes les conditions donnant lieu à une contrepartie variable. Nous avons inclus de la contrepartie variable dans le prix de transaction uniquement s’il est hautement probable que le dénouement ultérieur de l’incertitude relative à la contrepartie variable ne donnera pas lieu à un ajustement à la baisse important du montant cumulatif des produits des activités ordinaires comptabilisé.</w:t>
      </w:r>
    </w:p>
    <w:p w14:paraId="643E856B" w14:textId="77777777" w:rsidR="00913F07" w:rsidRPr="00B33AA4" w:rsidRDefault="00913F07" w:rsidP="004C5215">
      <w:pPr>
        <w:pStyle w:val="09ParaIndent2"/>
        <w:numPr>
          <w:ilvl w:val="0"/>
          <w:numId w:val="22"/>
        </w:numPr>
      </w:pPr>
      <w:r w:rsidRPr="00B33AA4">
        <w:t>Pour répartir le prix de transaction, si le prix de vente spécifique ne peut être observé directement, nous avons estimé le prix de vente spécifique en prenant en compte toute l’information raisonnablement disponible. De plus, nous avons maximisé l’utilisation des données d’entrée observables et appliqué les méthodes d’estimation de façon uniforme dans des circonstances similaires.</w:t>
      </w:r>
    </w:p>
    <w:p w14:paraId="4D914D69" w14:textId="55AABB77" w:rsidR="00913F07" w:rsidRPr="00B33AA4" w:rsidRDefault="00913F07" w:rsidP="004C5215">
      <w:pPr>
        <w:pStyle w:val="09ParaIndent2"/>
        <w:numPr>
          <w:ilvl w:val="0"/>
          <w:numId w:val="22"/>
        </w:numPr>
      </w:pPr>
      <w:r w:rsidRPr="00B33AA4">
        <w:t>Pour les obligations de prestation remplies progressivement, nous avons comptabilisé les produits des activités ordinaires en utilisant une méthode appropriée d’évaluation du</w:t>
      </w:r>
      <w:r w:rsidR="00803BDF">
        <w:t> </w:t>
      </w:r>
      <w:r w:rsidRPr="00B33AA4">
        <w:t>degré d’avancement qui comprend le transfert du contrôle des b</w:t>
      </w:r>
      <w:r w:rsidR="001D46F3">
        <w:t>iens et des services au</w:t>
      </w:r>
      <w:r w:rsidR="00095C0D">
        <w:t> </w:t>
      </w:r>
      <w:r w:rsidR="001D46F3">
        <w:t>client.</w:t>
      </w:r>
    </w:p>
    <w:p w14:paraId="5A53926E" w14:textId="40DB6AD3" w:rsidR="00913F07" w:rsidRPr="00B33AA4" w:rsidRDefault="00913F07" w:rsidP="004C5215">
      <w:pPr>
        <w:pStyle w:val="09ParaIndent2"/>
        <w:numPr>
          <w:ilvl w:val="0"/>
          <w:numId w:val="22"/>
        </w:numPr>
      </w:pPr>
      <w:r w:rsidRPr="00B33AA4">
        <w:t>Nous avons respecté les exigences relatives aux informations à fournir de l’IFRS 15, y compris la communication des informations sur les obligations de prestation qui restent à remplir</w:t>
      </w:r>
      <w:r w:rsidR="00FC4318">
        <w:t>.</w:t>
      </w:r>
    </w:p>
    <w:p w14:paraId="53256545" w14:textId="77777777" w:rsidR="00913F07" w:rsidRPr="00B33AA4" w:rsidRDefault="00913F07" w:rsidP="004C5215">
      <w:pPr>
        <w:pStyle w:val="09ParaIndent2"/>
        <w:numPr>
          <w:ilvl w:val="0"/>
          <w:numId w:val="22"/>
        </w:numPr>
      </w:pPr>
      <w:r w:rsidRPr="00B33AA4">
        <w:t>Nous avons identifié et comptabilisé les modifications de contrat conformément à l’IFRS 15.</w:t>
      </w:r>
    </w:p>
    <w:p w14:paraId="5CAAE3B4" w14:textId="3C9DE5D0" w:rsidR="00913F07" w:rsidRPr="00B33AA4" w:rsidRDefault="00913F07" w:rsidP="00436FFA">
      <w:pPr>
        <w:pStyle w:val="09Para"/>
      </w:pPr>
      <w:r w:rsidRPr="00B33AA4">
        <w:t>Nous vous avons communiqué tous les accords distincts conclus au même moment ou presque</w:t>
      </w:r>
      <w:r w:rsidR="00FC4318">
        <w:t xml:space="preserve"> </w:t>
      </w:r>
      <w:r w:rsidRPr="00B33AA4">
        <w:t>avec une même entité ou une partie liée.</w:t>
      </w:r>
    </w:p>
    <w:p w14:paraId="22EE4FDA" w14:textId="7A54881F" w:rsidR="000011FF" w:rsidRPr="00B33AA4" w:rsidRDefault="000011FF" w:rsidP="000011FF">
      <w:pPr>
        <w:pStyle w:val="Heading3"/>
      </w:pPr>
      <w:r w:rsidRPr="00B33AA4">
        <w:t>Contrats déficitaires</w:t>
      </w:r>
    </w:p>
    <w:p w14:paraId="2B7A2168" w14:textId="22F5EC7B" w:rsidR="000011FF" w:rsidRPr="00B33AA4" w:rsidRDefault="00392BBA" w:rsidP="000011FF">
      <w:pPr>
        <w:pStyle w:val="09Para"/>
      </w:pPr>
      <w:r w:rsidRPr="00B33AA4">
        <w:t>Une provision a été comptabilisée pour toutes les pertes prévues sur les contrats déficitaires conformément à l’IAS 37, Provisions, passifs éventuels et actifs éventuels.</w:t>
      </w:r>
      <w:r>
        <w:t xml:space="preserve"> </w:t>
      </w:r>
      <w:r w:rsidRPr="000E5EB7">
        <w:rPr>
          <w:color w:val="0000FF"/>
        </w:rPr>
        <w:t>Afin de satisfaire aux</w:t>
      </w:r>
      <w:r w:rsidR="00803BDF">
        <w:rPr>
          <w:color w:val="0000FF"/>
        </w:rPr>
        <w:t> </w:t>
      </w:r>
      <w:r w:rsidRPr="000E5EB7">
        <w:rPr>
          <w:color w:val="0000FF"/>
        </w:rPr>
        <w:t xml:space="preserve">exigences de la norme IAS 37 concernant les contrats déficitaires, </w:t>
      </w:r>
      <w:r w:rsidRPr="00330C7A">
        <w:t>[</w:t>
      </w:r>
      <w:r w:rsidRPr="000E5EB7">
        <w:rPr>
          <w:color w:val="0000FF"/>
        </w:rPr>
        <w:t>Entité</w:t>
      </w:r>
      <w:r w:rsidRPr="00330C7A">
        <w:t>]</w:t>
      </w:r>
      <w:r w:rsidRPr="000E5EB7">
        <w:rPr>
          <w:color w:val="0000FF"/>
        </w:rPr>
        <w:t xml:space="preserve"> a inclus à la fois</w:t>
      </w:r>
      <w:r w:rsidR="00803BDF">
        <w:rPr>
          <w:color w:val="0000FF"/>
        </w:rPr>
        <w:t> </w:t>
      </w:r>
      <w:r w:rsidRPr="000E5EB7">
        <w:rPr>
          <w:color w:val="0000FF"/>
        </w:rPr>
        <w:t>les coûts marginaux de l’exécution du contrat et une répartition des autres coûts qui se rapportent directement à l’exécution du contrat, au moment de déterminer le coût total estimatif de l’exécution d’un contrat.</w:t>
      </w:r>
    </w:p>
    <w:p w14:paraId="4E7C227A" w14:textId="6588BBDE" w:rsidR="009415B5" w:rsidRPr="00B33AA4" w:rsidRDefault="00E7156A" w:rsidP="000655B2">
      <w:pPr>
        <w:pStyle w:val="Heading3"/>
      </w:pPr>
      <w:r w:rsidRPr="00B33AA4">
        <w:lastRenderedPageBreak/>
        <w:t>Banques</w:t>
      </w:r>
      <w:r w:rsidR="002A6A07" w:rsidRPr="00B33AA4">
        <w:t xml:space="preserve"> et</w:t>
      </w:r>
      <w:r w:rsidRPr="00B33AA4">
        <w:t xml:space="preserve"> coopératives d</w:t>
      </w:r>
      <w:r w:rsidR="00865E23" w:rsidRPr="00B33AA4">
        <w:t>’</w:t>
      </w:r>
      <w:r w:rsidRPr="00B33AA4">
        <w:t>épargne et de crédit</w:t>
      </w:r>
      <w:r w:rsidR="000011FF" w:rsidRPr="00B33AA4">
        <w:t xml:space="preserve"> </w:t>
      </w:r>
    </w:p>
    <w:p w14:paraId="0B438E5F" w14:textId="77777777" w:rsidR="00805412" w:rsidRDefault="000E7D8C" w:rsidP="008F2193">
      <w:pPr>
        <w:pStyle w:val="09Para"/>
      </w:pPr>
      <w:r w:rsidRPr="00B33AA4">
        <w:t xml:space="preserve">Tous les actifs éventuels et les passifs éventuels </w:t>
      </w:r>
      <w:r w:rsidR="00805412" w:rsidRPr="00B33AA4">
        <w:t>(</w:t>
      </w:r>
      <w:r w:rsidRPr="00B33AA4">
        <w:t>y compris les prêts</w:t>
      </w:r>
      <w:r w:rsidR="00E842C5" w:rsidRPr="00B33AA4">
        <w:t xml:space="preserve"> passés </w:t>
      </w:r>
      <w:r w:rsidRPr="00B33AA4">
        <w:t>en charges ou n</w:t>
      </w:r>
      <w:r w:rsidR="00E842C5" w:rsidRPr="00B33AA4">
        <w:t>e faisant pas l’objet d’une capitalisation</w:t>
      </w:r>
      <w:r w:rsidR="00805412" w:rsidRPr="00B33AA4">
        <w:t xml:space="preserve"> </w:t>
      </w:r>
      <w:r w:rsidRPr="00B33AA4">
        <w:t xml:space="preserve">et les lettres de crédit </w:t>
      </w:r>
      <w:r w:rsidR="00E842C5" w:rsidRPr="00B33AA4">
        <w:t>non réglées</w:t>
      </w:r>
      <w:r w:rsidR="000011FF" w:rsidRPr="00B33AA4">
        <w:t>)</w:t>
      </w:r>
      <w:r w:rsidRPr="00B33AA4">
        <w:t xml:space="preserve"> ont été présentés adéquatement dans les états financiers </w:t>
      </w:r>
      <w:r w:rsidR="00805412" w:rsidRPr="00B33AA4">
        <w:t>[</w:t>
      </w:r>
      <w:r w:rsidR="00805412" w:rsidRPr="00B33AA4">
        <w:rPr>
          <w:color w:val="0000FF"/>
        </w:rPr>
        <w:t>consolid</w:t>
      </w:r>
      <w:r w:rsidRPr="00B33AA4">
        <w:rPr>
          <w:color w:val="0000FF"/>
        </w:rPr>
        <w:t>és</w:t>
      </w:r>
      <w:r w:rsidR="00805412" w:rsidRPr="00B33AA4">
        <w:t>]</w:t>
      </w:r>
      <w:r w:rsidR="003B4D1A" w:rsidRPr="00B33AA4">
        <w:t xml:space="preserve">, </w:t>
      </w:r>
      <w:r w:rsidRPr="00B33AA4">
        <w:t>l</w:t>
      </w:r>
      <w:r w:rsidR="00E842C5" w:rsidRPr="00B33AA4">
        <w:t>e cas échéant</w:t>
      </w:r>
      <w:r w:rsidR="00805412" w:rsidRPr="00B33AA4">
        <w:t>.</w:t>
      </w:r>
    </w:p>
    <w:p w14:paraId="35AD99D6" w14:textId="0A449AED" w:rsidR="00805412" w:rsidRPr="00B33AA4" w:rsidRDefault="00E1146B" w:rsidP="008F2193">
      <w:pPr>
        <w:pStyle w:val="09Para"/>
      </w:pPr>
      <w:r w:rsidRPr="00B33AA4">
        <w:t xml:space="preserve">Nous avons </w:t>
      </w:r>
      <w:r w:rsidR="002501B1" w:rsidRPr="00B33AA4">
        <w:t>mis à votre disposition tous les rapports r</w:t>
      </w:r>
      <w:r w:rsidR="00F36BA5">
        <w:t>é</w:t>
      </w:r>
      <w:r w:rsidR="002501B1" w:rsidRPr="00B33AA4">
        <w:t>glementaires ou les rapports d</w:t>
      </w:r>
      <w:r w:rsidR="00865E23" w:rsidRPr="00B33AA4">
        <w:t>’</w:t>
      </w:r>
      <w:r w:rsidR="002501B1" w:rsidRPr="00B33AA4">
        <w:t xml:space="preserve">examen, la correspondance </w:t>
      </w:r>
      <w:r w:rsidR="00E842C5" w:rsidRPr="00B33AA4">
        <w:t>avec les autorités de surveillance</w:t>
      </w:r>
      <w:r w:rsidR="002501B1" w:rsidRPr="00B33AA4">
        <w:t xml:space="preserve"> et toute autre correspondance similaire </w:t>
      </w:r>
      <w:r w:rsidR="005556E0" w:rsidRPr="00B33AA4">
        <w:t xml:space="preserve">provenant </w:t>
      </w:r>
      <w:r w:rsidR="002501B1" w:rsidRPr="00B33AA4">
        <w:t>des organis</w:t>
      </w:r>
      <w:r w:rsidR="002B4053" w:rsidRPr="00B33AA4">
        <w:t>mes de réglementation compétent</w:t>
      </w:r>
      <w:r w:rsidR="002501B1" w:rsidRPr="00B33AA4">
        <w:t>s</w:t>
      </w:r>
      <w:r w:rsidR="00805412" w:rsidRPr="00B33AA4">
        <w:t>.</w:t>
      </w:r>
    </w:p>
    <w:p w14:paraId="5FF3853A" w14:textId="416ACED0" w:rsidR="009415B5" w:rsidRPr="00B33AA4" w:rsidRDefault="00803BDF" w:rsidP="000655B2">
      <w:pPr>
        <w:pStyle w:val="Heading3"/>
      </w:pPr>
      <w:r w:rsidRPr="00A460AB">
        <w:t>IFRS 17</w:t>
      </w:r>
      <w:r>
        <w:t>,</w:t>
      </w:r>
      <w:r w:rsidRPr="00A460AB">
        <w:t xml:space="preserve"> Contrats d</w:t>
      </w:r>
      <w:r>
        <w:t>’</w:t>
      </w:r>
      <w:r w:rsidRPr="00A460AB">
        <w:t>assurance (IFRS</w:t>
      </w:r>
      <w:r>
        <w:t> </w:t>
      </w:r>
      <w:r w:rsidRPr="00A460AB">
        <w:t xml:space="preserve">17) </w:t>
      </w:r>
      <w:r>
        <w:t>–</w:t>
      </w:r>
      <w:r w:rsidRPr="00A460AB">
        <w:t xml:space="preserve"> Contrats d</w:t>
      </w:r>
      <w:r>
        <w:t>’</w:t>
      </w:r>
      <w:r w:rsidRPr="00A460AB">
        <w:t xml:space="preserve">assurance visés par </w:t>
      </w:r>
      <w:r>
        <w:t>l’</w:t>
      </w:r>
      <w:r w:rsidRPr="00A460AB">
        <w:t>IFRS</w:t>
      </w:r>
      <w:r>
        <w:t> </w:t>
      </w:r>
      <w:r w:rsidRPr="00A460AB">
        <w:t>17 identifiés</w:t>
      </w:r>
    </w:p>
    <w:p w14:paraId="7CCF08E3" w14:textId="77777777" w:rsidR="00803BDF" w:rsidRDefault="00803BDF" w:rsidP="00803BDF">
      <w:pPr>
        <w:pStyle w:val="09Para"/>
      </w:pPr>
      <w:r>
        <w:t>[</w:t>
      </w:r>
      <w:r w:rsidRPr="008C6E23">
        <w:rPr>
          <w:i/>
          <w:color w:val="0000FF"/>
        </w:rPr>
        <w:t xml:space="preserve">Toutes les références </w:t>
      </w:r>
      <w:r>
        <w:rPr>
          <w:i/>
          <w:color w:val="0000FF"/>
        </w:rPr>
        <w:t>à des</w:t>
      </w:r>
      <w:r w:rsidRPr="008C6E23">
        <w:rPr>
          <w:i/>
          <w:color w:val="0000FF"/>
        </w:rPr>
        <w:t xml:space="preserve"> contrats d</w:t>
      </w:r>
      <w:r>
        <w:rPr>
          <w:i/>
          <w:color w:val="0000FF"/>
        </w:rPr>
        <w:t>’</w:t>
      </w:r>
      <w:r w:rsidRPr="008C6E23">
        <w:rPr>
          <w:i/>
          <w:color w:val="0000FF"/>
        </w:rPr>
        <w:t>assurance dans les paragraphes qui suivent s</w:t>
      </w:r>
      <w:r>
        <w:rPr>
          <w:i/>
          <w:color w:val="0000FF"/>
        </w:rPr>
        <w:t>’</w:t>
      </w:r>
      <w:r w:rsidRPr="008C6E23">
        <w:rPr>
          <w:i/>
          <w:color w:val="0000FF"/>
        </w:rPr>
        <w:t>appliquent également aux contrats de réassurance détenus et aux contrats d</w:t>
      </w:r>
      <w:r>
        <w:rPr>
          <w:i/>
          <w:color w:val="0000FF"/>
        </w:rPr>
        <w:t>’</w:t>
      </w:r>
      <w:r w:rsidRPr="008C6E23">
        <w:rPr>
          <w:i/>
          <w:color w:val="0000FF"/>
        </w:rPr>
        <w:t xml:space="preserve">investissement avec participation discrétionnaire </w:t>
      </w:r>
      <w:r>
        <w:rPr>
          <w:i/>
          <w:color w:val="0000FF"/>
        </w:rPr>
        <w:t>visés par</w:t>
      </w:r>
      <w:r w:rsidRPr="008C6E23">
        <w:rPr>
          <w:i/>
          <w:color w:val="0000FF"/>
        </w:rPr>
        <w:t xml:space="preserve"> </w:t>
      </w:r>
      <w:r>
        <w:rPr>
          <w:i/>
          <w:color w:val="0000FF"/>
        </w:rPr>
        <w:t>l’</w:t>
      </w:r>
      <w:r w:rsidRPr="008C6E23">
        <w:rPr>
          <w:i/>
          <w:color w:val="0000FF"/>
        </w:rPr>
        <w:t>IFRS</w:t>
      </w:r>
      <w:r>
        <w:rPr>
          <w:i/>
          <w:color w:val="0000FF"/>
        </w:rPr>
        <w:t> </w:t>
      </w:r>
      <w:r w:rsidRPr="008C6E23">
        <w:rPr>
          <w:i/>
          <w:color w:val="0000FF"/>
        </w:rPr>
        <w:t>17.</w:t>
      </w:r>
      <w:r>
        <w:t>]</w:t>
      </w:r>
    </w:p>
    <w:p w14:paraId="45CA699A" w14:textId="77777777" w:rsidR="00803BDF" w:rsidRPr="008C6E23" w:rsidRDefault="00803BDF" w:rsidP="00803BDF">
      <w:pPr>
        <w:pStyle w:val="09Para"/>
        <w:rPr>
          <w:i/>
        </w:rPr>
      </w:pPr>
      <w:r w:rsidRPr="008C6E23">
        <w:rPr>
          <w:i/>
        </w:rPr>
        <w:t>Adoption initiale</w:t>
      </w:r>
    </w:p>
    <w:p w14:paraId="01420CCB" w14:textId="0B0B8708" w:rsidR="00803BDF" w:rsidRDefault="00803BDF" w:rsidP="00803BDF">
      <w:pPr>
        <w:pStyle w:val="09Para"/>
      </w:pPr>
      <w:r w:rsidRPr="00A460AB">
        <w:t>L</w:t>
      </w:r>
      <w:r>
        <w:t>’</w:t>
      </w:r>
      <w:r w:rsidRPr="00A460AB">
        <w:t xml:space="preserve">approche rétrospective </w:t>
      </w:r>
      <w:r>
        <w:t xml:space="preserve">intégrale </w:t>
      </w:r>
      <w:r w:rsidRPr="00A460AB">
        <w:t xml:space="preserve">a été appliquée </w:t>
      </w:r>
      <w:r>
        <w:t>aux</w:t>
      </w:r>
      <w:r w:rsidRPr="00A460AB">
        <w:t xml:space="preserve"> groupes de contrats d</w:t>
      </w:r>
      <w:r>
        <w:t>’</w:t>
      </w:r>
      <w:r w:rsidRPr="00A460AB">
        <w:t>assurance en</w:t>
      </w:r>
      <w:r>
        <w:t> </w:t>
      </w:r>
      <w:r w:rsidRPr="00A460AB">
        <w:t xml:space="preserve">vigueur pendant la transition, </w:t>
      </w:r>
      <w:r>
        <w:t>sauf si</w:t>
      </w:r>
      <w:r w:rsidRPr="00A460AB">
        <w:t>, après avoir fait tous les efforts raisonnables, nous considérions qu</w:t>
      </w:r>
      <w:r>
        <w:t>’</w:t>
      </w:r>
      <w:r w:rsidRPr="00A460AB">
        <w:t>une telle approche ne serait pas pratique. En effectuant cette é</w:t>
      </w:r>
      <w:r>
        <w:t>valuation pour chaque composant</w:t>
      </w:r>
      <w:r w:rsidRPr="00A460AB">
        <w:t xml:space="preserve"> du modèle </w:t>
      </w:r>
      <w:r>
        <w:t>d’évaluation</w:t>
      </w:r>
      <w:r w:rsidRPr="00A460AB">
        <w:t>, nous avons tenu compte des données historiques par groupe de contrats d</w:t>
      </w:r>
      <w:r>
        <w:t>’</w:t>
      </w:r>
      <w:r w:rsidRPr="00A460AB">
        <w:t xml:space="preserve">assurance qui étaient </w:t>
      </w:r>
      <w:r>
        <w:t xml:space="preserve">accessibles </w:t>
      </w:r>
      <w:r w:rsidRPr="00A460AB">
        <w:t>ou qui auraient pu être recréées</w:t>
      </w:r>
      <w:r>
        <w:t>,</w:t>
      </w:r>
      <w:r w:rsidRPr="00A460AB">
        <w:t xml:space="preserve"> et nous avons évalué dans quelle mesure </w:t>
      </w:r>
      <w:r>
        <w:t xml:space="preserve">il était possible d’effectuer </w:t>
      </w:r>
      <w:r w:rsidRPr="00A460AB">
        <w:t>le</w:t>
      </w:r>
      <w:r>
        <w:t>s</w:t>
      </w:r>
      <w:r w:rsidRPr="00A460AB">
        <w:t xml:space="preserve"> calcul</w:t>
      </w:r>
      <w:r>
        <w:t>s liés à l’approche rétrospective</w:t>
      </w:r>
      <w:r w:rsidRPr="00A460AB">
        <w:t xml:space="preserve"> </w:t>
      </w:r>
      <w:r>
        <w:t xml:space="preserve">intégrale </w:t>
      </w:r>
      <w:r w:rsidRPr="00A460AB">
        <w:t xml:space="preserve">sans </w:t>
      </w:r>
      <w:r w:rsidRPr="001A50E5">
        <w:t>avoir recours à des connaissances a posteriori</w:t>
      </w:r>
      <w:r w:rsidRPr="00A460AB">
        <w:t>.</w:t>
      </w:r>
    </w:p>
    <w:p w14:paraId="5DF18509" w14:textId="1BBFD10F" w:rsidR="00803BDF" w:rsidRDefault="00803BDF" w:rsidP="00803BDF">
      <w:pPr>
        <w:pStyle w:val="09Para"/>
      </w:pPr>
      <w:r>
        <w:t>En raison de l’accessibilité des données, il est impossible d’appliquer l’approche rétrospective intégrale avant [</w:t>
      </w:r>
      <w:r w:rsidRPr="008C6E23">
        <w:rPr>
          <w:color w:val="0000FF"/>
        </w:rPr>
        <w:t>20XX</w:t>
      </w:r>
      <w:r>
        <w:t>]. Nous avons donc adopté l’approche [</w:t>
      </w:r>
      <w:r w:rsidRPr="008C6E23">
        <w:rPr>
          <w:color w:val="0000FF"/>
        </w:rPr>
        <w:t>rétrospective modifiée</w:t>
      </w:r>
      <w:r>
        <w:rPr>
          <w:color w:val="0000FF"/>
        </w:rPr>
        <w:t> </w:t>
      </w:r>
      <w:r w:rsidRPr="008C6E23">
        <w:rPr>
          <w:color w:val="0000FF"/>
        </w:rPr>
        <w:t xml:space="preserve">/ </w:t>
      </w:r>
      <w:r>
        <w:rPr>
          <w:color w:val="0000FF"/>
        </w:rPr>
        <w:t xml:space="preserve">fondée sur la </w:t>
      </w:r>
      <w:r w:rsidRPr="008C6E23">
        <w:rPr>
          <w:color w:val="0000FF"/>
        </w:rPr>
        <w:t>juste valeur</w:t>
      </w:r>
      <w:r>
        <w:t>] avant cette date. [</w:t>
      </w:r>
      <w:r>
        <w:rPr>
          <w:color w:val="0000FF"/>
        </w:rPr>
        <w:t xml:space="preserve">Veuillez préciser si </w:t>
      </w:r>
      <w:r w:rsidRPr="008C6E23">
        <w:rPr>
          <w:color w:val="0000FF"/>
        </w:rPr>
        <w:t>de multiples approches sont utilisées</w:t>
      </w:r>
      <w:r>
        <w:t>.]</w:t>
      </w:r>
    </w:p>
    <w:p w14:paraId="15899A71" w14:textId="29F40FC2" w:rsidR="00803BDF" w:rsidRDefault="00803BDF" w:rsidP="00803BDF">
      <w:pPr>
        <w:pStyle w:val="09Para"/>
      </w:pPr>
      <w:r>
        <w:t>Les données financières et non financières à l’appui i) des ajustements apportés [</w:t>
      </w:r>
      <w:r>
        <w:rPr>
          <w:color w:val="0000FF"/>
        </w:rPr>
        <w:t>au</w:t>
      </w:r>
      <w:r w:rsidRPr="008C6E23">
        <w:rPr>
          <w:color w:val="0000FF"/>
        </w:rPr>
        <w:t xml:space="preserve"> bilan</w:t>
      </w:r>
      <w:r>
        <w:rPr>
          <w:color w:val="0000FF"/>
        </w:rPr>
        <w:t> </w:t>
      </w:r>
      <w:r w:rsidRPr="008C6E23">
        <w:rPr>
          <w:color w:val="0000FF"/>
        </w:rPr>
        <w:t xml:space="preserve">/ </w:t>
      </w:r>
      <w:r>
        <w:rPr>
          <w:color w:val="0000FF"/>
        </w:rPr>
        <w:t>à l’</w:t>
      </w:r>
      <w:r w:rsidRPr="008C6E23">
        <w:rPr>
          <w:color w:val="0000FF"/>
        </w:rPr>
        <w:t>état de la situation financière</w:t>
      </w:r>
      <w:r>
        <w:t>] d’ouverture [</w:t>
      </w:r>
      <w:r>
        <w:rPr>
          <w:color w:val="0000FF"/>
        </w:rPr>
        <w:t>consolidé</w:t>
      </w:r>
      <w:r>
        <w:t>] dans le cadre de la première application de l’IFRS 17 et ii) des informations comparatives au titre de l’année d’adoption, qui ne faisaient pas auparavant partie des livres comptables selon l’IFRS 4, ont été soumises à un niveau adéquat de contrôle à l’égard des processus utilisés pour arriver à ces chiffres et informations.</w:t>
      </w:r>
    </w:p>
    <w:p w14:paraId="5AF69CC4" w14:textId="0D511FB9" w:rsidR="00803BDF" w:rsidRDefault="00803BDF" w:rsidP="00803BDF">
      <w:pPr>
        <w:pStyle w:val="09Para"/>
      </w:pPr>
      <w:r w:rsidRPr="00A460AB">
        <w:t xml:space="preserve">Nous avons correctement appliqué les </w:t>
      </w:r>
      <w:r>
        <w:t>dispositions</w:t>
      </w:r>
      <w:r w:rsidRPr="00A460AB">
        <w:t xml:space="preserve"> </w:t>
      </w:r>
      <w:r>
        <w:t>de l’</w:t>
      </w:r>
      <w:r w:rsidRPr="00A460AB">
        <w:t>IFRS</w:t>
      </w:r>
      <w:r>
        <w:t> </w:t>
      </w:r>
      <w:r w:rsidRPr="00A460AB">
        <w:t xml:space="preserve">17 et </w:t>
      </w:r>
      <w:r>
        <w:t>de l’</w:t>
      </w:r>
      <w:r w:rsidRPr="00A460AB">
        <w:t>IFRS</w:t>
      </w:r>
      <w:r>
        <w:t> </w:t>
      </w:r>
      <w:r w:rsidRPr="00A460AB">
        <w:t>13 (à l</w:t>
      </w:r>
      <w:r>
        <w:t>’</w:t>
      </w:r>
      <w:r w:rsidRPr="00A460AB">
        <w:t xml:space="preserve">exception </w:t>
      </w:r>
      <w:r>
        <w:t xml:space="preserve">de la disposition du paragraphe 47 </w:t>
      </w:r>
      <w:r w:rsidRPr="00A460AB">
        <w:t xml:space="preserve">de </w:t>
      </w:r>
      <w:r>
        <w:t>l’</w:t>
      </w:r>
      <w:r w:rsidRPr="00A460AB">
        <w:t>IFRS</w:t>
      </w:r>
      <w:r>
        <w:t> </w:t>
      </w:r>
      <w:r w:rsidRPr="00A460AB">
        <w:t>13</w:t>
      </w:r>
      <w:r>
        <w:t xml:space="preserve"> relative</w:t>
      </w:r>
      <w:r w:rsidRPr="00A460AB">
        <w:t xml:space="preserve"> aux </w:t>
      </w:r>
      <w:r>
        <w:t>composantes à vue</w:t>
      </w:r>
      <w:r w:rsidRPr="00A460AB">
        <w:t xml:space="preserve"> qui ne </w:t>
      </w:r>
      <w:r>
        <w:t>doit pas</w:t>
      </w:r>
      <w:r w:rsidR="00483BDF">
        <w:t> </w:t>
      </w:r>
      <w:r>
        <w:t>être appliquée</w:t>
      </w:r>
      <w:r w:rsidRPr="00A460AB">
        <w:t xml:space="preserve"> aux fins [</w:t>
      </w:r>
      <w:r>
        <w:rPr>
          <w:color w:val="0000FF"/>
        </w:rPr>
        <w:t>du b</w:t>
      </w:r>
      <w:r w:rsidRPr="008C6E23">
        <w:rPr>
          <w:color w:val="0000FF"/>
        </w:rPr>
        <w:t>ilan</w:t>
      </w:r>
      <w:r w:rsidR="00847A58">
        <w:rPr>
          <w:color w:val="0000FF"/>
        </w:rPr>
        <w:t xml:space="preserve"> </w:t>
      </w:r>
      <w:r w:rsidRPr="008C6E23">
        <w:rPr>
          <w:color w:val="0000FF"/>
        </w:rPr>
        <w:t>/</w:t>
      </w:r>
      <w:r w:rsidR="00847A58">
        <w:rPr>
          <w:color w:val="0000FF"/>
        </w:rPr>
        <w:t xml:space="preserve"> </w:t>
      </w:r>
      <w:r>
        <w:rPr>
          <w:color w:val="0000FF"/>
        </w:rPr>
        <w:t>de l’</w:t>
      </w:r>
      <w:r w:rsidRPr="008C6E23">
        <w:rPr>
          <w:color w:val="0000FF"/>
        </w:rPr>
        <w:t>état de la situation financière</w:t>
      </w:r>
      <w:r w:rsidRPr="00A460AB">
        <w:t>] d</w:t>
      </w:r>
      <w:r>
        <w:t>’</w:t>
      </w:r>
      <w:r w:rsidRPr="00A460AB">
        <w:t>ouverture [</w:t>
      </w:r>
      <w:r w:rsidRPr="008C6E23">
        <w:rPr>
          <w:color w:val="0000FF"/>
        </w:rPr>
        <w:t>consolidé</w:t>
      </w:r>
      <w:r w:rsidRPr="00A460AB">
        <w:t xml:space="preserve">]) </w:t>
      </w:r>
      <w:r>
        <w:t xml:space="preserve">pour </w:t>
      </w:r>
      <w:r w:rsidRPr="00A460AB">
        <w:t>déterminer la juste valeur des groupes de contrats d</w:t>
      </w:r>
      <w:r>
        <w:t>’</w:t>
      </w:r>
      <w:r w:rsidRPr="00A460AB">
        <w:t>assurance aux fins [</w:t>
      </w:r>
      <w:r>
        <w:rPr>
          <w:color w:val="0000FF"/>
        </w:rPr>
        <w:t>du b</w:t>
      </w:r>
      <w:r w:rsidRPr="00AE0961">
        <w:rPr>
          <w:color w:val="0000FF"/>
        </w:rPr>
        <w:t>ilan</w:t>
      </w:r>
      <w:r w:rsidR="00847A58">
        <w:rPr>
          <w:color w:val="0000FF"/>
        </w:rPr>
        <w:t xml:space="preserve"> </w:t>
      </w:r>
      <w:r w:rsidRPr="00AE0961">
        <w:rPr>
          <w:color w:val="0000FF"/>
        </w:rPr>
        <w:t>/</w:t>
      </w:r>
      <w:r w:rsidR="00847A58">
        <w:rPr>
          <w:color w:val="0000FF"/>
        </w:rPr>
        <w:t xml:space="preserve"> </w:t>
      </w:r>
      <w:r>
        <w:rPr>
          <w:color w:val="0000FF"/>
        </w:rPr>
        <w:t>de l’</w:t>
      </w:r>
      <w:r w:rsidRPr="00AE0961">
        <w:rPr>
          <w:color w:val="0000FF"/>
        </w:rPr>
        <w:t>état de la situation financière</w:t>
      </w:r>
      <w:r w:rsidRPr="00A460AB">
        <w:t>] d</w:t>
      </w:r>
      <w:r>
        <w:t>’</w:t>
      </w:r>
      <w:r w:rsidRPr="00A460AB">
        <w:t>ouverture [</w:t>
      </w:r>
      <w:r w:rsidRPr="00AE0961">
        <w:rPr>
          <w:color w:val="0000FF"/>
        </w:rPr>
        <w:t>consolidé</w:t>
      </w:r>
      <w:r w:rsidRPr="00A460AB">
        <w:t>] et des contrats acquis dans le cadre d</w:t>
      </w:r>
      <w:r>
        <w:t>’</w:t>
      </w:r>
      <w:r w:rsidRPr="00A460AB">
        <w:t>un regroupement d</w:t>
      </w:r>
      <w:r>
        <w:t>’</w:t>
      </w:r>
      <w:r w:rsidRPr="00A460AB">
        <w:t xml:space="preserve">entreprises. Nous avons communiqué de manière appropriée les informations sur les </w:t>
      </w:r>
      <w:r>
        <w:t>évaluations</w:t>
      </w:r>
      <w:r w:rsidRPr="00A460AB">
        <w:t xml:space="preserve"> de </w:t>
      </w:r>
      <w:r>
        <w:t xml:space="preserve">la </w:t>
      </w:r>
      <w:r w:rsidRPr="00A460AB">
        <w:t>juste valeur utilisées dans les états financiers [</w:t>
      </w:r>
      <w:r w:rsidRPr="008C6E23">
        <w:rPr>
          <w:color w:val="0000FF"/>
        </w:rPr>
        <w:t>consolidés</w:t>
      </w:r>
      <w:r w:rsidRPr="00A460AB">
        <w:t xml:space="preserve">] conformément aux </w:t>
      </w:r>
      <w:r>
        <w:t>dispositions</w:t>
      </w:r>
      <w:r w:rsidRPr="00A460AB">
        <w:t xml:space="preserve"> de </w:t>
      </w:r>
      <w:r>
        <w:t>l’</w:t>
      </w:r>
      <w:r w:rsidRPr="00A460AB">
        <w:t xml:space="preserve">IFRS 17 et de </w:t>
      </w:r>
      <w:r>
        <w:t>l’</w:t>
      </w:r>
      <w:r w:rsidRPr="00A460AB">
        <w:t>IFRS 13.</w:t>
      </w:r>
    </w:p>
    <w:p w14:paraId="41E9027D" w14:textId="77777777" w:rsidR="00803BDF" w:rsidRPr="008C6E23" w:rsidRDefault="00803BDF" w:rsidP="00803BDF">
      <w:pPr>
        <w:pStyle w:val="09Para"/>
        <w:rPr>
          <w:i/>
        </w:rPr>
      </w:pPr>
      <w:r>
        <w:rPr>
          <w:i/>
        </w:rPr>
        <w:t>Champ d’application et comptabilisation</w:t>
      </w:r>
    </w:p>
    <w:p w14:paraId="231155D8" w14:textId="77777777" w:rsidR="00803BDF" w:rsidRDefault="00803BDF" w:rsidP="00803BDF">
      <w:pPr>
        <w:pStyle w:val="09Para"/>
      </w:pPr>
      <w:r w:rsidRPr="00342551">
        <w:t>Les contrats qui ne transfèrent pas de risque d</w:t>
      </w:r>
      <w:r>
        <w:t>’</w:t>
      </w:r>
      <w:r w:rsidRPr="00342551">
        <w:t xml:space="preserve">assurance important (autres que les contrats </w:t>
      </w:r>
      <w:r>
        <w:t xml:space="preserve">d’investissement avec </w:t>
      </w:r>
      <w:r w:rsidRPr="00342551">
        <w:t xml:space="preserve">participation discrétionnaire) ont été classés, </w:t>
      </w:r>
      <w:r>
        <w:t>évalués</w:t>
      </w:r>
      <w:r w:rsidRPr="00342551">
        <w:t xml:space="preserve"> et présentés dans </w:t>
      </w:r>
      <w:r w:rsidRPr="00342551">
        <w:lastRenderedPageBreak/>
        <w:t>les états financiers [</w:t>
      </w:r>
      <w:r w:rsidRPr="00AE0961">
        <w:rPr>
          <w:color w:val="0000FF"/>
        </w:rPr>
        <w:t>consolidés</w:t>
      </w:r>
      <w:r w:rsidRPr="00342551">
        <w:t xml:space="preserve">] en dehors des actifs et des passifs </w:t>
      </w:r>
      <w:r>
        <w:t xml:space="preserve">au titre des contrats </w:t>
      </w:r>
      <w:r w:rsidRPr="00342551">
        <w:t>d</w:t>
      </w:r>
      <w:r>
        <w:t>’</w:t>
      </w:r>
      <w:r w:rsidRPr="00342551">
        <w:t>assurance.</w:t>
      </w:r>
    </w:p>
    <w:p w14:paraId="6B17108A" w14:textId="77777777" w:rsidR="00803BDF" w:rsidRDefault="00803BDF" w:rsidP="00803BDF">
      <w:pPr>
        <w:pStyle w:val="09Para"/>
      </w:pPr>
      <w:r w:rsidRPr="00F625AB">
        <w:t xml:space="preserve">Tous les </w:t>
      </w:r>
      <w:r>
        <w:t xml:space="preserve">droits et obligations </w:t>
      </w:r>
      <w:r w:rsidRPr="007D533C">
        <w:t xml:space="preserve">substantiels </w:t>
      </w:r>
      <w:r>
        <w:t>exécutoires découlant de dispositions contractuelles, légales ou réglementaires et de nos pratiques opérationnelles habituelles, qu’ils soient explicites ou implicites</w:t>
      </w:r>
      <w:r w:rsidRPr="00F625AB">
        <w:t xml:space="preserve">, sont pris en compte dans </w:t>
      </w:r>
      <w:r>
        <w:t xml:space="preserve">le cadre de </w:t>
      </w:r>
      <w:r w:rsidRPr="00F625AB">
        <w:t>l</w:t>
      </w:r>
      <w:r>
        <w:t>’</w:t>
      </w:r>
      <w:r w:rsidRPr="00F625AB">
        <w:t xml:space="preserve">établissement </w:t>
      </w:r>
      <w:r>
        <w:t>du périmètre</w:t>
      </w:r>
      <w:r w:rsidRPr="00F625AB">
        <w:t xml:space="preserve"> des contrats d</w:t>
      </w:r>
      <w:r>
        <w:t>’</w:t>
      </w:r>
      <w:r w:rsidRPr="00F625AB">
        <w:t xml:space="preserve">assurance et </w:t>
      </w:r>
      <w:r>
        <w:t xml:space="preserve">de </w:t>
      </w:r>
      <w:r w:rsidRPr="00F625AB">
        <w:t>l</w:t>
      </w:r>
      <w:r>
        <w:t>’</w:t>
      </w:r>
      <w:r w:rsidRPr="00F625AB">
        <w:t xml:space="preserve">application de </w:t>
      </w:r>
      <w:r>
        <w:t>l’</w:t>
      </w:r>
      <w:r w:rsidRPr="00F625AB">
        <w:t xml:space="preserve">IFRS 17. Nous ne tenons pas compte des </w:t>
      </w:r>
      <w:r>
        <w:t>modalités dénuées de substance commerciale</w:t>
      </w:r>
      <w:r w:rsidRPr="00F625AB">
        <w:t>. Les flux de trésorerie qui découlent de droits et d</w:t>
      </w:r>
      <w:r>
        <w:t>’</w:t>
      </w:r>
      <w:r w:rsidRPr="00F625AB">
        <w:t xml:space="preserve">obligations </w:t>
      </w:r>
      <w:r>
        <w:t>débordant du périmètre</w:t>
      </w:r>
      <w:r w:rsidRPr="00F625AB">
        <w:t xml:space="preserve"> </w:t>
      </w:r>
      <w:r>
        <w:t xml:space="preserve">des </w:t>
      </w:r>
      <w:r w:rsidRPr="00F625AB">
        <w:t>contrat</w:t>
      </w:r>
      <w:r>
        <w:t>s</w:t>
      </w:r>
      <w:r w:rsidRPr="00F625AB">
        <w:t xml:space="preserve"> ne sont pas pris en compte lors de </w:t>
      </w:r>
      <w:r>
        <w:t xml:space="preserve">l’évaluation </w:t>
      </w:r>
      <w:r w:rsidRPr="00F625AB">
        <w:t>d</w:t>
      </w:r>
      <w:r>
        <w:t>’</w:t>
      </w:r>
      <w:r w:rsidRPr="00F625AB">
        <w:t>un groupe de contrats d</w:t>
      </w:r>
      <w:r>
        <w:t>’</w:t>
      </w:r>
      <w:r w:rsidRPr="00F625AB">
        <w:t>assurance.</w:t>
      </w:r>
    </w:p>
    <w:p w14:paraId="6EE26C80" w14:textId="77777777" w:rsidR="00803BDF" w:rsidRDefault="00803BDF" w:rsidP="00803BDF">
      <w:pPr>
        <w:pStyle w:val="09Para"/>
      </w:pPr>
      <w:r w:rsidRPr="00F625AB">
        <w:t>L</w:t>
      </w:r>
      <w:r>
        <w:t xml:space="preserve">es </w:t>
      </w:r>
      <w:r w:rsidRPr="00F625AB">
        <w:t>actif</w:t>
      </w:r>
      <w:r>
        <w:t>s</w:t>
      </w:r>
      <w:r w:rsidRPr="00F625AB">
        <w:t xml:space="preserve"> ou le</w:t>
      </w:r>
      <w:r>
        <w:t>s</w:t>
      </w:r>
      <w:r w:rsidRPr="00F625AB">
        <w:t xml:space="preserve"> passif</w:t>
      </w:r>
      <w:r>
        <w:t>s</w:t>
      </w:r>
      <w:r w:rsidRPr="00F625AB">
        <w:t xml:space="preserve"> </w:t>
      </w:r>
      <w:r>
        <w:t xml:space="preserve">au titre </w:t>
      </w:r>
      <w:r w:rsidRPr="00F625AB">
        <w:t>des contrats d</w:t>
      </w:r>
      <w:r>
        <w:t>’</w:t>
      </w:r>
      <w:r w:rsidRPr="00F625AB">
        <w:t>assurance excluent les dérivés incorporés qui nécessitent une séparation,</w:t>
      </w:r>
      <w:r>
        <w:t xml:space="preserve"> les</w:t>
      </w:r>
      <w:r w:rsidRPr="00F625AB">
        <w:t xml:space="preserve"> </w:t>
      </w:r>
      <w:r>
        <w:t>composants investissements distinct</w:t>
      </w:r>
      <w:r w:rsidRPr="00F625AB">
        <w:t>s</w:t>
      </w:r>
      <w:r>
        <w:t xml:space="preserve"> ainsi que les promesses </w:t>
      </w:r>
      <w:r w:rsidRPr="007F1F2C">
        <w:t>de fournir au titulaire des biens distincts ou des services distincts autres que des services prévus au contrat d</w:t>
      </w:r>
      <w:r>
        <w:t>’</w:t>
      </w:r>
      <w:r w:rsidRPr="007F1F2C">
        <w:t>assurance</w:t>
      </w:r>
      <w:r w:rsidRPr="00F625AB">
        <w:t xml:space="preserve">. </w:t>
      </w:r>
      <w:r>
        <w:t>U</w:t>
      </w:r>
      <w:r w:rsidRPr="00F625AB">
        <w:t>n contrat d</w:t>
      </w:r>
      <w:r>
        <w:t>’</w:t>
      </w:r>
      <w:r w:rsidRPr="00F625AB">
        <w:t xml:space="preserve">assurance </w:t>
      </w:r>
      <w:r>
        <w:t xml:space="preserve">unique de nature </w:t>
      </w:r>
      <w:r w:rsidRPr="00F625AB">
        <w:t xml:space="preserve">juridique </w:t>
      </w:r>
      <w:r>
        <w:t xml:space="preserve">est séparé </w:t>
      </w:r>
      <w:r w:rsidRPr="00F625AB">
        <w:t xml:space="preserve">si, et seulement si, il reflète la substance des droits et obligations </w:t>
      </w:r>
      <w:r>
        <w:t>prévus au</w:t>
      </w:r>
      <w:r w:rsidRPr="00F625AB">
        <w:t xml:space="preserve"> contrat après </w:t>
      </w:r>
      <w:r>
        <w:t xml:space="preserve">la prise en </w:t>
      </w:r>
      <w:r w:rsidRPr="00F625AB">
        <w:t xml:space="preserve">compte de tous les faits pertinents, </w:t>
      </w:r>
      <w:r>
        <w:t>notamment</w:t>
      </w:r>
      <w:r w:rsidRPr="00F625AB">
        <w:t> :</w:t>
      </w:r>
    </w:p>
    <w:p w14:paraId="7F6959C4" w14:textId="53185BD0" w:rsidR="00803BDF" w:rsidRDefault="00803BDF" w:rsidP="00483BDF">
      <w:pPr>
        <w:pStyle w:val="09Para"/>
        <w:numPr>
          <w:ilvl w:val="0"/>
          <w:numId w:val="30"/>
        </w:numPr>
      </w:pPr>
      <w:r>
        <w:t>l’interdépendance entre les différents risques couverts;</w:t>
      </w:r>
    </w:p>
    <w:p w14:paraId="07A5AA5E" w14:textId="00C09362" w:rsidR="00803BDF" w:rsidRDefault="00803BDF" w:rsidP="00483BDF">
      <w:pPr>
        <w:pStyle w:val="09Para"/>
        <w:numPr>
          <w:ilvl w:val="0"/>
          <w:numId w:val="30"/>
        </w:numPr>
      </w:pPr>
      <w:r>
        <w:t>la déchéance commune des composants;</w:t>
      </w:r>
    </w:p>
    <w:p w14:paraId="79859CDB" w14:textId="3C3061B5" w:rsidR="00803BDF" w:rsidRDefault="00803BDF" w:rsidP="00483BDF">
      <w:pPr>
        <w:pStyle w:val="09Para"/>
        <w:numPr>
          <w:ilvl w:val="0"/>
          <w:numId w:val="30"/>
        </w:numPr>
      </w:pPr>
      <w:r>
        <w:t>la possibilité d’établir le prix des composants et de vendre ceux-ci de façon séparée.</w:t>
      </w:r>
    </w:p>
    <w:p w14:paraId="15DF6D0E" w14:textId="450F570A" w:rsidR="00803BDF" w:rsidRDefault="00803BDF" w:rsidP="00803BDF">
      <w:pPr>
        <w:pStyle w:val="09Para"/>
      </w:pPr>
      <w:r>
        <w:t>Une série de contrats d’assurance conclus avec une seule contrepartie ou avec des contreparties qui lui sont liées destinée à exercer un effet commercial d’ensemble est combinée</w:t>
      </w:r>
      <w:r w:rsidR="00483BDF">
        <w:t> </w:t>
      </w:r>
      <w:r>
        <w:t>lorsqu’elle aboutit à la communication de la substance de l’entente.</w:t>
      </w:r>
    </w:p>
    <w:p w14:paraId="3767705A" w14:textId="5CEA295F" w:rsidR="00803BDF" w:rsidRDefault="00803BDF" w:rsidP="00803BDF">
      <w:pPr>
        <w:pStyle w:val="09Para"/>
      </w:pPr>
      <w:r>
        <w:t>Aux fins de la préparation des états financiers [</w:t>
      </w:r>
      <w:r w:rsidRPr="00B33AA4">
        <w:rPr>
          <w:color w:val="0000FF"/>
        </w:rPr>
        <w:t>consolidés</w:t>
      </w:r>
      <w:r>
        <w:t>], il existe des méthodes comptables uniformes pour des groupes similaires de contrats d’assurance dans l’ensemble des entités et</w:t>
      </w:r>
      <w:r w:rsidR="00483BDF">
        <w:t> </w:t>
      </w:r>
      <w:r>
        <w:t>unités opérationnelles du groupe [</w:t>
      </w:r>
      <w:r w:rsidRPr="00B33AA4">
        <w:rPr>
          <w:color w:val="0000FF"/>
        </w:rPr>
        <w:t>consolidé</w:t>
      </w:r>
      <w:r>
        <w:t>]. Les accords [</w:t>
      </w:r>
      <w:r w:rsidRPr="008C6E23">
        <w:rPr>
          <w:color w:val="0000FF"/>
        </w:rPr>
        <w:t>inter/intra</w:t>
      </w:r>
      <w:r>
        <w:t>]</w:t>
      </w:r>
      <w:r w:rsidR="00483BDF">
        <w:noBreakHyphen/>
      </w:r>
      <w:r>
        <w:t>groupe au sein du groupe [</w:t>
      </w:r>
      <w:r w:rsidRPr="00B33AA4">
        <w:rPr>
          <w:color w:val="0000FF"/>
        </w:rPr>
        <w:t>consolidé</w:t>
      </w:r>
      <w:r>
        <w:t>] ont été entièrement éliminés, y compris leur incidence sur la présentation, l’évaluation et les informations relatives aux contrats visés par l’IFRS</w:t>
      </w:r>
      <w:r w:rsidR="00483BDF">
        <w:t> </w:t>
      </w:r>
      <w:r>
        <w:t>17.</w:t>
      </w:r>
    </w:p>
    <w:p w14:paraId="164E045D" w14:textId="77777777" w:rsidR="00803BDF" w:rsidRPr="008C6E23" w:rsidRDefault="00803BDF" w:rsidP="00803BDF">
      <w:pPr>
        <w:pStyle w:val="09Para"/>
        <w:rPr>
          <w:i/>
        </w:rPr>
      </w:pPr>
      <w:r w:rsidRPr="008C6E23">
        <w:rPr>
          <w:i/>
        </w:rPr>
        <w:t>Évaluation</w:t>
      </w:r>
    </w:p>
    <w:p w14:paraId="4A0A2B31" w14:textId="67CF9546" w:rsidR="00803BDF" w:rsidRDefault="00803BDF" w:rsidP="00803BDF">
      <w:pPr>
        <w:pStyle w:val="09Para"/>
      </w:pPr>
      <w:r>
        <w:t>Nous avons des processus adéquats pour saisir, traiter et stocker les données financières et</w:t>
      </w:r>
      <w:r w:rsidR="00483BDF">
        <w:t> </w:t>
      </w:r>
      <w:r>
        <w:t>non financières qui sous-tendent i) les modèles d’évaluation et les modèles actuariels qui génèrent des estimations des actifs et des passifs au titre des contrats d’assurance, et ii) les moteurs de calcul du résultat des activités d’assurance et des produits financiers ou charges financières d’assurance. Nous disposons de processus adéquats pour assurer l’uniformité, l’intégralité et l’exactitude des données utilisées.</w:t>
      </w:r>
    </w:p>
    <w:p w14:paraId="0327D49D" w14:textId="5B6C9337" w:rsidR="00803BDF" w:rsidRDefault="00803BDF" w:rsidP="00803BDF">
      <w:pPr>
        <w:pStyle w:val="09Para"/>
      </w:pPr>
      <w:r>
        <w:t>Les ajustements de superposition apportés aux données de sortie des modèles d’évaluation et</w:t>
      </w:r>
      <w:r w:rsidR="00483BDF">
        <w:t> </w:t>
      </w:r>
      <w:r>
        <w:t>modèles actuariels et des moteurs de calcul sont conformes aux objectifs d’évaluation de l’IFRS 17 et sont appropriés dans les circonstances.</w:t>
      </w:r>
    </w:p>
    <w:p w14:paraId="2A144E66" w14:textId="55C708E5" w:rsidR="00803BDF" w:rsidRDefault="00803BDF" w:rsidP="00803BDF">
      <w:pPr>
        <w:pStyle w:val="09Para"/>
      </w:pPr>
      <w:r w:rsidRPr="00827431">
        <w:t xml:space="preserve">Nous avons déterminé les flux de trésorerie futurs </w:t>
      </w:r>
      <w:r>
        <w:t>attendus</w:t>
      </w:r>
      <w:r w:rsidRPr="00827431">
        <w:t xml:space="preserve"> avec objectivité, en utilisant nos</w:t>
      </w:r>
      <w:r w:rsidR="00483BDF">
        <w:t> </w:t>
      </w:r>
      <w:r w:rsidRPr="00827431">
        <w:t>propres hypothèses au sujet de la probabilité d</w:t>
      </w:r>
      <w:r>
        <w:t>’</w:t>
      </w:r>
      <w:r w:rsidRPr="00827431">
        <w:t xml:space="preserve">une </w:t>
      </w:r>
      <w:r>
        <w:t>fourchette</w:t>
      </w:r>
      <w:r w:rsidRPr="00827431">
        <w:t xml:space="preserve"> complète de résultats raisonnablement possibles en fonction de tous les renseignements </w:t>
      </w:r>
      <w:r>
        <w:t>accessibles</w:t>
      </w:r>
      <w:r w:rsidRPr="00827431">
        <w:t xml:space="preserve">, </w:t>
      </w:r>
      <w:r>
        <w:t xml:space="preserve">comme </w:t>
      </w:r>
      <w:r w:rsidRPr="00827431">
        <w:t>les</w:t>
      </w:r>
      <w:r w:rsidR="003614BC">
        <w:t> </w:t>
      </w:r>
      <w:r w:rsidRPr="00827431">
        <w:t>don</w:t>
      </w:r>
      <w:r w:rsidRPr="00827431">
        <w:lastRenderedPageBreak/>
        <w:t>nées de référence pertinentes de l</w:t>
      </w:r>
      <w:r>
        <w:t>’</w:t>
      </w:r>
      <w:r w:rsidRPr="00827431">
        <w:t>industrie (études sur les dépense</w:t>
      </w:r>
      <w:r>
        <w:t>s, tableaux de mortalité,</w:t>
      </w:r>
      <w:r w:rsidR="003614BC">
        <w:t> </w:t>
      </w:r>
      <w:r>
        <w:t>etc.)</w:t>
      </w:r>
      <w:r w:rsidRPr="00827431">
        <w:t>, l</w:t>
      </w:r>
      <w:r>
        <w:t>’</w:t>
      </w:r>
      <w:r w:rsidRPr="00827431">
        <w:t>expérience récente, les indicateurs économiques et d</w:t>
      </w:r>
      <w:r>
        <w:t>’</w:t>
      </w:r>
      <w:r w:rsidRPr="00827431">
        <w:t xml:space="preserve">autres renseignements sur le marché. Ces hypothèses sont conformes aux renseignements surveillés dans le cadre des activités </w:t>
      </w:r>
      <w:r>
        <w:t xml:space="preserve">d’établissement des prix </w:t>
      </w:r>
      <w:r w:rsidRPr="00827431">
        <w:t xml:space="preserve">et autres activités de gestion des risques utilisés </w:t>
      </w:r>
      <w:r>
        <w:t>aux fins</w:t>
      </w:r>
      <w:r w:rsidR="003614BC">
        <w:t> </w:t>
      </w:r>
      <w:r>
        <w:t>de</w:t>
      </w:r>
      <w:r w:rsidR="00483BDF">
        <w:t> </w:t>
      </w:r>
      <w:r>
        <w:t>la</w:t>
      </w:r>
      <w:r w:rsidR="00483BDF">
        <w:t> </w:t>
      </w:r>
      <w:r>
        <w:t xml:space="preserve">prise de </w:t>
      </w:r>
      <w:r w:rsidRPr="00827431">
        <w:t xml:space="preserve">décisions opérationnelles. Nous avons évalué si les hypothèses étaient interdépendantes et, le cas échéant, </w:t>
      </w:r>
      <w:r>
        <w:t xml:space="preserve">si elles étaient </w:t>
      </w:r>
      <w:r w:rsidRPr="00827431">
        <w:t>conformes aux hypothèses utilisées pour</w:t>
      </w:r>
      <w:r w:rsidR="00483BDF">
        <w:t> </w:t>
      </w:r>
      <w:r w:rsidRPr="00827431">
        <w:t>déterminer les autres soldes dans les états financiers [</w:t>
      </w:r>
      <w:r w:rsidRPr="00B33AA4">
        <w:rPr>
          <w:color w:val="0000FF"/>
        </w:rPr>
        <w:t>consolidés</w:t>
      </w:r>
      <w:r w:rsidRPr="00827431">
        <w:t>].</w:t>
      </w:r>
    </w:p>
    <w:p w14:paraId="68105DD8" w14:textId="77777777" w:rsidR="00803BDF" w:rsidRDefault="00803BDF" w:rsidP="00803BDF">
      <w:pPr>
        <w:pStyle w:val="09Para"/>
      </w:pPr>
      <w:r>
        <w:t xml:space="preserve">Les flux de trésorerie liés aux frais d’acquisition sont définis, saisis, enregistrés et, le cas échéant, répartis de façon systématique et rationnelle. Les actifs au titre des flux de trésorerie liés aux frais d’acquisition qui ne sont pas encore inclus dans l’évaluation des groupes de contrats d’assurance comptabilisés font l’objet d’un test de dépréciation. </w:t>
      </w:r>
    </w:p>
    <w:p w14:paraId="56ED208D" w14:textId="77777777" w:rsidR="00803BDF" w:rsidRDefault="00803BDF" w:rsidP="00803BDF">
      <w:pPr>
        <w:pStyle w:val="09Para"/>
      </w:pPr>
      <w:r>
        <w:t>Les taux d’actualisation [</w:t>
      </w:r>
      <w:r w:rsidRPr="008C6E23">
        <w:rPr>
          <w:color w:val="0000FF"/>
        </w:rPr>
        <w:t>et/ou les courbes de taux</w:t>
      </w:r>
      <w:r>
        <w:t>] sont appliqués de façon appropriée pour ne tenir compte que des facteurs pertinents, c’est-à-dire les facteurs qui reflètent la valeur temps de l’argent, les caractéristiques des flux de trésorerie et les caractéristiques de liquidité des contrats d’assurance.</w:t>
      </w:r>
    </w:p>
    <w:p w14:paraId="6206AF71" w14:textId="057293BF" w:rsidR="00803BDF" w:rsidRDefault="00803BDF" w:rsidP="00803BDF">
      <w:pPr>
        <w:pStyle w:val="09Para"/>
      </w:pPr>
      <w:r w:rsidRPr="00DF3B31">
        <w:t>L</w:t>
      </w:r>
      <w:r>
        <w:t>’</w:t>
      </w:r>
      <w:r w:rsidRPr="00DF3B31">
        <w:t>ajustement</w:t>
      </w:r>
      <w:r>
        <w:t xml:space="preserve"> au titre</w:t>
      </w:r>
      <w:r w:rsidRPr="00DF3B31">
        <w:t xml:space="preserve"> du risque est calculé de façon uniforme et </w:t>
      </w:r>
      <w:r>
        <w:t>affecté aux</w:t>
      </w:r>
      <w:r w:rsidRPr="00DF3B31">
        <w:t xml:space="preserve"> groupes de contrats d</w:t>
      </w:r>
      <w:r>
        <w:t>’</w:t>
      </w:r>
      <w:r w:rsidRPr="00DF3B31">
        <w:t>assurance en fonction de</w:t>
      </w:r>
      <w:r>
        <w:t>s méthodes</w:t>
      </w:r>
      <w:r w:rsidRPr="00DF3B31">
        <w:t xml:space="preserve"> </w:t>
      </w:r>
      <w:r>
        <w:t xml:space="preserve">utilisées par </w:t>
      </w:r>
      <w:r w:rsidRPr="00DF3B31">
        <w:t xml:space="preserve">la direction qui </w:t>
      </w:r>
      <w:r>
        <w:t xml:space="preserve">tiennent </w:t>
      </w:r>
      <w:r w:rsidRPr="00DF3B31">
        <w:t xml:space="preserve">compte du </w:t>
      </w:r>
      <w:r>
        <w:t>niveau</w:t>
      </w:r>
      <w:r w:rsidRPr="00DF3B31">
        <w:t xml:space="preserve"> </w:t>
      </w:r>
      <w:r>
        <w:t xml:space="preserve">des avantages de </w:t>
      </w:r>
      <w:r w:rsidRPr="00DF3B31">
        <w:t xml:space="preserve">diversification et </w:t>
      </w:r>
      <w:r>
        <w:t xml:space="preserve">du degré d’aversion au </w:t>
      </w:r>
      <w:r w:rsidRPr="00DF3B31">
        <w:t>risque établi</w:t>
      </w:r>
      <w:r>
        <w:t>s</w:t>
      </w:r>
      <w:r w:rsidRPr="00DF3B31">
        <w:t xml:space="preserve"> </w:t>
      </w:r>
      <w:r>
        <w:t>aux fins de</w:t>
      </w:r>
      <w:r w:rsidRPr="00DF3B31">
        <w:t xml:space="preserve"> la prise en compte des risques non financiers. L</w:t>
      </w:r>
      <w:r>
        <w:t>’</w:t>
      </w:r>
      <w:r w:rsidRPr="00DF3B31">
        <w:t xml:space="preserve">ajustement </w:t>
      </w:r>
      <w:r>
        <w:t xml:space="preserve">au titre du </w:t>
      </w:r>
      <w:r w:rsidRPr="00DF3B31">
        <w:t>ri</w:t>
      </w:r>
      <w:r>
        <w:t>sque</w:t>
      </w:r>
      <w:r w:rsidRPr="00DF3B31">
        <w:t xml:space="preserve"> ne </w:t>
      </w:r>
      <w:r>
        <w:t>reflète</w:t>
      </w:r>
      <w:r w:rsidRPr="00DF3B31">
        <w:t xml:space="preserve"> pas </w:t>
      </w:r>
      <w:r>
        <w:t xml:space="preserve">les </w:t>
      </w:r>
      <w:r w:rsidRPr="00DF3B31">
        <w:t xml:space="preserve">risques </w:t>
      </w:r>
      <w:r>
        <w:t>ne</w:t>
      </w:r>
      <w:r w:rsidR="00483BDF">
        <w:t> </w:t>
      </w:r>
      <w:r>
        <w:t xml:space="preserve">découlant pas </w:t>
      </w:r>
      <w:r w:rsidRPr="00DF3B31">
        <w:t>des contrats d</w:t>
      </w:r>
      <w:r>
        <w:t>’</w:t>
      </w:r>
      <w:r w:rsidRPr="00DF3B31">
        <w:t xml:space="preserve">assurance, comme le risque </w:t>
      </w:r>
      <w:r>
        <w:t xml:space="preserve">d’exploitation </w:t>
      </w:r>
      <w:r w:rsidRPr="00DF3B31">
        <w:t>général.</w:t>
      </w:r>
    </w:p>
    <w:p w14:paraId="3585634F" w14:textId="4E33BBEC" w:rsidR="00803BDF" w:rsidRDefault="00803BDF" w:rsidP="00803BDF">
      <w:pPr>
        <w:pStyle w:val="09Para"/>
      </w:pPr>
      <w:r w:rsidRPr="00B36A55">
        <w:t xml:space="preserve">La marge </w:t>
      </w:r>
      <w:r>
        <w:t>sur</w:t>
      </w:r>
      <w:r w:rsidRPr="00B36A55">
        <w:t xml:space="preserve"> service</w:t>
      </w:r>
      <w:r>
        <w:t>s</w:t>
      </w:r>
      <w:r w:rsidRPr="00B36A55">
        <w:t xml:space="preserve"> </w:t>
      </w:r>
      <w:r>
        <w:t xml:space="preserve">contractuels affectée </w:t>
      </w:r>
      <w:r w:rsidRPr="00B36A55">
        <w:t xml:space="preserve">aux </w:t>
      </w:r>
      <w:r>
        <w:t xml:space="preserve">produits des activités </w:t>
      </w:r>
      <w:r w:rsidRPr="00B36A55">
        <w:t>d</w:t>
      </w:r>
      <w:r>
        <w:t>’</w:t>
      </w:r>
      <w:r w:rsidRPr="00B36A55">
        <w:t xml:space="preserve">assurance </w:t>
      </w:r>
      <w:r>
        <w:t>durant la</w:t>
      </w:r>
      <w:r w:rsidR="00483BDF">
        <w:t> </w:t>
      </w:r>
      <w:r>
        <w:t>période de présentation de l’information financière</w:t>
      </w:r>
      <w:r w:rsidRPr="00B36A55">
        <w:t xml:space="preserve"> </w:t>
      </w:r>
      <w:r>
        <w:t xml:space="preserve">selon </w:t>
      </w:r>
      <w:r w:rsidRPr="00B36A55">
        <w:t>[</w:t>
      </w:r>
      <w:r>
        <w:rPr>
          <w:color w:val="0000FF"/>
        </w:rPr>
        <w:t>le m</w:t>
      </w:r>
      <w:r w:rsidRPr="008C6E23">
        <w:rPr>
          <w:color w:val="0000FF"/>
        </w:rPr>
        <w:t xml:space="preserve">odèle </w:t>
      </w:r>
      <w:r>
        <w:rPr>
          <w:color w:val="0000FF"/>
        </w:rPr>
        <w:t xml:space="preserve">général d’évaluation </w:t>
      </w:r>
      <w:r w:rsidRPr="008C6E23">
        <w:rPr>
          <w:color w:val="0000FF"/>
        </w:rPr>
        <w:t>et/ou</w:t>
      </w:r>
      <w:r w:rsidR="00483BDF">
        <w:rPr>
          <w:color w:val="0000FF"/>
        </w:rPr>
        <w:t> </w:t>
      </w:r>
      <w:r>
        <w:rPr>
          <w:color w:val="0000FF"/>
        </w:rPr>
        <w:t>l’</w:t>
      </w:r>
      <w:r w:rsidRPr="008C6E23">
        <w:rPr>
          <w:color w:val="0000FF"/>
        </w:rPr>
        <w:t xml:space="preserve">approche </w:t>
      </w:r>
      <w:r>
        <w:rPr>
          <w:color w:val="0000FF"/>
        </w:rPr>
        <w:t>fondée sur les honoraires</w:t>
      </w:r>
      <w:r w:rsidRPr="008C6E23">
        <w:rPr>
          <w:color w:val="0000FF"/>
        </w:rPr>
        <w:t xml:space="preserve"> variables</w:t>
      </w:r>
      <w:r w:rsidRPr="00B36A55">
        <w:t xml:space="preserve">] reflète les </w:t>
      </w:r>
      <w:r w:rsidRPr="001A581A">
        <w:t xml:space="preserve">services prévus aux contrats </w:t>
      </w:r>
      <w:r w:rsidRPr="00B36A55">
        <w:t>d</w:t>
      </w:r>
      <w:r>
        <w:t>’</w:t>
      </w:r>
      <w:r w:rsidRPr="00B36A55">
        <w:t xml:space="preserve">assurance fournis </w:t>
      </w:r>
      <w:r>
        <w:t xml:space="preserve">au titre des </w:t>
      </w:r>
      <w:r w:rsidRPr="00B36A55">
        <w:t>groupes de contrats d</w:t>
      </w:r>
      <w:r>
        <w:t>’</w:t>
      </w:r>
      <w:r w:rsidRPr="00B36A55">
        <w:t xml:space="preserve">assurance </w:t>
      </w:r>
      <w:r>
        <w:t xml:space="preserve">au cours de la période </w:t>
      </w:r>
      <w:r w:rsidRPr="00B36A55">
        <w:t xml:space="preserve">et donne lieu à une répartition appropriée </w:t>
      </w:r>
      <w:r>
        <w:t xml:space="preserve">de la </w:t>
      </w:r>
      <w:r w:rsidRPr="00B36A55">
        <w:t xml:space="preserve">marge </w:t>
      </w:r>
      <w:r>
        <w:t>sur</w:t>
      </w:r>
      <w:r w:rsidRPr="00B36A55">
        <w:t xml:space="preserve"> service</w:t>
      </w:r>
      <w:r>
        <w:t>s</w:t>
      </w:r>
      <w:r w:rsidRPr="00B36A55">
        <w:t xml:space="preserve"> </w:t>
      </w:r>
      <w:r>
        <w:t>contractuels</w:t>
      </w:r>
      <w:r w:rsidRPr="00B36A55">
        <w:t xml:space="preserve"> </w:t>
      </w:r>
      <w:r>
        <w:t>entre les</w:t>
      </w:r>
      <w:r w:rsidRPr="00B36A55">
        <w:t xml:space="preserve"> période</w:t>
      </w:r>
      <w:r>
        <w:t>s</w:t>
      </w:r>
      <w:r w:rsidRPr="00B36A55">
        <w:t xml:space="preserve"> de </w:t>
      </w:r>
      <w:r>
        <w:t>présentation de l’information financière qui tient compte des</w:t>
      </w:r>
      <w:r w:rsidRPr="00B36A55">
        <w:t xml:space="preserve"> types de prestations </w:t>
      </w:r>
      <w:r>
        <w:t>fournies</w:t>
      </w:r>
      <w:r w:rsidRPr="00B36A55">
        <w:t xml:space="preserve"> au</w:t>
      </w:r>
      <w:r w:rsidR="00483BDF">
        <w:t> </w:t>
      </w:r>
      <w:r w:rsidRPr="00B36A55">
        <w:t xml:space="preserve">cours de </w:t>
      </w:r>
      <w:r>
        <w:t>ces</w:t>
      </w:r>
      <w:r w:rsidRPr="00B36A55">
        <w:t xml:space="preserve"> période</w:t>
      </w:r>
      <w:r>
        <w:t>s</w:t>
      </w:r>
      <w:r w:rsidRPr="00B36A55">
        <w:t xml:space="preserve">. Lorsque plusieurs services </w:t>
      </w:r>
      <w:r>
        <w:t xml:space="preserve">prévus à un contrat </w:t>
      </w:r>
      <w:r w:rsidRPr="00B36A55">
        <w:t>d</w:t>
      </w:r>
      <w:r>
        <w:t>’</w:t>
      </w:r>
      <w:r w:rsidRPr="00B36A55">
        <w:t xml:space="preserve">assurance et/ou </w:t>
      </w:r>
      <w:r>
        <w:t xml:space="preserve">services de rendement d’investissement </w:t>
      </w:r>
      <w:r w:rsidRPr="00B36A55">
        <w:t>[</w:t>
      </w:r>
      <w:r w:rsidRPr="008C6E23">
        <w:rPr>
          <w:color w:val="0000FF"/>
        </w:rPr>
        <w:t xml:space="preserve">au titre </w:t>
      </w:r>
      <w:r>
        <w:rPr>
          <w:color w:val="0000FF"/>
        </w:rPr>
        <w:t>d’un contrat</w:t>
      </w:r>
      <w:r w:rsidRPr="008C6E23">
        <w:rPr>
          <w:color w:val="0000FF"/>
        </w:rPr>
        <w:t xml:space="preserve"> d</w:t>
      </w:r>
      <w:r>
        <w:rPr>
          <w:color w:val="0000FF"/>
        </w:rPr>
        <w:t>’</w:t>
      </w:r>
      <w:r w:rsidRPr="008C6E23">
        <w:rPr>
          <w:color w:val="0000FF"/>
        </w:rPr>
        <w:t xml:space="preserve">assurance et/ou liés </w:t>
      </w:r>
      <w:r>
        <w:rPr>
          <w:color w:val="0000FF"/>
        </w:rPr>
        <w:t>à l’</w:t>
      </w:r>
      <w:r w:rsidRPr="008C6E23">
        <w:rPr>
          <w:color w:val="0000FF"/>
        </w:rPr>
        <w:t>investissement</w:t>
      </w:r>
      <w:r w:rsidRPr="00B36A55">
        <w:t>] sont fournis par l</w:t>
      </w:r>
      <w:r>
        <w:t>’</w:t>
      </w:r>
      <w:r w:rsidRPr="00B36A55">
        <w:t>assureur pour les contrats d</w:t>
      </w:r>
      <w:r>
        <w:t>’</w:t>
      </w:r>
      <w:r w:rsidRPr="00B36A55">
        <w:t xml:space="preserve">un groupe, </w:t>
      </w:r>
      <w:r>
        <w:t>une</w:t>
      </w:r>
      <w:r w:rsidRPr="00B36A55">
        <w:t xml:space="preserve"> pondération des</w:t>
      </w:r>
      <w:r w:rsidR="00483BDF">
        <w:t> </w:t>
      </w:r>
      <w:r w:rsidRPr="00B36A55">
        <w:t xml:space="preserve">services est effectuée de façon uniforme et raisonnable </w:t>
      </w:r>
      <w:r>
        <w:t xml:space="preserve">en vue de déterminer </w:t>
      </w:r>
      <w:r w:rsidRPr="00B36A55">
        <w:t xml:space="preserve">la répartition appropriée </w:t>
      </w:r>
      <w:r>
        <w:t xml:space="preserve">de la </w:t>
      </w:r>
      <w:r w:rsidRPr="00B36A55">
        <w:t xml:space="preserve">marge </w:t>
      </w:r>
      <w:r>
        <w:t>sur</w:t>
      </w:r>
      <w:r w:rsidRPr="00B36A55">
        <w:t xml:space="preserve"> service</w:t>
      </w:r>
      <w:r>
        <w:t>s</w:t>
      </w:r>
      <w:r w:rsidRPr="00B36A55">
        <w:t xml:space="preserve"> </w:t>
      </w:r>
      <w:r>
        <w:t>contractuels</w:t>
      </w:r>
      <w:r w:rsidRPr="00B36A55">
        <w:t xml:space="preserve"> </w:t>
      </w:r>
      <w:r>
        <w:t>entre les</w:t>
      </w:r>
      <w:r w:rsidRPr="00B36A55">
        <w:t xml:space="preserve"> période</w:t>
      </w:r>
      <w:r>
        <w:t>s</w:t>
      </w:r>
      <w:r w:rsidRPr="00B36A55">
        <w:t xml:space="preserve"> de </w:t>
      </w:r>
      <w:r>
        <w:t>présentation de l’information financière</w:t>
      </w:r>
      <w:r w:rsidRPr="00B36A55">
        <w:t>.</w:t>
      </w:r>
    </w:p>
    <w:p w14:paraId="593F9EB2" w14:textId="644E5475" w:rsidR="00803BDF" w:rsidRDefault="00803BDF" w:rsidP="00803BDF">
      <w:pPr>
        <w:pStyle w:val="09Para"/>
      </w:pPr>
      <w:r>
        <w:t>Lorsque la méthode de la répartition des primes est utilisée pour des groupes de contrats d’assurance dont la période de couverture excède 12</w:t>
      </w:r>
      <w:r w:rsidR="00483BDF">
        <w:t> </w:t>
      </w:r>
      <w:r>
        <w:t>mois, nous avons estimé le passif au titre</w:t>
      </w:r>
      <w:r w:rsidR="00483BDF">
        <w:t> </w:t>
      </w:r>
      <w:r>
        <w:t xml:space="preserve">de la couverture restante selon le modèle général d’évaluation afin de démontrer qu’il ne diffère pas de façon </w:t>
      </w:r>
      <w:proofErr w:type="spellStart"/>
      <w:r>
        <w:t>signficative</w:t>
      </w:r>
      <w:proofErr w:type="spellEnd"/>
      <w:r>
        <w:t xml:space="preserve"> du résultat de l’évaluation selon la méthode de la répartition des primes. </w:t>
      </w:r>
    </w:p>
    <w:p w14:paraId="78B7FA10" w14:textId="3E65D9B1" w:rsidR="00803BDF" w:rsidRDefault="00803BDF" w:rsidP="00803BDF">
      <w:pPr>
        <w:pStyle w:val="09Para"/>
      </w:pPr>
      <w:r>
        <w:t>[</w:t>
      </w:r>
      <w:r w:rsidRPr="008C6E23">
        <w:rPr>
          <w:color w:val="0000FF"/>
        </w:rPr>
        <w:t xml:space="preserve">Nous avons utilisé la méthode </w:t>
      </w:r>
      <w:r>
        <w:rPr>
          <w:color w:val="0000FF"/>
        </w:rPr>
        <w:t>fondée sur les</w:t>
      </w:r>
      <w:r w:rsidRPr="008C6E23">
        <w:rPr>
          <w:color w:val="0000FF"/>
        </w:rPr>
        <w:t xml:space="preserve"> honoraires variables pour </w:t>
      </w:r>
      <w:r>
        <w:rPr>
          <w:color w:val="0000FF"/>
        </w:rPr>
        <w:t>évaluer</w:t>
      </w:r>
      <w:r w:rsidRPr="008C6E23">
        <w:rPr>
          <w:color w:val="0000FF"/>
        </w:rPr>
        <w:t xml:space="preserve"> </w:t>
      </w:r>
      <w:r>
        <w:rPr>
          <w:color w:val="0000FF"/>
        </w:rPr>
        <w:t>ultérieurement</w:t>
      </w:r>
      <w:r w:rsidRPr="008C6E23">
        <w:rPr>
          <w:color w:val="0000FF"/>
        </w:rPr>
        <w:t xml:space="preserve"> les contrats d</w:t>
      </w:r>
      <w:r>
        <w:rPr>
          <w:color w:val="0000FF"/>
        </w:rPr>
        <w:t>’</w:t>
      </w:r>
      <w:r w:rsidRPr="008C6E23">
        <w:rPr>
          <w:color w:val="0000FF"/>
        </w:rPr>
        <w:t>assurance qui répondent aux critères respectifs de l</w:t>
      </w:r>
      <w:r>
        <w:rPr>
          <w:color w:val="0000FF"/>
        </w:rPr>
        <w:t>’</w:t>
      </w:r>
      <w:r w:rsidRPr="008C6E23">
        <w:rPr>
          <w:color w:val="0000FF"/>
        </w:rPr>
        <w:t>IFRS</w:t>
      </w:r>
      <w:r w:rsidR="00483BDF">
        <w:rPr>
          <w:color w:val="0000FF"/>
        </w:rPr>
        <w:t> </w:t>
      </w:r>
      <w:r w:rsidRPr="008C6E23">
        <w:rPr>
          <w:color w:val="0000FF"/>
        </w:rPr>
        <w:t>17 sur une base contractuelle au moment de leur création. Cette approche est fondée sur la valeur actuelle de la</w:t>
      </w:r>
      <w:r w:rsidR="00483BDF">
        <w:rPr>
          <w:color w:val="0000FF"/>
        </w:rPr>
        <w:t> </w:t>
      </w:r>
      <w:r w:rsidRPr="008C6E23">
        <w:rPr>
          <w:color w:val="0000FF"/>
        </w:rPr>
        <w:t>moyenne pondérée en fonction de la probabilité des scénarios prévus.</w:t>
      </w:r>
      <w:r>
        <w:t>]</w:t>
      </w:r>
    </w:p>
    <w:p w14:paraId="45012B21" w14:textId="3E01D84A" w:rsidR="00803BDF" w:rsidRDefault="00803BDF" w:rsidP="00803BDF">
      <w:pPr>
        <w:pStyle w:val="09Para"/>
      </w:pPr>
      <w:r>
        <w:t xml:space="preserve">Lorsque les modalités de contrats d’assurance sont modifiées au cours de la période de présentation de l’information financière, nous avons évalué si le changement devait entraîner la </w:t>
      </w:r>
      <w:proofErr w:type="spellStart"/>
      <w:r>
        <w:t>décomptabilisation</w:t>
      </w:r>
      <w:proofErr w:type="spellEnd"/>
      <w:r>
        <w:t xml:space="preserve"> du contrat initial et la comptabilisation initiale du contrat modifié. Si aucune </w:t>
      </w:r>
      <w:r>
        <w:lastRenderedPageBreak/>
        <w:t xml:space="preserve">des conditions de </w:t>
      </w:r>
      <w:proofErr w:type="spellStart"/>
      <w:r>
        <w:t>décomptabilisation</w:t>
      </w:r>
      <w:proofErr w:type="spellEnd"/>
      <w:r>
        <w:t xml:space="preserve"> n’était remplie, nous avons traité les variations des flux de</w:t>
      </w:r>
      <w:r w:rsidR="00483BDF">
        <w:t> </w:t>
      </w:r>
      <w:r>
        <w:t xml:space="preserve">trésorerie découlant des modifications apportées comme des changements dans les estimations de flux de trésorerie d’exécution. </w:t>
      </w:r>
    </w:p>
    <w:p w14:paraId="58E05971" w14:textId="161F55B7" w:rsidR="00803BDF" w:rsidRDefault="00803BDF" w:rsidP="00803BDF">
      <w:pPr>
        <w:pStyle w:val="09Para"/>
      </w:pPr>
      <w:r>
        <w:t>[</w:t>
      </w:r>
      <w:r w:rsidRPr="008C6E23">
        <w:rPr>
          <w:color w:val="0000FF"/>
        </w:rPr>
        <w:t xml:space="preserve">Les variations </w:t>
      </w:r>
      <w:r>
        <w:rPr>
          <w:color w:val="0000FF"/>
        </w:rPr>
        <w:t>au cours</w:t>
      </w:r>
      <w:r w:rsidRPr="00AE0961">
        <w:rPr>
          <w:color w:val="0000FF"/>
        </w:rPr>
        <w:t xml:space="preserve"> de l</w:t>
      </w:r>
      <w:r>
        <w:rPr>
          <w:color w:val="0000FF"/>
        </w:rPr>
        <w:t>’</w:t>
      </w:r>
      <w:r w:rsidRPr="00AE0961">
        <w:rPr>
          <w:color w:val="0000FF"/>
        </w:rPr>
        <w:t xml:space="preserve">exercice </w:t>
      </w:r>
      <w:r w:rsidRPr="008C6E23">
        <w:rPr>
          <w:color w:val="0000FF"/>
        </w:rPr>
        <w:t>des estimations comptables présentées dans les états</w:t>
      </w:r>
      <w:r w:rsidR="00483BDF">
        <w:rPr>
          <w:color w:val="0000FF"/>
        </w:rPr>
        <w:t> </w:t>
      </w:r>
      <w:r w:rsidRPr="008C6E23">
        <w:rPr>
          <w:color w:val="0000FF"/>
        </w:rPr>
        <w:t xml:space="preserve">financiers intermédiaires [consolidés] </w:t>
      </w:r>
      <w:r>
        <w:rPr>
          <w:color w:val="0000FF"/>
        </w:rPr>
        <w:t xml:space="preserve">antérieurs </w:t>
      </w:r>
      <w:r w:rsidRPr="008C6E23">
        <w:rPr>
          <w:color w:val="0000FF"/>
        </w:rPr>
        <w:t xml:space="preserve">sont traitées dans les états financiers intermédiaires [consolidés] </w:t>
      </w:r>
      <w:r>
        <w:rPr>
          <w:color w:val="0000FF"/>
        </w:rPr>
        <w:t xml:space="preserve">ultérieurs </w:t>
      </w:r>
      <w:r w:rsidRPr="008C6E23">
        <w:rPr>
          <w:color w:val="0000FF"/>
        </w:rPr>
        <w:t xml:space="preserve">et </w:t>
      </w:r>
      <w:r>
        <w:rPr>
          <w:color w:val="0000FF"/>
        </w:rPr>
        <w:t xml:space="preserve">dans les états financiers annuels </w:t>
      </w:r>
      <w:r w:rsidRPr="008C6E23">
        <w:rPr>
          <w:color w:val="0000FF"/>
        </w:rPr>
        <w:t>[</w:t>
      </w:r>
      <w:r>
        <w:rPr>
          <w:color w:val="0000FF"/>
        </w:rPr>
        <w:t xml:space="preserve">sur une base comparative entre les </w:t>
      </w:r>
      <w:r w:rsidRPr="008C6E23">
        <w:rPr>
          <w:color w:val="0000FF"/>
        </w:rPr>
        <w:t>période</w:t>
      </w:r>
      <w:r>
        <w:rPr>
          <w:color w:val="0000FF"/>
        </w:rPr>
        <w:t>s</w:t>
      </w:r>
      <w:r w:rsidR="00483BDF">
        <w:rPr>
          <w:color w:val="0000FF"/>
        </w:rPr>
        <w:t> </w:t>
      </w:r>
      <w:r>
        <w:rPr>
          <w:color w:val="0000FF"/>
        </w:rPr>
        <w:t>/ sur</w:t>
      </w:r>
      <w:r w:rsidRPr="008C6E23">
        <w:rPr>
          <w:color w:val="0000FF"/>
        </w:rPr>
        <w:t xml:space="preserve"> </w:t>
      </w:r>
      <w:r>
        <w:rPr>
          <w:color w:val="0000FF"/>
        </w:rPr>
        <w:t xml:space="preserve">une base cumulée </w:t>
      </w:r>
      <w:r w:rsidRPr="008C6E23">
        <w:rPr>
          <w:color w:val="0000FF"/>
        </w:rPr>
        <w:t>depuis le début de l</w:t>
      </w:r>
      <w:r>
        <w:rPr>
          <w:color w:val="0000FF"/>
        </w:rPr>
        <w:t>’</w:t>
      </w:r>
      <w:r w:rsidRPr="008C6E23">
        <w:rPr>
          <w:color w:val="0000FF"/>
        </w:rPr>
        <w:t xml:space="preserve">exercice] conformément à notre </w:t>
      </w:r>
      <w:r>
        <w:rPr>
          <w:color w:val="0000FF"/>
        </w:rPr>
        <w:t>méthode</w:t>
      </w:r>
      <w:r w:rsidRPr="008C6E23">
        <w:rPr>
          <w:color w:val="0000FF"/>
        </w:rPr>
        <w:t xml:space="preserve"> comptable </w:t>
      </w:r>
      <w:r>
        <w:rPr>
          <w:color w:val="0000FF"/>
        </w:rPr>
        <w:t>au titre du paragraphe B137</w:t>
      </w:r>
      <w:r w:rsidRPr="008C6E23">
        <w:rPr>
          <w:color w:val="0000FF"/>
        </w:rPr>
        <w:t xml:space="preserve"> </w:t>
      </w:r>
      <w:r>
        <w:rPr>
          <w:color w:val="0000FF"/>
        </w:rPr>
        <w:t>de l’IFRS </w:t>
      </w:r>
      <w:r w:rsidRPr="008C6E23">
        <w:rPr>
          <w:color w:val="0000FF"/>
        </w:rPr>
        <w:t xml:space="preserve">17. Une </w:t>
      </w:r>
      <w:r>
        <w:rPr>
          <w:color w:val="0000FF"/>
        </w:rPr>
        <w:t>méthode</w:t>
      </w:r>
      <w:r w:rsidRPr="008C6E23">
        <w:rPr>
          <w:color w:val="0000FF"/>
        </w:rPr>
        <w:t xml:space="preserve"> comptable </w:t>
      </w:r>
      <w:r>
        <w:rPr>
          <w:color w:val="0000FF"/>
        </w:rPr>
        <w:t xml:space="preserve">uniforme </w:t>
      </w:r>
      <w:r w:rsidRPr="008C6E23">
        <w:rPr>
          <w:color w:val="0000FF"/>
        </w:rPr>
        <w:t>est utilisée dans les états financiers [consolidés] pour tous les</w:t>
      </w:r>
      <w:r w:rsidR="00483BDF">
        <w:rPr>
          <w:color w:val="0000FF"/>
        </w:rPr>
        <w:t> </w:t>
      </w:r>
      <w:r w:rsidRPr="008C6E23">
        <w:rPr>
          <w:color w:val="0000FF"/>
        </w:rPr>
        <w:t>groupes de contrats d</w:t>
      </w:r>
      <w:r>
        <w:rPr>
          <w:color w:val="0000FF"/>
        </w:rPr>
        <w:t>’</w:t>
      </w:r>
      <w:r w:rsidRPr="008C6E23">
        <w:rPr>
          <w:color w:val="0000FF"/>
        </w:rPr>
        <w:t>assurance que nous émettons et les groupes de contrats de réassurance que nous détenons.</w:t>
      </w:r>
      <w:r>
        <w:t>]</w:t>
      </w:r>
    </w:p>
    <w:p w14:paraId="31D436B1" w14:textId="77777777" w:rsidR="00803BDF" w:rsidRPr="008C6E23" w:rsidRDefault="00803BDF" w:rsidP="00803BDF">
      <w:pPr>
        <w:pStyle w:val="09Para"/>
        <w:rPr>
          <w:i/>
        </w:rPr>
      </w:pPr>
      <w:r w:rsidRPr="008C6E23">
        <w:rPr>
          <w:i/>
        </w:rPr>
        <w:t>Informations</w:t>
      </w:r>
      <w:r>
        <w:rPr>
          <w:i/>
        </w:rPr>
        <w:t xml:space="preserve"> à fournir</w:t>
      </w:r>
    </w:p>
    <w:p w14:paraId="3542FAB2" w14:textId="796019DB" w:rsidR="00803BDF" w:rsidRDefault="00803BDF" w:rsidP="00803BDF">
      <w:pPr>
        <w:pStyle w:val="09Para"/>
      </w:pPr>
      <w:r>
        <w:t>Les objectifs en matière d’informations à fournir au titre de l’IFRS</w:t>
      </w:r>
      <w:r w:rsidR="00483BDF">
        <w:t> </w:t>
      </w:r>
      <w:r>
        <w:t xml:space="preserve">17 ont été atteints. Les notes afférentes aux états financiers </w:t>
      </w:r>
      <w:r w:rsidRPr="00083B7A">
        <w:rPr>
          <w:color w:val="0000FF"/>
        </w:rPr>
        <w:t>consolidés</w:t>
      </w:r>
      <w:r>
        <w:t xml:space="preserve"> comprennent des informations qui, prises en considération avec celles fournies dans les [</w:t>
      </w:r>
      <w:r w:rsidRPr="008C6E23">
        <w:rPr>
          <w:color w:val="0000FF"/>
        </w:rPr>
        <w:t>états consolidés de la situation financière, du résultat, du résultat global et des flux de trésorerie</w:t>
      </w:r>
      <w:r>
        <w:t>], donnent aux utilisateurs des états financiers [</w:t>
      </w:r>
      <w:r w:rsidRPr="008C6E23">
        <w:rPr>
          <w:color w:val="0000FF"/>
        </w:rPr>
        <w:t>consolidés</w:t>
      </w:r>
      <w:r>
        <w:t>] une base leur permettant d’apprécier l’incidence des contrats qui entrent dans le champ d’application de l’IFRS</w:t>
      </w:r>
      <w:r w:rsidR="00483BDF">
        <w:t> </w:t>
      </w:r>
      <w:r>
        <w:t>17 sur la situation financière [</w:t>
      </w:r>
      <w:r w:rsidRPr="008C6E23">
        <w:rPr>
          <w:color w:val="0000FF"/>
        </w:rPr>
        <w:t>consolidée</w:t>
      </w:r>
      <w:r>
        <w:t>], la performance financière [</w:t>
      </w:r>
      <w:r w:rsidRPr="00AE0961">
        <w:rPr>
          <w:color w:val="0000FF"/>
        </w:rPr>
        <w:t>consolidée</w:t>
      </w:r>
      <w:r>
        <w:t>] et les flux de trésorerie [</w:t>
      </w:r>
      <w:r>
        <w:rPr>
          <w:color w:val="0000FF"/>
        </w:rPr>
        <w:t>consolidés</w:t>
      </w:r>
      <w:r>
        <w:t>] de l’entité. En fournissant ces informations, nous avons tenu compte du niveau de détail nécessaire pour atteindre l’objectif des obligations d’information et de l’importance à accorder à chacune des diverses obligations. Si les informations fournies n’étaient pas suffisantes pour que les objectifs susmentionnés soient atteints, nous avons présenté des informations supplémentaires nécessaires à l’atteinte de cet objectif. Nous avons regroupé ou ventilé l’information de manière à ne pas noyer des renseignements utiles dans une profusion de détails peu importants ou dans un regroupement d’éléments disparates.</w:t>
      </w:r>
    </w:p>
    <w:p w14:paraId="659842B2" w14:textId="77777777" w:rsidR="00803BDF" w:rsidRDefault="00803BDF" w:rsidP="00803BDF">
      <w:pPr>
        <w:pStyle w:val="09Para"/>
      </w:pPr>
      <w:r>
        <w:t>Nous avons indiqué les jugements importants portés aux fins de l’application de l’IFRS 17 ainsi que les changements apportés à ces jugements, ce qui comprend la présentation des données d’entrée importantes, les hypothèses clés et les méthodes d’estimation utilisées.</w:t>
      </w:r>
    </w:p>
    <w:p w14:paraId="1D43A42C" w14:textId="2F168912" w:rsidR="00803BDF" w:rsidRPr="008C6E23" w:rsidRDefault="00803BDF" w:rsidP="00803BDF">
      <w:pPr>
        <w:pStyle w:val="09Para"/>
        <w:rPr>
          <w:i/>
        </w:rPr>
      </w:pPr>
      <w:r w:rsidRPr="008C6E23">
        <w:rPr>
          <w:i/>
        </w:rPr>
        <w:t>Adoption initiale – IFRS 9, Instruments financiers (IFRS</w:t>
      </w:r>
      <w:r w:rsidR="00483BDF">
        <w:rPr>
          <w:i/>
        </w:rPr>
        <w:t> </w:t>
      </w:r>
      <w:r w:rsidRPr="008C6E23">
        <w:rPr>
          <w:i/>
        </w:rPr>
        <w:t xml:space="preserve">9)  </w:t>
      </w:r>
    </w:p>
    <w:p w14:paraId="46FDE8FA" w14:textId="0D3DF781" w:rsidR="00803BDF" w:rsidRDefault="00803BDF" w:rsidP="00803BDF">
      <w:pPr>
        <w:pStyle w:val="09Para"/>
      </w:pPr>
      <w:r>
        <w:t>Nous avons adopté l’IFRS 9 pour la première fois le [</w:t>
      </w:r>
      <w:r w:rsidRPr="008C6E23">
        <w:rPr>
          <w:color w:val="0000FF"/>
        </w:rPr>
        <w:t>insérer la date</w:t>
      </w:r>
      <w:r>
        <w:t>] en même temps que l’IFRS 17 et avons respecté toutes les dispositions transitoires pertinentes de l’IFRS</w:t>
      </w:r>
      <w:r w:rsidR="00483BDF">
        <w:t> </w:t>
      </w:r>
      <w:r>
        <w:t>9 concernant la comptabilisation, l’évaluation et la présentation des instruments financiers comptabilisés dans les états financiers [</w:t>
      </w:r>
      <w:r>
        <w:rPr>
          <w:color w:val="0000FF"/>
        </w:rPr>
        <w:t>consolidés</w:t>
      </w:r>
      <w:r>
        <w:t>] à la date de la première application, ainsi que les informations fournies à ce sujet.</w:t>
      </w:r>
    </w:p>
    <w:p w14:paraId="15DF931E" w14:textId="77777777" w:rsidR="00803BDF" w:rsidRPr="008C6E23" w:rsidRDefault="00803BDF" w:rsidP="00803BDF">
      <w:pPr>
        <w:pStyle w:val="09Para"/>
        <w:rPr>
          <w:i/>
          <w:color w:val="0000FF"/>
        </w:rPr>
      </w:pPr>
      <w:r w:rsidRPr="008C6E23">
        <w:rPr>
          <w:i/>
          <w:color w:val="0000FF"/>
        </w:rPr>
        <w:t>OU</w:t>
      </w:r>
    </w:p>
    <w:p w14:paraId="6C8491E4" w14:textId="6EA140E0" w:rsidR="002E7AC0" w:rsidRDefault="00803BDF" w:rsidP="002E7AC0">
      <w:pPr>
        <w:pStyle w:val="09Para"/>
      </w:pPr>
      <w:r>
        <w:t>Nous avons adopté l’IFRS</w:t>
      </w:r>
      <w:r w:rsidR="002E7AC0">
        <w:t> </w:t>
      </w:r>
      <w:r>
        <w:t>9 pour la première fois pour les exercices antérieurs à la date de</w:t>
      </w:r>
      <w:r w:rsidR="00483BDF">
        <w:t> </w:t>
      </w:r>
      <w:r>
        <w:t>première application de l’IFRS</w:t>
      </w:r>
      <w:r w:rsidR="002E7AC0">
        <w:t> </w:t>
      </w:r>
      <w:r>
        <w:t>17. À la date de première application de l’IFRS</w:t>
      </w:r>
      <w:r w:rsidR="002E7AC0">
        <w:t> </w:t>
      </w:r>
      <w:r>
        <w:t>17 et en fonction des faits et des circonstances qui existaient à cette date, nous avons appliqué</w:t>
      </w:r>
      <w:r w:rsidR="002E7AC0">
        <w:br w:type="page"/>
      </w:r>
    </w:p>
    <w:p w14:paraId="3D1BA6A3" w14:textId="21203B02" w:rsidR="00803BDF" w:rsidRPr="00B33AA4" w:rsidRDefault="00803BDF" w:rsidP="00803BDF">
      <w:pPr>
        <w:pStyle w:val="09Para"/>
      </w:pPr>
      <w:proofErr w:type="gramStart"/>
      <w:r>
        <w:lastRenderedPageBreak/>
        <w:t>rétrospectivement</w:t>
      </w:r>
      <w:proofErr w:type="gramEnd"/>
      <w:r>
        <w:t xml:space="preserve"> tous les changements en matière de désignation et de classement requis et</w:t>
      </w:r>
      <w:r w:rsidR="00483BDF">
        <w:t> </w:t>
      </w:r>
      <w:r>
        <w:t>autorisés aux actifs et passifs financiers touchés. Ce faisant, nous avons appliqué les dispositions transitoires pertinentes de l’IFRS</w:t>
      </w:r>
      <w:r w:rsidR="00483BDF">
        <w:t> </w:t>
      </w:r>
      <w:r>
        <w:t>9 et de l’IFRS</w:t>
      </w:r>
      <w:r w:rsidR="00483BDF">
        <w:t> </w:t>
      </w:r>
      <w:r>
        <w:t>17.</w:t>
      </w:r>
    </w:p>
    <w:p w14:paraId="18100428" w14:textId="335FB415" w:rsidR="00805412" w:rsidRPr="00B33AA4" w:rsidRDefault="00EC7EA2" w:rsidP="000655B2">
      <w:pPr>
        <w:pStyle w:val="Heading3"/>
      </w:pPr>
      <w:r w:rsidRPr="00764D50">
        <w:t>Immeubles de placement</w:t>
      </w:r>
    </w:p>
    <w:p w14:paraId="6D3AB055" w14:textId="5C7C0535" w:rsidR="00805412" w:rsidRPr="00B33AA4" w:rsidRDefault="003B4D1A" w:rsidP="008F2193">
      <w:pPr>
        <w:pStyle w:val="09Para"/>
      </w:pPr>
      <w:r w:rsidRPr="00B33AA4">
        <w:t xml:space="preserve">Toutes les </w:t>
      </w:r>
      <w:r w:rsidR="002D537E" w:rsidRPr="00B33AA4">
        <w:t>opérations</w:t>
      </w:r>
      <w:r w:rsidRPr="00B33AA4">
        <w:t xml:space="preserve"> qui ont un effet sur les immeubles de placement de [</w:t>
      </w:r>
      <w:r w:rsidRPr="00B33AA4">
        <w:rPr>
          <w:color w:val="0000FF"/>
        </w:rPr>
        <w:t>Entité</w:t>
      </w:r>
      <w:r w:rsidRPr="00B33AA4">
        <w:t>] sont comptabilisées et reflétées de manière appropriée dans l</w:t>
      </w:r>
      <w:r w:rsidR="00E01941" w:rsidRPr="00B33AA4">
        <w:t>es livres et les documents comptables</w:t>
      </w:r>
      <w:r w:rsidRPr="00B33AA4">
        <w:t>.</w:t>
      </w:r>
      <w:r w:rsidR="00095C0D">
        <w:t xml:space="preserve"> </w:t>
      </w:r>
      <w:r w:rsidR="00E01941" w:rsidRPr="00B33AA4">
        <w:t xml:space="preserve">Tous les immeubles de placement qui sont sous le contrôle de </w:t>
      </w:r>
      <w:r w:rsidR="005A28FD" w:rsidRPr="00B33AA4">
        <w:t>[</w:t>
      </w:r>
      <w:r w:rsidR="005A28FD" w:rsidRPr="00B33AA4">
        <w:rPr>
          <w:color w:val="0000FF"/>
        </w:rPr>
        <w:t>Entit</w:t>
      </w:r>
      <w:r w:rsidR="00E01941" w:rsidRPr="00B33AA4">
        <w:rPr>
          <w:color w:val="0000FF"/>
        </w:rPr>
        <w:t>é</w:t>
      </w:r>
      <w:r w:rsidR="005A28FD" w:rsidRPr="00B33AA4">
        <w:t>]</w:t>
      </w:r>
      <w:r w:rsidR="00E01941" w:rsidRPr="00B33AA4">
        <w:t xml:space="preserve"> vous ont été communiqués</w:t>
      </w:r>
      <w:r w:rsidR="00805412" w:rsidRPr="00B33AA4">
        <w:t>.</w:t>
      </w:r>
    </w:p>
    <w:p w14:paraId="7F8BA0B7" w14:textId="77777777" w:rsidR="0069512B" w:rsidRPr="00B33AA4" w:rsidRDefault="0069512B" w:rsidP="000655B2">
      <w:pPr>
        <w:pStyle w:val="09Para"/>
        <w:keepNext/>
        <w:keepLines/>
      </w:pPr>
      <w:r w:rsidRPr="00B33AA4">
        <w:t>[</w:t>
      </w:r>
      <w:r w:rsidRPr="00B33AA4">
        <w:rPr>
          <w:i/>
          <w:color w:val="0000FF"/>
        </w:rPr>
        <w:t>Cho</w:t>
      </w:r>
      <w:r w:rsidR="00E01941" w:rsidRPr="00B33AA4">
        <w:rPr>
          <w:i/>
          <w:color w:val="0000FF"/>
        </w:rPr>
        <w:t>isir l</w:t>
      </w:r>
      <w:r w:rsidR="00865E23" w:rsidRPr="00B33AA4">
        <w:rPr>
          <w:i/>
          <w:color w:val="0000FF"/>
        </w:rPr>
        <w:t>’</w:t>
      </w:r>
      <w:r w:rsidR="00E01941" w:rsidRPr="00B33AA4">
        <w:rPr>
          <w:i/>
          <w:color w:val="0000FF"/>
        </w:rPr>
        <w:t>un ou l</w:t>
      </w:r>
      <w:r w:rsidR="00865E23" w:rsidRPr="00B33AA4">
        <w:rPr>
          <w:i/>
          <w:color w:val="0000FF"/>
        </w:rPr>
        <w:t>’</w:t>
      </w:r>
      <w:r w:rsidR="00E01941" w:rsidRPr="00B33AA4">
        <w:rPr>
          <w:i/>
          <w:color w:val="0000FF"/>
        </w:rPr>
        <w:t xml:space="preserve">autre des </w:t>
      </w:r>
      <w:r w:rsidRPr="00B33AA4">
        <w:rPr>
          <w:i/>
          <w:color w:val="0000FF"/>
        </w:rPr>
        <w:t>paragraph</w:t>
      </w:r>
      <w:r w:rsidR="00E01941" w:rsidRPr="00B33AA4">
        <w:rPr>
          <w:i/>
          <w:color w:val="0000FF"/>
        </w:rPr>
        <w:t>e</w:t>
      </w:r>
      <w:r w:rsidRPr="00B33AA4">
        <w:rPr>
          <w:i/>
          <w:color w:val="0000FF"/>
        </w:rPr>
        <w:t>s</w:t>
      </w:r>
      <w:r w:rsidR="00E01941" w:rsidRPr="00B33AA4">
        <w:rPr>
          <w:i/>
          <w:color w:val="0000FF"/>
        </w:rPr>
        <w:t> suivants</w:t>
      </w:r>
      <w:r w:rsidR="005556E0" w:rsidRPr="00B33AA4">
        <w:rPr>
          <w:i/>
          <w:color w:val="0000FF"/>
        </w:rPr>
        <w:t> :</w:t>
      </w:r>
    </w:p>
    <w:p w14:paraId="2AA185CA" w14:textId="635A603B" w:rsidR="00805412" w:rsidRPr="00B33AA4" w:rsidRDefault="000B6718" w:rsidP="008F2193">
      <w:pPr>
        <w:pStyle w:val="09Para"/>
      </w:pPr>
      <w:r w:rsidRPr="00B33AA4">
        <w:t xml:space="preserve">Nous avons décidé de comptabiliser initialement les immeubles de placement </w:t>
      </w:r>
      <w:r w:rsidR="00226D1B" w:rsidRPr="00B33AA4">
        <w:t>en appliquant le</w:t>
      </w:r>
      <w:r w:rsidR="00542147">
        <w:t> </w:t>
      </w:r>
      <w:r w:rsidR="00226D1B" w:rsidRPr="00B33AA4">
        <w:t xml:space="preserve">modèle du </w:t>
      </w:r>
      <w:r w:rsidRPr="00B33AA4">
        <w:t>coût, conformément à l</w:t>
      </w:r>
      <w:r w:rsidR="00865E23" w:rsidRPr="00B33AA4">
        <w:t>’</w:t>
      </w:r>
      <w:r w:rsidR="00805412" w:rsidRPr="00B33AA4">
        <w:t>IAS</w:t>
      </w:r>
      <w:r w:rsidR="00C14D45" w:rsidRPr="00B33AA4">
        <w:t> </w:t>
      </w:r>
      <w:r w:rsidR="00805412" w:rsidRPr="00B33AA4">
        <w:t>40</w:t>
      </w:r>
      <w:r w:rsidR="00134414" w:rsidRPr="00B33AA4">
        <w:t>,</w:t>
      </w:r>
      <w:r w:rsidR="00805412" w:rsidRPr="00B33AA4">
        <w:t xml:space="preserve"> </w:t>
      </w:r>
      <w:r w:rsidRPr="00B33AA4">
        <w:t>Immeubles de placement</w:t>
      </w:r>
      <w:r w:rsidR="00805412" w:rsidRPr="00B33AA4">
        <w:t xml:space="preserve">. </w:t>
      </w:r>
      <w:r w:rsidR="0034021E" w:rsidRPr="00B33AA4">
        <w:t>Par la suite, nous continuons d</w:t>
      </w:r>
      <w:r w:rsidR="00865E23" w:rsidRPr="00B33AA4">
        <w:t>’</w:t>
      </w:r>
      <w:r w:rsidR="0034021E" w:rsidRPr="00B33AA4">
        <w:t>appliquer le modèle du coût à tous nos immeubles de placement</w:t>
      </w:r>
      <w:r w:rsidR="00134414" w:rsidRPr="00B33AA4">
        <w:t>.</w:t>
      </w:r>
      <w:r w:rsidR="00CC08D2" w:rsidRPr="00B33AA4">
        <w:t xml:space="preserve"> </w:t>
      </w:r>
      <w:r w:rsidR="0034021E" w:rsidRPr="00B33AA4">
        <w:t xml:space="preserve">Les états financiers </w:t>
      </w:r>
      <w:r w:rsidR="00805412" w:rsidRPr="00B33AA4">
        <w:t>[</w:t>
      </w:r>
      <w:r w:rsidR="00805412" w:rsidRPr="00B33AA4">
        <w:rPr>
          <w:color w:val="0000FF"/>
        </w:rPr>
        <w:t>consolid</w:t>
      </w:r>
      <w:r w:rsidR="0034021E" w:rsidRPr="00B33AA4">
        <w:rPr>
          <w:color w:val="0000FF"/>
        </w:rPr>
        <w:t>és</w:t>
      </w:r>
      <w:r w:rsidR="00805412" w:rsidRPr="00B33AA4">
        <w:t xml:space="preserve">] </w:t>
      </w:r>
      <w:r w:rsidR="0034021E" w:rsidRPr="00B33AA4">
        <w:t>renferment toutes les informations à fournir requises, notamment les</w:t>
      </w:r>
      <w:r w:rsidR="00542147">
        <w:t> </w:t>
      </w:r>
      <w:r w:rsidR="0034021E" w:rsidRPr="00B33AA4">
        <w:t>justes valeurs des immeubles de placement</w:t>
      </w:r>
      <w:r w:rsidR="00805412" w:rsidRPr="00B33AA4">
        <w:t>.</w:t>
      </w:r>
    </w:p>
    <w:p w14:paraId="11967339" w14:textId="77777777" w:rsidR="00805412" w:rsidRPr="00B33AA4" w:rsidRDefault="0077790D" w:rsidP="008F2193">
      <w:pPr>
        <w:pStyle w:val="09Para"/>
        <w:rPr>
          <w:i/>
        </w:rPr>
      </w:pPr>
      <w:r w:rsidRPr="00B33AA4">
        <w:rPr>
          <w:i/>
          <w:color w:val="0000FF"/>
        </w:rPr>
        <w:t>OU</w:t>
      </w:r>
    </w:p>
    <w:p w14:paraId="1F284865" w14:textId="12D7EB7E" w:rsidR="00805412" w:rsidRPr="00B33AA4" w:rsidRDefault="0000750C" w:rsidP="008F2193">
      <w:pPr>
        <w:pStyle w:val="09Para"/>
      </w:pPr>
      <w:r w:rsidRPr="00B33AA4">
        <w:t>Les immeubles de placement ont été comptabilisés initialement au coût conformément à l</w:t>
      </w:r>
      <w:r w:rsidR="00865E23" w:rsidRPr="00B33AA4">
        <w:t>’</w:t>
      </w:r>
      <w:r w:rsidRPr="00B33AA4">
        <w:t>IAS</w:t>
      </w:r>
      <w:r w:rsidR="00A30295" w:rsidRPr="00B33AA4">
        <w:t> </w:t>
      </w:r>
      <w:r w:rsidRPr="00B33AA4">
        <w:t>40, Immeubles de placement. Par la suite</w:t>
      </w:r>
      <w:r w:rsidR="00805412" w:rsidRPr="00B33AA4">
        <w:t xml:space="preserve">, </w:t>
      </w:r>
      <w:r w:rsidRPr="00B33AA4">
        <w:t>nous avons appliqué le modèle de la juste valeur</w:t>
      </w:r>
      <w:r w:rsidR="00B877B1">
        <w:t>. L</w:t>
      </w:r>
      <w:r w:rsidRPr="00B33AA4">
        <w:t>es états financiers [</w:t>
      </w:r>
      <w:r w:rsidRPr="00B33AA4">
        <w:rPr>
          <w:color w:val="0000FF"/>
        </w:rPr>
        <w:t>consolidés</w:t>
      </w:r>
      <w:r w:rsidRPr="00B33AA4">
        <w:t>]</w:t>
      </w:r>
      <w:r w:rsidR="00D03339" w:rsidRPr="00B33AA4">
        <w:t xml:space="preserve"> </w:t>
      </w:r>
      <w:r w:rsidRPr="00B33AA4">
        <w:t>renferment toutes les informations à fournir requises selon cette norme</w:t>
      </w:r>
      <w:r w:rsidR="00805412" w:rsidRPr="00B33AA4">
        <w:t>.</w:t>
      </w:r>
      <w:r w:rsidR="0069512B" w:rsidRPr="00B33AA4">
        <w:t>]</w:t>
      </w:r>
    </w:p>
    <w:p w14:paraId="676E1937" w14:textId="77777777" w:rsidR="00805412" w:rsidRPr="00B33AA4" w:rsidRDefault="00EC38D0" w:rsidP="000D333D">
      <w:pPr>
        <w:pStyle w:val="Heading3"/>
      </w:pPr>
      <w:r w:rsidRPr="00B33AA4">
        <w:t>Fiscalité</w:t>
      </w:r>
    </w:p>
    <w:p w14:paraId="05CA3A9C" w14:textId="77777777" w:rsidR="00805412" w:rsidRPr="00B33AA4" w:rsidRDefault="00712EB2" w:rsidP="00700075">
      <w:pPr>
        <w:pStyle w:val="09Para"/>
        <w:keepNext/>
        <w:keepLines/>
      </w:pPr>
      <w:r w:rsidRPr="00B33AA4">
        <w:t>Pour ce qui est de l</w:t>
      </w:r>
      <w:r w:rsidR="00865E23" w:rsidRPr="00B33AA4">
        <w:t>’</w:t>
      </w:r>
      <w:r w:rsidRPr="00B33AA4">
        <w:t xml:space="preserve">impôt de </w:t>
      </w:r>
      <w:r w:rsidR="00805412" w:rsidRPr="00B33AA4">
        <w:t>[</w:t>
      </w:r>
      <w:r w:rsidR="00805412" w:rsidRPr="00B33AA4">
        <w:rPr>
          <w:color w:val="0000FF"/>
        </w:rPr>
        <w:t>Entit</w:t>
      </w:r>
      <w:r w:rsidR="000E2399" w:rsidRPr="00B33AA4">
        <w:rPr>
          <w:color w:val="0000FF"/>
        </w:rPr>
        <w:t>é</w:t>
      </w:r>
      <w:r w:rsidR="00805412" w:rsidRPr="00B33AA4">
        <w:t>]</w:t>
      </w:r>
      <w:r w:rsidRPr="00B33AA4">
        <w:t> </w:t>
      </w:r>
      <w:r w:rsidR="00805412" w:rsidRPr="00B33AA4">
        <w:t>:</w:t>
      </w:r>
    </w:p>
    <w:p w14:paraId="3A372E2A" w14:textId="05B4F4DD" w:rsidR="00805412" w:rsidRPr="00B33AA4" w:rsidRDefault="00712EB2" w:rsidP="004C5215">
      <w:pPr>
        <w:pStyle w:val="09ParaAlpha1"/>
        <w:numPr>
          <w:ilvl w:val="0"/>
          <w:numId w:val="19"/>
        </w:numPr>
      </w:pPr>
      <w:r w:rsidRPr="00B33AA4">
        <w:t xml:space="preserve">Nous vous avons communiqué toute la correspondance relative aux impôts de </w:t>
      </w:r>
      <w:r w:rsidR="00805412" w:rsidRPr="00B33AA4">
        <w:t>[</w:t>
      </w:r>
      <w:r w:rsidR="00805412" w:rsidRPr="00B33AA4">
        <w:rPr>
          <w:color w:val="0000FF"/>
        </w:rPr>
        <w:t>Entit</w:t>
      </w:r>
      <w:r w:rsidRPr="00B33AA4">
        <w:rPr>
          <w:color w:val="0000FF"/>
        </w:rPr>
        <w:t>é</w:t>
      </w:r>
      <w:r w:rsidR="00805412" w:rsidRPr="00B33AA4">
        <w:t xml:space="preserve">] </w:t>
      </w:r>
      <w:r w:rsidRPr="00B33AA4">
        <w:t>et</w:t>
      </w:r>
      <w:r w:rsidR="00542147">
        <w:t> </w:t>
      </w:r>
      <w:r w:rsidRPr="00B33AA4">
        <w:t xml:space="preserve">nous confirmons que </w:t>
      </w:r>
      <w:r w:rsidR="00805412" w:rsidRPr="00B33AA4">
        <w:t>[</w:t>
      </w:r>
      <w:r w:rsidR="00805412" w:rsidRPr="00B33AA4">
        <w:rPr>
          <w:color w:val="0000FF"/>
        </w:rPr>
        <w:t>Entit</w:t>
      </w:r>
      <w:r w:rsidRPr="00B33AA4">
        <w:rPr>
          <w:color w:val="0000FF"/>
        </w:rPr>
        <w:t>é</w:t>
      </w:r>
      <w:r w:rsidR="00805412" w:rsidRPr="00B33AA4">
        <w:t>]</w:t>
      </w:r>
      <w:r w:rsidRPr="00B33AA4">
        <w:t xml:space="preserve"> n</w:t>
      </w:r>
      <w:r w:rsidR="00865E23" w:rsidRPr="00B33AA4">
        <w:t>’</w:t>
      </w:r>
      <w:r w:rsidRPr="00B33AA4">
        <w:t xml:space="preserve">est </w:t>
      </w:r>
      <w:r w:rsidR="005556E0" w:rsidRPr="00B33AA4">
        <w:t>pas a</w:t>
      </w:r>
      <w:r w:rsidRPr="00B33AA4">
        <w:t>ssujetti</w:t>
      </w:r>
      <w:r w:rsidR="00D7639C" w:rsidRPr="00B33AA4">
        <w:t>[</w:t>
      </w:r>
      <w:r w:rsidR="005556E0" w:rsidRPr="00B33AA4">
        <w:t>e</w:t>
      </w:r>
      <w:r w:rsidR="00D7639C" w:rsidRPr="00B33AA4">
        <w:t>]</w:t>
      </w:r>
      <w:r w:rsidR="005556E0" w:rsidRPr="00B33AA4">
        <w:t xml:space="preserve"> </w:t>
      </w:r>
      <w:r w:rsidRPr="00B33AA4">
        <w:t>à une pénalité fiscale</w:t>
      </w:r>
      <w:r w:rsidR="00805412" w:rsidRPr="00B33AA4">
        <w:t>.</w:t>
      </w:r>
    </w:p>
    <w:p w14:paraId="71F2E3A3" w14:textId="667DA899" w:rsidR="00805412" w:rsidRPr="00B33AA4" w:rsidRDefault="00805412" w:rsidP="000D333D">
      <w:pPr>
        <w:pStyle w:val="09ParaAlpha1"/>
      </w:pPr>
      <w:r w:rsidRPr="00B33AA4">
        <w:t>[</w:t>
      </w:r>
      <w:r w:rsidRPr="00B33AA4">
        <w:rPr>
          <w:color w:val="0000FF"/>
        </w:rPr>
        <w:t>Entit</w:t>
      </w:r>
      <w:r w:rsidR="000E2399" w:rsidRPr="00B33AA4">
        <w:rPr>
          <w:color w:val="0000FF"/>
        </w:rPr>
        <w:t>é</w:t>
      </w:r>
      <w:r w:rsidRPr="00B33AA4">
        <w:t xml:space="preserve">] </w:t>
      </w:r>
      <w:r w:rsidR="00712EB2" w:rsidRPr="00B33AA4">
        <w:t>s</w:t>
      </w:r>
      <w:r w:rsidR="00865E23" w:rsidRPr="00B33AA4">
        <w:t>’</w:t>
      </w:r>
      <w:r w:rsidR="00712EB2" w:rsidRPr="00B33AA4">
        <w:t xml:space="preserve">est toujours </w:t>
      </w:r>
      <w:r w:rsidR="005556E0" w:rsidRPr="00B33AA4">
        <w:t>conformé</w:t>
      </w:r>
      <w:r w:rsidR="00D64E8A" w:rsidRPr="00B33AA4">
        <w:t>[</w:t>
      </w:r>
      <w:r w:rsidR="00D64E8A" w:rsidRPr="00B33AA4">
        <w:rPr>
          <w:color w:val="0000FF"/>
        </w:rPr>
        <w:t>e</w:t>
      </w:r>
      <w:r w:rsidR="00D64E8A" w:rsidRPr="00B33AA4">
        <w:t>]</w:t>
      </w:r>
      <w:r w:rsidR="00712EB2" w:rsidRPr="00B33AA4">
        <w:t xml:space="preserve"> aux articles pertinents de la </w:t>
      </w:r>
      <w:r w:rsidR="00712EB2" w:rsidRPr="00C55C35">
        <w:rPr>
          <w:i/>
        </w:rPr>
        <w:t xml:space="preserve">Loi </w:t>
      </w:r>
      <w:r w:rsidR="00D7639C" w:rsidRPr="00C55C35">
        <w:rPr>
          <w:i/>
        </w:rPr>
        <w:t>de</w:t>
      </w:r>
      <w:r w:rsidR="00712EB2" w:rsidRPr="00C55C35">
        <w:rPr>
          <w:i/>
        </w:rPr>
        <w:t xml:space="preserve"> l</w:t>
      </w:r>
      <w:r w:rsidR="00865E23" w:rsidRPr="00C55C35">
        <w:rPr>
          <w:i/>
        </w:rPr>
        <w:t>’</w:t>
      </w:r>
      <w:r w:rsidR="00712EB2" w:rsidRPr="00C55C35">
        <w:rPr>
          <w:i/>
        </w:rPr>
        <w:t xml:space="preserve">impôt sur le revenu </w:t>
      </w:r>
      <w:r w:rsidR="00712EB2" w:rsidRPr="00F66BC2">
        <w:t>du Canada</w:t>
      </w:r>
      <w:r w:rsidR="00712EB2" w:rsidRPr="00B33AA4">
        <w:t xml:space="preserve"> tout long </w:t>
      </w:r>
      <w:r w:rsidR="002E4945" w:rsidRPr="00B33AA4">
        <w:t>de l</w:t>
      </w:r>
      <w:r w:rsidR="00865E23" w:rsidRPr="00B33AA4">
        <w:t>’</w:t>
      </w:r>
      <w:r w:rsidR="002E4945" w:rsidRPr="00B33AA4">
        <w:t>exercice</w:t>
      </w:r>
      <w:r w:rsidR="00B80431">
        <w:t>.</w:t>
      </w:r>
    </w:p>
    <w:p w14:paraId="0E13D104" w14:textId="77777777" w:rsidR="00805412" w:rsidRPr="00B33AA4" w:rsidRDefault="00712EB2" w:rsidP="000D333D">
      <w:pPr>
        <w:pStyle w:val="09ParaAlpha1"/>
      </w:pPr>
      <w:r w:rsidRPr="00B33AA4">
        <w:t>L</w:t>
      </w:r>
      <w:r w:rsidR="00865E23" w:rsidRPr="00B33AA4">
        <w:t>’</w:t>
      </w:r>
      <w:r w:rsidRPr="00B33AA4">
        <w:t xml:space="preserve">impôt sur le résultat de </w:t>
      </w:r>
      <w:r w:rsidR="00805412" w:rsidRPr="00B33AA4">
        <w:t>[</w:t>
      </w:r>
      <w:r w:rsidR="00805412" w:rsidRPr="00B33AA4">
        <w:rPr>
          <w:color w:val="0000FF"/>
        </w:rPr>
        <w:t>Entit</w:t>
      </w:r>
      <w:r w:rsidRPr="00B33AA4">
        <w:rPr>
          <w:color w:val="0000FF"/>
        </w:rPr>
        <w:t>é</w:t>
      </w:r>
      <w:r w:rsidR="00805412" w:rsidRPr="00B33AA4">
        <w:t>] a</w:t>
      </w:r>
      <w:r w:rsidRPr="00B33AA4">
        <w:t xml:space="preserve"> été établi de manière appropriée, conformément à la </w:t>
      </w:r>
      <w:r w:rsidRPr="00C55C35">
        <w:rPr>
          <w:i/>
        </w:rPr>
        <w:t xml:space="preserve">Loi </w:t>
      </w:r>
      <w:r w:rsidR="00D7639C" w:rsidRPr="00C55C35">
        <w:rPr>
          <w:i/>
        </w:rPr>
        <w:t xml:space="preserve">de </w:t>
      </w:r>
      <w:r w:rsidRPr="00C55C35">
        <w:rPr>
          <w:i/>
        </w:rPr>
        <w:t>l</w:t>
      </w:r>
      <w:r w:rsidR="00865E23" w:rsidRPr="00C55C35">
        <w:rPr>
          <w:i/>
        </w:rPr>
        <w:t>’</w:t>
      </w:r>
      <w:r w:rsidRPr="00C55C35">
        <w:rPr>
          <w:i/>
        </w:rPr>
        <w:t xml:space="preserve">impôt sur le revenu </w:t>
      </w:r>
      <w:r w:rsidRPr="00F66BC2">
        <w:t>du Canada</w:t>
      </w:r>
      <w:r w:rsidRPr="00B33AA4">
        <w:t xml:space="preserve"> et selon les politiques </w:t>
      </w:r>
      <w:r w:rsidR="00D7639C" w:rsidRPr="00B33AA4">
        <w:t>comptables et</w:t>
      </w:r>
      <w:r w:rsidRPr="00B33AA4">
        <w:t xml:space="preserve"> financière</w:t>
      </w:r>
      <w:r w:rsidR="00D7639C" w:rsidRPr="00B33AA4">
        <w:t>s</w:t>
      </w:r>
      <w:r w:rsidRPr="00B33AA4">
        <w:t xml:space="preserve"> et les </w:t>
      </w:r>
      <w:r w:rsidR="00805412" w:rsidRPr="00B33AA4">
        <w:t>documents</w:t>
      </w:r>
      <w:r w:rsidRPr="00B33AA4">
        <w:t xml:space="preserve"> constitutifs</w:t>
      </w:r>
      <w:r w:rsidR="00D7639C" w:rsidRPr="00B33AA4">
        <w:t xml:space="preserve"> de l’entité</w:t>
      </w:r>
      <w:r w:rsidR="00805412" w:rsidRPr="00B33AA4">
        <w:t>.</w:t>
      </w:r>
    </w:p>
    <w:p w14:paraId="2946300A" w14:textId="77777777" w:rsidR="00805412" w:rsidRPr="00B33AA4" w:rsidRDefault="00712EB2" w:rsidP="000D333D">
      <w:pPr>
        <w:pStyle w:val="09ParaAlpha1"/>
        <w:rPr>
          <w:i/>
        </w:rPr>
      </w:pPr>
      <w:r w:rsidRPr="00B33AA4">
        <w:rPr>
          <w:i/>
          <w:color w:val="0000FF"/>
        </w:rPr>
        <w:t>Ajouter la déclaration suivante</w:t>
      </w:r>
      <w:r w:rsidR="00D7639C" w:rsidRPr="00B33AA4">
        <w:rPr>
          <w:i/>
          <w:color w:val="0000FF"/>
        </w:rPr>
        <w:t>,</w:t>
      </w:r>
      <w:r w:rsidRPr="00B33AA4">
        <w:rPr>
          <w:i/>
          <w:color w:val="0000FF"/>
        </w:rPr>
        <w:t xml:space="preserve"> s</w:t>
      </w:r>
      <w:r w:rsidR="00865E23" w:rsidRPr="00B33AA4">
        <w:rPr>
          <w:i/>
          <w:color w:val="0000FF"/>
        </w:rPr>
        <w:t>’</w:t>
      </w:r>
      <w:r w:rsidRPr="00B33AA4">
        <w:rPr>
          <w:i/>
          <w:color w:val="0000FF"/>
        </w:rPr>
        <w:t>il y a lieu</w:t>
      </w:r>
      <w:r w:rsidR="005556E0" w:rsidRPr="00B33AA4">
        <w:rPr>
          <w:i/>
          <w:color w:val="0000FF"/>
        </w:rPr>
        <w:t> :</w:t>
      </w:r>
      <w:r w:rsidRPr="00B33AA4">
        <w:rPr>
          <w:i/>
          <w:color w:val="0000FF"/>
        </w:rPr>
        <w:t xml:space="preserve"> </w:t>
      </w:r>
      <w:r w:rsidRPr="00B33AA4">
        <w:rPr>
          <w:color w:val="0000FF"/>
        </w:rPr>
        <w:t>Le gestionnaire des placements remboursera</w:t>
      </w:r>
      <w:r w:rsidR="00C54478" w:rsidRPr="00B33AA4">
        <w:rPr>
          <w:color w:val="0000FF"/>
        </w:rPr>
        <w:t xml:space="preserve"> à</w:t>
      </w:r>
      <w:r w:rsidR="00D7639C" w:rsidRPr="00B33AA4">
        <w:rPr>
          <w:color w:val="0000FF"/>
        </w:rPr>
        <w:t xml:space="preserve"> </w:t>
      </w:r>
      <w:r w:rsidR="00805412" w:rsidRPr="00B33AA4">
        <w:t>[</w:t>
      </w:r>
      <w:r w:rsidR="00805412" w:rsidRPr="00B33AA4">
        <w:rPr>
          <w:color w:val="0000FF"/>
        </w:rPr>
        <w:t>Entit</w:t>
      </w:r>
      <w:r w:rsidRPr="00B33AA4">
        <w:rPr>
          <w:color w:val="0000FF"/>
        </w:rPr>
        <w:t>é</w:t>
      </w:r>
      <w:r w:rsidRPr="00B33AA4">
        <w:t>]</w:t>
      </w:r>
      <w:r w:rsidRPr="00B33AA4">
        <w:rPr>
          <w:color w:val="0000FF"/>
        </w:rPr>
        <w:t xml:space="preserve"> tous les impôts à payer </w:t>
      </w:r>
      <w:r w:rsidR="00226D1B" w:rsidRPr="00B33AA4">
        <w:rPr>
          <w:color w:val="0000FF"/>
        </w:rPr>
        <w:t xml:space="preserve">résultant de la cotisation </w:t>
      </w:r>
      <w:r w:rsidR="00E17A00" w:rsidRPr="00B33AA4">
        <w:rPr>
          <w:color w:val="0000FF"/>
        </w:rPr>
        <w:t xml:space="preserve">établie par </w:t>
      </w:r>
      <w:r w:rsidRPr="00B33AA4">
        <w:rPr>
          <w:color w:val="0000FF"/>
        </w:rPr>
        <w:t>l</w:t>
      </w:r>
      <w:r w:rsidR="00865E23" w:rsidRPr="00B33AA4">
        <w:rPr>
          <w:color w:val="0000FF"/>
        </w:rPr>
        <w:t>’</w:t>
      </w:r>
      <w:r w:rsidRPr="00B33AA4">
        <w:rPr>
          <w:color w:val="0000FF"/>
        </w:rPr>
        <w:t>Agence du revenu du Canada</w:t>
      </w:r>
      <w:r w:rsidR="00805412" w:rsidRPr="00B33AA4">
        <w:rPr>
          <w:color w:val="0000FF"/>
        </w:rPr>
        <w:t>.</w:t>
      </w:r>
    </w:p>
    <w:p w14:paraId="0CB2FC1A" w14:textId="720AD359" w:rsidR="00805412" w:rsidRPr="00B33AA4" w:rsidRDefault="0069512B" w:rsidP="002E7AC0">
      <w:pPr>
        <w:pStyle w:val="09Para"/>
        <w:keepNext/>
      </w:pPr>
      <w:r w:rsidRPr="00B33AA4">
        <w:t>[</w:t>
      </w:r>
      <w:r w:rsidR="00384211" w:rsidRPr="00B33AA4">
        <w:rPr>
          <w:i/>
          <w:color w:val="0000FF"/>
        </w:rPr>
        <w:t>Ajouter la déclaration suivante</w:t>
      </w:r>
      <w:r w:rsidR="00D7639C" w:rsidRPr="00B33AA4">
        <w:rPr>
          <w:i/>
          <w:color w:val="0000FF"/>
        </w:rPr>
        <w:t>,</w:t>
      </w:r>
      <w:r w:rsidR="00384211" w:rsidRPr="00B33AA4">
        <w:rPr>
          <w:i/>
          <w:color w:val="0000FF"/>
        </w:rPr>
        <w:t xml:space="preserve"> s</w:t>
      </w:r>
      <w:r w:rsidR="00865E23" w:rsidRPr="00B33AA4">
        <w:rPr>
          <w:i/>
          <w:color w:val="0000FF"/>
        </w:rPr>
        <w:t>’</w:t>
      </w:r>
      <w:r w:rsidR="00384211" w:rsidRPr="00B33AA4">
        <w:rPr>
          <w:i/>
          <w:color w:val="0000FF"/>
        </w:rPr>
        <w:t>il y a lieu</w:t>
      </w:r>
      <w:r w:rsidR="005556E0" w:rsidRPr="00B33AA4">
        <w:rPr>
          <w:i/>
          <w:color w:val="0000FF"/>
        </w:rPr>
        <w:t> :</w:t>
      </w:r>
    </w:p>
    <w:p w14:paraId="497E3614" w14:textId="77777777" w:rsidR="00805412" w:rsidRPr="00B33AA4" w:rsidRDefault="000E2399" w:rsidP="001D606A">
      <w:pPr>
        <w:pStyle w:val="Heading3"/>
      </w:pPr>
      <w:r w:rsidRPr="00B33AA4">
        <w:t>Conventions accessoires</w:t>
      </w:r>
    </w:p>
    <w:p w14:paraId="09ED85CB" w14:textId="78F9A7EC" w:rsidR="00805412" w:rsidRPr="00B33AA4" w:rsidRDefault="006E5CB5" w:rsidP="008F2193">
      <w:pPr>
        <w:pStyle w:val="09Para"/>
      </w:pPr>
      <w:r w:rsidRPr="00B33AA4">
        <w:t xml:space="preserve">Nous avons mis à votre disposition toutes les conventions accessoires, </w:t>
      </w:r>
      <w:r w:rsidR="00142DDE" w:rsidRPr="00B33AA4">
        <w:t>qu</w:t>
      </w:r>
      <w:r w:rsidR="00865E23" w:rsidRPr="00B33AA4">
        <w:t>’</w:t>
      </w:r>
      <w:r w:rsidR="00142DDE" w:rsidRPr="00B33AA4">
        <w:t>il s</w:t>
      </w:r>
      <w:r w:rsidR="00865E23" w:rsidRPr="00B33AA4">
        <w:t>’</w:t>
      </w:r>
      <w:r w:rsidR="00142DDE" w:rsidRPr="00B33AA4">
        <w:t>agisse de conventions écrites ou orales, qui ont été conclues avec les investisseurs ou annulées au cours</w:t>
      </w:r>
      <w:r w:rsidR="002E7AC0">
        <w:t> </w:t>
      </w:r>
      <w:r w:rsidR="00142DDE" w:rsidRPr="00B33AA4">
        <w:t>de l</w:t>
      </w:r>
      <w:r w:rsidR="00865E23" w:rsidRPr="00B33AA4">
        <w:t>’</w:t>
      </w:r>
      <w:r w:rsidR="00142DDE" w:rsidRPr="00B33AA4">
        <w:t>exercice</w:t>
      </w:r>
      <w:r w:rsidR="00D7639C" w:rsidRPr="00B33AA4">
        <w:t xml:space="preserve"> considéré</w:t>
      </w:r>
      <w:r w:rsidR="00142DDE" w:rsidRPr="00B33AA4">
        <w:t xml:space="preserve"> et dont le non-respect aurait un effet significatif sur les états financiers </w:t>
      </w:r>
      <w:r w:rsidR="00805412" w:rsidRPr="00B33AA4">
        <w:lastRenderedPageBreak/>
        <w:t>[</w:t>
      </w:r>
      <w:r w:rsidR="00142DDE" w:rsidRPr="00B33AA4">
        <w:rPr>
          <w:color w:val="0000FF"/>
        </w:rPr>
        <w:t>consolidés</w:t>
      </w:r>
      <w:r w:rsidR="00805412" w:rsidRPr="00B33AA4">
        <w:t>]</w:t>
      </w:r>
      <w:r w:rsidR="00142DDE" w:rsidRPr="00B33AA4">
        <w:t xml:space="preserve"> de</w:t>
      </w:r>
      <w:r w:rsidR="00805412" w:rsidRPr="00B33AA4">
        <w:t xml:space="preserve"> </w:t>
      </w:r>
      <w:r w:rsidR="00142DDE" w:rsidRPr="00B33AA4">
        <w:t>[</w:t>
      </w:r>
      <w:r w:rsidR="00142DDE" w:rsidRPr="00B33AA4">
        <w:rPr>
          <w:color w:val="0000FF"/>
        </w:rPr>
        <w:t>Entité</w:t>
      </w:r>
      <w:r w:rsidR="00805412" w:rsidRPr="00B33AA4">
        <w:t xml:space="preserve">]. </w:t>
      </w:r>
      <w:r w:rsidR="00142DDE" w:rsidRPr="00B33AA4">
        <w:t>Ces conventions accessoires sont autorisées aux termes des</w:t>
      </w:r>
      <w:r w:rsidR="002E7AC0">
        <w:t> </w:t>
      </w:r>
      <w:r w:rsidR="00142DDE" w:rsidRPr="00B33AA4">
        <w:t>documents de placement</w:t>
      </w:r>
      <w:r w:rsidR="00805412" w:rsidRPr="00B33AA4">
        <w:t>.</w:t>
      </w:r>
      <w:r w:rsidR="0069512B" w:rsidRPr="00B33AA4">
        <w:t>]</w:t>
      </w:r>
    </w:p>
    <w:p w14:paraId="78327F21" w14:textId="77777777" w:rsidR="00805412" w:rsidRPr="00B33AA4" w:rsidRDefault="00C72D4E" w:rsidP="002E7AC0">
      <w:pPr>
        <w:pStyle w:val="09Para"/>
        <w:keepNext/>
      </w:pPr>
      <w:r w:rsidRPr="00B33AA4">
        <w:t>[</w:t>
      </w:r>
      <w:r w:rsidR="00384211" w:rsidRPr="00B33AA4">
        <w:rPr>
          <w:i/>
          <w:color w:val="0000FF"/>
        </w:rPr>
        <w:t>Ajouter la déclaration suivante</w:t>
      </w:r>
      <w:r w:rsidR="00D7639C" w:rsidRPr="00B33AA4">
        <w:rPr>
          <w:i/>
          <w:color w:val="0000FF"/>
        </w:rPr>
        <w:t xml:space="preserve">, </w:t>
      </w:r>
      <w:r w:rsidR="00384211" w:rsidRPr="00B33AA4">
        <w:rPr>
          <w:i/>
          <w:color w:val="0000FF"/>
        </w:rPr>
        <w:t>s</w:t>
      </w:r>
      <w:r w:rsidR="00865E23" w:rsidRPr="00B33AA4">
        <w:rPr>
          <w:i/>
          <w:color w:val="0000FF"/>
        </w:rPr>
        <w:t>’</w:t>
      </w:r>
      <w:r w:rsidR="00384211" w:rsidRPr="00B33AA4">
        <w:rPr>
          <w:i/>
          <w:color w:val="0000FF"/>
        </w:rPr>
        <w:t xml:space="preserve">il y a lieu </w:t>
      </w:r>
      <w:r w:rsidR="00805412" w:rsidRPr="00B33AA4">
        <w:rPr>
          <w:i/>
          <w:color w:val="0000FF"/>
        </w:rPr>
        <w:t>(</w:t>
      </w:r>
      <w:r w:rsidR="00C67049" w:rsidRPr="00B33AA4">
        <w:rPr>
          <w:i/>
          <w:color w:val="0000FF"/>
        </w:rPr>
        <w:t>liée aux fonds spéculatifs de tiers</w:t>
      </w:r>
      <w:r w:rsidR="00805412" w:rsidRPr="00B33AA4">
        <w:rPr>
          <w:i/>
          <w:color w:val="0000FF"/>
        </w:rPr>
        <w:t>)</w:t>
      </w:r>
      <w:r w:rsidR="00C67049" w:rsidRPr="00B33AA4">
        <w:rPr>
          <w:i/>
          <w:color w:val="0000FF"/>
        </w:rPr>
        <w:t> </w:t>
      </w:r>
      <w:r w:rsidR="00507773" w:rsidRPr="00B33AA4">
        <w:rPr>
          <w:i/>
          <w:color w:val="0000FF"/>
        </w:rPr>
        <w:t>:</w:t>
      </w:r>
    </w:p>
    <w:p w14:paraId="444412A5" w14:textId="77777777" w:rsidR="00805412" w:rsidRPr="00B33AA4" w:rsidRDefault="00805412" w:rsidP="00507773">
      <w:pPr>
        <w:pStyle w:val="Heading3"/>
      </w:pPr>
      <w:r w:rsidRPr="00B33AA4">
        <w:t>F</w:t>
      </w:r>
      <w:r w:rsidR="000E2399" w:rsidRPr="00B33AA4">
        <w:t>onds de fonds</w:t>
      </w:r>
    </w:p>
    <w:p w14:paraId="028C0EF3" w14:textId="68DA3C3D" w:rsidR="00805412" w:rsidRPr="00B33AA4" w:rsidRDefault="00D5319B" w:rsidP="008F2193">
      <w:pPr>
        <w:pStyle w:val="09Para"/>
      </w:pPr>
      <w:r w:rsidRPr="00B33AA4">
        <w:t>Nous avons mis à votre disposition toutes les informations obtenues (oralement ou par écrit) ou</w:t>
      </w:r>
      <w:r w:rsidR="00542147">
        <w:t> </w:t>
      </w:r>
      <w:r w:rsidRPr="00B33AA4">
        <w:t xml:space="preserve">préparées qui concernent les autres fonds de placement dans lesquels </w:t>
      </w:r>
      <w:r w:rsidR="00805412" w:rsidRPr="00B33AA4">
        <w:t>[</w:t>
      </w:r>
      <w:r w:rsidR="00805412" w:rsidRPr="00B33AA4">
        <w:rPr>
          <w:color w:val="0000FF"/>
        </w:rPr>
        <w:t>Entit</w:t>
      </w:r>
      <w:r w:rsidRPr="00B33AA4">
        <w:rPr>
          <w:color w:val="0000FF"/>
        </w:rPr>
        <w:t>é</w:t>
      </w:r>
      <w:r w:rsidR="00805412" w:rsidRPr="00B33AA4">
        <w:t>]</w:t>
      </w:r>
      <w:r w:rsidRPr="00B33AA4">
        <w:t xml:space="preserve"> détient des </w:t>
      </w:r>
      <w:r w:rsidR="005556E0" w:rsidRPr="00B33AA4">
        <w:t xml:space="preserve">intérêts </w:t>
      </w:r>
      <w:r w:rsidR="00805412" w:rsidRPr="00B33AA4">
        <w:t>(</w:t>
      </w:r>
      <w:r w:rsidRPr="00B33AA4">
        <w:t>fonds de fonds</w:t>
      </w:r>
      <w:r w:rsidR="00805412" w:rsidRPr="00B33AA4">
        <w:t xml:space="preserve">), </w:t>
      </w:r>
      <w:r w:rsidRPr="00B33AA4">
        <w:t>y</w:t>
      </w:r>
      <w:r w:rsidR="00E23BB5">
        <w:t> </w:t>
      </w:r>
      <w:r w:rsidRPr="00B33AA4">
        <w:t>compris, mais sans s</w:t>
      </w:r>
      <w:r w:rsidR="00865E23" w:rsidRPr="00B33AA4">
        <w:t>’</w:t>
      </w:r>
      <w:r w:rsidRPr="00B33AA4">
        <w:t xml:space="preserve">y limiter, sur ce qui suit : </w:t>
      </w:r>
      <w:r w:rsidR="00805412" w:rsidRPr="00B33AA4">
        <w:rPr>
          <w:rFonts w:eastAsia="Arial Unicode MS"/>
        </w:rPr>
        <w:t>a)</w:t>
      </w:r>
      <w:r w:rsidR="00A30295" w:rsidRPr="00B33AA4">
        <w:rPr>
          <w:rFonts w:eastAsia="Arial Unicode MS"/>
        </w:rPr>
        <w:t> </w:t>
      </w:r>
      <w:r w:rsidRPr="00B33AA4">
        <w:rPr>
          <w:rFonts w:eastAsia="Arial Unicode MS"/>
        </w:rPr>
        <w:t>évaluations des risques</w:t>
      </w:r>
      <w:r w:rsidR="00805412" w:rsidRPr="00B33AA4">
        <w:rPr>
          <w:rFonts w:eastAsia="Arial Unicode MS"/>
        </w:rPr>
        <w:t>; b)</w:t>
      </w:r>
      <w:r w:rsidR="00A30295" w:rsidRPr="00B33AA4">
        <w:rPr>
          <w:rFonts w:eastAsia="Arial Unicode MS"/>
        </w:rPr>
        <w:t> </w:t>
      </w:r>
      <w:r w:rsidR="00805412" w:rsidRPr="00B33AA4">
        <w:rPr>
          <w:rFonts w:eastAsia="Arial Unicode MS"/>
        </w:rPr>
        <w:t>documentation</w:t>
      </w:r>
      <w:r w:rsidRPr="00B33AA4">
        <w:rPr>
          <w:rFonts w:eastAsia="Arial Unicode MS"/>
        </w:rPr>
        <w:t xml:space="preserve"> relative à l</w:t>
      </w:r>
      <w:r w:rsidR="00865E23" w:rsidRPr="00B33AA4">
        <w:rPr>
          <w:rFonts w:eastAsia="Arial Unicode MS"/>
        </w:rPr>
        <w:t>’</w:t>
      </w:r>
      <w:r w:rsidRPr="00B33AA4">
        <w:rPr>
          <w:rFonts w:eastAsia="Arial Unicode MS"/>
        </w:rPr>
        <w:t>exercice de la diligence raisonnable</w:t>
      </w:r>
      <w:r w:rsidR="00805412" w:rsidRPr="00B33AA4">
        <w:rPr>
          <w:rFonts w:eastAsia="Arial Unicode MS"/>
        </w:rPr>
        <w:t xml:space="preserve"> (</w:t>
      </w:r>
      <w:r w:rsidRPr="00B33AA4">
        <w:t>p.</w:t>
      </w:r>
      <w:r w:rsidR="00A30295" w:rsidRPr="00B33AA4">
        <w:t> </w:t>
      </w:r>
      <w:r w:rsidRPr="00B33AA4">
        <w:t xml:space="preserve">ex. </w:t>
      </w:r>
      <w:r w:rsidR="00805412" w:rsidRPr="00B33AA4">
        <w:t xml:space="preserve">questionnaires, </w:t>
      </w:r>
      <w:r w:rsidRPr="00B33AA4">
        <w:t>résumés</w:t>
      </w:r>
      <w:r w:rsidR="00805412" w:rsidRPr="00B33AA4">
        <w:t>, r</w:t>
      </w:r>
      <w:r w:rsidRPr="00B33AA4">
        <w:t>ap</w:t>
      </w:r>
      <w:r w:rsidR="00805412" w:rsidRPr="00B33AA4">
        <w:t>ports</w:t>
      </w:r>
      <w:r w:rsidR="00805412" w:rsidRPr="00B33AA4">
        <w:rPr>
          <w:rFonts w:eastAsia="Arial Unicode MS"/>
        </w:rPr>
        <w:t>); c)</w:t>
      </w:r>
      <w:r w:rsidR="00A30295" w:rsidRPr="00B33AA4">
        <w:rPr>
          <w:rFonts w:eastAsia="Arial Unicode MS"/>
        </w:rPr>
        <w:t> </w:t>
      </w:r>
      <w:r w:rsidRPr="00B33AA4">
        <w:rPr>
          <w:rFonts w:eastAsia="Arial Unicode MS"/>
        </w:rPr>
        <w:t>états financiers audités et non audités</w:t>
      </w:r>
      <w:r w:rsidR="00805412" w:rsidRPr="00B33AA4">
        <w:t>; d)</w:t>
      </w:r>
      <w:r w:rsidR="00A30295" w:rsidRPr="00B33AA4">
        <w:t> </w:t>
      </w:r>
      <w:r w:rsidRPr="00B33AA4">
        <w:t>informations sur le portefeuille</w:t>
      </w:r>
      <w:r w:rsidR="00805412" w:rsidRPr="00B33AA4">
        <w:t xml:space="preserve"> (</w:t>
      </w:r>
      <w:r w:rsidRPr="00B33AA4">
        <w:rPr>
          <w:color w:val="0000FF"/>
        </w:rPr>
        <w:t>p</w:t>
      </w:r>
      <w:r w:rsidR="00D7639C" w:rsidRPr="00B33AA4">
        <w:rPr>
          <w:color w:val="0000FF"/>
        </w:rPr>
        <w:t>.</w:t>
      </w:r>
      <w:r w:rsidR="00A30295" w:rsidRPr="00B33AA4">
        <w:rPr>
          <w:color w:val="0000FF"/>
        </w:rPr>
        <w:t> </w:t>
      </w:r>
      <w:r w:rsidRPr="00B33AA4">
        <w:rPr>
          <w:color w:val="0000FF"/>
        </w:rPr>
        <w:t>ex</w:t>
      </w:r>
      <w:r w:rsidR="00D7639C" w:rsidRPr="00B33AA4">
        <w:rPr>
          <w:color w:val="0000FF"/>
        </w:rPr>
        <w:t>.</w:t>
      </w:r>
      <w:r w:rsidRPr="00B33AA4">
        <w:rPr>
          <w:color w:val="0000FF"/>
        </w:rPr>
        <w:t xml:space="preserve"> liste détaillée et résumé des placements des portefeuilles</w:t>
      </w:r>
      <w:r w:rsidR="00805412" w:rsidRPr="00B33AA4">
        <w:t>); e)</w:t>
      </w:r>
      <w:r w:rsidR="00A30295" w:rsidRPr="00B33AA4">
        <w:t> </w:t>
      </w:r>
      <w:r w:rsidRPr="00B33AA4">
        <w:t xml:space="preserve">état </w:t>
      </w:r>
      <w:r w:rsidR="00D7639C" w:rsidRPr="00B33AA4">
        <w:t xml:space="preserve">de la </w:t>
      </w:r>
      <w:r w:rsidRPr="00B33AA4">
        <w:t>valeur de l</w:t>
      </w:r>
      <w:r w:rsidR="00865E23" w:rsidRPr="00B33AA4">
        <w:t>’</w:t>
      </w:r>
      <w:r w:rsidRPr="00B33AA4">
        <w:t xml:space="preserve">actif net </w:t>
      </w:r>
      <w:r w:rsidR="005556E0" w:rsidRPr="00B33AA4">
        <w:t xml:space="preserve">ou </w:t>
      </w:r>
      <w:r w:rsidR="00C67049" w:rsidRPr="00B33AA4">
        <w:t>compte de capital</w:t>
      </w:r>
      <w:r w:rsidR="00805412" w:rsidRPr="00B33AA4">
        <w:t>; f)</w:t>
      </w:r>
      <w:r w:rsidR="00A30295" w:rsidRPr="00B33AA4">
        <w:t> </w:t>
      </w:r>
      <w:r w:rsidR="00C67049" w:rsidRPr="00B33AA4">
        <w:t>lettres aux investisseurs</w:t>
      </w:r>
      <w:r w:rsidR="00805412" w:rsidRPr="00B33AA4">
        <w:t xml:space="preserve">; </w:t>
      </w:r>
      <w:r w:rsidR="00C67049" w:rsidRPr="00B33AA4">
        <w:t>g)</w:t>
      </w:r>
      <w:r w:rsidR="00A30295" w:rsidRPr="00B33AA4">
        <w:t> </w:t>
      </w:r>
      <w:r w:rsidR="00C67049" w:rsidRPr="00B33AA4">
        <w:t xml:space="preserve">toute autre </w:t>
      </w:r>
      <w:r w:rsidR="00805412" w:rsidRPr="00B33AA4">
        <w:t xml:space="preserve">communication. </w:t>
      </w:r>
      <w:r w:rsidR="00C67049" w:rsidRPr="00B33AA4">
        <w:t xml:space="preserve">Nous avons </w:t>
      </w:r>
      <w:r w:rsidR="00226D1B" w:rsidRPr="00B33AA4">
        <w:t>pris adéquatement en considération le</w:t>
      </w:r>
      <w:r w:rsidR="00C67049" w:rsidRPr="00B33AA4">
        <w:t>s caractéristiques pertinentes du fonds, notamment les limites visant le rachat ou la transférabilité</w:t>
      </w:r>
      <w:r w:rsidR="00805412" w:rsidRPr="00B33AA4">
        <w:t xml:space="preserve">, </w:t>
      </w:r>
      <w:r w:rsidR="00C67049" w:rsidRPr="00B33AA4">
        <w:t>lors de notre évaluation de la juste valeur du</w:t>
      </w:r>
      <w:r w:rsidR="00E23BB5">
        <w:t> </w:t>
      </w:r>
      <w:r w:rsidR="00C67049" w:rsidRPr="00B33AA4">
        <w:t>fonds</w:t>
      </w:r>
      <w:r w:rsidR="00805412" w:rsidRPr="00B33AA4">
        <w:t>.</w:t>
      </w:r>
      <w:r w:rsidR="001D46F3">
        <w:t>]</w:t>
      </w:r>
    </w:p>
    <w:p w14:paraId="52262CEF" w14:textId="77777777" w:rsidR="00805412" w:rsidRPr="00B33AA4" w:rsidRDefault="00C72D4E" w:rsidP="002E7AC0">
      <w:pPr>
        <w:pStyle w:val="09Para"/>
        <w:keepNext/>
      </w:pPr>
      <w:r w:rsidRPr="00B33AA4">
        <w:t>[</w:t>
      </w:r>
      <w:r w:rsidR="00805412" w:rsidRPr="00B33AA4">
        <w:rPr>
          <w:i/>
          <w:color w:val="0000FF"/>
        </w:rPr>
        <w:t>A</w:t>
      </w:r>
      <w:r w:rsidR="00AD235E" w:rsidRPr="00B33AA4">
        <w:rPr>
          <w:i/>
          <w:color w:val="0000FF"/>
        </w:rPr>
        <w:t>jouter la déclaration suivante</w:t>
      </w:r>
      <w:r w:rsidR="00D7639C" w:rsidRPr="00B33AA4">
        <w:rPr>
          <w:i/>
          <w:color w:val="0000FF"/>
        </w:rPr>
        <w:t>,</w:t>
      </w:r>
      <w:r w:rsidR="00AD235E" w:rsidRPr="00B33AA4">
        <w:rPr>
          <w:i/>
          <w:color w:val="0000FF"/>
        </w:rPr>
        <w:t xml:space="preserve"> s</w:t>
      </w:r>
      <w:r w:rsidR="00865E23" w:rsidRPr="00B33AA4">
        <w:rPr>
          <w:i/>
          <w:color w:val="0000FF"/>
        </w:rPr>
        <w:t>’</w:t>
      </w:r>
      <w:r w:rsidR="00AD235E" w:rsidRPr="00B33AA4">
        <w:rPr>
          <w:i/>
          <w:color w:val="0000FF"/>
        </w:rPr>
        <w:t>il y a lieu</w:t>
      </w:r>
      <w:r w:rsidR="005556E0" w:rsidRPr="00B33AA4">
        <w:rPr>
          <w:i/>
          <w:color w:val="0000FF"/>
        </w:rPr>
        <w:t> :</w:t>
      </w:r>
    </w:p>
    <w:p w14:paraId="1D96B08F" w14:textId="77777777" w:rsidR="00AD235E" w:rsidRPr="00B33AA4" w:rsidRDefault="00431A41" w:rsidP="00507773">
      <w:pPr>
        <w:pStyle w:val="Heading3"/>
      </w:pPr>
      <w:r w:rsidRPr="00B33AA4">
        <w:t>Placements privés</w:t>
      </w:r>
    </w:p>
    <w:p w14:paraId="39001F5D" w14:textId="626016A4" w:rsidR="00EA6F83" w:rsidRDefault="00805412" w:rsidP="008F2193">
      <w:pPr>
        <w:pStyle w:val="09Para"/>
      </w:pPr>
      <w:r w:rsidRPr="00B33AA4">
        <w:t>[</w:t>
      </w:r>
      <w:r w:rsidRPr="00B33AA4">
        <w:rPr>
          <w:color w:val="0000FF"/>
        </w:rPr>
        <w:t>Entit</w:t>
      </w:r>
      <w:r w:rsidR="00AD235E" w:rsidRPr="00B33AA4">
        <w:rPr>
          <w:color w:val="0000FF"/>
        </w:rPr>
        <w:t>é</w:t>
      </w:r>
      <w:r w:rsidRPr="00B33AA4">
        <w:t>] a</w:t>
      </w:r>
      <w:r w:rsidR="00AD235E" w:rsidRPr="00B33AA4">
        <w:t xml:space="preserve"> présenté des informations appropriées sur les montants du capital engagé et du capital </w:t>
      </w:r>
      <w:r w:rsidR="00431A41" w:rsidRPr="00B33AA4">
        <w:t>restant à appeler</w:t>
      </w:r>
      <w:r w:rsidRPr="00B33AA4">
        <w:t>. [</w:t>
      </w:r>
      <w:r w:rsidR="00AD235E" w:rsidRPr="00B33AA4">
        <w:rPr>
          <w:i/>
          <w:color w:val="0000FF"/>
        </w:rPr>
        <w:t>Si l</w:t>
      </w:r>
      <w:r w:rsidR="00EC7EA2">
        <w:rPr>
          <w:i/>
          <w:color w:val="0000FF"/>
        </w:rPr>
        <w:t>’entité</w:t>
      </w:r>
      <w:r w:rsidR="00AD235E" w:rsidRPr="00B33AA4">
        <w:rPr>
          <w:i/>
          <w:color w:val="0000FF"/>
        </w:rPr>
        <w:t xml:space="preserve"> est assujetti</w:t>
      </w:r>
      <w:r w:rsidR="00EC7EA2">
        <w:rPr>
          <w:i/>
          <w:color w:val="0000FF"/>
        </w:rPr>
        <w:t>e</w:t>
      </w:r>
      <w:r w:rsidR="00AD235E" w:rsidRPr="00B33AA4">
        <w:rPr>
          <w:i/>
          <w:color w:val="0000FF"/>
        </w:rPr>
        <w:t xml:space="preserve"> à une disposition de récupération</w:t>
      </w:r>
      <w:r w:rsidRPr="00B33AA4">
        <w:rPr>
          <w:i/>
          <w:color w:val="0000FF"/>
        </w:rPr>
        <w:t xml:space="preserve"> </w:t>
      </w:r>
      <w:r w:rsidR="00D7639C" w:rsidRPr="00B33AA4">
        <w:rPr>
          <w:i/>
          <w:color w:val="0000FF"/>
        </w:rPr>
        <w:t>avec un</w:t>
      </w:r>
      <w:r w:rsidR="00E23BB5">
        <w:rPr>
          <w:i/>
          <w:color w:val="0000FF"/>
        </w:rPr>
        <w:t> </w:t>
      </w:r>
      <w:r w:rsidR="0036407E" w:rsidRPr="00B33AA4">
        <w:rPr>
          <w:i/>
          <w:color w:val="0000FF"/>
        </w:rPr>
        <w:t>commandit</w:t>
      </w:r>
      <w:r w:rsidR="00D7639C" w:rsidRPr="00B33AA4">
        <w:rPr>
          <w:i/>
          <w:color w:val="0000FF"/>
        </w:rPr>
        <w:t>aire</w:t>
      </w:r>
      <w:r w:rsidR="0036407E" w:rsidRPr="00B33AA4">
        <w:rPr>
          <w:i/>
          <w:color w:val="0000FF"/>
        </w:rPr>
        <w:t xml:space="preserve"> </w:t>
      </w:r>
      <w:r w:rsidR="00431A41" w:rsidRPr="00B33AA4">
        <w:rPr>
          <w:i/>
          <w:color w:val="0000FF"/>
        </w:rPr>
        <w:t xml:space="preserve">ayant un </w:t>
      </w:r>
      <w:r w:rsidRPr="00B33AA4">
        <w:rPr>
          <w:i/>
          <w:color w:val="0000FF"/>
        </w:rPr>
        <w:t>capital</w:t>
      </w:r>
      <w:r w:rsidR="00431A41" w:rsidRPr="00B33AA4">
        <w:rPr>
          <w:i/>
          <w:color w:val="0000FF"/>
        </w:rPr>
        <w:t xml:space="preserve"> négatif</w:t>
      </w:r>
      <w:r w:rsidRPr="00B33AA4">
        <w:rPr>
          <w:i/>
          <w:color w:val="0000FF"/>
        </w:rPr>
        <w:t>, a</w:t>
      </w:r>
      <w:r w:rsidR="00384211" w:rsidRPr="00B33AA4">
        <w:rPr>
          <w:i/>
          <w:color w:val="0000FF"/>
        </w:rPr>
        <w:t>jouter ce qui suit</w:t>
      </w:r>
      <w:r w:rsidR="005556E0" w:rsidRPr="00B33AA4">
        <w:rPr>
          <w:i/>
          <w:color w:val="0000FF"/>
        </w:rPr>
        <w:t> :</w:t>
      </w:r>
      <w:r w:rsidR="0036407E" w:rsidRPr="00B33AA4">
        <w:rPr>
          <w:color w:val="0000FF"/>
        </w:rPr>
        <w:t xml:space="preserve"> L</w:t>
      </w:r>
      <w:r w:rsidR="00865E23" w:rsidRPr="00B33AA4">
        <w:rPr>
          <w:color w:val="0000FF"/>
        </w:rPr>
        <w:t>’</w:t>
      </w:r>
      <w:r w:rsidR="0036407E" w:rsidRPr="00B33AA4">
        <w:rPr>
          <w:color w:val="0000FF"/>
        </w:rPr>
        <w:t>associé commandi</w:t>
      </w:r>
      <w:r w:rsidR="008717CA" w:rsidRPr="00B33AA4">
        <w:rPr>
          <w:color w:val="0000FF"/>
        </w:rPr>
        <w:t>t</w:t>
      </w:r>
      <w:r w:rsidR="002F2F6B" w:rsidRPr="00B33AA4">
        <w:rPr>
          <w:color w:val="0000FF"/>
        </w:rPr>
        <w:t>é</w:t>
      </w:r>
      <w:r w:rsidR="0036407E" w:rsidRPr="00B33AA4">
        <w:rPr>
          <w:color w:val="0000FF"/>
        </w:rPr>
        <w:t xml:space="preserve"> </w:t>
      </w:r>
      <w:r w:rsidRPr="00B33AA4">
        <w:rPr>
          <w:color w:val="0000FF"/>
        </w:rPr>
        <w:t xml:space="preserve">a </w:t>
      </w:r>
      <w:r w:rsidR="00384211" w:rsidRPr="00B33AA4">
        <w:rPr>
          <w:color w:val="0000FF"/>
        </w:rPr>
        <w:t xml:space="preserve">une obligation de </w:t>
      </w:r>
      <w:r w:rsidRPr="00B33AA4">
        <w:t>[</w:t>
      </w:r>
      <w:r w:rsidR="00D7639C" w:rsidRPr="00B33AA4">
        <w:rPr>
          <w:color w:val="0000FF"/>
        </w:rPr>
        <w:t>montant</w:t>
      </w:r>
      <w:r w:rsidRPr="00B33AA4">
        <w:t>]</w:t>
      </w:r>
      <w:r w:rsidR="00507773" w:rsidRPr="00B33AA4">
        <w:rPr>
          <w:color w:val="0000FF"/>
        </w:rPr>
        <w:t> </w:t>
      </w:r>
      <w:r w:rsidR="00384211" w:rsidRPr="00B33AA4">
        <w:rPr>
          <w:color w:val="0000FF"/>
        </w:rPr>
        <w:t>$ au titre de la dissolution ou liquidation d</w:t>
      </w:r>
      <w:r w:rsidR="00431A41" w:rsidRPr="00B33AA4">
        <w:rPr>
          <w:color w:val="0000FF"/>
        </w:rPr>
        <w:t>e la société en commandite</w:t>
      </w:r>
      <w:r w:rsidR="00384211" w:rsidRPr="00B33AA4">
        <w:rPr>
          <w:color w:val="0000FF"/>
        </w:rPr>
        <w:t>, qui est présent</w:t>
      </w:r>
      <w:r w:rsidR="00D7639C" w:rsidRPr="00B33AA4">
        <w:rPr>
          <w:color w:val="0000FF"/>
        </w:rPr>
        <w:t>é</w:t>
      </w:r>
      <w:r w:rsidR="00384211" w:rsidRPr="00B33AA4">
        <w:rPr>
          <w:color w:val="0000FF"/>
        </w:rPr>
        <w:t xml:space="preserve"> correctement dans les états financiers</w:t>
      </w:r>
      <w:r w:rsidR="00AA3249" w:rsidRPr="00B33AA4">
        <w:rPr>
          <w:color w:val="0000FF"/>
        </w:rPr>
        <w:t xml:space="preserve"> </w:t>
      </w:r>
      <w:r w:rsidR="00AA3249" w:rsidRPr="00B33AA4">
        <w:t>[</w:t>
      </w:r>
      <w:r w:rsidR="00AA3249" w:rsidRPr="00B33AA4">
        <w:rPr>
          <w:color w:val="0000FF"/>
        </w:rPr>
        <w:t>consolidés</w:t>
      </w:r>
      <w:r w:rsidR="00AA3249" w:rsidRPr="00B33AA4">
        <w:t>]</w:t>
      </w:r>
      <w:r w:rsidRPr="00B33AA4">
        <w:rPr>
          <w:color w:val="0000FF"/>
        </w:rPr>
        <w:t xml:space="preserve">. </w:t>
      </w:r>
      <w:r w:rsidR="00384211" w:rsidRPr="00B33AA4">
        <w:rPr>
          <w:color w:val="0000FF"/>
        </w:rPr>
        <w:t>Les</w:t>
      </w:r>
      <w:r w:rsidR="00431A41" w:rsidRPr="00B33AA4">
        <w:rPr>
          <w:color w:val="0000FF"/>
        </w:rPr>
        <w:t xml:space="preserve"> principaux commandit</w:t>
      </w:r>
      <w:r w:rsidR="002F2F6B" w:rsidRPr="00B33AA4">
        <w:rPr>
          <w:color w:val="0000FF"/>
        </w:rPr>
        <w:t>é</w:t>
      </w:r>
      <w:r w:rsidR="00431A41" w:rsidRPr="00B33AA4">
        <w:rPr>
          <w:color w:val="0000FF"/>
        </w:rPr>
        <w:t>s</w:t>
      </w:r>
      <w:r w:rsidR="00C72D4E" w:rsidRPr="00B33AA4">
        <w:rPr>
          <w:color w:val="0000FF"/>
          <w:vertAlign w:val="superscript"/>
        </w:rPr>
        <w:footnoteReference w:id="5"/>
      </w:r>
      <w:r w:rsidRPr="00B33AA4">
        <w:rPr>
          <w:color w:val="0000FF"/>
        </w:rPr>
        <w:t xml:space="preserve"> </w:t>
      </w:r>
      <w:r w:rsidR="00384211" w:rsidRPr="00B33AA4">
        <w:rPr>
          <w:color w:val="0000FF"/>
        </w:rPr>
        <w:t>ont l</w:t>
      </w:r>
      <w:r w:rsidR="00865E23" w:rsidRPr="00B33AA4">
        <w:rPr>
          <w:color w:val="0000FF"/>
        </w:rPr>
        <w:t>’</w:t>
      </w:r>
      <w:r w:rsidR="00384211" w:rsidRPr="00B33AA4">
        <w:rPr>
          <w:color w:val="0000FF"/>
        </w:rPr>
        <w:t>intention et la capacité de régler ce montant au besoin</w:t>
      </w:r>
      <w:r w:rsidRPr="00B33AA4">
        <w:rPr>
          <w:color w:val="0000FF"/>
        </w:rPr>
        <w:t>.</w:t>
      </w:r>
      <w:r w:rsidRPr="00B33AA4">
        <w:t>]</w:t>
      </w:r>
      <w:r w:rsidRPr="00B33AA4">
        <w:rPr>
          <w:color w:val="0000FF"/>
        </w:rPr>
        <w:t xml:space="preserve"> </w:t>
      </w:r>
      <w:r w:rsidRPr="00B33AA4">
        <w:t>[</w:t>
      </w:r>
      <w:r w:rsidR="00384211" w:rsidRPr="00B33AA4">
        <w:rPr>
          <w:i/>
          <w:color w:val="0000FF"/>
        </w:rPr>
        <w:t>Ajouter la déclaration suivante</w:t>
      </w:r>
      <w:r w:rsidR="00D7639C" w:rsidRPr="00B33AA4">
        <w:rPr>
          <w:i/>
          <w:color w:val="0000FF"/>
        </w:rPr>
        <w:t xml:space="preserve">, </w:t>
      </w:r>
      <w:r w:rsidR="00384211" w:rsidRPr="00B33AA4">
        <w:rPr>
          <w:i/>
          <w:color w:val="0000FF"/>
        </w:rPr>
        <w:t>s</w:t>
      </w:r>
      <w:r w:rsidR="00865E23" w:rsidRPr="00B33AA4">
        <w:rPr>
          <w:i/>
          <w:color w:val="0000FF"/>
        </w:rPr>
        <w:t>’</w:t>
      </w:r>
      <w:r w:rsidR="00384211" w:rsidRPr="00B33AA4">
        <w:rPr>
          <w:i/>
          <w:color w:val="0000FF"/>
        </w:rPr>
        <w:t>il y a lieu</w:t>
      </w:r>
      <w:r w:rsidR="005556E0" w:rsidRPr="00B33AA4">
        <w:rPr>
          <w:i/>
          <w:color w:val="0000FF"/>
        </w:rPr>
        <w:t> :</w:t>
      </w:r>
      <w:r w:rsidR="00384211" w:rsidRPr="00B33AA4">
        <w:rPr>
          <w:color w:val="0000FF"/>
        </w:rPr>
        <w:t xml:space="preserve"> Tous les apports de capital à recevoir </w:t>
      </w:r>
      <w:r w:rsidR="00D7639C" w:rsidRPr="00B33AA4">
        <w:rPr>
          <w:color w:val="0000FF"/>
        </w:rPr>
        <w:t xml:space="preserve">ont </w:t>
      </w:r>
      <w:r w:rsidR="00384211" w:rsidRPr="00B33AA4">
        <w:rPr>
          <w:color w:val="0000FF"/>
        </w:rPr>
        <w:t>été reçus à</w:t>
      </w:r>
      <w:r w:rsidR="00E23BB5">
        <w:rPr>
          <w:color w:val="0000FF"/>
        </w:rPr>
        <w:t> </w:t>
      </w:r>
      <w:r w:rsidR="00384211" w:rsidRPr="00B33AA4">
        <w:rPr>
          <w:color w:val="0000FF"/>
        </w:rPr>
        <w:t>la</w:t>
      </w:r>
      <w:r w:rsidR="00542147">
        <w:rPr>
          <w:color w:val="0000FF"/>
        </w:rPr>
        <w:t> </w:t>
      </w:r>
      <w:r w:rsidR="00384211" w:rsidRPr="00B33AA4">
        <w:rPr>
          <w:color w:val="0000FF"/>
        </w:rPr>
        <w:t>date</w:t>
      </w:r>
      <w:r w:rsidR="00542147">
        <w:rPr>
          <w:color w:val="0000FF"/>
        </w:rPr>
        <w:t> </w:t>
      </w:r>
      <w:r w:rsidR="00384211" w:rsidRPr="00B33AA4">
        <w:rPr>
          <w:color w:val="0000FF"/>
        </w:rPr>
        <w:t>de la présente lettre</w:t>
      </w:r>
      <w:r w:rsidRPr="00B33AA4">
        <w:rPr>
          <w:color w:val="0000FF"/>
        </w:rPr>
        <w:t>.</w:t>
      </w:r>
      <w:r w:rsidRPr="00B33AA4">
        <w:t>]</w:t>
      </w:r>
      <w:r w:rsidR="00C72D4E" w:rsidRPr="00B33AA4">
        <w:t>]</w:t>
      </w:r>
    </w:p>
    <w:p w14:paraId="4149474B" w14:textId="748BE4B2" w:rsidR="00EC7EA2" w:rsidRPr="00E60CE1" w:rsidRDefault="00BE5011" w:rsidP="00EC7EA2">
      <w:pPr>
        <w:pStyle w:val="Heading3"/>
      </w:pPr>
      <w:bookmarkStart w:id="81" w:name="Paragraph_1248"/>
      <w:r>
        <w:t>Classement des</w:t>
      </w:r>
      <w:r w:rsidR="00A246B8">
        <w:t xml:space="preserve"> produits financiers en tant </w:t>
      </w:r>
      <w:r w:rsidR="003E04CE">
        <w:t>que remboursement de capital ou produit</w:t>
      </w:r>
      <w:r w:rsidR="00EC7EA2" w:rsidRPr="00E60CE1">
        <w:t xml:space="preserve"> </w:t>
      </w:r>
      <w:bookmarkEnd w:id="81"/>
    </w:p>
    <w:p w14:paraId="79801241" w14:textId="4105F85F" w:rsidR="00EC7EA2" w:rsidRPr="00B33AA4" w:rsidRDefault="00392BBA" w:rsidP="00EC7EA2">
      <w:pPr>
        <w:pStyle w:val="09Para"/>
      </w:pPr>
      <w:r w:rsidRPr="000E5EB7">
        <w:t>Nous avons correctement classé les distributions reçues de sociétés de portefeuille ou les fonds</w:t>
      </w:r>
      <w:r w:rsidR="00542147">
        <w:t> </w:t>
      </w:r>
      <w:r w:rsidRPr="000E5EB7">
        <w:t>sous-jacents en tant que remboursement de capital ou produit en fonction de nos connaissances sur les résultats ou les bénéfices de ces sociétés.</w:t>
      </w:r>
    </w:p>
    <w:sectPr w:rsidR="00EC7EA2" w:rsidRPr="00B33AA4" w:rsidSect="009C176D">
      <w:pgSz w:w="12240" w:h="15840" w:code="1"/>
      <w:pgMar w:top="1440" w:right="1440" w:bottom="1440" w:left="1440" w:header="562"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F3BF9" w14:textId="77777777" w:rsidR="00AE2CEF" w:rsidRDefault="00AE2CEF">
      <w:r>
        <w:separator/>
      </w:r>
    </w:p>
  </w:endnote>
  <w:endnote w:type="continuationSeparator" w:id="0">
    <w:p w14:paraId="2A07E10B" w14:textId="77777777" w:rsidR="00AE2CEF" w:rsidRDefault="00AE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B0D6" w14:textId="77777777" w:rsidR="00AE2CEF" w:rsidRDefault="00AE2CEF" w:rsidP="005D4962">
    <w:pPr>
      <w:framePr w:wrap="around" w:vAnchor="text" w:hAnchor="margin" w:xAlign="right" w:y="1"/>
    </w:pPr>
    <w:r>
      <w:fldChar w:fldCharType="begin"/>
    </w:r>
    <w:r>
      <w:instrText xml:space="preserve">PAGE  </w:instrText>
    </w:r>
    <w:r>
      <w:fldChar w:fldCharType="separate"/>
    </w:r>
    <w:r>
      <w:rPr>
        <w:noProof/>
      </w:rPr>
      <w:t>2</w:t>
    </w:r>
    <w:r>
      <w:fldChar w:fldCharType="end"/>
    </w:r>
  </w:p>
  <w:p w14:paraId="3CF3A57C" w14:textId="77777777" w:rsidR="00AE2CEF" w:rsidRDefault="00AE2CEF" w:rsidP="005D49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75FC" w14:textId="77777777" w:rsidR="00AE2CEF" w:rsidRDefault="00AE2CEF" w:rsidP="00F169C1">
    <w:pPr>
      <w:pStyle w:val="Footer"/>
      <w:jc w:val="right"/>
    </w:pPr>
    <w:r>
      <w:fldChar w:fldCharType="begin"/>
    </w:r>
    <w:r>
      <w:instrText xml:space="preserve"> PAGE   \* MERGEFORMAT </w:instrText>
    </w:r>
    <w:r>
      <w:fldChar w:fldCharType="separate"/>
    </w:r>
    <w:r w:rsidR="00C40213">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CE63D" w14:textId="231EAE49" w:rsidR="00AE2CEF" w:rsidRPr="00D17C6D" w:rsidRDefault="00AE2CEF" w:rsidP="00B7513A">
    <w:pPr>
      <w:pStyle w:val="Footer"/>
      <w:jc w:val="right"/>
      <w:rPr>
        <w:rFonts w:ascii="Calibri" w:hAnsi="Calibri"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D920" w14:textId="77777777" w:rsidR="00AE2CEF" w:rsidRPr="00807E48" w:rsidRDefault="00AE2CEF" w:rsidP="00807E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58058" w14:textId="77777777" w:rsidR="00AE2CEF" w:rsidRPr="00807E48" w:rsidRDefault="00AE2CEF" w:rsidP="00807E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F046" w14:textId="77777777" w:rsidR="00AE2CEF" w:rsidRPr="00F169C1" w:rsidRDefault="00AE2CEF" w:rsidP="008F2193">
    <w:pPr>
      <w:pStyle w:val="Footer"/>
      <w:jc w:val="right"/>
    </w:pPr>
    <w:r>
      <w:fldChar w:fldCharType="begin"/>
    </w:r>
    <w:r>
      <w:instrText xml:space="preserve"> PAGE   \* MERGEFORMAT </w:instrText>
    </w:r>
    <w:r>
      <w:fldChar w:fldCharType="separate"/>
    </w:r>
    <w:r w:rsidR="00C40213">
      <w:rPr>
        <w:noProof/>
      </w:rPr>
      <w:t>39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321A" w14:textId="77777777" w:rsidR="00AE2CEF" w:rsidRPr="00B7513A" w:rsidRDefault="00AE2CEF" w:rsidP="003007D2">
    <w:pPr>
      <w:pStyle w:val="Footer"/>
      <w:jc w:val="right"/>
    </w:pPr>
    <w:r>
      <w:fldChar w:fldCharType="begin"/>
    </w:r>
    <w:r>
      <w:instrText xml:space="preserve"> PAGE   \* MERGEFORMAT </w:instrText>
    </w:r>
    <w:r>
      <w:fldChar w:fldCharType="separate"/>
    </w:r>
    <w:r w:rsidR="00C40213">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1F53" w14:textId="77777777" w:rsidR="00AE2CEF" w:rsidRDefault="00AE2CEF">
      <w:r>
        <w:separator/>
      </w:r>
    </w:p>
  </w:footnote>
  <w:footnote w:type="continuationSeparator" w:id="0">
    <w:p w14:paraId="4177341E" w14:textId="77777777" w:rsidR="00AE2CEF" w:rsidRDefault="00AE2CEF">
      <w:r>
        <w:continuationSeparator/>
      </w:r>
    </w:p>
  </w:footnote>
  <w:footnote w:id="1">
    <w:p w14:paraId="3CD68BCD" w14:textId="77777777" w:rsidR="00AE2CEF" w:rsidRPr="001924EC" w:rsidRDefault="00AE2CEF" w:rsidP="00341C65">
      <w:pPr>
        <w:tabs>
          <w:tab w:val="left" w:pos="-720"/>
          <w:tab w:val="left" w:pos="720"/>
          <w:tab w:val="left" w:pos="1440"/>
          <w:tab w:val="left" w:pos="2160"/>
          <w:tab w:val="left" w:pos="2880"/>
          <w:tab w:val="left" w:pos="3600"/>
          <w:tab w:val="left" w:pos="4320"/>
        </w:tabs>
        <w:suppressAutoHyphens/>
        <w:rPr>
          <w:rFonts w:cs="Arial"/>
          <w:bCs/>
          <w:color w:val="0000FF"/>
          <w:sz w:val="18"/>
          <w:szCs w:val="18"/>
          <w:lang w:val="fr-CA"/>
        </w:rPr>
      </w:pPr>
      <w:r w:rsidRPr="001924EC">
        <w:rPr>
          <w:rFonts w:cs="Arial"/>
          <w:color w:val="0000FF"/>
          <w:sz w:val="18"/>
          <w:szCs w:val="18"/>
          <w:vertAlign w:val="superscript"/>
          <w:lang w:val="fr-CA"/>
        </w:rPr>
        <w:footnoteRef/>
      </w:r>
      <w:r w:rsidRPr="001924EC">
        <w:rPr>
          <w:rFonts w:cs="Arial"/>
          <w:color w:val="0000FF"/>
          <w:sz w:val="18"/>
          <w:szCs w:val="18"/>
          <w:lang w:val="fr-CA"/>
        </w:rPr>
        <w:t xml:space="preserve"> La date que porte la lettre doit être aussi rapprochée que possible de la date du rapport de l’auditeur, mais ne doit pas être postérieure à celle-ci.</w:t>
      </w:r>
      <w:r w:rsidRPr="001924EC">
        <w:rPr>
          <w:rFonts w:cs="Arial"/>
          <w:bCs/>
          <w:color w:val="0000FF"/>
          <w:sz w:val="18"/>
          <w:szCs w:val="18"/>
          <w:lang w:val="fr-CA"/>
        </w:rPr>
        <w:t xml:space="preserve"> (</w:t>
      </w:r>
      <w:proofErr w:type="gramStart"/>
      <w:r w:rsidRPr="001924EC">
        <w:rPr>
          <w:rFonts w:cs="Arial"/>
          <w:bCs/>
          <w:color w:val="0000FF"/>
          <w:sz w:val="18"/>
          <w:szCs w:val="18"/>
          <w:lang w:val="fr-CA"/>
        </w:rPr>
        <w:t>paragraphe</w:t>
      </w:r>
      <w:proofErr w:type="gramEnd"/>
      <w:r w:rsidRPr="001924EC">
        <w:rPr>
          <w:rFonts w:cs="Arial"/>
          <w:bCs/>
          <w:color w:val="0000FF"/>
          <w:sz w:val="18"/>
          <w:szCs w:val="18"/>
          <w:lang w:val="fr-CA"/>
        </w:rPr>
        <w:t> 14 de la NCA 580)</w:t>
      </w:r>
    </w:p>
    <w:p w14:paraId="0DBE045A" w14:textId="77777777" w:rsidR="00AE2CEF" w:rsidRPr="001924EC" w:rsidRDefault="00AE2CEF" w:rsidP="00341C65">
      <w:pPr>
        <w:tabs>
          <w:tab w:val="left" w:pos="-720"/>
          <w:tab w:val="left" w:pos="720"/>
          <w:tab w:val="left" w:pos="1440"/>
          <w:tab w:val="left" w:pos="2160"/>
          <w:tab w:val="left" w:pos="2880"/>
          <w:tab w:val="left" w:pos="3600"/>
          <w:tab w:val="left" w:pos="4320"/>
        </w:tabs>
        <w:suppressAutoHyphens/>
        <w:rPr>
          <w:rFonts w:cs="Arial"/>
          <w:sz w:val="18"/>
          <w:szCs w:val="18"/>
          <w:lang w:val="fr-CA"/>
        </w:rPr>
      </w:pPr>
    </w:p>
  </w:footnote>
  <w:footnote w:id="2">
    <w:p w14:paraId="4DB9B21B" w14:textId="5472D6FA" w:rsidR="00AE2CEF" w:rsidRPr="001924EC" w:rsidRDefault="00AE2CEF" w:rsidP="001924EC">
      <w:pPr>
        <w:suppressAutoHyphens/>
        <w:rPr>
          <w:rFonts w:cs="Arial"/>
          <w:sz w:val="18"/>
          <w:szCs w:val="18"/>
          <w:lang w:val="fr-CA"/>
        </w:rPr>
      </w:pPr>
      <w:r w:rsidRPr="001924EC">
        <w:rPr>
          <w:rFonts w:cs="Arial"/>
          <w:color w:val="0000FF"/>
          <w:sz w:val="18"/>
          <w:szCs w:val="18"/>
          <w:vertAlign w:val="superscript"/>
          <w:lang w:val="fr-CA"/>
        </w:rPr>
        <w:footnoteRef/>
      </w:r>
      <w:r w:rsidRPr="001924EC">
        <w:rPr>
          <w:rFonts w:cs="Arial"/>
          <w:color w:val="0000FF"/>
          <w:sz w:val="18"/>
          <w:szCs w:val="18"/>
          <w:lang w:val="fr-CA"/>
        </w:rPr>
        <w:t xml:space="preserve"> Si cela est approprié, ajouter « au nom du conseil d’administration » (ou un organe similaire). La ou les parties responsables de la préparation et de la présentation des états financiers et des assertions qu’ils contiennent doivent être identifiées dans ce paragraphe. Généralement, cette responsabilité incombe à la direction, qui comprend le directeur général et le directeur financier de l’entité ou toute autre personne occupant une fonction équivalente au</w:t>
      </w:r>
      <w:r>
        <w:rPr>
          <w:rFonts w:cs="Arial"/>
          <w:color w:val="0000FF"/>
          <w:sz w:val="18"/>
          <w:szCs w:val="18"/>
          <w:lang w:val="fr-CA"/>
        </w:rPr>
        <w:t> </w:t>
      </w:r>
      <w:r w:rsidRPr="001924EC">
        <w:rPr>
          <w:rFonts w:cs="Arial"/>
          <w:color w:val="0000FF"/>
          <w:sz w:val="18"/>
          <w:szCs w:val="18"/>
          <w:lang w:val="fr-CA"/>
        </w:rPr>
        <w:t>sein d’entités qui n’utilisent pas de tels titres de fonction. Dans certaines circonstances, des organes, comme les</w:t>
      </w:r>
      <w:r>
        <w:rPr>
          <w:rFonts w:cs="Arial"/>
          <w:color w:val="0000FF"/>
          <w:sz w:val="18"/>
          <w:szCs w:val="18"/>
          <w:lang w:val="fr-CA"/>
        </w:rPr>
        <w:t> </w:t>
      </w:r>
      <w:r w:rsidRPr="001924EC">
        <w:rPr>
          <w:rFonts w:cs="Arial"/>
          <w:color w:val="0000FF"/>
          <w:sz w:val="18"/>
          <w:szCs w:val="18"/>
          <w:lang w:val="fr-CA"/>
        </w:rPr>
        <w:t>responsables de la gouvernance, sont également responsables de la préparation et de la présentation des états</w:t>
      </w:r>
      <w:r>
        <w:rPr>
          <w:rFonts w:cs="Arial"/>
          <w:color w:val="0000FF"/>
          <w:sz w:val="18"/>
          <w:szCs w:val="18"/>
          <w:lang w:val="fr-CA"/>
        </w:rPr>
        <w:t> </w:t>
      </w:r>
      <w:r w:rsidRPr="001924EC">
        <w:rPr>
          <w:rFonts w:cs="Arial"/>
          <w:color w:val="0000FF"/>
          <w:sz w:val="18"/>
          <w:szCs w:val="18"/>
          <w:lang w:val="fr-CA"/>
        </w:rPr>
        <w:t>financiers [consolidés]. Si le directeur général et le directeur financier signent la lettre au nom du conseil d’administration, il est suggéré de déposer la lettre d’affirmation lors d’une réunion du conseil d’administration.</w:t>
      </w:r>
    </w:p>
  </w:footnote>
  <w:footnote w:id="3">
    <w:p w14:paraId="62C7DF15" w14:textId="77777777" w:rsidR="00AE2CEF" w:rsidRPr="0016433F" w:rsidRDefault="00AE2CEF" w:rsidP="0016433F">
      <w:pPr>
        <w:tabs>
          <w:tab w:val="left" w:pos="630"/>
        </w:tabs>
        <w:autoSpaceDE w:val="0"/>
        <w:autoSpaceDN w:val="0"/>
        <w:adjustRightInd w:val="0"/>
        <w:rPr>
          <w:rFonts w:cs="Arial"/>
          <w:color w:val="0000FF"/>
          <w:sz w:val="18"/>
          <w:szCs w:val="18"/>
          <w:lang w:val="fr-CA"/>
        </w:rPr>
      </w:pPr>
      <w:r w:rsidRPr="0016433F">
        <w:rPr>
          <w:rFonts w:cs="Arial"/>
          <w:color w:val="0000FF"/>
          <w:sz w:val="18"/>
          <w:szCs w:val="18"/>
          <w:vertAlign w:val="superscript"/>
        </w:rPr>
        <w:footnoteRef/>
      </w:r>
      <w:r>
        <w:rPr>
          <w:rFonts w:cs="Arial"/>
          <w:color w:val="0000FF"/>
          <w:sz w:val="18"/>
          <w:szCs w:val="18"/>
          <w:lang w:val="fr-CA"/>
        </w:rPr>
        <w:t xml:space="preserve"> </w:t>
      </w:r>
      <w:r w:rsidRPr="0016433F">
        <w:rPr>
          <w:rFonts w:cs="Arial"/>
          <w:color w:val="0000FF"/>
          <w:sz w:val="18"/>
          <w:szCs w:val="18"/>
          <w:lang w:val="fr-CA"/>
        </w:rPr>
        <w:t>L’annexe doit faire état de toutes les écritures de journal proposées par l’équipe de mission.</w:t>
      </w:r>
    </w:p>
  </w:footnote>
  <w:footnote w:id="4">
    <w:p w14:paraId="28C6162D" w14:textId="1C6B7D78" w:rsidR="00AE2CEF" w:rsidRPr="002E4BA3" w:rsidRDefault="00AE2CEF" w:rsidP="00E147C2">
      <w:pPr>
        <w:rPr>
          <w:sz w:val="18"/>
          <w:szCs w:val="18"/>
          <w:lang w:val="fr-CA"/>
        </w:rPr>
      </w:pPr>
      <w:r w:rsidRPr="00E147C2">
        <w:rPr>
          <w:color w:val="0000FF"/>
          <w:sz w:val="18"/>
          <w:szCs w:val="18"/>
          <w:vertAlign w:val="superscript"/>
        </w:rPr>
        <w:footnoteRef/>
      </w:r>
      <w:r w:rsidRPr="00091264">
        <w:rPr>
          <w:color w:val="0000FF"/>
          <w:sz w:val="18"/>
          <w:szCs w:val="18"/>
          <w:lang w:val="fr-CA"/>
        </w:rPr>
        <w:t xml:space="preserve"> </w:t>
      </w:r>
      <w:bookmarkStart w:id="7" w:name="_Ref163443799"/>
      <w:r>
        <w:rPr>
          <w:rFonts w:cs="Arial"/>
          <w:color w:val="0000FF"/>
          <w:sz w:val="18"/>
          <w:szCs w:val="18"/>
          <w:lang w:val="fr-CA"/>
        </w:rPr>
        <w:t xml:space="preserve">Le paragraphe 6 de la NCA 580 définit l’objectif de l’auditeur comme suit : obtenir des membres de la direction et, le cas échéant, des responsables de la gouvernance des déclarations écrites. </w:t>
      </w:r>
      <w:r w:rsidRPr="00091264">
        <w:rPr>
          <w:color w:val="0000FF"/>
          <w:sz w:val="18"/>
          <w:szCs w:val="18"/>
          <w:lang w:val="fr-CA"/>
        </w:rPr>
        <w:t>Habituellement, la lettre est signée par</w:t>
      </w:r>
      <w:r>
        <w:rPr>
          <w:color w:val="0000FF"/>
          <w:sz w:val="18"/>
          <w:szCs w:val="18"/>
          <w:lang w:val="fr-CA"/>
        </w:rPr>
        <w:t> </w:t>
      </w:r>
      <w:r w:rsidRPr="00091264">
        <w:rPr>
          <w:color w:val="0000FF"/>
          <w:sz w:val="18"/>
          <w:szCs w:val="18"/>
          <w:lang w:val="fr-CA"/>
        </w:rPr>
        <w:t>les membres de la direction qui sont les principaux responsables de l’entité et de ses aspects financiers (habituellement le directeur général et le directeur financier), au mieux de leur connaissance et en toute bonne foi.</w:t>
      </w:r>
      <w:r>
        <w:rPr>
          <w:color w:val="0000FF"/>
          <w:sz w:val="18"/>
          <w:szCs w:val="18"/>
          <w:lang w:val="fr-CA"/>
        </w:rPr>
        <w:t> </w:t>
      </w:r>
      <w:r w:rsidRPr="00091264">
        <w:rPr>
          <w:color w:val="0000FF"/>
          <w:sz w:val="18"/>
          <w:szCs w:val="18"/>
          <w:lang w:val="fr-CA"/>
        </w:rPr>
        <w:t>Dans certaines circonstances, l’auditeur peut envisager d’obtenir des lettres d’affirmation auprès d’autres membres de la direction. Par exemple, l’auditeur peut envisager d’obtenir une lettre d’affirmation sur l’exhaustivité des procès</w:t>
      </w:r>
      <w:r w:rsidRPr="00091264">
        <w:rPr>
          <w:color w:val="0000FF"/>
          <w:sz w:val="18"/>
          <w:szCs w:val="18"/>
          <w:lang w:val="fr-CA"/>
        </w:rPr>
        <w:noBreakHyphen/>
        <w:t>verbaux du conseil d’administration et de ses comités importants auprès des personnes responsables de</w:t>
      </w:r>
      <w:r>
        <w:rPr>
          <w:color w:val="0000FF"/>
          <w:sz w:val="18"/>
          <w:szCs w:val="18"/>
          <w:lang w:val="fr-CA"/>
        </w:rPr>
        <w:t> </w:t>
      </w:r>
      <w:r w:rsidRPr="00091264">
        <w:rPr>
          <w:color w:val="0000FF"/>
          <w:sz w:val="18"/>
          <w:szCs w:val="18"/>
          <w:lang w:val="fr-CA"/>
        </w:rPr>
        <w:t>la tenue de ces procès</w:t>
      </w:r>
      <w:r w:rsidRPr="00091264">
        <w:rPr>
          <w:color w:val="0000FF"/>
          <w:sz w:val="18"/>
          <w:szCs w:val="18"/>
          <w:lang w:val="fr-CA"/>
        </w:rPr>
        <w:noBreakHyphen/>
        <w:t>verbaux</w:t>
      </w:r>
      <w:bookmarkEnd w:id="7"/>
      <w:r>
        <w:rPr>
          <w:color w:val="0000FF"/>
          <w:sz w:val="18"/>
          <w:szCs w:val="18"/>
          <w:lang w:val="fr-CA"/>
        </w:rPr>
        <w:t>.</w:t>
      </w:r>
    </w:p>
  </w:footnote>
  <w:footnote w:id="5">
    <w:p w14:paraId="02FDDE57" w14:textId="77777777" w:rsidR="00AE2CEF" w:rsidRPr="00507773" w:rsidRDefault="00AE2CEF" w:rsidP="0016433F">
      <w:pPr>
        <w:rPr>
          <w:color w:val="0000FF"/>
          <w:lang w:val="fr-CA"/>
        </w:rPr>
      </w:pPr>
      <w:r w:rsidRPr="007F58F2">
        <w:rPr>
          <w:rFonts w:cs="Arial"/>
          <w:color w:val="0000FF"/>
          <w:sz w:val="18"/>
          <w:szCs w:val="18"/>
          <w:vertAlign w:val="superscript"/>
        </w:rPr>
        <w:footnoteRef/>
      </w:r>
      <w:r w:rsidRPr="007F58F2">
        <w:rPr>
          <w:rFonts w:cs="Arial"/>
          <w:color w:val="0000FF"/>
          <w:sz w:val="18"/>
          <w:szCs w:val="18"/>
          <w:lang w:val="fr-CA"/>
        </w:rPr>
        <w:t xml:space="preserve"> Si des déclarations d’une personne précise sont requises, envisager de les inclure dans une lettre d’affirmation distincte.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7666" w14:textId="77777777" w:rsidR="00AE2CEF" w:rsidRDefault="00AE2CEF" w:rsidP="00A61385">
    <w:pPr>
      <w:pStyle w:val="Header"/>
      <w:tabs>
        <w:tab w:val="clear" w:pos="4320"/>
        <w:tab w:val="clear" w:pos="8640"/>
      </w:tabs>
      <w:spacing w:before="120"/>
      <w:jc w:val="center"/>
    </w:pPr>
    <w:r>
      <w:t xml:space="preserve">- </w:t>
    </w:r>
    <w:r>
      <w:fldChar w:fldCharType="begin"/>
    </w:r>
    <w:r>
      <w:instrText xml:space="preserve"> PAGE   \* MERGEFORMAT </w:instrText>
    </w:r>
    <w:r>
      <w:fldChar w:fldCharType="separate"/>
    </w:r>
    <w:r w:rsidR="00C40213">
      <w:rPr>
        <w:noProof/>
      </w:rPr>
      <w:t>14</w:t>
    </w:r>
    <w:r>
      <w:rPr>
        <w:noProof/>
      </w:rPr>
      <w:fldChar w:fldCharType="end"/>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DE815100C4AF45108B365DCCB9DC703E"/>
      </w:placeholder>
      <w:temporary/>
      <w:showingPlcHdr/>
      <w15:appearance w15:val="hidden"/>
    </w:sdtPr>
    <w:sdtEndPr/>
    <w:sdtContent>
      <w:p w14:paraId="69A10AA1" w14:textId="77777777" w:rsidR="00AE2CEF" w:rsidRDefault="00AE2CEF">
        <w:pPr>
          <w:pStyle w:val="Header"/>
        </w:pPr>
        <w:r>
          <w:t>[Type here]</w:t>
        </w:r>
      </w:p>
    </w:sdtContent>
  </w:sdt>
  <w:p w14:paraId="0AD2F45D" w14:textId="5B0F00DD" w:rsidR="00AE2CEF" w:rsidRPr="00071749" w:rsidRDefault="00AE2CEF" w:rsidP="00C55C3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3B378" w14:textId="77777777" w:rsidR="00AE2CEF" w:rsidRPr="0019009E" w:rsidRDefault="00C40213" w:rsidP="00A06D6F">
    <w:pPr>
      <w:spacing w:before="480" w:after="480"/>
      <w:jc w:val="right"/>
    </w:pPr>
    <w:sdt>
      <w:sdtPr>
        <w:rPr>
          <w:rFonts w:cs="Arial"/>
          <w:b/>
        </w:rPr>
        <w:alias w:val="Étiquette de sécurité"/>
        <w:tag w:val="OAG-BVG-Classification"/>
        <w:id w:val="799430149"/>
        <w:placeholder>
          <w:docPart w:val="4C1BB4C7A7DE4380AC04E9F3EBF06DB6"/>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AE2CEF">
          <w:rPr>
            <w:rFonts w:cs="Arial"/>
            <w:b/>
          </w:rPr>
          <w:t>PROTÉGÉ A (lorsque rempli)</w:t>
        </w:r>
      </w:sdtContent>
    </w:sdt>
  </w:p>
  <w:p w14:paraId="0AF8EEB8" w14:textId="77777777" w:rsidR="00AE2CEF" w:rsidRPr="00071749" w:rsidRDefault="00AE2CEF" w:rsidP="000717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345B" w14:textId="77777777" w:rsidR="00AE2CEF" w:rsidRPr="00071749" w:rsidRDefault="00AE2CEF" w:rsidP="000717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030E" w14:textId="77777777" w:rsidR="00AE2CEF" w:rsidRPr="00071749" w:rsidRDefault="00AE2CEF" w:rsidP="00071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223258A8"/>
    <w:styleLink w:val="15TableAlpha2a"/>
    <w:lvl w:ilvl="0">
      <w:start w:val="1"/>
      <w:numFmt w:val="lowerLetter"/>
      <w:pStyle w:val="15TableAlpha2"/>
      <w:lvlText w:val="%1)"/>
      <w:lvlJc w:val="left"/>
      <w:pPr>
        <w:ind w:left="936"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FC5D61"/>
    <w:multiLevelType w:val="hybridMultilevel"/>
    <w:tmpl w:val="6B04ED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0D19D8"/>
    <w:multiLevelType w:val="hybridMultilevel"/>
    <w:tmpl w:val="C97E9818"/>
    <w:lvl w:ilvl="0" w:tplc="3A4A7686">
      <w:start w:val="1"/>
      <w:numFmt w:val="decimal"/>
      <w:pStyle w:val="Heading4"/>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167F7A"/>
    <w:multiLevelType w:val="hybridMultilevel"/>
    <w:tmpl w:val="8F82E2AE"/>
    <w:lvl w:ilvl="0" w:tplc="30B29888">
      <w:start w:val="1"/>
      <w:numFmt w:val="bullet"/>
      <w:pStyle w:val="09ParaBullet2"/>
      <w:lvlText w:val=""/>
      <w:lvlJc w:val="left"/>
      <w:pPr>
        <w:ind w:left="1440" w:hanging="360"/>
      </w:pPr>
      <w:rPr>
        <w:rFonts w:ascii="Symbol" w:hAnsi="Symbol" w:hint="default"/>
        <w:color w:val="auto"/>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EC670EC"/>
    <w:multiLevelType w:val="hybridMultilevel"/>
    <w:tmpl w:val="D0DE6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7470D3"/>
    <w:multiLevelType w:val="hybridMultilevel"/>
    <w:tmpl w:val="49D25FE6"/>
    <w:lvl w:ilvl="0" w:tplc="68F4E3EA">
      <w:start w:val="1"/>
      <w:numFmt w:val="bullet"/>
      <w:pStyle w:val="09ParaBullet1"/>
      <w:lvlText w:val=""/>
      <w:lvlJc w:val="left"/>
      <w:pPr>
        <w:ind w:left="2004" w:hanging="360"/>
      </w:pPr>
      <w:rPr>
        <w:rFonts w:ascii="Symbol" w:hAnsi="Symbol" w:hint="default"/>
      </w:rPr>
    </w:lvl>
    <w:lvl w:ilvl="1" w:tplc="10090003" w:tentative="1">
      <w:start w:val="1"/>
      <w:numFmt w:val="bullet"/>
      <w:lvlText w:val="o"/>
      <w:lvlJc w:val="left"/>
      <w:pPr>
        <w:ind w:left="2724" w:hanging="360"/>
      </w:pPr>
      <w:rPr>
        <w:rFonts w:ascii="Courier New" w:hAnsi="Courier New" w:cs="Courier New" w:hint="default"/>
      </w:rPr>
    </w:lvl>
    <w:lvl w:ilvl="2" w:tplc="10090005" w:tentative="1">
      <w:start w:val="1"/>
      <w:numFmt w:val="bullet"/>
      <w:lvlText w:val=""/>
      <w:lvlJc w:val="left"/>
      <w:pPr>
        <w:ind w:left="3444" w:hanging="360"/>
      </w:pPr>
      <w:rPr>
        <w:rFonts w:ascii="Wingdings" w:hAnsi="Wingdings" w:hint="default"/>
      </w:rPr>
    </w:lvl>
    <w:lvl w:ilvl="3" w:tplc="10090001" w:tentative="1">
      <w:start w:val="1"/>
      <w:numFmt w:val="bullet"/>
      <w:lvlText w:val=""/>
      <w:lvlJc w:val="left"/>
      <w:pPr>
        <w:ind w:left="4164" w:hanging="360"/>
      </w:pPr>
      <w:rPr>
        <w:rFonts w:ascii="Symbol" w:hAnsi="Symbol" w:hint="default"/>
      </w:rPr>
    </w:lvl>
    <w:lvl w:ilvl="4" w:tplc="10090003" w:tentative="1">
      <w:start w:val="1"/>
      <w:numFmt w:val="bullet"/>
      <w:lvlText w:val="o"/>
      <w:lvlJc w:val="left"/>
      <w:pPr>
        <w:ind w:left="4884" w:hanging="360"/>
      </w:pPr>
      <w:rPr>
        <w:rFonts w:ascii="Courier New" w:hAnsi="Courier New" w:cs="Courier New" w:hint="default"/>
      </w:rPr>
    </w:lvl>
    <w:lvl w:ilvl="5" w:tplc="10090005" w:tentative="1">
      <w:start w:val="1"/>
      <w:numFmt w:val="bullet"/>
      <w:lvlText w:val=""/>
      <w:lvlJc w:val="left"/>
      <w:pPr>
        <w:ind w:left="5604" w:hanging="360"/>
      </w:pPr>
      <w:rPr>
        <w:rFonts w:ascii="Wingdings" w:hAnsi="Wingdings" w:hint="default"/>
      </w:rPr>
    </w:lvl>
    <w:lvl w:ilvl="6" w:tplc="10090001" w:tentative="1">
      <w:start w:val="1"/>
      <w:numFmt w:val="bullet"/>
      <w:lvlText w:val=""/>
      <w:lvlJc w:val="left"/>
      <w:pPr>
        <w:ind w:left="6324" w:hanging="360"/>
      </w:pPr>
      <w:rPr>
        <w:rFonts w:ascii="Symbol" w:hAnsi="Symbol" w:hint="default"/>
      </w:rPr>
    </w:lvl>
    <w:lvl w:ilvl="7" w:tplc="10090003" w:tentative="1">
      <w:start w:val="1"/>
      <w:numFmt w:val="bullet"/>
      <w:lvlText w:val="o"/>
      <w:lvlJc w:val="left"/>
      <w:pPr>
        <w:ind w:left="7044" w:hanging="360"/>
      </w:pPr>
      <w:rPr>
        <w:rFonts w:ascii="Courier New" w:hAnsi="Courier New" w:cs="Courier New" w:hint="default"/>
      </w:rPr>
    </w:lvl>
    <w:lvl w:ilvl="8" w:tplc="10090005" w:tentative="1">
      <w:start w:val="1"/>
      <w:numFmt w:val="bullet"/>
      <w:lvlText w:val=""/>
      <w:lvlJc w:val="left"/>
      <w:pPr>
        <w:ind w:left="7764" w:hanging="360"/>
      </w:pPr>
      <w:rPr>
        <w:rFonts w:ascii="Wingdings" w:hAnsi="Wingdings" w:hint="default"/>
      </w:rPr>
    </w:lvl>
  </w:abstractNum>
  <w:abstractNum w:abstractNumId="6" w15:restartNumberingAfterBreak="0">
    <w:nsid w:val="158E1C44"/>
    <w:multiLevelType w:val="multilevel"/>
    <w:tmpl w:val="7FEAAC38"/>
    <w:styleLink w:val="09ParaAlpha1a"/>
    <w:lvl w:ilvl="0">
      <w:start w:val="1"/>
      <w:numFmt w:val="lowerLetter"/>
      <w:pStyle w:val="09ParaAlpha1"/>
      <w:lvlText w:val="%1)"/>
      <w:lvlJc w:val="left"/>
      <w:pPr>
        <w:ind w:left="644"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04"/>
        </w:tabs>
        <w:ind w:left="1004" w:hanging="360"/>
      </w:pPr>
      <w:rPr>
        <w:rFonts w:hint="default"/>
      </w:rPr>
    </w:lvl>
    <w:lvl w:ilvl="3">
      <w:start w:val="1"/>
      <w:numFmt w:val="decimal"/>
      <w:lvlText w:val="(%4)"/>
      <w:lvlJc w:val="left"/>
      <w:pPr>
        <w:tabs>
          <w:tab w:val="num" w:pos="1364"/>
        </w:tabs>
        <w:ind w:left="1364" w:hanging="360"/>
      </w:pPr>
      <w:rPr>
        <w:rFonts w:hint="default"/>
      </w:rPr>
    </w:lvl>
    <w:lvl w:ilvl="4">
      <w:start w:val="1"/>
      <w:numFmt w:val="lowerLetter"/>
      <w:lvlText w:val="(%5)"/>
      <w:lvlJc w:val="left"/>
      <w:pPr>
        <w:tabs>
          <w:tab w:val="num" w:pos="1724"/>
        </w:tabs>
        <w:ind w:left="1724" w:hanging="360"/>
      </w:pPr>
      <w:rPr>
        <w:rFonts w:hint="default"/>
      </w:rPr>
    </w:lvl>
    <w:lvl w:ilvl="5">
      <w:start w:val="1"/>
      <w:numFmt w:val="lowerRoman"/>
      <w:lvlText w:val="(%6)"/>
      <w:lvlJc w:val="left"/>
      <w:pPr>
        <w:tabs>
          <w:tab w:val="num" w:pos="2084"/>
        </w:tabs>
        <w:ind w:left="2084" w:hanging="360"/>
      </w:pPr>
      <w:rPr>
        <w:rFonts w:hint="default"/>
      </w:rPr>
    </w:lvl>
    <w:lvl w:ilvl="6">
      <w:start w:val="1"/>
      <w:numFmt w:val="decimal"/>
      <w:lvlText w:val="%7."/>
      <w:lvlJc w:val="left"/>
      <w:pPr>
        <w:tabs>
          <w:tab w:val="num" w:pos="2444"/>
        </w:tabs>
        <w:ind w:left="2444" w:hanging="360"/>
      </w:pPr>
      <w:rPr>
        <w:rFonts w:hint="default"/>
      </w:rPr>
    </w:lvl>
    <w:lvl w:ilvl="7">
      <w:start w:val="1"/>
      <w:numFmt w:val="lowerLetter"/>
      <w:lvlText w:val="%8."/>
      <w:lvlJc w:val="left"/>
      <w:pPr>
        <w:tabs>
          <w:tab w:val="num" w:pos="2804"/>
        </w:tabs>
        <w:ind w:left="2804" w:hanging="360"/>
      </w:pPr>
      <w:rPr>
        <w:rFonts w:hint="default"/>
      </w:rPr>
    </w:lvl>
    <w:lvl w:ilvl="8">
      <w:start w:val="1"/>
      <w:numFmt w:val="lowerRoman"/>
      <w:lvlText w:val="%9."/>
      <w:lvlJc w:val="left"/>
      <w:pPr>
        <w:tabs>
          <w:tab w:val="num" w:pos="3164"/>
        </w:tabs>
        <w:ind w:left="3164" w:hanging="360"/>
      </w:pPr>
      <w:rPr>
        <w:rFonts w:hint="default"/>
      </w:rPr>
    </w:lvl>
  </w:abstractNum>
  <w:abstractNum w:abstractNumId="7"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F45EFF"/>
    <w:multiLevelType w:val="hybridMultilevel"/>
    <w:tmpl w:val="62CE0568"/>
    <w:lvl w:ilvl="0" w:tplc="44C24DF0">
      <w:start w:val="1"/>
      <w:numFmt w:val="bullet"/>
      <w:pStyle w:val="LetterBulletsPwC"/>
      <w:lvlText w:val=""/>
      <w:lvlJc w:val="left"/>
      <w:pPr>
        <w:ind w:left="720" w:hanging="360"/>
      </w:pPr>
      <w:rPr>
        <w:rFonts w:ascii="Symbol" w:hAnsi="Symbol" w:hint="default"/>
      </w:rPr>
    </w:lvl>
    <w:lvl w:ilvl="1" w:tplc="821A918E">
      <w:start w:val="1"/>
      <w:numFmt w:val="bullet"/>
      <w:lvlText w:val="o"/>
      <w:lvlJc w:val="left"/>
      <w:pPr>
        <w:ind w:left="1440" w:hanging="360"/>
      </w:pPr>
      <w:rPr>
        <w:rFonts w:ascii="Courier New" w:hAnsi="Courier New" w:cs="Courier New" w:hint="default"/>
      </w:rPr>
    </w:lvl>
    <w:lvl w:ilvl="2" w:tplc="6388B21A" w:tentative="1">
      <w:start w:val="1"/>
      <w:numFmt w:val="bullet"/>
      <w:lvlText w:val=""/>
      <w:lvlJc w:val="left"/>
      <w:pPr>
        <w:ind w:left="2160" w:hanging="360"/>
      </w:pPr>
      <w:rPr>
        <w:rFonts w:ascii="Wingdings" w:hAnsi="Wingdings" w:hint="default"/>
      </w:rPr>
    </w:lvl>
    <w:lvl w:ilvl="3" w:tplc="3FEC9B4C" w:tentative="1">
      <w:start w:val="1"/>
      <w:numFmt w:val="bullet"/>
      <w:lvlText w:val=""/>
      <w:lvlJc w:val="left"/>
      <w:pPr>
        <w:ind w:left="2880" w:hanging="360"/>
      </w:pPr>
      <w:rPr>
        <w:rFonts w:ascii="Symbol" w:hAnsi="Symbol" w:hint="default"/>
      </w:rPr>
    </w:lvl>
    <w:lvl w:ilvl="4" w:tplc="1CA6539E" w:tentative="1">
      <w:start w:val="1"/>
      <w:numFmt w:val="bullet"/>
      <w:lvlText w:val="o"/>
      <w:lvlJc w:val="left"/>
      <w:pPr>
        <w:ind w:left="3600" w:hanging="360"/>
      </w:pPr>
      <w:rPr>
        <w:rFonts w:ascii="Courier New" w:hAnsi="Courier New" w:cs="Courier New" w:hint="default"/>
      </w:rPr>
    </w:lvl>
    <w:lvl w:ilvl="5" w:tplc="2BC8E0A8" w:tentative="1">
      <w:start w:val="1"/>
      <w:numFmt w:val="bullet"/>
      <w:lvlText w:val=""/>
      <w:lvlJc w:val="left"/>
      <w:pPr>
        <w:ind w:left="4320" w:hanging="360"/>
      </w:pPr>
      <w:rPr>
        <w:rFonts w:ascii="Wingdings" w:hAnsi="Wingdings" w:hint="default"/>
      </w:rPr>
    </w:lvl>
    <w:lvl w:ilvl="6" w:tplc="4EF458F2" w:tentative="1">
      <w:start w:val="1"/>
      <w:numFmt w:val="bullet"/>
      <w:lvlText w:val=""/>
      <w:lvlJc w:val="left"/>
      <w:pPr>
        <w:ind w:left="5040" w:hanging="360"/>
      </w:pPr>
      <w:rPr>
        <w:rFonts w:ascii="Symbol" w:hAnsi="Symbol" w:hint="default"/>
      </w:rPr>
    </w:lvl>
    <w:lvl w:ilvl="7" w:tplc="D19832A6" w:tentative="1">
      <w:start w:val="1"/>
      <w:numFmt w:val="bullet"/>
      <w:lvlText w:val="o"/>
      <w:lvlJc w:val="left"/>
      <w:pPr>
        <w:ind w:left="5760" w:hanging="360"/>
      </w:pPr>
      <w:rPr>
        <w:rFonts w:ascii="Courier New" w:hAnsi="Courier New" w:cs="Courier New" w:hint="default"/>
      </w:rPr>
    </w:lvl>
    <w:lvl w:ilvl="8" w:tplc="7C8EC2D8" w:tentative="1">
      <w:start w:val="1"/>
      <w:numFmt w:val="bullet"/>
      <w:lvlText w:val=""/>
      <w:lvlJc w:val="left"/>
      <w:pPr>
        <w:ind w:left="6480" w:hanging="360"/>
      </w:pPr>
      <w:rPr>
        <w:rFonts w:ascii="Wingdings" w:hAnsi="Wingdings" w:hint="default"/>
      </w:rPr>
    </w:lvl>
  </w:abstractNum>
  <w:abstractNum w:abstractNumId="9"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2848C4"/>
    <w:multiLevelType w:val="multilevel"/>
    <w:tmpl w:val="0742C3D6"/>
    <w:lvl w:ilvl="0">
      <w:start w:val="1"/>
      <w:numFmt w:val="bullet"/>
      <w:lvlText w:val=""/>
      <w:lvlJc w:val="left"/>
      <w:pPr>
        <w:tabs>
          <w:tab w:val="num" w:pos="1495"/>
        </w:tabs>
        <w:ind w:left="1495"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448C0"/>
    <w:multiLevelType w:val="multilevel"/>
    <w:tmpl w:val="D074A54E"/>
    <w:styleLink w:val="09ParaAlpha2a"/>
    <w:lvl w:ilvl="0">
      <w:start w:val="1"/>
      <w:numFmt w:val="lowerLetter"/>
      <w:pStyle w:val="09ParaAlpha2"/>
      <w:lvlText w:val="%1)"/>
      <w:lvlJc w:val="left"/>
      <w:pPr>
        <w:ind w:left="108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C5719C"/>
    <w:multiLevelType w:val="hybridMultilevel"/>
    <w:tmpl w:val="61FC6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44108B"/>
    <w:multiLevelType w:val="hybridMultilevel"/>
    <w:tmpl w:val="4614CF1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3EF4627E"/>
    <w:multiLevelType w:val="hybridMultilevel"/>
    <w:tmpl w:val="9614F8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2B2E32"/>
    <w:multiLevelType w:val="hybridMultilevel"/>
    <w:tmpl w:val="53F8C942"/>
    <w:lvl w:ilvl="0" w:tplc="F3C8C89A">
      <w:start w:val="1"/>
      <w:numFmt w:val="bullet"/>
      <w:lvlText w:val=""/>
      <w:lvlJc w:val="left"/>
      <w:pPr>
        <w:ind w:left="1080" w:hanging="360"/>
      </w:pPr>
      <w:rPr>
        <w:rFonts w:ascii="Symbol" w:hAnsi="Symbol" w:hint="default"/>
        <w:color w:val="auto"/>
        <w:sz w:val="20"/>
        <w:szCs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A04DC9"/>
    <w:multiLevelType w:val="multilevel"/>
    <w:tmpl w:val="D7D8228E"/>
    <w:styleLink w:val="09ParaAlpha3a"/>
    <w:lvl w:ilvl="0">
      <w:start w:val="1"/>
      <w:numFmt w:val="lowerLetter"/>
      <w:pStyle w:val="09ParaAlpha3"/>
      <w:lvlText w:val="%1)"/>
      <w:lvlJc w:val="left"/>
      <w:pPr>
        <w:ind w:left="144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73C1D4E"/>
    <w:multiLevelType w:val="hybridMultilevel"/>
    <w:tmpl w:val="3E5488FA"/>
    <w:lvl w:ilvl="0" w:tplc="FBAEF754">
      <w:start w:val="1"/>
      <w:numFmt w:val="bullet"/>
      <w:lvlText w:val=""/>
      <w:lvlJc w:val="left"/>
      <w:pPr>
        <w:tabs>
          <w:tab w:val="num" w:pos="1080"/>
        </w:tabs>
        <w:ind w:left="1080" w:firstLine="0"/>
      </w:pPr>
      <w:rPr>
        <w:rFonts w:ascii="Symbol" w:hAnsi="Symbol" w:hint="default"/>
        <w:color w:val="auto"/>
        <w:sz w:val="20"/>
        <w:szCs w:val="20"/>
      </w:rPr>
    </w:lvl>
    <w:lvl w:ilvl="1" w:tplc="0B984BEC">
      <w:start w:val="1"/>
      <w:numFmt w:val="bullet"/>
      <w:lvlText w:val=""/>
      <w:lvlJc w:val="left"/>
      <w:pPr>
        <w:tabs>
          <w:tab w:val="num" w:pos="360"/>
        </w:tabs>
        <w:ind w:left="1080" w:hanging="360"/>
      </w:pPr>
      <w:rPr>
        <w:rFonts w:ascii="Symbol" w:hAnsi="Symbol" w:hint="default"/>
        <w:color w:val="auto"/>
        <w:sz w:val="20"/>
        <w:szCs w:val="20"/>
      </w:rPr>
    </w:lvl>
    <w:lvl w:ilvl="2" w:tplc="25F6B0B2">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518E1CA4" w:tentative="1">
      <w:start w:val="1"/>
      <w:numFmt w:val="bullet"/>
      <w:lvlText w:val=""/>
      <w:lvlJc w:val="left"/>
      <w:pPr>
        <w:tabs>
          <w:tab w:val="num" w:pos="2880"/>
        </w:tabs>
        <w:ind w:left="2880" w:hanging="360"/>
      </w:pPr>
      <w:rPr>
        <w:rFonts w:ascii="Symbol" w:hAnsi="Symbol" w:hint="default"/>
      </w:rPr>
    </w:lvl>
    <w:lvl w:ilvl="4" w:tplc="2A50BB56" w:tentative="1">
      <w:start w:val="1"/>
      <w:numFmt w:val="bullet"/>
      <w:lvlText w:val="o"/>
      <w:lvlJc w:val="left"/>
      <w:pPr>
        <w:tabs>
          <w:tab w:val="num" w:pos="3600"/>
        </w:tabs>
        <w:ind w:left="3600" w:hanging="360"/>
      </w:pPr>
      <w:rPr>
        <w:rFonts w:ascii="Courier New" w:hAnsi="Courier New" w:cs="Courier New" w:hint="default"/>
      </w:rPr>
    </w:lvl>
    <w:lvl w:ilvl="5" w:tplc="5EF0A1EA" w:tentative="1">
      <w:start w:val="1"/>
      <w:numFmt w:val="bullet"/>
      <w:lvlText w:val=""/>
      <w:lvlJc w:val="left"/>
      <w:pPr>
        <w:tabs>
          <w:tab w:val="num" w:pos="4320"/>
        </w:tabs>
        <w:ind w:left="4320" w:hanging="360"/>
      </w:pPr>
      <w:rPr>
        <w:rFonts w:ascii="Wingdings" w:hAnsi="Wingdings" w:hint="default"/>
      </w:rPr>
    </w:lvl>
    <w:lvl w:ilvl="6" w:tplc="007C0B6C" w:tentative="1">
      <w:start w:val="1"/>
      <w:numFmt w:val="bullet"/>
      <w:lvlText w:val=""/>
      <w:lvlJc w:val="left"/>
      <w:pPr>
        <w:tabs>
          <w:tab w:val="num" w:pos="5040"/>
        </w:tabs>
        <w:ind w:left="5040" w:hanging="360"/>
      </w:pPr>
      <w:rPr>
        <w:rFonts w:ascii="Symbol" w:hAnsi="Symbol" w:hint="default"/>
      </w:rPr>
    </w:lvl>
    <w:lvl w:ilvl="7" w:tplc="7B5C017C" w:tentative="1">
      <w:start w:val="1"/>
      <w:numFmt w:val="bullet"/>
      <w:lvlText w:val="o"/>
      <w:lvlJc w:val="left"/>
      <w:pPr>
        <w:tabs>
          <w:tab w:val="num" w:pos="5760"/>
        </w:tabs>
        <w:ind w:left="5760" w:hanging="360"/>
      </w:pPr>
      <w:rPr>
        <w:rFonts w:ascii="Courier New" w:hAnsi="Courier New" w:cs="Courier New" w:hint="default"/>
      </w:rPr>
    </w:lvl>
    <w:lvl w:ilvl="8" w:tplc="5B8212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F51B64"/>
    <w:multiLevelType w:val="hybridMultilevel"/>
    <w:tmpl w:val="4CCEE104"/>
    <w:lvl w:ilvl="0" w:tplc="A064B560">
      <w:start w:val="1"/>
      <w:numFmt w:val="bullet"/>
      <w:lvlText w:val=""/>
      <w:lvlJc w:val="left"/>
      <w:pPr>
        <w:tabs>
          <w:tab w:val="num" w:pos="864"/>
        </w:tabs>
        <w:ind w:left="864" w:hanging="288"/>
      </w:pPr>
      <w:rPr>
        <w:rFonts w:ascii="Symbol" w:hAnsi="Symbol" w:hint="default"/>
        <w:color w:val="auto"/>
        <w:sz w:val="22"/>
        <w:szCs w:val="22"/>
      </w:rPr>
    </w:lvl>
    <w:lvl w:ilvl="1" w:tplc="ADBCB7E6">
      <w:start w:val="1"/>
      <w:numFmt w:val="bullet"/>
      <w:lvlText w:val=""/>
      <w:lvlJc w:val="left"/>
      <w:pPr>
        <w:tabs>
          <w:tab w:val="num" w:pos="432"/>
        </w:tabs>
        <w:ind w:left="432" w:hanging="216"/>
      </w:pPr>
      <w:rPr>
        <w:rFonts w:ascii="Symbol" w:hAnsi="Symbol" w:hint="default"/>
        <w:color w:val="auto"/>
        <w:sz w:val="22"/>
        <w:szCs w:val="22"/>
      </w:rPr>
    </w:lvl>
    <w:lvl w:ilvl="2" w:tplc="8222AFDA">
      <w:start w:val="1"/>
      <w:numFmt w:val="bullet"/>
      <w:pStyle w:val="15TableBullet3"/>
      <w:lvlText w:val=""/>
      <w:lvlJc w:val="left"/>
      <w:pPr>
        <w:tabs>
          <w:tab w:val="num" w:pos="864"/>
        </w:tabs>
        <w:ind w:left="864" w:hanging="216"/>
      </w:pPr>
      <w:rPr>
        <w:rFonts w:ascii="Symbol" w:hAnsi="Symbol" w:hint="default"/>
        <w:color w:val="auto"/>
        <w:sz w:val="22"/>
        <w:szCs w:val="22"/>
      </w:rPr>
    </w:lvl>
    <w:lvl w:ilvl="3" w:tplc="DFDC873A" w:tentative="1">
      <w:start w:val="1"/>
      <w:numFmt w:val="bullet"/>
      <w:lvlText w:val=""/>
      <w:lvlJc w:val="left"/>
      <w:pPr>
        <w:tabs>
          <w:tab w:val="num" w:pos="2880"/>
        </w:tabs>
        <w:ind w:left="2880" w:hanging="360"/>
      </w:pPr>
      <w:rPr>
        <w:rFonts w:ascii="Symbol" w:hAnsi="Symbol" w:hint="default"/>
      </w:rPr>
    </w:lvl>
    <w:lvl w:ilvl="4" w:tplc="5F1E570C" w:tentative="1">
      <w:start w:val="1"/>
      <w:numFmt w:val="bullet"/>
      <w:lvlText w:val="o"/>
      <w:lvlJc w:val="left"/>
      <w:pPr>
        <w:tabs>
          <w:tab w:val="num" w:pos="3600"/>
        </w:tabs>
        <w:ind w:left="3600" w:hanging="360"/>
      </w:pPr>
      <w:rPr>
        <w:rFonts w:ascii="Courier New" w:hAnsi="Courier New" w:cs="Courier New" w:hint="default"/>
      </w:rPr>
    </w:lvl>
    <w:lvl w:ilvl="5" w:tplc="E33E6F80" w:tentative="1">
      <w:start w:val="1"/>
      <w:numFmt w:val="bullet"/>
      <w:lvlText w:val=""/>
      <w:lvlJc w:val="left"/>
      <w:pPr>
        <w:tabs>
          <w:tab w:val="num" w:pos="4320"/>
        </w:tabs>
        <w:ind w:left="4320" w:hanging="360"/>
      </w:pPr>
      <w:rPr>
        <w:rFonts w:ascii="Wingdings" w:hAnsi="Wingdings" w:hint="default"/>
      </w:rPr>
    </w:lvl>
    <w:lvl w:ilvl="6" w:tplc="0A26AD18" w:tentative="1">
      <w:start w:val="1"/>
      <w:numFmt w:val="bullet"/>
      <w:lvlText w:val=""/>
      <w:lvlJc w:val="left"/>
      <w:pPr>
        <w:tabs>
          <w:tab w:val="num" w:pos="5040"/>
        </w:tabs>
        <w:ind w:left="5040" w:hanging="360"/>
      </w:pPr>
      <w:rPr>
        <w:rFonts w:ascii="Symbol" w:hAnsi="Symbol" w:hint="default"/>
      </w:rPr>
    </w:lvl>
    <w:lvl w:ilvl="7" w:tplc="176CDAC0" w:tentative="1">
      <w:start w:val="1"/>
      <w:numFmt w:val="bullet"/>
      <w:lvlText w:val="o"/>
      <w:lvlJc w:val="left"/>
      <w:pPr>
        <w:tabs>
          <w:tab w:val="num" w:pos="5760"/>
        </w:tabs>
        <w:ind w:left="5760" w:hanging="360"/>
      </w:pPr>
      <w:rPr>
        <w:rFonts w:ascii="Courier New" w:hAnsi="Courier New" w:cs="Courier New" w:hint="default"/>
      </w:rPr>
    </w:lvl>
    <w:lvl w:ilvl="8" w:tplc="9B34BE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094640"/>
    <w:multiLevelType w:val="hybridMultilevel"/>
    <w:tmpl w:val="79BCC15E"/>
    <w:lvl w:ilvl="0" w:tplc="F4ECB0DA">
      <w:start w:val="1"/>
      <w:numFmt w:val="bullet"/>
      <w:lvlText w:val=""/>
      <w:lvlJc w:val="left"/>
      <w:pPr>
        <w:ind w:left="1080" w:hanging="360"/>
      </w:pPr>
      <w:rPr>
        <w:rFonts w:ascii="Wingdings" w:hAnsi="Wingdings" w:hint="default"/>
      </w:rPr>
    </w:lvl>
    <w:lvl w:ilvl="1" w:tplc="FB4AD04C"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86223A"/>
    <w:multiLevelType w:val="hybridMultilevel"/>
    <w:tmpl w:val="4E407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3D4A5E"/>
    <w:multiLevelType w:val="multilevel"/>
    <w:tmpl w:val="17B028B6"/>
    <w:styleLink w:val="15TableAlpha1a"/>
    <w:lvl w:ilvl="0">
      <w:start w:val="1"/>
      <w:numFmt w:val="lowerLetter"/>
      <w:pStyle w:val="15TableAlpha1"/>
      <w:lvlText w:val="%1)"/>
      <w:lvlJc w:val="left"/>
      <w:pPr>
        <w:ind w:left="648"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8C44731"/>
    <w:multiLevelType w:val="multilevel"/>
    <w:tmpl w:val="70087470"/>
    <w:lvl w:ilvl="0">
      <w:start w:val="1"/>
      <w:numFmt w:val="bullet"/>
      <w:lvlText w:val=""/>
      <w:lvlJc w:val="left"/>
      <w:pPr>
        <w:tabs>
          <w:tab w:val="num" w:pos="979"/>
        </w:tabs>
        <w:ind w:left="979" w:hanging="360"/>
      </w:pPr>
      <w:rPr>
        <w:rFonts w:ascii="Symbol" w:hAnsi="Symbol" w:hint="default"/>
        <w:b w:val="0"/>
        <w:i w:val="0"/>
        <w:color w:val="auto"/>
        <w:sz w:val="20"/>
        <w:szCs w:val="20"/>
      </w:rPr>
    </w:lvl>
    <w:lvl w:ilvl="1">
      <w:start w:val="1"/>
      <w:numFmt w:val="bullet"/>
      <w:lvlText w:val=""/>
      <w:lvlJc w:val="left"/>
      <w:pPr>
        <w:tabs>
          <w:tab w:val="num" w:pos="924"/>
        </w:tabs>
        <w:ind w:left="924" w:hanging="360"/>
      </w:pPr>
      <w:rPr>
        <w:rFonts w:ascii="Symbol" w:hAnsi="Symbol" w:hint="default"/>
      </w:rPr>
    </w:lvl>
    <w:lvl w:ilvl="2">
      <w:numFmt w:val="bullet"/>
      <w:lvlText w:val="-"/>
      <w:lvlJc w:val="left"/>
      <w:pPr>
        <w:tabs>
          <w:tab w:val="num" w:pos="1644"/>
        </w:tabs>
        <w:ind w:left="1644" w:hanging="360"/>
      </w:pPr>
      <w:rPr>
        <w:rFonts w:ascii="Arial" w:eastAsia="Times New Roman" w:hAnsi="Arial" w:cs="Arial"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o"/>
      <w:lvlJc w:val="left"/>
      <w:pPr>
        <w:tabs>
          <w:tab w:val="num" w:pos="3084"/>
        </w:tabs>
        <w:ind w:left="3084" w:hanging="360"/>
      </w:pPr>
      <w:rPr>
        <w:rFonts w:ascii="Courier New" w:hAnsi="Courier New" w:cs="Courier New" w:hint="default"/>
      </w:rPr>
    </w:lvl>
    <w:lvl w:ilvl="5">
      <w:start w:val="1"/>
      <w:numFmt w:val="bullet"/>
      <w:lvlText w:val=""/>
      <w:lvlJc w:val="left"/>
      <w:pPr>
        <w:tabs>
          <w:tab w:val="num" w:pos="3804"/>
        </w:tabs>
        <w:ind w:left="3804" w:hanging="360"/>
      </w:pPr>
      <w:rPr>
        <w:rFonts w:ascii="Wingdings" w:hAnsi="Wingdings" w:hint="default"/>
      </w:rPr>
    </w:lvl>
    <w:lvl w:ilvl="6">
      <w:start w:val="1"/>
      <w:numFmt w:val="bullet"/>
      <w:lvlText w:val=""/>
      <w:lvlJc w:val="left"/>
      <w:pPr>
        <w:tabs>
          <w:tab w:val="num" w:pos="4524"/>
        </w:tabs>
        <w:ind w:left="4524" w:hanging="360"/>
      </w:pPr>
      <w:rPr>
        <w:rFonts w:ascii="Symbol" w:hAnsi="Symbol" w:hint="default"/>
      </w:rPr>
    </w:lvl>
    <w:lvl w:ilvl="7">
      <w:start w:val="1"/>
      <w:numFmt w:val="bullet"/>
      <w:lvlText w:val="o"/>
      <w:lvlJc w:val="left"/>
      <w:pPr>
        <w:tabs>
          <w:tab w:val="num" w:pos="5244"/>
        </w:tabs>
        <w:ind w:left="5244" w:hanging="360"/>
      </w:pPr>
      <w:rPr>
        <w:rFonts w:ascii="Courier New" w:hAnsi="Courier New" w:cs="Courier New" w:hint="default"/>
      </w:rPr>
    </w:lvl>
    <w:lvl w:ilvl="8">
      <w:start w:val="1"/>
      <w:numFmt w:val="bullet"/>
      <w:lvlText w:val=""/>
      <w:lvlJc w:val="left"/>
      <w:pPr>
        <w:tabs>
          <w:tab w:val="num" w:pos="5964"/>
        </w:tabs>
        <w:ind w:left="5964" w:hanging="360"/>
      </w:pPr>
      <w:rPr>
        <w:rFonts w:ascii="Wingdings" w:hAnsi="Wingdings" w:hint="default"/>
      </w:rPr>
    </w:lvl>
  </w:abstractNum>
  <w:abstractNum w:abstractNumId="28"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3"/>
  </w:num>
  <w:num w:numId="2">
    <w:abstractNumId w:val="6"/>
    <w:lvlOverride w:ilvl="0">
      <w:lvl w:ilvl="0">
        <w:start w:val="1"/>
        <w:numFmt w:val="lowerLetter"/>
        <w:pStyle w:val="09ParaAlpha1"/>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1"/>
  </w:num>
  <w:num w:numId="4">
    <w:abstractNumId w:val="18"/>
  </w:num>
  <w:num w:numId="5">
    <w:abstractNumId w:val="10"/>
  </w:num>
  <w:num w:numId="6">
    <w:abstractNumId w:val="19"/>
  </w:num>
  <w:num w:numId="7">
    <w:abstractNumId w:val="28"/>
  </w:num>
  <w:num w:numId="8">
    <w:abstractNumId w:val="15"/>
  </w:num>
  <w:num w:numId="9">
    <w:abstractNumId w:val="17"/>
  </w:num>
  <w:num w:numId="10">
    <w:abstractNumId w:val="26"/>
  </w:num>
  <w:num w:numId="11">
    <w:abstractNumId w:val="0"/>
  </w:num>
  <w:num w:numId="12">
    <w:abstractNumId w:val="20"/>
  </w:num>
  <w:num w:numId="13">
    <w:abstractNumId w:val="24"/>
  </w:num>
  <w:num w:numId="14">
    <w:abstractNumId w:val="22"/>
  </w:num>
  <w:num w:numId="15">
    <w:abstractNumId w:val="7"/>
  </w:num>
  <w:num w:numId="16">
    <w:abstractNumId w:val="9"/>
  </w:num>
  <w:num w:numId="17">
    <w:abstractNumId w:val="21"/>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8"/>
  </w:num>
  <w:num w:numId="24">
    <w:abstractNumId w:val="27"/>
  </w:num>
  <w:num w:numId="25">
    <w:abstractNumId w:val="5"/>
  </w:num>
  <w:num w:numId="26">
    <w:abstractNumId w:val="3"/>
  </w:num>
  <w:num w:numId="27">
    <w:abstractNumId w:val="16"/>
  </w:num>
  <w:num w:numId="28">
    <w:abstractNumId w:val="12"/>
  </w:num>
  <w:num w:numId="29">
    <w:abstractNumId w:val="13"/>
  </w:num>
  <w:num w:numId="30">
    <w:abstractNumId w:val="25"/>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619"/>
  <w:hyphenationZone w:val="425"/>
  <w:drawingGridHorizontalSpacing w:val="12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EF"/>
    <w:rsid w:val="000011FF"/>
    <w:rsid w:val="000032F4"/>
    <w:rsid w:val="00004847"/>
    <w:rsid w:val="000053A7"/>
    <w:rsid w:val="00005B42"/>
    <w:rsid w:val="00005FC1"/>
    <w:rsid w:val="00006630"/>
    <w:rsid w:val="00007202"/>
    <w:rsid w:val="0000750C"/>
    <w:rsid w:val="00010328"/>
    <w:rsid w:val="00010512"/>
    <w:rsid w:val="00013387"/>
    <w:rsid w:val="00013EAA"/>
    <w:rsid w:val="00015146"/>
    <w:rsid w:val="0001531C"/>
    <w:rsid w:val="0001611E"/>
    <w:rsid w:val="000170C2"/>
    <w:rsid w:val="000210E4"/>
    <w:rsid w:val="0002150D"/>
    <w:rsid w:val="000223FC"/>
    <w:rsid w:val="00022A36"/>
    <w:rsid w:val="00023676"/>
    <w:rsid w:val="00024406"/>
    <w:rsid w:val="00024935"/>
    <w:rsid w:val="00025717"/>
    <w:rsid w:val="000307AE"/>
    <w:rsid w:val="00031745"/>
    <w:rsid w:val="00031DD8"/>
    <w:rsid w:val="00032633"/>
    <w:rsid w:val="00032C88"/>
    <w:rsid w:val="000357CA"/>
    <w:rsid w:val="000357CB"/>
    <w:rsid w:val="00035A1F"/>
    <w:rsid w:val="000407EE"/>
    <w:rsid w:val="00041411"/>
    <w:rsid w:val="00043F39"/>
    <w:rsid w:val="000441F6"/>
    <w:rsid w:val="00047FC7"/>
    <w:rsid w:val="00050E4C"/>
    <w:rsid w:val="0005532E"/>
    <w:rsid w:val="00055E62"/>
    <w:rsid w:val="0006092A"/>
    <w:rsid w:val="00061948"/>
    <w:rsid w:val="00062837"/>
    <w:rsid w:val="000636FF"/>
    <w:rsid w:val="00064A03"/>
    <w:rsid w:val="000655B2"/>
    <w:rsid w:val="00065851"/>
    <w:rsid w:val="0006625E"/>
    <w:rsid w:val="000676A6"/>
    <w:rsid w:val="00071119"/>
    <w:rsid w:val="00071749"/>
    <w:rsid w:val="0007262C"/>
    <w:rsid w:val="00076F0B"/>
    <w:rsid w:val="000772EF"/>
    <w:rsid w:val="00077855"/>
    <w:rsid w:val="00080BD0"/>
    <w:rsid w:val="00081E9D"/>
    <w:rsid w:val="00082BBF"/>
    <w:rsid w:val="000855D4"/>
    <w:rsid w:val="00091264"/>
    <w:rsid w:val="00093338"/>
    <w:rsid w:val="00095442"/>
    <w:rsid w:val="00095A33"/>
    <w:rsid w:val="00095C0D"/>
    <w:rsid w:val="00096784"/>
    <w:rsid w:val="000A145E"/>
    <w:rsid w:val="000A1541"/>
    <w:rsid w:val="000A218E"/>
    <w:rsid w:val="000A22AC"/>
    <w:rsid w:val="000A2A6C"/>
    <w:rsid w:val="000A4996"/>
    <w:rsid w:val="000A5259"/>
    <w:rsid w:val="000A5C47"/>
    <w:rsid w:val="000A6B3B"/>
    <w:rsid w:val="000B017A"/>
    <w:rsid w:val="000B1398"/>
    <w:rsid w:val="000B156A"/>
    <w:rsid w:val="000B1FCE"/>
    <w:rsid w:val="000B62DC"/>
    <w:rsid w:val="000B6718"/>
    <w:rsid w:val="000C3678"/>
    <w:rsid w:val="000C4BA2"/>
    <w:rsid w:val="000C7BA0"/>
    <w:rsid w:val="000D2D89"/>
    <w:rsid w:val="000D2FB8"/>
    <w:rsid w:val="000D30C3"/>
    <w:rsid w:val="000D333D"/>
    <w:rsid w:val="000D3455"/>
    <w:rsid w:val="000D35ED"/>
    <w:rsid w:val="000D4614"/>
    <w:rsid w:val="000D5270"/>
    <w:rsid w:val="000D736D"/>
    <w:rsid w:val="000E0F8C"/>
    <w:rsid w:val="000E15AC"/>
    <w:rsid w:val="000E1E64"/>
    <w:rsid w:val="000E1F39"/>
    <w:rsid w:val="000E2399"/>
    <w:rsid w:val="000E2922"/>
    <w:rsid w:val="000E31E2"/>
    <w:rsid w:val="000E39DE"/>
    <w:rsid w:val="000E4CFF"/>
    <w:rsid w:val="000E5078"/>
    <w:rsid w:val="000E6B7D"/>
    <w:rsid w:val="000E7D8C"/>
    <w:rsid w:val="000F0C4A"/>
    <w:rsid w:val="000F408A"/>
    <w:rsid w:val="000F5CD1"/>
    <w:rsid w:val="001047B9"/>
    <w:rsid w:val="00104CDE"/>
    <w:rsid w:val="00104D29"/>
    <w:rsid w:val="00104E4E"/>
    <w:rsid w:val="00105641"/>
    <w:rsid w:val="0010695A"/>
    <w:rsid w:val="00107271"/>
    <w:rsid w:val="00110710"/>
    <w:rsid w:val="001124E7"/>
    <w:rsid w:val="00115391"/>
    <w:rsid w:val="0011540F"/>
    <w:rsid w:val="00117CD1"/>
    <w:rsid w:val="0012079B"/>
    <w:rsid w:val="00121A3E"/>
    <w:rsid w:val="00123A62"/>
    <w:rsid w:val="00124732"/>
    <w:rsid w:val="00124B60"/>
    <w:rsid w:val="0012577C"/>
    <w:rsid w:val="00131531"/>
    <w:rsid w:val="001327A9"/>
    <w:rsid w:val="0013281A"/>
    <w:rsid w:val="00132EAF"/>
    <w:rsid w:val="00133BE0"/>
    <w:rsid w:val="00134414"/>
    <w:rsid w:val="001344D4"/>
    <w:rsid w:val="00135305"/>
    <w:rsid w:val="001364F5"/>
    <w:rsid w:val="0013653A"/>
    <w:rsid w:val="00136E24"/>
    <w:rsid w:val="001376CB"/>
    <w:rsid w:val="00137E13"/>
    <w:rsid w:val="00140152"/>
    <w:rsid w:val="00140776"/>
    <w:rsid w:val="00142DDE"/>
    <w:rsid w:val="0014416E"/>
    <w:rsid w:val="00145D3D"/>
    <w:rsid w:val="00146DF8"/>
    <w:rsid w:val="001503EC"/>
    <w:rsid w:val="0015332C"/>
    <w:rsid w:val="00153F9C"/>
    <w:rsid w:val="0015510B"/>
    <w:rsid w:val="00157D0F"/>
    <w:rsid w:val="00160B94"/>
    <w:rsid w:val="00162C24"/>
    <w:rsid w:val="001638F4"/>
    <w:rsid w:val="0016433F"/>
    <w:rsid w:val="0016506F"/>
    <w:rsid w:val="00166970"/>
    <w:rsid w:val="001705DB"/>
    <w:rsid w:val="00170F20"/>
    <w:rsid w:val="001772DD"/>
    <w:rsid w:val="0018069C"/>
    <w:rsid w:val="00180F3B"/>
    <w:rsid w:val="001814EB"/>
    <w:rsid w:val="00184400"/>
    <w:rsid w:val="00185B12"/>
    <w:rsid w:val="00187BD5"/>
    <w:rsid w:val="00187C6F"/>
    <w:rsid w:val="0019003B"/>
    <w:rsid w:val="0019145C"/>
    <w:rsid w:val="001924EC"/>
    <w:rsid w:val="00193F32"/>
    <w:rsid w:val="00195310"/>
    <w:rsid w:val="001A1FE6"/>
    <w:rsid w:val="001A3E70"/>
    <w:rsid w:val="001A50B3"/>
    <w:rsid w:val="001A6153"/>
    <w:rsid w:val="001A6701"/>
    <w:rsid w:val="001A7108"/>
    <w:rsid w:val="001A78FD"/>
    <w:rsid w:val="001B1721"/>
    <w:rsid w:val="001B1F52"/>
    <w:rsid w:val="001B46C2"/>
    <w:rsid w:val="001B6DF1"/>
    <w:rsid w:val="001B7030"/>
    <w:rsid w:val="001C30FB"/>
    <w:rsid w:val="001C5D10"/>
    <w:rsid w:val="001C6213"/>
    <w:rsid w:val="001C6F60"/>
    <w:rsid w:val="001D46F3"/>
    <w:rsid w:val="001D5C6E"/>
    <w:rsid w:val="001D606A"/>
    <w:rsid w:val="001D6F0A"/>
    <w:rsid w:val="001E004C"/>
    <w:rsid w:val="001E1CE0"/>
    <w:rsid w:val="001E21E3"/>
    <w:rsid w:val="001E4826"/>
    <w:rsid w:val="001E569C"/>
    <w:rsid w:val="001F7F3E"/>
    <w:rsid w:val="00201FD0"/>
    <w:rsid w:val="00202083"/>
    <w:rsid w:val="00202172"/>
    <w:rsid w:val="0020356F"/>
    <w:rsid w:val="00204669"/>
    <w:rsid w:val="00205A7C"/>
    <w:rsid w:val="002079DD"/>
    <w:rsid w:val="00210EB7"/>
    <w:rsid w:val="00211278"/>
    <w:rsid w:val="002138C8"/>
    <w:rsid w:val="00217343"/>
    <w:rsid w:val="00217A6C"/>
    <w:rsid w:val="00220994"/>
    <w:rsid w:val="00223861"/>
    <w:rsid w:val="00224D1A"/>
    <w:rsid w:val="00226D1B"/>
    <w:rsid w:val="0022758C"/>
    <w:rsid w:val="00232F30"/>
    <w:rsid w:val="00232FF3"/>
    <w:rsid w:val="00234EB5"/>
    <w:rsid w:val="00236249"/>
    <w:rsid w:val="00236893"/>
    <w:rsid w:val="00240746"/>
    <w:rsid w:val="002407B9"/>
    <w:rsid w:val="00240CD1"/>
    <w:rsid w:val="00241CB1"/>
    <w:rsid w:val="00242AFE"/>
    <w:rsid w:val="00245426"/>
    <w:rsid w:val="00246FA1"/>
    <w:rsid w:val="002501B1"/>
    <w:rsid w:val="0025200D"/>
    <w:rsid w:val="002533F2"/>
    <w:rsid w:val="00253DCF"/>
    <w:rsid w:val="00253F65"/>
    <w:rsid w:val="00255604"/>
    <w:rsid w:val="00257A69"/>
    <w:rsid w:val="00261ACF"/>
    <w:rsid w:val="0026317F"/>
    <w:rsid w:val="0026377F"/>
    <w:rsid w:val="00266562"/>
    <w:rsid w:val="00267E11"/>
    <w:rsid w:val="00271428"/>
    <w:rsid w:val="00271A4C"/>
    <w:rsid w:val="00273AAB"/>
    <w:rsid w:val="002741CD"/>
    <w:rsid w:val="00274300"/>
    <w:rsid w:val="00274713"/>
    <w:rsid w:val="00274F19"/>
    <w:rsid w:val="00275245"/>
    <w:rsid w:val="00275A9F"/>
    <w:rsid w:val="00275DC2"/>
    <w:rsid w:val="00284006"/>
    <w:rsid w:val="002846B2"/>
    <w:rsid w:val="00284C63"/>
    <w:rsid w:val="00285E55"/>
    <w:rsid w:val="00286148"/>
    <w:rsid w:val="0028738D"/>
    <w:rsid w:val="00292481"/>
    <w:rsid w:val="0029715E"/>
    <w:rsid w:val="002A0338"/>
    <w:rsid w:val="002A1587"/>
    <w:rsid w:val="002A180D"/>
    <w:rsid w:val="002A22B2"/>
    <w:rsid w:val="002A6A05"/>
    <w:rsid w:val="002A6A07"/>
    <w:rsid w:val="002B06B4"/>
    <w:rsid w:val="002B24EB"/>
    <w:rsid w:val="002B38A9"/>
    <w:rsid w:val="002B4053"/>
    <w:rsid w:val="002B42EF"/>
    <w:rsid w:val="002B43CB"/>
    <w:rsid w:val="002B44EB"/>
    <w:rsid w:val="002B6277"/>
    <w:rsid w:val="002C0BAB"/>
    <w:rsid w:val="002C0BCD"/>
    <w:rsid w:val="002C26BE"/>
    <w:rsid w:val="002C29F3"/>
    <w:rsid w:val="002C2A13"/>
    <w:rsid w:val="002C4B8C"/>
    <w:rsid w:val="002C66B5"/>
    <w:rsid w:val="002C6C32"/>
    <w:rsid w:val="002D12D7"/>
    <w:rsid w:val="002D2D77"/>
    <w:rsid w:val="002D307E"/>
    <w:rsid w:val="002D537E"/>
    <w:rsid w:val="002D57EB"/>
    <w:rsid w:val="002D6379"/>
    <w:rsid w:val="002D63D4"/>
    <w:rsid w:val="002E0B30"/>
    <w:rsid w:val="002E2CB7"/>
    <w:rsid w:val="002E3FB9"/>
    <w:rsid w:val="002E3FCC"/>
    <w:rsid w:val="002E4945"/>
    <w:rsid w:val="002E4BA3"/>
    <w:rsid w:val="002E4BD4"/>
    <w:rsid w:val="002E6A78"/>
    <w:rsid w:val="002E7AC0"/>
    <w:rsid w:val="002F2F6B"/>
    <w:rsid w:val="002F548E"/>
    <w:rsid w:val="002F5829"/>
    <w:rsid w:val="002F5960"/>
    <w:rsid w:val="002F62F4"/>
    <w:rsid w:val="002F6B99"/>
    <w:rsid w:val="002F7F49"/>
    <w:rsid w:val="003007D2"/>
    <w:rsid w:val="00300AA2"/>
    <w:rsid w:val="00302E6D"/>
    <w:rsid w:val="00304E2A"/>
    <w:rsid w:val="00305131"/>
    <w:rsid w:val="00306161"/>
    <w:rsid w:val="003066D4"/>
    <w:rsid w:val="00306959"/>
    <w:rsid w:val="0030717E"/>
    <w:rsid w:val="0031022A"/>
    <w:rsid w:val="00310F2F"/>
    <w:rsid w:val="00311F5C"/>
    <w:rsid w:val="003124C3"/>
    <w:rsid w:val="0031441B"/>
    <w:rsid w:val="0031694C"/>
    <w:rsid w:val="003204C5"/>
    <w:rsid w:val="0032249D"/>
    <w:rsid w:val="003225BA"/>
    <w:rsid w:val="00322E08"/>
    <w:rsid w:val="00323316"/>
    <w:rsid w:val="00324029"/>
    <w:rsid w:val="003259AC"/>
    <w:rsid w:val="003276C1"/>
    <w:rsid w:val="00330DEE"/>
    <w:rsid w:val="003378E6"/>
    <w:rsid w:val="0034021E"/>
    <w:rsid w:val="00341C65"/>
    <w:rsid w:val="00342750"/>
    <w:rsid w:val="0034367C"/>
    <w:rsid w:val="00346486"/>
    <w:rsid w:val="00346EE4"/>
    <w:rsid w:val="00347138"/>
    <w:rsid w:val="003472A9"/>
    <w:rsid w:val="00351213"/>
    <w:rsid w:val="00351EBD"/>
    <w:rsid w:val="0035359F"/>
    <w:rsid w:val="00353F05"/>
    <w:rsid w:val="003614BC"/>
    <w:rsid w:val="00361B26"/>
    <w:rsid w:val="00362D56"/>
    <w:rsid w:val="0036407E"/>
    <w:rsid w:val="003640A2"/>
    <w:rsid w:val="003643A2"/>
    <w:rsid w:val="00366FF4"/>
    <w:rsid w:val="003709EB"/>
    <w:rsid w:val="00371B0E"/>
    <w:rsid w:val="003722C5"/>
    <w:rsid w:val="00372667"/>
    <w:rsid w:val="00373CC1"/>
    <w:rsid w:val="00377AFA"/>
    <w:rsid w:val="00380777"/>
    <w:rsid w:val="0038112B"/>
    <w:rsid w:val="003819A7"/>
    <w:rsid w:val="00384211"/>
    <w:rsid w:val="003914B9"/>
    <w:rsid w:val="00392BBA"/>
    <w:rsid w:val="00392BBD"/>
    <w:rsid w:val="0039373D"/>
    <w:rsid w:val="003966B8"/>
    <w:rsid w:val="0039708E"/>
    <w:rsid w:val="003A0E2B"/>
    <w:rsid w:val="003A15CE"/>
    <w:rsid w:val="003A273B"/>
    <w:rsid w:val="003A2E25"/>
    <w:rsid w:val="003A3416"/>
    <w:rsid w:val="003A3F64"/>
    <w:rsid w:val="003A411A"/>
    <w:rsid w:val="003A58BF"/>
    <w:rsid w:val="003A5B2E"/>
    <w:rsid w:val="003A5E35"/>
    <w:rsid w:val="003A7E76"/>
    <w:rsid w:val="003B0244"/>
    <w:rsid w:val="003B02FA"/>
    <w:rsid w:val="003B04FC"/>
    <w:rsid w:val="003B0A1A"/>
    <w:rsid w:val="003B0AEE"/>
    <w:rsid w:val="003B0CFB"/>
    <w:rsid w:val="003B1756"/>
    <w:rsid w:val="003B175E"/>
    <w:rsid w:val="003B256B"/>
    <w:rsid w:val="003B2963"/>
    <w:rsid w:val="003B38B3"/>
    <w:rsid w:val="003B4D1A"/>
    <w:rsid w:val="003C05D4"/>
    <w:rsid w:val="003C07D2"/>
    <w:rsid w:val="003C0D29"/>
    <w:rsid w:val="003C14B9"/>
    <w:rsid w:val="003C1DBA"/>
    <w:rsid w:val="003C21E7"/>
    <w:rsid w:val="003C6BBE"/>
    <w:rsid w:val="003C7937"/>
    <w:rsid w:val="003D0A2D"/>
    <w:rsid w:val="003D1F27"/>
    <w:rsid w:val="003D2226"/>
    <w:rsid w:val="003D3795"/>
    <w:rsid w:val="003D384E"/>
    <w:rsid w:val="003D6FC2"/>
    <w:rsid w:val="003E04CE"/>
    <w:rsid w:val="003E3357"/>
    <w:rsid w:val="003E455F"/>
    <w:rsid w:val="003E58DF"/>
    <w:rsid w:val="003E6FAE"/>
    <w:rsid w:val="003E7D97"/>
    <w:rsid w:val="003E7DD8"/>
    <w:rsid w:val="003F03DC"/>
    <w:rsid w:val="003F05AE"/>
    <w:rsid w:val="003F1270"/>
    <w:rsid w:val="003F497F"/>
    <w:rsid w:val="003F7577"/>
    <w:rsid w:val="003F7DA6"/>
    <w:rsid w:val="00404094"/>
    <w:rsid w:val="00405BC9"/>
    <w:rsid w:val="0041087E"/>
    <w:rsid w:val="00411910"/>
    <w:rsid w:val="004121BE"/>
    <w:rsid w:val="00414960"/>
    <w:rsid w:val="0041555C"/>
    <w:rsid w:val="00415715"/>
    <w:rsid w:val="0041593F"/>
    <w:rsid w:val="00417819"/>
    <w:rsid w:val="00417BE1"/>
    <w:rsid w:val="0042156B"/>
    <w:rsid w:val="0042385A"/>
    <w:rsid w:val="00424998"/>
    <w:rsid w:val="004253E9"/>
    <w:rsid w:val="004266F2"/>
    <w:rsid w:val="00431A41"/>
    <w:rsid w:val="004323A9"/>
    <w:rsid w:val="00432778"/>
    <w:rsid w:val="004328AB"/>
    <w:rsid w:val="00434A7B"/>
    <w:rsid w:val="00435B54"/>
    <w:rsid w:val="00436FFA"/>
    <w:rsid w:val="00441745"/>
    <w:rsid w:val="00447DEA"/>
    <w:rsid w:val="0045124F"/>
    <w:rsid w:val="0045277E"/>
    <w:rsid w:val="00457D6C"/>
    <w:rsid w:val="004614D0"/>
    <w:rsid w:val="00461B9B"/>
    <w:rsid w:val="004664E6"/>
    <w:rsid w:val="00466A97"/>
    <w:rsid w:val="00466DF1"/>
    <w:rsid w:val="00467B01"/>
    <w:rsid w:val="0047118E"/>
    <w:rsid w:val="0047150B"/>
    <w:rsid w:val="004722A6"/>
    <w:rsid w:val="0047395B"/>
    <w:rsid w:val="0047638C"/>
    <w:rsid w:val="00476A7C"/>
    <w:rsid w:val="00477F83"/>
    <w:rsid w:val="00477FD9"/>
    <w:rsid w:val="004807E5"/>
    <w:rsid w:val="0048324C"/>
    <w:rsid w:val="00483BDF"/>
    <w:rsid w:val="00483F99"/>
    <w:rsid w:val="0048463D"/>
    <w:rsid w:val="00484D57"/>
    <w:rsid w:val="00485A7C"/>
    <w:rsid w:val="00485FD1"/>
    <w:rsid w:val="004862F4"/>
    <w:rsid w:val="00492366"/>
    <w:rsid w:val="00492A8F"/>
    <w:rsid w:val="00497BEB"/>
    <w:rsid w:val="004A0293"/>
    <w:rsid w:val="004A0C84"/>
    <w:rsid w:val="004A1E00"/>
    <w:rsid w:val="004A25EF"/>
    <w:rsid w:val="004A37B1"/>
    <w:rsid w:val="004A5F56"/>
    <w:rsid w:val="004A68EC"/>
    <w:rsid w:val="004A7C66"/>
    <w:rsid w:val="004B2BF4"/>
    <w:rsid w:val="004B3DC0"/>
    <w:rsid w:val="004B40E3"/>
    <w:rsid w:val="004B4915"/>
    <w:rsid w:val="004B5030"/>
    <w:rsid w:val="004B515D"/>
    <w:rsid w:val="004B6378"/>
    <w:rsid w:val="004B6B07"/>
    <w:rsid w:val="004C0048"/>
    <w:rsid w:val="004C0830"/>
    <w:rsid w:val="004C0C87"/>
    <w:rsid w:val="004C2EE4"/>
    <w:rsid w:val="004C5215"/>
    <w:rsid w:val="004C543F"/>
    <w:rsid w:val="004C6AD7"/>
    <w:rsid w:val="004D099D"/>
    <w:rsid w:val="004D1010"/>
    <w:rsid w:val="004D1364"/>
    <w:rsid w:val="004D1BFF"/>
    <w:rsid w:val="004D1D25"/>
    <w:rsid w:val="004D21B2"/>
    <w:rsid w:val="004D30A7"/>
    <w:rsid w:val="004D3F89"/>
    <w:rsid w:val="004D48D7"/>
    <w:rsid w:val="004D7DB2"/>
    <w:rsid w:val="004E0427"/>
    <w:rsid w:val="004E1816"/>
    <w:rsid w:val="004E1B2B"/>
    <w:rsid w:val="004E38E1"/>
    <w:rsid w:val="004E4577"/>
    <w:rsid w:val="004E53F1"/>
    <w:rsid w:val="004E6A4F"/>
    <w:rsid w:val="004E6ED1"/>
    <w:rsid w:val="004E78F4"/>
    <w:rsid w:val="004F0536"/>
    <w:rsid w:val="004F06E2"/>
    <w:rsid w:val="004F103D"/>
    <w:rsid w:val="004F1989"/>
    <w:rsid w:val="004F3054"/>
    <w:rsid w:val="004F6364"/>
    <w:rsid w:val="004F71BE"/>
    <w:rsid w:val="00500029"/>
    <w:rsid w:val="005011DE"/>
    <w:rsid w:val="005012C5"/>
    <w:rsid w:val="0050340D"/>
    <w:rsid w:val="00503F7D"/>
    <w:rsid w:val="00505B48"/>
    <w:rsid w:val="00507278"/>
    <w:rsid w:val="00507773"/>
    <w:rsid w:val="0051349B"/>
    <w:rsid w:val="00515998"/>
    <w:rsid w:val="00516B3E"/>
    <w:rsid w:val="005172F7"/>
    <w:rsid w:val="0052206D"/>
    <w:rsid w:val="005225EA"/>
    <w:rsid w:val="00522D0F"/>
    <w:rsid w:val="005239EB"/>
    <w:rsid w:val="00524611"/>
    <w:rsid w:val="005253ED"/>
    <w:rsid w:val="0052545A"/>
    <w:rsid w:val="005273DE"/>
    <w:rsid w:val="0053003C"/>
    <w:rsid w:val="00533A4D"/>
    <w:rsid w:val="00534559"/>
    <w:rsid w:val="005348C0"/>
    <w:rsid w:val="00534DC9"/>
    <w:rsid w:val="0053601D"/>
    <w:rsid w:val="00536447"/>
    <w:rsid w:val="00536E5E"/>
    <w:rsid w:val="00540AE4"/>
    <w:rsid w:val="005419B6"/>
    <w:rsid w:val="00541FFC"/>
    <w:rsid w:val="00542147"/>
    <w:rsid w:val="005424C7"/>
    <w:rsid w:val="0054535A"/>
    <w:rsid w:val="005501CD"/>
    <w:rsid w:val="005511CB"/>
    <w:rsid w:val="00553070"/>
    <w:rsid w:val="005535D1"/>
    <w:rsid w:val="005537FF"/>
    <w:rsid w:val="005556E0"/>
    <w:rsid w:val="00556832"/>
    <w:rsid w:val="00556CC7"/>
    <w:rsid w:val="00557C19"/>
    <w:rsid w:val="00561A91"/>
    <w:rsid w:val="005628AE"/>
    <w:rsid w:val="005643EF"/>
    <w:rsid w:val="0056575D"/>
    <w:rsid w:val="00567E5C"/>
    <w:rsid w:val="00570949"/>
    <w:rsid w:val="005709F3"/>
    <w:rsid w:val="005727E3"/>
    <w:rsid w:val="00574170"/>
    <w:rsid w:val="00574519"/>
    <w:rsid w:val="00574C80"/>
    <w:rsid w:val="00583EF4"/>
    <w:rsid w:val="00586E64"/>
    <w:rsid w:val="00593563"/>
    <w:rsid w:val="00594470"/>
    <w:rsid w:val="00594AC2"/>
    <w:rsid w:val="00595624"/>
    <w:rsid w:val="00596273"/>
    <w:rsid w:val="005A28FD"/>
    <w:rsid w:val="005A4527"/>
    <w:rsid w:val="005A4B8C"/>
    <w:rsid w:val="005A74EC"/>
    <w:rsid w:val="005B0812"/>
    <w:rsid w:val="005B1031"/>
    <w:rsid w:val="005B2F32"/>
    <w:rsid w:val="005B6DB2"/>
    <w:rsid w:val="005B77D8"/>
    <w:rsid w:val="005C09B2"/>
    <w:rsid w:val="005C14AE"/>
    <w:rsid w:val="005C1E5D"/>
    <w:rsid w:val="005C254A"/>
    <w:rsid w:val="005C30E0"/>
    <w:rsid w:val="005C31E8"/>
    <w:rsid w:val="005C64BD"/>
    <w:rsid w:val="005C6635"/>
    <w:rsid w:val="005C6CA6"/>
    <w:rsid w:val="005C7F8B"/>
    <w:rsid w:val="005D2474"/>
    <w:rsid w:val="005D2C6B"/>
    <w:rsid w:val="005D3BA8"/>
    <w:rsid w:val="005D3FDD"/>
    <w:rsid w:val="005D4266"/>
    <w:rsid w:val="005D4540"/>
    <w:rsid w:val="005D46DE"/>
    <w:rsid w:val="005D4962"/>
    <w:rsid w:val="005D50F8"/>
    <w:rsid w:val="005D5624"/>
    <w:rsid w:val="005D7E9F"/>
    <w:rsid w:val="005E02E7"/>
    <w:rsid w:val="005E1905"/>
    <w:rsid w:val="005E40A5"/>
    <w:rsid w:val="005E4493"/>
    <w:rsid w:val="005E4B22"/>
    <w:rsid w:val="005E5138"/>
    <w:rsid w:val="005F0C9A"/>
    <w:rsid w:val="005F2090"/>
    <w:rsid w:val="005F3E4B"/>
    <w:rsid w:val="005F4323"/>
    <w:rsid w:val="005F47E1"/>
    <w:rsid w:val="005F5D13"/>
    <w:rsid w:val="00603328"/>
    <w:rsid w:val="00604E38"/>
    <w:rsid w:val="00605C59"/>
    <w:rsid w:val="00605DD9"/>
    <w:rsid w:val="00605F18"/>
    <w:rsid w:val="006108D2"/>
    <w:rsid w:val="00611C64"/>
    <w:rsid w:val="00611FE7"/>
    <w:rsid w:val="0061225F"/>
    <w:rsid w:val="006141F8"/>
    <w:rsid w:val="00615C99"/>
    <w:rsid w:val="00617006"/>
    <w:rsid w:val="00623428"/>
    <w:rsid w:val="00624473"/>
    <w:rsid w:val="00625EC0"/>
    <w:rsid w:val="0063220C"/>
    <w:rsid w:val="00632595"/>
    <w:rsid w:val="00632E10"/>
    <w:rsid w:val="00634C81"/>
    <w:rsid w:val="00636356"/>
    <w:rsid w:val="006373D0"/>
    <w:rsid w:val="00640096"/>
    <w:rsid w:val="00642181"/>
    <w:rsid w:val="006423F7"/>
    <w:rsid w:val="006446FB"/>
    <w:rsid w:val="00644ACA"/>
    <w:rsid w:val="00645D71"/>
    <w:rsid w:val="00646CB9"/>
    <w:rsid w:val="0065172C"/>
    <w:rsid w:val="00651BEB"/>
    <w:rsid w:val="00651E69"/>
    <w:rsid w:val="0065206B"/>
    <w:rsid w:val="00652E9B"/>
    <w:rsid w:val="00653B60"/>
    <w:rsid w:val="006568AE"/>
    <w:rsid w:val="00656E41"/>
    <w:rsid w:val="00657065"/>
    <w:rsid w:val="00661722"/>
    <w:rsid w:val="00665CDE"/>
    <w:rsid w:val="00666FD9"/>
    <w:rsid w:val="006675D8"/>
    <w:rsid w:val="00672D3F"/>
    <w:rsid w:val="00673A00"/>
    <w:rsid w:val="00674777"/>
    <w:rsid w:val="00675049"/>
    <w:rsid w:val="006757E9"/>
    <w:rsid w:val="00676028"/>
    <w:rsid w:val="00687AA9"/>
    <w:rsid w:val="00687AD2"/>
    <w:rsid w:val="00691B39"/>
    <w:rsid w:val="00691B90"/>
    <w:rsid w:val="00691E4F"/>
    <w:rsid w:val="0069512B"/>
    <w:rsid w:val="00696BD1"/>
    <w:rsid w:val="00697A48"/>
    <w:rsid w:val="00697ECB"/>
    <w:rsid w:val="006A3791"/>
    <w:rsid w:val="006A5227"/>
    <w:rsid w:val="006B4C5B"/>
    <w:rsid w:val="006B53FA"/>
    <w:rsid w:val="006B591C"/>
    <w:rsid w:val="006B61E7"/>
    <w:rsid w:val="006B6940"/>
    <w:rsid w:val="006B7353"/>
    <w:rsid w:val="006C227B"/>
    <w:rsid w:val="006C2513"/>
    <w:rsid w:val="006C31BC"/>
    <w:rsid w:val="006C4303"/>
    <w:rsid w:val="006C4A69"/>
    <w:rsid w:val="006C51A2"/>
    <w:rsid w:val="006C7604"/>
    <w:rsid w:val="006D1A04"/>
    <w:rsid w:val="006D1EEA"/>
    <w:rsid w:val="006D41FA"/>
    <w:rsid w:val="006D5254"/>
    <w:rsid w:val="006D653B"/>
    <w:rsid w:val="006D6F2F"/>
    <w:rsid w:val="006D7F23"/>
    <w:rsid w:val="006E09B1"/>
    <w:rsid w:val="006E1CE8"/>
    <w:rsid w:val="006E205B"/>
    <w:rsid w:val="006E211F"/>
    <w:rsid w:val="006E2472"/>
    <w:rsid w:val="006E5CB5"/>
    <w:rsid w:val="006F35CB"/>
    <w:rsid w:val="006F3CFE"/>
    <w:rsid w:val="006F4B59"/>
    <w:rsid w:val="006F643E"/>
    <w:rsid w:val="006F6FBE"/>
    <w:rsid w:val="006F742B"/>
    <w:rsid w:val="006F7E8E"/>
    <w:rsid w:val="00700075"/>
    <w:rsid w:val="007008E9"/>
    <w:rsid w:val="007016E6"/>
    <w:rsid w:val="00701FC1"/>
    <w:rsid w:val="00702272"/>
    <w:rsid w:val="00703703"/>
    <w:rsid w:val="00704FCB"/>
    <w:rsid w:val="00705359"/>
    <w:rsid w:val="00710E77"/>
    <w:rsid w:val="007112D4"/>
    <w:rsid w:val="007120F3"/>
    <w:rsid w:val="0071276F"/>
    <w:rsid w:val="00712EB2"/>
    <w:rsid w:val="007145E9"/>
    <w:rsid w:val="00714BDA"/>
    <w:rsid w:val="00715E28"/>
    <w:rsid w:val="007169EF"/>
    <w:rsid w:val="00716AB5"/>
    <w:rsid w:val="00717C08"/>
    <w:rsid w:val="00721183"/>
    <w:rsid w:val="007211BD"/>
    <w:rsid w:val="00722A62"/>
    <w:rsid w:val="00722DED"/>
    <w:rsid w:val="00724664"/>
    <w:rsid w:val="007247E0"/>
    <w:rsid w:val="00725003"/>
    <w:rsid w:val="00726625"/>
    <w:rsid w:val="00726E00"/>
    <w:rsid w:val="00727EF0"/>
    <w:rsid w:val="00733CF0"/>
    <w:rsid w:val="0073586F"/>
    <w:rsid w:val="00736C26"/>
    <w:rsid w:val="00736EB3"/>
    <w:rsid w:val="0073735D"/>
    <w:rsid w:val="00742C9D"/>
    <w:rsid w:val="00744878"/>
    <w:rsid w:val="00746B9F"/>
    <w:rsid w:val="00746F74"/>
    <w:rsid w:val="00747D2B"/>
    <w:rsid w:val="00747D6F"/>
    <w:rsid w:val="00747F7B"/>
    <w:rsid w:val="00750389"/>
    <w:rsid w:val="00751BA1"/>
    <w:rsid w:val="00752D8A"/>
    <w:rsid w:val="00754A6F"/>
    <w:rsid w:val="00754C2D"/>
    <w:rsid w:val="00756291"/>
    <w:rsid w:val="007607B1"/>
    <w:rsid w:val="00760922"/>
    <w:rsid w:val="00761A0A"/>
    <w:rsid w:val="00762734"/>
    <w:rsid w:val="00763056"/>
    <w:rsid w:val="00764D50"/>
    <w:rsid w:val="00765747"/>
    <w:rsid w:val="00766023"/>
    <w:rsid w:val="0076769D"/>
    <w:rsid w:val="00767A7F"/>
    <w:rsid w:val="007719D8"/>
    <w:rsid w:val="00772CC8"/>
    <w:rsid w:val="0077790D"/>
    <w:rsid w:val="00777EB8"/>
    <w:rsid w:val="007802CF"/>
    <w:rsid w:val="0078172D"/>
    <w:rsid w:val="00781A03"/>
    <w:rsid w:val="0078309E"/>
    <w:rsid w:val="00785EF5"/>
    <w:rsid w:val="0078679D"/>
    <w:rsid w:val="00786CAC"/>
    <w:rsid w:val="00787295"/>
    <w:rsid w:val="0078793A"/>
    <w:rsid w:val="00790355"/>
    <w:rsid w:val="00791C2F"/>
    <w:rsid w:val="00791C3C"/>
    <w:rsid w:val="00792327"/>
    <w:rsid w:val="007951D6"/>
    <w:rsid w:val="007963ED"/>
    <w:rsid w:val="00796BBE"/>
    <w:rsid w:val="007A02E7"/>
    <w:rsid w:val="007A0DC5"/>
    <w:rsid w:val="007A12D9"/>
    <w:rsid w:val="007A16A6"/>
    <w:rsid w:val="007A25A3"/>
    <w:rsid w:val="007A33EE"/>
    <w:rsid w:val="007A3FB1"/>
    <w:rsid w:val="007A4BBF"/>
    <w:rsid w:val="007A5708"/>
    <w:rsid w:val="007A6929"/>
    <w:rsid w:val="007A7E82"/>
    <w:rsid w:val="007B1313"/>
    <w:rsid w:val="007B2333"/>
    <w:rsid w:val="007B2AE8"/>
    <w:rsid w:val="007B4356"/>
    <w:rsid w:val="007B6766"/>
    <w:rsid w:val="007C20FE"/>
    <w:rsid w:val="007C3C22"/>
    <w:rsid w:val="007C6D40"/>
    <w:rsid w:val="007D1AFF"/>
    <w:rsid w:val="007D1DEC"/>
    <w:rsid w:val="007D34D2"/>
    <w:rsid w:val="007D365B"/>
    <w:rsid w:val="007D75A6"/>
    <w:rsid w:val="007E16D6"/>
    <w:rsid w:val="007E19BD"/>
    <w:rsid w:val="007E1A57"/>
    <w:rsid w:val="007E3E52"/>
    <w:rsid w:val="007E40B4"/>
    <w:rsid w:val="007E5BF4"/>
    <w:rsid w:val="007E7F68"/>
    <w:rsid w:val="007F06CC"/>
    <w:rsid w:val="007F1A3D"/>
    <w:rsid w:val="007F2A51"/>
    <w:rsid w:val="007F2D75"/>
    <w:rsid w:val="007F58F2"/>
    <w:rsid w:val="007F69F5"/>
    <w:rsid w:val="007F7672"/>
    <w:rsid w:val="00800357"/>
    <w:rsid w:val="00802A63"/>
    <w:rsid w:val="00803BDF"/>
    <w:rsid w:val="00803FAE"/>
    <w:rsid w:val="0080443D"/>
    <w:rsid w:val="00805298"/>
    <w:rsid w:val="00805412"/>
    <w:rsid w:val="00807E48"/>
    <w:rsid w:val="0081070C"/>
    <w:rsid w:val="00817D92"/>
    <w:rsid w:val="00820A8C"/>
    <w:rsid w:val="00820ED7"/>
    <w:rsid w:val="00820EDE"/>
    <w:rsid w:val="008212BE"/>
    <w:rsid w:val="008232A5"/>
    <w:rsid w:val="00824125"/>
    <w:rsid w:val="0082495F"/>
    <w:rsid w:val="0082737F"/>
    <w:rsid w:val="00827CBF"/>
    <w:rsid w:val="00827D92"/>
    <w:rsid w:val="00831C02"/>
    <w:rsid w:val="0083257A"/>
    <w:rsid w:val="00835157"/>
    <w:rsid w:val="00836C7E"/>
    <w:rsid w:val="0084045D"/>
    <w:rsid w:val="00842379"/>
    <w:rsid w:val="008447EC"/>
    <w:rsid w:val="00844FBD"/>
    <w:rsid w:val="008456AB"/>
    <w:rsid w:val="00847A58"/>
    <w:rsid w:val="00850CE6"/>
    <w:rsid w:val="008510BA"/>
    <w:rsid w:val="008515B9"/>
    <w:rsid w:val="0085203B"/>
    <w:rsid w:val="008533E7"/>
    <w:rsid w:val="00853F4B"/>
    <w:rsid w:val="0086067A"/>
    <w:rsid w:val="0086082D"/>
    <w:rsid w:val="008610D7"/>
    <w:rsid w:val="00864B76"/>
    <w:rsid w:val="008651C9"/>
    <w:rsid w:val="00865E23"/>
    <w:rsid w:val="008666BD"/>
    <w:rsid w:val="00867C7F"/>
    <w:rsid w:val="008717CA"/>
    <w:rsid w:val="0087190F"/>
    <w:rsid w:val="00871F3A"/>
    <w:rsid w:val="0087341E"/>
    <w:rsid w:val="008734F0"/>
    <w:rsid w:val="00874228"/>
    <w:rsid w:val="008775FC"/>
    <w:rsid w:val="008800A4"/>
    <w:rsid w:val="00881133"/>
    <w:rsid w:val="008815F3"/>
    <w:rsid w:val="00882593"/>
    <w:rsid w:val="00884954"/>
    <w:rsid w:val="00884E52"/>
    <w:rsid w:val="00885151"/>
    <w:rsid w:val="00885303"/>
    <w:rsid w:val="00887B32"/>
    <w:rsid w:val="008904BB"/>
    <w:rsid w:val="00892E64"/>
    <w:rsid w:val="00894D91"/>
    <w:rsid w:val="008A7797"/>
    <w:rsid w:val="008B014D"/>
    <w:rsid w:val="008B170B"/>
    <w:rsid w:val="008B49B0"/>
    <w:rsid w:val="008B6D02"/>
    <w:rsid w:val="008B732F"/>
    <w:rsid w:val="008C093A"/>
    <w:rsid w:val="008C279F"/>
    <w:rsid w:val="008C4210"/>
    <w:rsid w:val="008C4F5C"/>
    <w:rsid w:val="008C6EBB"/>
    <w:rsid w:val="008C7B3C"/>
    <w:rsid w:val="008D0E6C"/>
    <w:rsid w:val="008D2276"/>
    <w:rsid w:val="008D23E5"/>
    <w:rsid w:val="008D57A1"/>
    <w:rsid w:val="008D59DC"/>
    <w:rsid w:val="008D5D6A"/>
    <w:rsid w:val="008D5F1D"/>
    <w:rsid w:val="008E21B6"/>
    <w:rsid w:val="008E4F6D"/>
    <w:rsid w:val="008E5591"/>
    <w:rsid w:val="008E7230"/>
    <w:rsid w:val="008E7E30"/>
    <w:rsid w:val="008F0867"/>
    <w:rsid w:val="008F0B95"/>
    <w:rsid w:val="008F2193"/>
    <w:rsid w:val="008F4BCB"/>
    <w:rsid w:val="009001F5"/>
    <w:rsid w:val="009006FA"/>
    <w:rsid w:val="00902211"/>
    <w:rsid w:val="00902EE0"/>
    <w:rsid w:val="00905323"/>
    <w:rsid w:val="009071B3"/>
    <w:rsid w:val="009116C8"/>
    <w:rsid w:val="0091255F"/>
    <w:rsid w:val="00913F07"/>
    <w:rsid w:val="009156F7"/>
    <w:rsid w:val="00915BD7"/>
    <w:rsid w:val="009160DF"/>
    <w:rsid w:val="0092054C"/>
    <w:rsid w:val="0092101C"/>
    <w:rsid w:val="00922379"/>
    <w:rsid w:val="00924B0F"/>
    <w:rsid w:val="00924BE2"/>
    <w:rsid w:val="009267A0"/>
    <w:rsid w:val="0092710A"/>
    <w:rsid w:val="00927331"/>
    <w:rsid w:val="00927F2A"/>
    <w:rsid w:val="00930AFD"/>
    <w:rsid w:val="009310AC"/>
    <w:rsid w:val="009310BC"/>
    <w:rsid w:val="00931617"/>
    <w:rsid w:val="009345A6"/>
    <w:rsid w:val="0093571F"/>
    <w:rsid w:val="009415B5"/>
    <w:rsid w:val="009418E8"/>
    <w:rsid w:val="00941E68"/>
    <w:rsid w:val="00942893"/>
    <w:rsid w:val="009433A0"/>
    <w:rsid w:val="00946EE8"/>
    <w:rsid w:val="00947D07"/>
    <w:rsid w:val="00947DE3"/>
    <w:rsid w:val="009523F6"/>
    <w:rsid w:val="00952483"/>
    <w:rsid w:val="00954499"/>
    <w:rsid w:val="0095482A"/>
    <w:rsid w:val="00957D59"/>
    <w:rsid w:val="00960778"/>
    <w:rsid w:val="00960E92"/>
    <w:rsid w:val="0096580E"/>
    <w:rsid w:val="00966BC0"/>
    <w:rsid w:val="009679E3"/>
    <w:rsid w:val="009704EB"/>
    <w:rsid w:val="009729C9"/>
    <w:rsid w:val="00972F04"/>
    <w:rsid w:val="00973902"/>
    <w:rsid w:val="009746FC"/>
    <w:rsid w:val="00975277"/>
    <w:rsid w:val="00975921"/>
    <w:rsid w:val="009776CE"/>
    <w:rsid w:val="00980770"/>
    <w:rsid w:val="00980DA7"/>
    <w:rsid w:val="00982364"/>
    <w:rsid w:val="00983100"/>
    <w:rsid w:val="00983763"/>
    <w:rsid w:val="0098506F"/>
    <w:rsid w:val="00990A57"/>
    <w:rsid w:val="009912EA"/>
    <w:rsid w:val="00992024"/>
    <w:rsid w:val="00992EE7"/>
    <w:rsid w:val="009A0A87"/>
    <w:rsid w:val="009A0CB8"/>
    <w:rsid w:val="009A2652"/>
    <w:rsid w:val="009A27C2"/>
    <w:rsid w:val="009A4414"/>
    <w:rsid w:val="009A5A4B"/>
    <w:rsid w:val="009A629D"/>
    <w:rsid w:val="009A6971"/>
    <w:rsid w:val="009A7D11"/>
    <w:rsid w:val="009B09C4"/>
    <w:rsid w:val="009B0CCA"/>
    <w:rsid w:val="009B6587"/>
    <w:rsid w:val="009B7269"/>
    <w:rsid w:val="009B79F6"/>
    <w:rsid w:val="009B7CE8"/>
    <w:rsid w:val="009B7ED8"/>
    <w:rsid w:val="009C176D"/>
    <w:rsid w:val="009C1A1E"/>
    <w:rsid w:val="009C1C2A"/>
    <w:rsid w:val="009C373B"/>
    <w:rsid w:val="009C7016"/>
    <w:rsid w:val="009D2106"/>
    <w:rsid w:val="009D2488"/>
    <w:rsid w:val="009D3150"/>
    <w:rsid w:val="009D5A22"/>
    <w:rsid w:val="009D74D0"/>
    <w:rsid w:val="009D77B9"/>
    <w:rsid w:val="009D7B2B"/>
    <w:rsid w:val="009E0E5F"/>
    <w:rsid w:val="009E2B81"/>
    <w:rsid w:val="009E376D"/>
    <w:rsid w:val="009E4F8A"/>
    <w:rsid w:val="009E5FD8"/>
    <w:rsid w:val="009E7C67"/>
    <w:rsid w:val="009F1A32"/>
    <w:rsid w:val="009F1C59"/>
    <w:rsid w:val="009F226B"/>
    <w:rsid w:val="009F33CF"/>
    <w:rsid w:val="009F6184"/>
    <w:rsid w:val="00A0273B"/>
    <w:rsid w:val="00A03167"/>
    <w:rsid w:val="00A033B8"/>
    <w:rsid w:val="00A05485"/>
    <w:rsid w:val="00A06D6F"/>
    <w:rsid w:val="00A10C74"/>
    <w:rsid w:val="00A11314"/>
    <w:rsid w:val="00A12346"/>
    <w:rsid w:val="00A1399F"/>
    <w:rsid w:val="00A13D6A"/>
    <w:rsid w:val="00A14F7C"/>
    <w:rsid w:val="00A14F94"/>
    <w:rsid w:val="00A1518F"/>
    <w:rsid w:val="00A15E23"/>
    <w:rsid w:val="00A23B81"/>
    <w:rsid w:val="00A246B8"/>
    <w:rsid w:val="00A248BE"/>
    <w:rsid w:val="00A27629"/>
    <w:rsid w:val="00A30295"/>
    <w:rsid w:val="00A33603"/>
    <w:rsid w:val="00A3607F"/>
    <w:rsid w:val="00A36896"/>
    <w:rsid w:val="00A3759D"/>
    <w:rsid w:val="00A43C11"/>
    <w:rsid w:val="00A44A81"/>
    <w:rsid w:val="00A44F75"/>
    <w:rsid w:val="00A469DC"/>
    <w:rsid w:val="00A51581"/>
    <w:rsid w:val="00A5379B"/>
    <w:rsid w:val="00A544DF"/>
    <w:rsid w:val="00A55D6B"/>
    <w:rsid w:val="00A56208"/>
    <w:rsid w:val="00A61385"/>
    <w:rsid w:val="00A61ECC"/>
    <w:rsid w:val="00A6585C"/>
    <w:rsid w:val="00A67263"/>
    <w:rsid w:val="00A72869"/>
    <w:rsid w:val="00A72F56"/>
    <w:rsid w:val="00A776EB"/>
    <w:rsid w:val="00A7780C"/>
    <w:rsid w:val="00A809A1"/>
    <w:rsid w:val="00A82CA0"/>
    <w:rsid w:val="00A8301D"/>
    <w:rsid w:val="00A83F14"/>
    <w:rsid w:val="00A84169"/>
    <w:rsid w:val="00A84309"/>
    <w:rsid w:val="00A854B3"/>
    <w:rsid w:val="00A869DB"/>
    <w:rsid w:val="00A9087F"/>
    <w:rsid w:val="00A90DB7"/>
    <w:rsid w:val="00A928BF"/>
    <w:rsid w:val="00A938A9"/>
    <w:rsid w:val="00A93A30"/>
    <w:rsid w:val="00A943E0"/>
    <w:rsid w:val="00A94BA9"/>
    <w:rsid w:val="00AA04A3"/>
    <w:rsid w:val="00AA21BE"/>
    <w:rsid w:val="00AA3249"/>
    <w:rsid w:val="00AA4392"/>
    <w:rsid w:val="00AA4948"/>
    <w:rsid w:val="00AA724B"/>
    <w:rsid w:val="00AB12CE"/>
    <w:rsid w:val="00AB52E5"/>
    <w:rsid w:val="00AB5651"/>
    <w:rsid w:val="00AB6E52"/>
    <w:rsid w:val="00AB764B"/>
    <w:rsid w:val="00AB799E"/>
    <w:rsid w:val="00AB7CB0"/>
    <w:rsid w:val="00AB7D28"/>
    <w:rsid w:val="00AC503B"/>
    <w:rsid w:val="00AC5AC3"/>
    <w:rsid w:val="00AD05E6"/>
    <w:rsid w:val="00AD0BAB"/>
    <w:rsid w:val="00AD1FE9"/>
    <w:rsid w:val="00AD235E"/>
    <w:rsid w:val="00AD2A18"/>
    <w:rsid w:val="00AD36A4"/>
    <w:rsid w:val="00AD3B30"/>
    <w:rsid w:val="00AD5762"/>
    <w:rsid w:val="00AD66AF"/>
    <w:rsid w:val="00AD757D"/>
    <w:rsid w:val="00AD76AA"/>
    <w:rsid w:val="00AD7C4B"/>
    <w:rsid w:val="00AD7FA6"/>
    <w:rsid w:val="00AE1F88"/>
    <w:rsid w:val="00AE2C58"/>
    <w:rsid w:val="00AE2CEF"/>
    <w:rsid w:val="00AE3EA3"/>
    <w:rsid w:val="00AE462B"/>
    <w:rsid w:val="00AE4B4A"/>
    <w:rsid w:val="00AE7694"/>
    <w:rsid w:val="00AF1F8C"/>
    <w:rsid w:val="00AF2C5A"/>
    <w:rsid w:val="00AF2CBC"/>
    <w:rsid w:val="00AF2CC2"/>
    <w:rsid w:val="00AF3B52"/>
    <w:rsid w:val="00AF4E1F"/>
    <w:rsid w:val="00AF6068"/>
    <w:rsid w:val="00AF7805"/>
    <w:rsid w:val="00B04006"/>
    <w:rsid w:val="00B041B1"/>
    <w:rsid w:val="00B043C8"/>
    <w:rsid w:val="00B0456B"/>
    <w:rsid w:val="00B06A39"/>
    <w:rsid w:val="00B06A8A"/>
    <w:rsid w:val="00B10C34"/>
    <w:rsid w:val="00B12381"/>
    <w:rsid w:val="00B12B50"/>
    <w:rsid w:val="00B133AF"/>
    <w:rsid w:val="00B14830"/>
    <w:rsid w:val="00B16589"/>
    <w:rsid w:val="00B20CF5"/>
    <w:rsid w:val="00B21986"/>
    <w:rsid w:val="00B26020"/>
    <w:rsid w:val="00B27386"/>
    <w:rsid w:val="00B33AA4"/>
    <w:rsid w:val="00B33BE1"/>
    <w:rsid w:val="00B34075"/>
    <w:rsid w:val="00B40B59"/>
    <w:rsid w:val="00B4110B"/>
    <w:rsid w:val="00B426C2"/>
    <w:rsid w:val="00B42DDF"/>
    <w:rsid w:val="00B43BCE"/>
    <w:rsid w:val="00B45392"/>
    <w:rsid w:val="00B46F44"/>
    <w:rsid w:val="00B50242"/>
    <w:rsid w:val="00B505DB"/>
    <w:rsid w:val="00B508FA"/>
    <w:rsid w:val="00B50E05"/>
    <w:rsid w:val="00B50E0F"/>
    <w:rsid w:val="00B5219D"/>
    <w:rsid w:val="00B52B41"/>
    <w:rsid w:val="00B53A82"/>
    <w:rsid w:val="00B5609C"/>
    <w:rsid w:val="00B56821"/>
    <w:rsid w:val="00B56912"/>
    <w:rsid w:val="00B571A2"/>
    <w:rsid w:val="00B57A2F"/>
    <w:rsid w:val="00B60ACB"/>
    <w:rsid w:val="00B60DD9"/>
    <w:rsid w:val="00B611EF"/>
    <w:rsid w:val="00B61308"/>
    <w:rsid w:val="00B638D4"/>
    <w:rsid w:val="00B64359"/>
    <w:rsid w:val="00B6578D"/>
    <w:rsid w:val="00B6588B"/>
    <w:rsid w:val="00B65AEE"/>
    <w:rsid w:val="00B7194A"/>
    <w:rsid w:val="00B72089"/>
    <w:rsid w:val="00B7513A"/>
    <w:rsid w:val="00B7704F"/>
    <w:rsid w:val="00B77DC9"/>
    <w:rsid w:val="00B80431"/>
    <w:rsid w:val="00B845B3"/>
    <w:rsid w:val="00B84F98"/>
    <w:rsid w:val="00B877B1"/>
    <w:rsid w:val="00B91293"/>
    <w:rsid w:val="00B91D54"/>
    <w:rsid w:val="00B93B5C"/>
    <w:rsid w:val="00B9404F"/>
    <w:rsid w:val="00B94707"/>
    <w:rsid w:val="00B96558"/>
    <w:rsid w:val="00B96717"/>
    <w:rsid w:val="00B9799D"/>
    <w:rsid w:val="00BA20D1"/>
    <w:rsid w:val="00BA218B"/>
    <w:rsid w:val="00BA274C"/>
    <w:rsid w:val="00BA2D43"/>
    <w:rsid w:val="00BA4994"/>
    <w:rsid w:val="00BA5926"/>
    <w:rsid w:val="00BA6A61"/>
    <w:rsid w:val="00BA6DF3"/>
    <w:rsid w:val="00BA7B31"/>
    <w:rsid w:val="00BB3739"/>
    <w:rsid w:val="00BB402E"/>
    <w:rsid w:val="00BB4799"/>
    <w:rsid w:val="00BB4ADA"/>
    <w:rsid w:val="00BB5221"/>
    <w:rsid w:val="00BB5A08"/>
    <w:rsid w:val="00BB5FCB"/>
    <w:rsid w:val="00BB6DB5"/>
    <w:rsid w:val="00BB7F06"/>
    <w:rsid w:val="00BC0D97"/>
    <w:rsid w:val="00BC3523"/>
    <w:rsid w:val="00BC5778"/>
    <w:rsid w:val="00BC5835"/>
    <w:rsid w:val="00BC58C4"/>
    <w:rsid w:val="00BC66EF"/>
    <w:rsid w:val="00BC75CF"/>
    <w:rsid w:val="00BD136A"/>
    <w:rsid w:val="00BD5254"/>
    <w:rsid w:val="00BD69A7"/>
    <w:rsid w:val="00BD7880"/>
    <w:rsid w:val="00BE0E28"/>
    <w:rsid w:val="00BE26A5"/>
    <w:rsid w:val="00BE336A"/>
    <w:rsid w:val="00BE3BFE"/>
    <w:rsid w:val="00BE5011"/>
    <w:rsid w:val="00BE5964"/>
    <w:rsid w:val="00BE6157"/>
    <w:rsid w:val="00BE6C23"/>
    <w:rsid w:val="00BF1B08"/>
    <w:rsid w:val="00BF20B2"/>
    <w:rsid w:val="00BF27FF"/>
    <w:rsid w:val="00BF6A61"/>
    <w:rsid w:val="00BF6FC3"/>
    <w:rsid w:val="00C0007F"/>
    <w:rsid w:val="00C0060C"/>
    <w:rsid w:val="00C030AE"/>
    <w:rsid w:val="00C04620"/>
    <w:rsid w:val="00C05754"/>
    <w:rsid w:val="00C06CB5"/>
    <w:rsid w:val="00C105A6"/>
    <w:rsid w:val="00C111FA"/>
    <w:rsid w:val="00C11335"/>
    <w:rsid w:val="00C119D8"/>
    <w:rsid w:val="00C12619"/>
    <w:rsid w:val="00C14D45"/>
    <w:rsid w:val="00C166F7"/>
    <w:rsid w:val="00C17540"/>
    <w:rsid w:val="00C21CEF"/>
    <w:rsid w:val="00C22F99"/>
    <w:rsid w:val="00C23883"/>
    <w:rsid w:val="00C238E4"/>
    <w:rsid w:val="00C24691"/>
    <w:rsid w:val="00C27520"/>
    <w:rsid w:val="00C30FC9"/>
    <w:rsid w:val="00C31603"/>
    <w:rsid w:val="00C316FA"/>
    <w:rsid w:val="00C346D2"/>
    <w:rsid w:val="00C3591C"/>
    <w:rsid w:val="00C40213"/>
    <w:rsid w:val="00C40AC4"/>
    <w:rsid w:val="00C40F21"/>
    <w:rsid w:val="00C41A84"/>
    <w:rsid w:val="00C46FA0"/>
    <w:rsid w:val="00C47B6F"/>
    <w:rsid w:val="00C506B8"/>
    <w:rsid w:val="00C523C5"/>
    <w:rsid w:val="00C52662"/>
    <w:rsid w:val="00C54478"/>
    <w:rsid w:val="00C54A40"/>
    <w:rsid w:val="00C54C07"/>
    <w:rsid w:val="00C55C35"/>
    <w:rsid w:val="00C56E70"/>
    <w:rsid w:val="00C572DC"/>
    <w:rsid w:val="00C5798C"/>
    <w:rsid w:val="00C57E45"/>
    <w:rsid w:val="00C623CF"/>
    <w:rsid w:val="00C62623"/>
    <w:rsid w:val="00C6307B"/>
    <w:rsid w:val="00C646C2"/>
    <w:rsid w:val="00C67049"/>
    <w:rsid w:val="00C718A9"/>
    <w:rsid w:val="00C71FC0"/>
    <w:rsid w:val="00C72D4E"/>
    <w:rsid w:val="00C73825"/>
    <w:rsid w:val="00C743B1"/>
    <w:rsid w:val="00C74C3B"/>
    <w:rsid w:val="00C75AB1"/>
    <w:rsid w:val="00C75D07"/>
    <w:rsid w:val="00C770A2"/>
    <w:rsid w:val="00C82FA1"/>
    <w:rsid w:val="00C83332"/>
    <w:rsid w:val="00C8523A"/>
    <w:rsid w:val="00C86E24"/>
    <w:rsid w:val="00C9394F"/>
    <w:rsid w:val="00C93CAD"/>
    <w:rsid w:val="00CA3304"/>
    <w:rsid w:val="00CA3757"/>
    <w:rsid w:val="00CA6105"/>
    <w:rsid w:val="00CA6259"/>
    <w:rsid w:val="00CA7DB5"/>
    <w:rsid w:val="00CB117E"/>
    <w:rsid w:val="00CB12C3"/>
    <w:rsid w:val="00CB1447"/>
    <w:rsid w:val="00CB3BEF"/>
    <w:rsid w:val="00CB42F8"/>
    <w:rsid w:val="00CB464B"/>
    <w:rsid w:val="00CC08D2"/>
    <w:rsid w:val="00CC219B"/>
    <w:rsid w:val="00CC2B01"/>
    <w:rsid w:val="00CC2B4E"/>
    <w:rsid w:val="00CC434E"/>
    <w:rsid w:val="00CC6DA8"/>
    <w:rsid w:val="00CD0F76"/>
    <w:rsid w:val="00CD2388"/>
    <w:rsid w:val="00CD26DA"/>
    <w:rsid w:val="00CD3903"/>
    <w:rsid w:val="00CD4239"/>
    <w:rsid w:val="00CD4977"/>
    <w:rsid w:val="00CD6746"/>
    <w:rsid w:val="00CD7791"/>
    <w:rsid w:val="00CD7DB9"/>
    <w:rsid w:val="00CE0540"/>
    <w:rsid w:val="00CE1061"/>
    <w:rsid w:val="00CE11A0"/>
    <w:rsid w:val="00CE1627"/>
    <w:rsid w:val="00CE3BD8"/>
    <w:rsid w:val="00CE5A42"/>
    <w:rsid w:val="00CE5B96"/>
    <w:rsid w:val="00CE5E43"/>
    <w:rsid w:val="00CF2807"/>
    <w:rsid w:val="00CF38E5"/>
    <w:rsid w:val="00CF54CC"/>
    <w:rsid w:val="00CF55A5"/>
    <w:rsid w:val="00CF58AD"/>
    <w:rsid w:val="00CF68F4"/>
    <w:rsid w:val="00CF7C08"/>
    <w:rsid w:val="00D0196C"/>
    <w:rsid w:val="00D024DC"/>
    <w:rsid w:val="00D026CC"/>
    <w:rsid w:val="00D027DF"/>
    <w:rsid w:val="00D02AE3"/>
    <w:rsid w:val="00D03339"/>
    <w:rsid w:val="00D05D74"/>
    <w:rsid w:val="00D1099C"/>
    <w:rsid w:val="00D1653A"/>
    <w:rsid w:val="00D17C6D"/>
    <w:rsid w:val="00D3025F"/>
    <w:rsid w:val="00D30DC0"/>
    <w:rsid w:val="00D33560"/>
    <w:rsid w:val="00D34A8A"/>
    <w:rsid w:val="00D355A8"/>
    <w:rsid w:val="00D36F64"/>
    <w:rsid w:val="00D430AC"/>
    <w:rsid w:val="00D44E47"/>
    <w:rsid w:val="00D45060"/>
    <w:rsid w:val="00D45470"/>
    <w:rsid w:val="00D46552"/>
    <w:rsid w:val="00D501E9"/>
    <w:rsid w:val="00D5074A"/>
    <w:rsid w:val="00D508C6"/>
    <w:rsid w:val="00D5319B"/>
    <w:rsid w:val="00D54EA4"/>
    <w:rsid w:val="00D55491"/>
    <w:rsid w:val="00D57144"/>
    <w:rsid w:val="00D57E78"/>
    <w:rsid w:val="00D60CBC"/>
    <w:rsid w:val="00D62219"/>
    <w:rsid w:val="00D64E8A"/>
    <w:rsid w:val="00D65122"/>
    <w:rsid w:val="00D6586C"/>
    <w:rsid w:val="00D70413"/>
    <w:rsid w:val="00D70D23"/>
    <w:rsid w:val="00D7108F"/>
    <w:rsid w:val="00D71184"/>
    <w:rsid w:val="00D72C35"/>
    <w:rsid w:val="00D72C96"/>
    <w:rsid w:val="00D73A99"/>
    <w:rsid w:val="00D76238"/>
    <w:rsid w:val="00D7639C"/>
    <w:rsid w:val="00D77D97"/>
    <w:rsid w:val="00D815AB"/>
    <w:rsid w:val="00D818F1"/>
    <w:rsid w:val="00D824A7"/>
    <w:rsid w:val="00D831E3"/>
    <w:rsid w:val="00D85FC6"/>
    <w:rsid w:val="00D871F9"/>
    <w:rsid w:val="00D878F2"/>
    <w:rsid w:val="00D91838"/>
    <w:rsid w:val="00D928AC"/>
    <w:rsid w:val="00D947AC"/>
    <w:rsid w:val="00D96B53"/>
    <w:rsid w:val="00D97974"/>
    <w:rsid w:val="00DA1F3C"/>
    <w:rsid w:val="00DA326A"/>
    <w:rsid w:val="00DB1540"/>
    <w:rsid w:val="00DB52AC"/>
    <w:rsid w:val="00DB5557"/>
    <w:rsid w:val="00DB5B6E"/>
    <w:rsid w:val="00DB6563"/>
    <w:rsid w:val="00DB6AB2"/>
    <w:rsid w:val="00DC0D39"/>
    <w:rsid w:val="00DC1F96"/>
    <w:rsid w:val="00DC22CF"/>
    <w:rsid w:val="00DC2611"/>
    <w:rsid w:val="00DC2CAE"/>
    <w:rsid w:val="00DC3BBD"/>
    <w:rsid w:val="00DC6C56"/>
    <w:rsid w:val="00DC6ED0"/>
    <w:rsid w:val="00DD12D7"/>
    <w:rsid w:val="00DD1FE4"/>
    <w:rsid w:val="00DD42ED"/>
    <w:rsid w:val="00DD6952"/>
    <w:rsid w:val="00DE23D1"/>
    <w:rsid w:val="00DE44CE"/>
    <w:rsid w:val="00DE5D67"/>
    <w:rsid w:val="00DE7A4C"/>
    <w:rsid w:val="00DE7C32"/>
    <w:rsid w:val="00DF2EC8"/>
    <w:rsid w:val="00DF31D7"/>
    <w:rsid w:val="00E00440"/>
    <w:rsid w:val="00E01941"/>
    <w:rsid w:val="00E02790"/>
    <w:rsid w:val="00E04184"/>
    <w:rsid w:val="00E0783E"/>
    <w:rsid w:val="00E07A27"/>
    <w:rsid w:val="00E07A7E"/>
    <w:rsid w:val="00E10E28"/>
    <w:rsid w:val="00E1146B"/>
    <w:rsid w:val="00E118A6"/>
    <w:rsid w:val="00E11CF4"/>
    <w:rsid w:val="00E12380"/>
    <w:rsid w:val="00E125F1"/>
    <w:rsid w:val="00E1323B"/>
    <w:rsid w:val="00E133B9"/>
    <w:rsid w:val="00E135D4"/>
    <w:rsid w:val="00E147C2"/>
    <w:rsid w:val="00E17A00"/>
    <w:rsid w:val="00E212E5"/>
    <w:rsid w:val="00E21674"/>
    <w:rsid w:val="00E22131"/>
    <w:rsid w:val="00E22832"/>
    <w:rsid w:val="00E23BB5"/>
    <w:rsid w:val="00E23C83"/>
    <w:rsid w:val="00E249C9"/>
    <w:rsid w:val="00E2706E"/>
    <w:rsid w:val="00E3037B"/>
    <w:rsid w:val="00E3052A"/>
    <w:rsid w:val="00E30AD3"/>
    <w:rsid w:val="00E335F1"/>
    <w:rsid w:val="00E341B4"/>
    <w:rsid w:val="00E3424D"/>
    <w:rsid w:val="00E35352"/>
    <w:rsid w:val="00E353AE"/>
    <w:rsid w:val="00E35F3E"/>
    <w:rsid w:val="00E41205"/>
    <w:rsid w:val="00E41664"/>
    <w:rsid w:val="00E434FB"/>
    <w:rsid w:val="00E443F3"/>
    <w:rsid w:val="00E466C1"/>
    <w:rsid w:val="00E46A34"/>
    <w:rsid w:val="00E506FE"/>
    <w:rsid w:val="00E5421C"/>
    <w:rsid w:val="00E55370"/>
    <w:rsid w:val="00E55C00"/>
    <w:rsid w:val="00E61681"/>
    <w:rsid w:val="00E6179A"/>
    <w:rsid w:val="00E63379"/>
    <w:rsid w:val="00E64A04"/>
    <w:rsid w:val="00E65BDA"/>
    <w:rsid w:val="00E66293"/>
    <w:rsid w:val="00E67380"/>
    <w:rsid w:val="00E673A6"/>
    <w:rsid w:val="00E673DA"/>
    <w:rsid w:val="00E67627"/>
    <w:rsid w:val="00E67DDF"/>
    <w:rsid w:val="00E67E89"/>
    <w:rsid w:val="00E70009"/>
    <w:rsid w:val="00E7156A"/>
    <w:rsid w:val="00E729FB"/>
    <w:rsid w:val="00E741A9"/>
    <w:rsid w:val="00E748B2"/>
    <w:rsid w:val="00E75F68"/>
    <w:rsid w:val="00E773B7"/>
    <w:rsid w:val="00E801A7"/>
    <w:rsid w:val="00E81CF3"/>
    <w:rsid w:val="00E822AD"/>
    <w:rsid w:val="00E82A1A"/>
    <w:rsid w:val="00E842C5"/>
    <w:rsid w:val="00E84877"/>
    <w:rsid w:val="00E86535"/>
    <w:rsid w:val="00E87097"/>
    <w:rsid w:val="00E93828"/>
    <w:rsid w:val="00E93B79"/>
    <w:rsid w:val="00E941E9"/>
    <w:rsid w:val="00E9520D"/>
    <w:rsid w:val="00E967E6"/>
    <w:rsid w:val="00EA0FF1"/>
    <w:rsid w:val="00EA1216"/>
    <w:rsid w:val="00EA42DD"/>
    <w:rsid w:val="00EA436D"/>
    <w:rsid w:val="00EA4E06"/>
    <w:rsid w:val="00EA50E6"/>
    <w:rsid w:val="00EA50F8"/>
    <w:rsid w:val="00EA63F3"/>
    <w:rsid w:val="00EA6F83"/>
    <w:rsid w:val="00EA7C6C"/>
    <w:rsid w:val="00EA7C76"/>
    <w:rsid w:val="00EB44C8"/>
    <w:rsid w:val="00EC09EE"/>
    <w:rsid w:val="00EC0D3B"/>
    <w:rsid w:val="00EC193A"/>
    <w:rsid w:val="00EC38D0"/>
    <w:rsid w:val="00EC5B47"/>
    <w:rsid w:val="00EC7EA2"/>
    <w:rsid w:val="00ED1A55"/>
    <w:rsid w:val="00ED547C"/>
    <w:rsid w:val="00EE00DD"/>
    <w:rsid w:val="00EE0948"/>
    <w:rsid w:val="00EE2689"/>
    <w:rsid w:val="00EE2D4F"/>
    <w:rsid w:val="00EE707E"/>
    <w:rsid w:val="00EE7775"/>
    <w:rsid w:val="00EF2E5E"/>
    <w:rsid w:val="00EF4717"/>
    <w:rsid w:val="00EF7948"/>
    <w:rsid w:val="00F01966"/>
    <w:rsid w:val="00F0266B"/>
    <w:rsid w:val="00F0332C"/>
    <w:rsid w:val="00F03EC4"/>
    <w:rsid w:val="00F03EC5"/>
    <w:rsid w:val="00F044FF"/>
    <w:rsid w:val="00F064F4"/>
    <w:rsid w:val="00F06F5F"/>
    <w:rsid w:val="00F134CC"/>
    <w:rsid w:val="00F13F27"/>
    <w:rsid w:val="00F169C1"/>
    <w:rsid w:val="00F1700B"/>
    <w:rsid w:val="00F17141"/>
    <w:rsid w:val="00F1757D"/>
    <w:rsid w:val="00F20A94"/>
    <w:rsid w:val="00F20FE3"/>
    <w:rsid w:val="00F213AA"/>
    <w:rsid w:val="00F22E42"/>
    <w:rsid w:val="00F267B1"/>
    <w:rsid w:val="00F30344"/>
    <w:rsid w:val="00F30C79"/>
    <w:rsid w:val="00F31097"/>
    <w:rsid w:val="00F3242D"/>
    <w:rsid w:val="00F33FF6"/>
    <w:rsid w:val="00F340E3"/>
    <w:rsid w:val="00F34FB4"/>
    <w:rsid w:val="00F36BA5"/>
    <w:rsid w:val="00F40BA4"/>
    <w:rsid w:val="00F43514"/>
    <w:rsid w:val="00F43A1E"/>
    <w:rsid w:val="00F44C92"/>
    <w:rsid w:val="00F47218"/>
    <w:rsid w:val="00F47FCD"/>
    <w:rsid w:val="00F5101D"/>
    <w:rsid w:val="00F5153C"/>
    <w:rsid w:val="00F527E3"/>
    <w:rsid w:val="00F5393C"/>
    <w:rsid w:val="00F61A14"/>
    <w:rsid w:val="00F63DAF"/>
    <w:rsid w:val="00F65225"/>
    <w:rsid w:val="00F65B7D"/>
    <w:rsid w:val="00F66B87"/>
    <w:rsid w:val="00F66BC2"/>
    <w:rsid w:val="00F7041A"/>
    <w:rsid w:val="00F708EF"/>
    <w:rsid w:val="00F730F5"/>
    <w:rsid w:val="00F738BE"/>
    <w:rsid w:val="00F80401"/>
    <w:rsid w:val="00F8108A"/>
    <w:rsid w:val="00F81D7A"/>
    <w:rsid w:val="00F820B9"/>
    <w:rsid w:val="00F82DD6"/>
    <w:rsid w:val="00F85C94"/>
    <w:rsid w:val="00F87B99"/>
    <w:rsid w:val="00F91A67"/>
    <w:rsid w:val="00F91D84"/>
    <w:rsid w:val="00F925B1"/>
    <w:rsid w:val="00F93A70"/>
    <w:rsid w:val="00F948AE"/>
    <w:rsid w:val="00F952B0"/>
    <w:rsid w:val="00F96EBA"/>
    <w:rsid w:val="00FA0716"/>
    <w:rsid w:val="00FA2B1C"/>
    <w:rsid w:val="00FA3026"/>
    <w:rsid w:val="00FA30F7"/>
    <w:rsid w:val="00FA4AD9"/>
    <w:rsid w:val="00FB470B"/>
    <w:rsid w:val="00FB4A7C"/>
    <w:rsid w:val="00FB6039"/>
    <w:rsid w:val="00FC389A"/>
    <w:rsid w:val="00FC4318"/>
    <w:rsid w:val="00FC5A3F"/>
    <w:rsid w:val="00FC6C53"/>
    <w:rsid w:val="00FC7283"/>
    <w:rsid w:val="00FD00F4"/>
    <w:rsid w:val="00FD0929"/>
    <w:rsid w:val="00FD1BAC"/>
    <w:rsid w:val="00FD3CD0"/>
    <w:rsid w:val="00FD590A"/>
    <w:rsid w:val="00FE1955"/>
    <w:rsid w:val="00FE19DD"/>
    <w:rsid w:val="00FE2A9C"/>
    <w:rsid w:val="00FE3216"/>
    <w:rsid w:val="00FE3A6B"/>
    <w:rsid w:val="00FE530A"/>
    <w:rsid w:val="00FE5D62"/>
    <w:rsid w:val="00FE5E86"/>
    <w:rsid w:val="00FE6999"/>
    <w:rsid w:val="00FF245C"/>
    <w:rsid w:val="00FF26D2"/>
    <w:rsid w:val="00FF2C0A"/>
    <w:rsid w:val="00FF7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6181B095"/>
  <w15:docId w15:val="{7D6CC64F-EF16-4C70-9096-B4410AFC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64"/>
    <w:rPr>
      <w:rFonts w:ascii="Arial" w:hAnsi="Arial"/>
      <w:sz w:val="22"/>
      <w:szCs w:val="22"/>
    </w:rPr>
  </w:style>
  <w:style w:type="paragraph" w:styleId="Heading1">
    <w:name w:val="heading 1"/>
    <w:next w:val="Heading2"/>
    <w:link w:val="Heading1Char"/>
    <w:qFormat/>
    <w:rsid w:val="00C5798C"/>
    <w:pPr>
      <w:keepNext/>
      <w:spacing w:before="720" w:after="600"/>
      <w:outlineLvl w:val="0"/>
    </w:pPr>
    <w:rPr>
      <w:rFonts w:ascii="Arial" w:hAnsi="Arial" w:cs="Arial"/>
      <w:b/>
      <w:sz w:val="32"/>
      <w:szCs w:val="32"/>
      <w:lang w:val="fr-CA" w:eastAsia="en-US"/>
    </w:rPr>
  </w:style>
  <w:style w:type="paragraph" w:styleId="Heading2">
    <w:name w:val="heading 2"/>
    <w:next w:val="Heading3"/>
    <w:link w:val="Heading2Char"/>
    <w:qFormat/>
    <w:rsid w:val="00C5798C"/>
    <w:pPr>
      <w:keepNext/>
      <w:spacing w:before="480" w:after="360"/>
      <w:outlineLvl w:val="1"/>
    </w:pPr>
    <w:rPr>
      <w:rFonts w:ascii="Arial" w:hAnsi="Arial" w:cs="Arial"/>
      <w:b/>
      <w:sz w:val="26"/>
      <w:szCs w:val="26"/>
      <w:lang w:val="fr-CA" w:eastAsia="en-US"/>
    </w:rPr>
  </w:style>
  <w:style w:type="paragraph" w:styleId="Heading3">
    <w:name w:val="heading 3"/>
    <w:next w:val="09Para"/>
    <w:link w:val="Heading3Char"/>
    <w:qFormat/>
    <w:rsid w:val="00C5798C"/>
    <w:pPr>
      <w:keepNext/>
      <w:spacing w:before="360" w:after="240"/>
      <w:outlineLvl w:val="2"/>
    </w:pPr>
    <w:rPr>
      <w:rFonts w:ascii="Arial" w:hAnsi="Arial" w:cs="Arial"/>
      <w:b/>
      <w:sz w:val="22"/>
      <w:szCs w:val="22"/>
      <w:lang w:val="fr-CA" w:eastAsia="en-US"/>
    </w:rPr>
  </w:style>
  <w:style w:type="paragraph" w:styleId="Heading4">
    <w:name w:val="heading 4"/>
    <w:basedOn w:val="Normal"/>
    <w:next w:val="Normal"/>
    <w:link w:val="Heading4Char"/>
    <w:qFormat/>
    <w:rsid w:val="00AD36A4"/>
    <w:pPr>
      <w:keepNext/>
      <w:keepLines/>
      <w:numPr>
        <w:numId w:val="18"/>
      </w:numPr>
      <w:tabs>
        <w:tab w:val="left" w:pos="360"/>
      </w:tabs>
      <w:spacing w:before="360" w:after="360"/>
      <w:ind w:left="360"/>
      <w:outlineLvl w:val="3"/>
    </w:pPr>
    <w:rPr>
      <w:b/>
      <w:bCs/>
      <w:sz w:val="24"/>
      <w:szCs w:val="28"/>
      <w:lang w:val="fr-CA"/>
    </w:rPr>
  </w:style>
  <w:style w:type="paragraph" w:styleId="Heading5">
    <w:name w:val="heading 5"/>
    <w:basedOn w:val="Normal"/>
    <w:next w:val="Normal"/>
    <w:link w:val="Heading5Char"/>
    <w:semiHidden/>
    <w:qFormat/>
    <w:rsid w:val="00C5798C"/>
    <w:pPr>
      <w:spacing w:before="240" w:after="60"/>
      <w:outlineLvl w:val="4"/>
    </w:pPr>
    <w:rPr>
      <w:b/>
      <w:bCs/>
      <w:i/>
      <w:iCs/>
      <w:sz w:val="26"/>
      <w:szCs w:val="26"/>
    </w:rPr>
  </w:style>
  <w:style w:type="paragraph" w:styleId="Heading6">
    <w:name w:val="heading 6"/>
    <w:basedOn w:val="Normal"/>
    <w:next w:val="Normal"/>
    <w:link w:val="Heading6Char"/>
    <w:semiHidden/>
    <w:qFormat/>
    <w:rsid w:val="00C5798C"/>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C5798C"/>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C5798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C5798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NATUREDELENVOI">
    <w:name w:val="02_NATURE DE L'ENVOI"/>
    <w:next w:val="Normal"/>
    <w:rsid w:val="00C5798C"/>
    <w:pPr>
      <w:spacing w:before="960" w:after="480"/>
    </w:pPr>
    <w:rPr>
      <w:rFonts w:ascii="Arial" w:hAnsi="Arial"/>
      <w:sz w:val="22"/>
      <w:szCs w:val="22"/>
      <w:u w:val="single"/>
      <w:lang w:val="fr-CA" w:eastAsia="en-US"/>
    </w:rPr>
  </w:style>
  <w:style w:type="paragraph" w:customStyle="1" w:styleId="03Date">
    <w:name w:val="03_Date"/>
    <w:next w:val="Normal"/>
    <w:rsid w:val="00C5798C"/>
    <w:pPr>
      <w:tabs>
        <w:tab w:val="left" w:pos="5760"/>
      </w:tabs>
      <w:spacing w:before="960" w:after="480"/>
    </w:pPr>
    <w:rPr>
      <w:rFonts w:ascii="Arial" w:hAnsi="Arial"/>
      <w:sz w:val="22"/>
      <w:szCs w:val="22"/>
      <w:lang w:val="fr-CA" w:eastAsia="en-US"/>
    </w:rPr>
  </w:style>
  <w:style w:type="paragraph" w:customStyle="1" w:styleId="04Vedette">
    <w:name w:val="04_Vedette"/>
    <w:rsid w:val="00C5798C"/>
    <w:rPr>
      <w:rFonts w:ascii="Arial" w:hAnsi="Arial"/>
      <w:sz w:val="22"/>
      <w:szCs w:val="22"/>
      <w:lang w:val="fr-CA" w:eastAsia="en-US"/>
    </w:rPr>
  </w:style>
  <w:style w:type="paragraph" w:styleId="BalloonText">
    <w:name w:val="Balloon Text"/>
    <w:basedOn w:val="Normal"/>
    <w:link w:val="BalloonTextChar"/>
    <w:uiPriority w:val="99"/>
    <w:semiHidden/>
    <w:rsid w:val="00C5798C"/>
    <w:rPr>
      <w:rFonts w:ascii="Tahoma" w:hAnsi="Tahoma" w:cs="Tahoma"/>
      <w:sz w:val="16"/>
      <w:szCs w:val="16"/>
    </w:rPr>
  </w:style>
  <w:style w:type="paragraph" w:customStyle="1" w:styleId="05Mentiondacheminement">
    <w:name w:val="05_Mention d'acheminement"/>
    <w:next w:val="Normal"/>
    <w:rsid w:val="00C5798C"/>
    <w:pPr>
      <w:spacing w:before="360" w:after="360"/>
    </w:pPr>
    <w:rPr>
      <w:rFonts w:ascii="Arial" w:hAnsi="Arial"/>
      <w:sz w:val="22"/>
      <w:szCs w:val="22"/>
      <w:u w:val="single"/>
      <w:lang w:val="fr-CA" w:eastAsia="en-US"/>
    </w:rPr>
  </w:style>
  <w:style w:type="paragraph" w:customStyle="1" w:styleId="06Rfrences">
    <w:name w:val="06_Références"/>
    <w:next w:val="Normal"/>
    <w:rsid w:val="00C5798C"/>
    <w:pPr>
      <w:spacing w:before="360" w:after="360"/>
    </w:pPr>
    <w:rPr>
      <w:rFonts w:ascii="Arial" w:hAnsi="Arial"/>
      <w:sz w:val="22"/>
      <w:szCs w:val="22"/>
      <w:lang w:val="fr-CA" w:eastAsia="en-US"/>
    </w:rPr>
  </w:style>
  <w:style w:type="character" w:customStyle="1" w:styleId="BalloonTextChar">
    <w:name w:val="Balloon Text Char"/>
    <w:basedOn w:val="DefaultParagraphFont"/>
    <w:link w:val="BalloonText"/>
    <w:uiPriority w:val="99"/>
    <w:semiHidden/>
    <w:rsid w:val="00091264"/>
    <w:rPr>
      <w:rFonts w:ascii="Tahoma" w:hAnsi="Tahoma" w:cs="Tahoma"/>
      <w:sz w:val="16"/>
      <w:szCs w:val="16"/>
    </w:rPr>
  </w:style>
  <w:style w:type="paragraph" w:customStyle="1" w:styleId="07Objet">
    <w:name w:val="07_Objet"/>
    <w:next w:val="Normal"/>
    <w:rsid w:val="00C5798C"/>
    <w:pPr>
      <w:spacing w:before="360" w:after="360"/>
    </w:pPr>
    <w:rPr>
      <w:rFonts w:ascii="Arial" w:hAnsi="Arial"/>
      <w:b/>
      <w:sz w:val="22"/>
      <w:szCs w:val="22"/>
      <w:lang w:val="fr-CA" w:eastAsia="en-US"/>
    </w:rPr>
  </w:style>
  <w:style w:type="paragraph" w:customStyle="1" w:styleId="08Appel">
    <w:name w:val="08_Appel"/>
    <w:basedOn w:val="06Rfrences"/>
    <w:next w:val="Normal"/>
    <w:rsid w:val="00C5798C"/>
  </w:style>
  <w:style w:type="paragraph" w:customStyle="1" w:styleId="09Para">
    <w:name w:val="09_Para"/>
    <w:qFormat/>
    <w:rsid w:val="00C5798C"/>
    <w:pPr>
      <w:spacing w:before="240" w:after="240"/>
    </w:pPr>
    <w:rPr>
      <w:rFonts w:ascii="Arial" w:hAnsi="Arial"/>
      <w:sz w:val="22"/>
      <w:szCs w:val="22"/>
      <w:lang w:val="fr-CA" w:eastAsia="en-US"/>
    </w:rPr>
  </w:style>
  <w:style w:type="paragraph" w:customStyle="1" w:styleId="09ParaAlpha1">
    <w:name w:val="09_Para Alpha 1"/>
    <w:qFormat/>
    <w:rsid w:val="000655B2"/>
    <w:pPr>
      <w:numPr>
        <w:numId w:val="2"/>
      </w:numPr>
      <w:spacing w:before="240" w:after="240"/>
    </w:pPr>
    <w:rPr>
      <w:rFonts w:ascii="Arial" w:hAnsi="Arial"/>
      <w:sz w:val="22"/>
      <w:szCs w:val="22"/>
      <w:lang w:val="fr-CA" w:eastAsia="en-US"/>
    </w:rPr>
  </w:style>
  <w:style w:type="numbering" w:customStyle="1" w:styleId="09ParaAlpha1a">
    <w:name w:val="09_Para Alpha 1a"/>
    <w:semiHidden/>
    <w:rsid w:val="00C5798C"/>
    <w:pPr>
      <w:numPr>
        <w:numId w:val="31"/>
      </w:numPr>
    </w:pPr>
  </w:style>
  <w:style w:type="paragraph" w:customStyle="1" w:styleId="09ParaAlpha2">
    <w:name w:val="09_Para Alpha 2"/>
    <w:basedOn w:val="09ParaAlpha1"/>
    <w:qFormat/>
    <w:rsid w:val="00C5798C"/>
    <w:pPr>
      <w:numPr>
        <w:numId w:val="3"/>
      </w:numPr>
    </w:pPr>
  </w:style>
  <w:style w:type="numbering" w:customStyle="1" w:styleId="09ParaAlpha2a">
    <w:name w:val="09_Para Alpha 2a"/>
    <w:semiHidden/>
    <w:rsid w:val="00C5798C"/>
    <w:pPr>
      <w:numPr>
        <w:numId w:val="3"/>
      </w:numPr>
    </w:pPr>
  </w:style>
  <w:style w:type="paragraph" w:customStyle="1" w:styleId="09ParaAlpha3">
    <w:name w:val="09_Para Alpha 3"/>
    <w:basedOn w:val="09ParaAlpha2"/>
    <w:qFormat/>
    <w:rsid w:val="00C5798C"/>
    <w:pPr>
      <w:numPr>
        <w:numId w:val="4"/>
      </w:numPr>
    </w:pPr>
  </w:style>
  <w:style w:type="numbering" w:customStyle="1" w:styleId="09ParaAlpha3a">
    <w:name w:val="09_Para Alpha 3a"/>
    <w:semiHidden/>
    <w:rsid w:val="00C5798C"/>
    <w:pPr>
      <w:numPr>
        <w:numId w:val="4"/>
      </w:numPr>
    </w:pPr>
  </w:style>
  <w:style w:type="paragraph" w:customStyle="1" w:styleId="09ParaBullet1">
    <w:name w:val="09_Para Bullet 1"/>
    <w:qFormat/>
    <w:rsid w:val="00E434FB"/>
    <w:pPr>
      <w:numPr>
        <w:numId w:val="25"/>
      </w:numPr>
      <w:spacing w:before="240" w:after="240"/>
      <w:ind w:left="720"/>
    </w:pPr>
    <w:rPr>
      <w:rFonts w:ascii="Arial" w:hAnsi="Arial"/>
      <w:sz w:val="22"/>
      <w:szCs w:val="22"/>
      <w:lang w:val="fr-CA" w:eastAsia="en-US"/>
    </w:rPr>
  </w:style>
  <w:style w:type="paragraph" w:customStyle="1" w:styleId="09ParaBullet2">
    <w:name w:val="09_Para Bullet 2"/>
    <w:basedOn w:val="09ParaBullet1"/>
    <w:qFormat/>
    <w:rsid w:val="00E434FB"/>
    <w:pPr>
      <w:numPr>
        <w:numId w:val="26"/>
      </w:numPr>
      <w:ind w:left="1080"/>
    </w:pPr>
  </w:style>
  <w:style w:type="paragraph" w:customStyle="1" w:styleId="09ParaBullet3">
    <w:name w:val="09_Para Bullet 3"/>
    <w:basedOn w:val="09ParaBullet2"/>
    <w:semiHidden/>
    <w:rsid w:val="00C5798C"/>
    <w:pPr>
      <w:numPr>
        <w:ilvl w:val="2"/>
        <w:numId w:val="6"/>
      </w:numPr>
      <w:spacing w:before="120" w:after="120"/>
    </w:pPr>
  </w:style>
  <w:style w:type="paragraph" w:customStyle="1" w:styleId="09ParaIndent1">
    <w:name w:val="09_Para Indent 1"/>
    <w:basedOn w:val="09Para"/>
    <w:rsid w:val="00C5798C"/>
    <w:pPr>
      <w:ind w:left="360"/>
    </w:pPr>
  </w:style>
  <w:style w:type="paragraph" w:customStyle="1" w:styleId="09ParaIndent2">
    <w:name w:val="09_Para Indent 2"/>
    <w:basedOn w:val="09ParaIndent1"/>
    <w:rsid w:val="00C5798C"/>
    <w:pPr>
      <w:ind w:left="720"/>
    </w:pPr>
  </w:style>
  <w:style w:type="paragraph" w:customStyle="1" w:styleId="09ParaIndent3">
    <w:name w:val="09_Para Indent 3"/>
    <w:basedOn w:val="09ParaIndent2"/>
    <w:semiHidden/>
    <w:rsid w:val="00C5798C"/>
    <w:pPr>
      <w:ind w:left="1080"/>
    </w:pPr>
  </w:style>
  <w:style w:type="paragraph" w:customStyle="1" w:styleId="09ParaIndent4">
    <w:name w:val="09_Para Indent 4"/>
    <w:basedOn w:val="09ParaIndent3"/>
    <w:semiHidden/>
    <w:rsid w:val="00C5798C"/>
    <w:pPr>
      <w:ind w:left="1440"/>
    </w:pPr>
  </w:style>
  <w:style w:type="paragraph" w:customStyle="1" w:styleId="09ParaList1">
    <w:name w:val="09_Para List 1"/>
    <w:rsid w:val="00C5798C"/>
    <w:pPr>
      <w:numPr>
        <w:numId w:val="7"/>
      </w:numPr>
      <w:spacing w:before="240" w:after="240"/>
    </w:pPr>
    <w:rPr>
      <w:rFonts w:ascii="Arial" w:hAnsi="Arial"/>
      <w:sz w:val="22"/>
      <w:szCs w:val="22"/>
      <w:lang w:val="fr-CA" w:eastAsia="en-US"/>
    </w:rPr>
  </w:style>
  <w:style w:type="numbering" w:customStyle="1" w:styleId="09ParaList1a">
    <w:name w:val="09_Para List 1a"/>
    <w:semiHidden/>
    <w:rsid w:val="00C5798C"/>
    <w:pPr>
      <w:numPr>
        <w:numId w:val="7"/>
      </w:numPr>
    </w:pPr>
  </w:style>
  <w:style w:type="paragraph" w:customStyle="1" w:styleId="09ParaList2">
    <w:name w:val="09_Para List 2"/>
    <w:basedOn w:val="09ParaList1"/>
    <w:rsid w:val="00C5798C"/>
    <w:pPr>
      <w:numPr>
        <w:numId w:val="8"/>
      </w:numPr>
    </w:pPr>
  </w:style>
  <w:style w:type="numbering" w:customStyle="1" w:styleId="09ParaList2a">
    <w:name w:val="09_Para List 2a"/>
    <w:semiHidden/>
    <w:rsid w:val="00C5798C"/>
    <w:pPr>
      <w:numPr>
        <w:numId w:val="8"/>
      </w:numPr>
    </w:pPr>
  </w:style>
  <w:style w:type="paragraph" w:customStyle="1" w:styleId="09ParaList3">
    <w:name w:val="09_Para List 3"/>
    <w:basedOn w:val="09ParaList2"/>
    <w:rsid w:val="00C5798C"/>
    <w:pPr>
      <w:numPr>
        <w:numId w:val="9"/>
      </w:numPr>
      <w:spacing w:before="120" w:after="120"/>
    </w:pPr>
  </w:style>
  <w:style w:type="numbering" w:customStyle="1" w:styleId="09ParaList3a">
    <w:name w:val="09_Para List 3a"/>
    <w:semiHidden/>
    <w:rsid w:val="00C5798C"/>
    <w:pPr>
      <w:numPr>
        <w:numId w:val="9"/>
      </w:numPr>
    </w:pPr>
  </w:style>
  <w:style w:type="paragraph" w:customStyle="1" w:styleId="10Salutation">
    <w:name w:val="10_Salutation"/>
    <w:rsid w:val="00C5798C"/>
    <w:pPr>
      <w:spacing w:before="240" w:after="600"/>
    </w:pPr>
    <w:rPr>
      <w:rFonts w:ascii="Arial" w:hAnsi="Arial"/>
      <w:sz w:val="22"/>
      <w:szCs w:val="22"/>
      <w:lang w:val="fr-CA" w:eastAsia="en-US"/>
    </w:rPr>
  </w:style>
  <w:style w:type="character" w:customStyle="1" w:styleId="Heading3Char">
    <w:name w:val="Heading 3 Char"/>
    <w:basedOn w:val="DefaultParagraphFont"/>
    <w:link w:val="Heading3"/>
    <w:rsid w:val="00C5798C"/>
    <w:rPr>
      <w:rFonts w:ascii="Arial" w:hAnsi="Arial" w:cs="Arial"/>
      <w:b/>
      <w:sz w:val="22"/>
      <w:szCs w:val="22"/>
      <w:lang w:val="fr-CA" w:eastAsia="en-US"/>
    </w:rPr>
  </w:style>
  <w:style w:type="paragraph" w:customStyle="1" w:styleId="11Signature">
    <w:name w:val="11_Signature"/>
    <w:basedOn w:val="07Objet"/>
    <w:next w:val="Normal"/>
    <w:qFormat/>
    <w:rsid w:val="00C5798C"/>
    <w:rPr>
      <w:b w:val="0"/>
    </w:rPr>
  </w:style>
  <w:style w:type="paragraph" w:customStyle="1" w:styleId="12Initialesdidentification">
    <w:name w:val="12_Initiales d'identification"/>
    <w:basedOn w:val="11Signature"/>
    <w:next w:val="Normal"/>
    <w:rsid w:val="00C5798C"/>
  </w:style>
  <w:style w:type="paragraph" w:customStyle="1" w:styleId="13Picejointe">
    <w:name w:val="13_Pièce jointe"/>
    <w:basedOn w:val="11Signature"/>
    <w:next w:val="Normal"/>
    <w:rsid w:val="00C5798C"/>
  </w:style>
  <w:style w:type="paragraph" w:customStyle="1" w:styleId="14cc">
    <w:name w:val="14_c.c."/>
    <w:basedOn w:val="13Picejointe"/>
    <w:qFormat/>
    <w:rsid w:val="00C5798C"/>
    <w:pPr>
      <w:tabs>
        <w:tab w:val="left" w:pos="576"/>
      </w:tabs>
      <w:spacing w:before="0" w:after="0"/>
      <w:ind w:left="576" w:hanging="576"/>
    </w:pPr>
  </w:style>
  <w:style w:type="paragraph" w:customStyle="1" w:styleId="15TableAlpha1">
    <w:name w:val="15_TableAlpha 1"/>
    <w:rsid w:val="00BC58C4"/>
    <w:pPr>
      <w:numPr>
        <w:numId w:val="10"/>
      </w:numPr>
      <w:spacing w:before="120" w:after="120"/>
    </w:pPr>
    <w:rPr>
      <w:rFonts w:ascii="Arial" w:hAnsi="Arial"/>
      <w:szCs w:val="22"/>
      <w:lang w:val="fr-CA" w:eastAsia="en-US"/>
    </w:rPr>
  </w:style>
  <w:style w:type="numbering" w:customStyle="1" w:styleId="15TableAlpha1a">
    <w:name w:val="15_TableAlpha 1a"/>
    <w:semiHidden/>
    <w:rsid w:val="00C5798C"/>
    <w:pPr>
      <w:numPr>
        <w:numId w:val="10"/>
      </w:numPr>
    </w:pPr>
  </w:style>
  <w:style w:type="paragraph" w:customStyle="1" w:styleId="15TableAlpha2">
    <w:name w:val="15_TableAlpha 2"/>
    <w:basedOn w:val="15TableAlpha1"/>
    <w:rsid w:val="00C5798C"/>
    <w:pPr>
      <w:numPr>
        <w:numId w:val="11"/>
      </w:numPr>
    </w:pPr>
  </w:style>
  <w:style w:type="numbering" w:customStyle="1" w:styleId="15TableAlpha2a">
    <w:name w:val="15_TableAlpha 2a"/>
    <w:semiHidden/>
    <w:rsid w:val="00C5798C"/>
    <w:pPr>
      <w:numPr>
        <w:numId w:val="11"/>
      </w:numPr>
    </w:pPr>
  </w:style>
  <w:style w:type="paragraph" w:customStyle="1" w:styleId="15TableBullet1">
    <w:name w:val="15_TableBullet 1"/>
    <w:rsid w:val="00BC58C4"/>
    <w:pPr>
      <w:numPr>
        <w:numId w:val="12"/>
      </w:numPr>
      <w:tabs>
        <w:tab w:val="left" w:pos="288"/>
      </w:tabs>
      <w:spacing w:before="120" w:after="120"/>
    </w:pPr>
    <w:rPr>
      <w:rFonts w:ascii="Arial" w:hAnsi="Arial"/>
      <w:szCs w:val="22"/>
      <w:lang w:val="fr-CA" w:eastAsia="en-US"/>
    </w:rPr>
  </w:style>
  <w:style w:type="paragraph" w:customStyle="1" w:styleId="15TableBullet2">
    <w:name w:val="15_TableBullet 2"/>
    <w:basedOn w:val="15TableBullet1"/>
    <w:rsid w:val="00C5798C"/>
    <w:pPr>
      <w:numPr>
        <w:ilvl w:val="1"/>
        <w:numId w:val="13"/>
      </w:numPr>
      <w:tabs>
        <w:tab w:val="clear" w:pos="288"/>
      </w:tabs>
    </w:pPr>
  </w:style>
  <w:style w:type="paragraph" w:customStyle="1" w:styleId="15TableBullet3">
    <w:name w:val="15_TableBullet 3"/>
    <w:basedOn w:val="15TableBullet2"/>
    <w:rsid w:val="00C5798C"/>
    <w:pPr>
      <w:numPr>
        <w:ilvl w:val="2"/>
        <w:numId w:val="14"/>
      </w:numPr>
      <w:spacing w:before="80" w:after="80"/>
    </w:pPr>
  </w:style>
  <w:style w:type="paragraph" w:customStyle="1" w:styleId="15TableHeadCentred">
    <w:name w:val="15_TableHead Centred"/>
    <w:next w:val="Normal"/>
    <w:rsid w:val="00BC58C4"/>
    <w:pPr>
      <w:spacing w:before="120" w:after="120"/>
      <w:jc w:val="center"/>
    </w:pPr>
    <w:rPr>
      <w:rFonts w:ascii="Arial" w:hAnsi="Arial"/>
      <w:b/>
      <w:szCs w:val="22"/>
      <w:lang w:val="fr-CA" w:eastAsia="en-US"/>
    </w:rPr>
  </w:style>
  <w:style w:type="paragraph" w:customStyle="1" w:styleId="15TableHead">
    <w:name w:val="15_TableHead"/>
    <w:basedOn w:val="15TableHeadCentred"/>
    <w:next w:val="Normal"/>
    <w:rsid w:val="00C5798C"/>
    <w:pPr>
      <w:jc w:val="left"/>
    </w:pPr>
  </w:style>
  <w:style w:type="paragraph" w:customStyle="1" w:styleId="15TableList1">
    <w:name w:val="15_TableList 1"/>
    <w:rsid w:val="00BC58C4"/>
    <w:pPr>
      <w:numPr>
        <w:numId w:val="15"/>
      </w:numPr>
      <w:spacing w:before="120" w:after="120"/>
    </w:pPr>
    <w:rPr>
      <w:rFonts w:ascii="Arial" w:hAnsi="Arial"/>
      <w:szCs w:val="22"/>
      <w:lang w:val="fr-CA" w:eastAsia="en-US"/>
    </w:rPr>
  </w:style>
  <w:style w:type="paragraph" w:styleId="Revision">
    <w:name w:val="Revision"/>
    <w:hidden/>
    <w:uiPriority w:val="99"/>
    <w:semiHidden/>
    <w:rsid w:val="006423F7"/>
    <w:rPr>
      <w:sz w:val="24"/>
      <w:szCs w:val="24"/>
      <w:lang w:val="en-US" w:eastAsia="en-US"/>
    </w:rPr>
  </w:style>
  <w:style w:type="paragraph" w:customStyle="1" w:styleId="15TableList2">
    <w:name w:val="15_TableList 2"/>
    <w:basedOn w:val="15TableList1"/>
    <w:rsid w:val="00C5798C"/>
    <w:pPr>
      <w:numPr>
        <w:numId w:val="16"/>
      </w:numPr>
    </w:pPr>
  </w:style>
  <w:style w:type="character" w:customStyle="1" w:styleId="Heading2Char">
    <w:name w:val="Heading 2 Char"/>
    <w:basedOn w:val="DefaultParagraphFont"/>
    <w:link w:val="Heading2"/>
    <w:rsid w:val="00C5798C"/>
    <w:rPr>
      <w:rFonts w:ascii="Arial" w:hAnsi="Arial" w:cs="Arial"/>
      <w:b/>
      <w:sz w:val="26"/>
      <w:szCs w:val="26"/>
      <w:lang w:val="fr-CA" w:eastAsia="en-US"/>
    </w:rPr>
  </w:style>
  <w:style w:type="paragraph" w:customStyle="1" w:styleId="15TableList3">
    <w:name w:val="15_TableList 3"/>
    <w:basedOn w:val="15TableList2"/>
    <w:rsid w:val="00C5798C"/>
    <w:pPr>
      <w:numPr>
        <w:numId w:val="17"/>
      </w:numPr>
    </w:pPr>
  </w:style>
  <w:style w:type="paragraph" w:customStyle="1" w:styleId="15TablePara">
    <w:name w:val="15_TablePara"/>
    <w:rsid w:val="00BC58C4"/>
    <w:pPr>
      <w:spacing w:before="120" w:after="120"/>
    </w:pPr>
    <w:rPr>
      <w:rFonts w:ascii="Arial" w:hAnsi="Arial"/>
      <w:szCs w:val="22"/>
      <w:lang w:val="fr-CA" w:eastAsia="en-US"/>
    </w:rPr>
  </w:style>
  <w:style w:type="paragraph" w:customStyle="1" w:styleId="15TableParaIndent1">
    <w:name w:val="15_TablePara Indent 1"/>
    <w:rsid w:val="008B014D"/>
    <w:pPr>
      <w:spacing w:before="120" w:after="120"/>
      <w:ind w:left="288"/>
    </w:pPr>
    <w:rPr>
      <w:rFonts w:ascii="Arial" w:hAnsi="Arial"/>
      <w:szCs w:val="22"/>
      <w:lang w:val="fr-CA" w:eastAsia="en-US"/>
    </w:rPr>
  </w:style>
  <w:style w:type="paragraph" w:customStyle="1" w:styleId="15TableParaIndent2">
    <w:name w:val="15_TableParaIndent 2"/>
    <w:basedOn w:val="15TableParaIndent1"/>
    <w:rsid w:val="00C5798C"/>
    <w:pPr>
      <w:ind w:left="576"/>
    </w:pPr>
  </w:style>
  <w:style w:type="paragraph" w:customStyle="1" w:styleId="15TableParaIndent3">
    <w:name w:val="15_TableParaIndent 3"/>
    <w:basedOn w:val="15TableParaIndent2"/>
    <w:rsid w:val="00C5798C"/>
    <w:pPr>
      <w:ind w:left="864"/>
    </w:pPr>
  </w:style>
  <w:style w:type="paragraph" w:styleId="Header">
    <w:name w:val="header"/>
    <w:link w:val="HeaderChar"/>
    <w:uiPriority w:val="99"/>
    <w:rsid w:val="00C5798C"/>
    <w:pPr>
      <w:tabs>
        <w:tab w:val="center" w:pos="4320"/>
        <w:tab w:val="right" w:pos="8640"/>
      </w:tabs>
    </w:pPr>
    <w:rPr>
      <w:rFonts w:ascii="Arial" w:hAnsi="Arial"/>
      <w:sz w:val="22"/>
      <w:szCs w:val="22"/>
      <w:lang w:val="fr-CA" w:eastAsia="en-US"/>
    </w:rPr>
  </w:style>
  <w:style w:type="character" w:customStyle="1" w:styleId="HeaderChar">
    <w:name w:val="Header Char"/>
    <w:basedOn w:val="DefaultParagraphFont"/>
    <w:link w:val="Header"/>
    <w:uiPriority w:val="99"/>
    <w:rsid w:val="00091264"/>
    <w:rPr>
      <w:rFonts w:ascii="Arial" w:hAnsi="Arial"/>
      <w:sz w:val="22"/>
      <w:szCs w:val="22"/>
      <w:lang w:val="fr-CA" w:eastAsia="en-US"/>
    </w:rPr>
  </w:style>
  <w:style w:type="paragraph" w:styleId="Footer">
    <w:name w:val="footer"/>
    <w:basedOn w:val="Header"/>
    <w:link w:val="FooterChar"/>
    <w:uiPriority w:val="2"/>
    <w:semiHidden/>
    <w:rsid w:val="00C5798C"/>
  </w:style>
  <w:style w:type="character" w:customStyle="1" w:styleId="FooterChar">
    <w:name w:val="Footer Char"/>
    <w:basedOn w:val="DefaultParagraphFont"/>
    <w:link w:val="Footer"/>
    <w:uiPriority w:val="2"/>
    <w:semiHidden/>
    <w:rsid w:val="00091264"/>
    <w:rPr>
      <w:rFonts w:ascii="Arial" w:hAnsi="Arial"/>
      <w:sz w:val="22"/>
      <w:szCs w:val="22"/>
      <w:lang w:val="fr-CA" w:eastAsia="en-US"/>
    </w:rPr>
  </w:style>
  <w:style w:type="character" w:customStyle="1" w:styleId="Heading1Char">
    <w:name w:val="Heading 1 Char"/>
    <w:basedOn w:val="DefaultParagraphFont"/>
    <w:link w:val="Heading1"/>
    <w:rsid w:val="00C5798C"/>
    <w:rPr>
      <w:rFonts w:ascii="Arial" w:hAnsi="Arial" w:cs="Arial"/>
      <w:b/>
      <w:sz w:val="32"/>
      <w:szCs w:val="32"/>
      <w:lang w:val="fr-CA" w:eastAsia="en-US"/>
    </w:rPr>
  </w:style>
  <w:style w:type="character" w:customStyle="1" w:styleId="Heading4Char">
    <w:name w:val="Heading 4 Char"/>
    <w:basedOn w:val="DefaultParagraphFont"/>
    <w:link w:val="Heading4"/>
    <w:rsid w:val="00091264"/>
    <w:rPr>
      <w:rFonts w:ascii="Arial" w:hAnsi="Arial"/>
      <w:b/>
      <w:bCs/>
      <w:sz w:val="24"/>
      <w:szCs w:val="28"/>
      <w:lang w:val="fr-CA"/>
    </w:rPr>
  </w:style>
  <w:style w:type="character" w:customStyle="1" w:styleId="Heading5Char">
    <w:name w:val="Heading 5 Char"/>
    <w:basedOn w:val="DefaultParagraphFont"/>
    <w:link w:val="Heading5"/>
    <w:semiHidden/>
    <w:rsid w:val="00C5798C"/>
    <w:rPr>
      <w:rFonts w:ascii="Arial" w:hAnsi="Arial"/>
      <w:b/>
      <w:bCs/>
      <w:i/>
      <w:iCs/>
      <w:sz w:val="26"/>
      <w:szCs w:val="26"/>
    </w:rPr>
  </w:style>
  <w:style w:type="character" w:customStyle="1" w:styleId="Heading6Char">
    <w:name w:val="Heading 6 Char"/>
    <w:basedOn w:val="DefaultParagraphFont"/>
    <w:link w:val="Heading6"/>
    <w:semiHidden/>
    <w:rsid w:val="00C5798C"/>
    <w:rPr>
      <w:b/>
      <w:bCs/>
      <w:sz w:val="22"/>
      <w:szCs w:val="22"/>
    </w:rPr>
  </w:style>
  <w:style w:type="character" w:customStyle="1" w:styleId="Heading7Char">
    <w:name w:val="Heading 7 Char"/>
    <w:basedOn w:val="DefaultParagraphFont"/>
    <w:link w:val="Heading7"/>
    <w:semiHidden/>
    <w:rsid w:val="00C5798C"/>
    <w:rPr>
      <w:sz w:val="24"/>
      <w:szCs w:val="24"/>
    </w:rPr>
  </w:style>
  <w:style w:type="character" w:customStyle="1" w:styleId="Heading8Char">
    <w:name w:val="Heading 8 Char"/>
    <w:basedOn w:val="DefaultParagraphFont"/>
    <w:link w:val="Heading8"/>
    <w:semiHidden/>
    <w:rsid w:val="00C5798C"/>
    <w:rPr>
      <w:i/>
      <w:iCs/>
      <w:sz w:val="24"/>
      <w:szCs w:val="24"/>
    </w:rPr>
  </w:style>
  <w:style w:type="character" w:customStyle="1" w:styleId="Heading9Char">
    <w:name w:val="Heading 9 Char"/>
    <w:basedOn w:val="DefaultParagraphFont"/>
    <w:link w:val="Heading9"/>
    <w:semiHidden/>
    <w:rsid w:val="00C5798C"/>
    <w:rPr>
      <w:rFonts w:ascii="Arial" w:hAnsi="Arial" w:cs="Arial"/>
      <w:sz w:val="22"/>
      <w:szCs w:val="22"/>
    </w:rPr>
  </w:style>
  <w:style w:type="character" w:styleId="Hyperlink">
    <w:name w:val="Hyperlink"/>
    <w:basedOn w:val="DefaultParagraphFont"/>
    <w:semiHidden/>
    <w:rsid w:val="00C5798C"/>
    <w:rPr>
      <w:color w:val="0000FF"/>
      <w:u w:val="single"/>
    </w:rPr>
  </w:style>
  <w:style w:type="paragraph" w:styleId="NormalWeb">
    <w:name w:val="Normal (Web)"/>
    <w:basedOn w:val="Normal"/>
    <w:uiPriority w:val="99"/>
    <w:semiHidden/>
    <w:rsid w:val="00C5798C"/>
    <w:pPr>
      <w:spacing w:before="100" w:beforeAutospacing="1" w:after="100" w:afterAutospacing="1"/>
    </w:pPr>
    <w:rPr>
      <w:rFonts w:ascii="Times New Roman" w:hAnsi="Times New Roman"/>
      <w:sz w:val="24"/>
      <w:szCs w:val="24"/>
    </w:rPr>
  </w:style>
  <w:style w:type="character" w:styleId="PageNumber">
    <w:name w:val="page number"/>
    <w:basedOn w:val="DefaultParagraphFont"/>
    <w:semiHidden/>
    <w:rsid w:val="00C5798C"/>
  </w:style>
  <w:style w:type="table" w:styleId="TableGrid">
    <w:name w:val="Table Grid"/>
    <w:basedOn w:val="TableNormal"/>
    <w:rsid w:val="00C5798C"/>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C5798C"/>
    <w:pPr>
      <w:numPr>
        <w:numId w:val="15"/>
      </w:numPr>
    </w:pPr>
  </w:style>
  <w:style w:type="numbering" w:customStyle="1" w:styleId="TableList2a">
    <w:name w:val="TableList2a"/>
    <w:semiHidden/>
    <w:rsid w:val="00C5798C"/>
    <w:pPr>
      <w:numPr>
        <w:numId w:val="16"/>
      </w:numPr>
    </w:pPr>
  </w:style>
  <w:style w:type="numbering" w:customStyle="1" w:styleId="TableList3a">
    <w:name w:val="TableList3a"/>
    <w:semiHidden/>
    <w:rsid w:val="00C5798C"/>
    <w:pPr>
      <w:numPr>
        <w:numId w:val="17"/>
      </w:numPr>
    </w:p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091264"/>
    <w:rPr>
      <w:rFonts w:ascii="Arial" w:hAnsi="Arial"/>
    </w:rPr>
  </w:style>
  <w:style w:type="character" w:styleId="CommentReference">
    <w:name w:val="annotation reference"/>
    <w:basedOn w:val="DefaultParagraphFont"/>
    <w:uiPriority w:val="99"/>
    <w:semiHidden/>
    <w:rPr>
      <w:sz w:val="16"/>
      <w:szCs w:val="16"/>
    </w:rPr>
  </w:style>
  <w:style w:type="character" w:customStyle="1" w:styleId="BlueItalText">
    <w:name w:val="Blue_Ital_Text"/>
    <w:basedOn w:val="DefaultParagraphFont"/>
    <w:uiPriority w:val="2"/>
    <w:semiHidden/>
    <w:qFormat/>
    <w:rsid w:val="00515998"/>
    <w:rPr>
      <w:i/>
      <w:color w:val="0000FF"/>
    </w:rPr>
  </w:style>
  <w:style w:type="character" w:customStyle="1" w:styleId="BlueText">
    <w:name w:val="Blue_Text"/>
    <w:basedOn w:val="DefaultParagraphFont"/>
    <w:uiPriority w:val="2"/>
    <w:semiHidden/>
    <w:qFormat/>
    <w:rsid w:val="00CD4977"/>
    <w:rPr>
      <w:color w:val="0000FF"/>
    </w:rPr>
  </w:style>
  <w:style w:type="paragraph" w:customStyle="1" w:styleId="LetterBodyPwC">
    <w:name w:val="LetterBody_PwC"/>
    <w:qFormat/>
    <w:rsid w:val="008E7230"/>
    <w:pPr>
      <w:spacing w:after="200"/>
    </w:pPr>
    <w:rPr>
      <w:rFonts w:ascii="Georgia" w:hAnsi="Georgia" w:cs="Arial"/>
      <w:color w:val="000000"/>
      <w:lang w:val="en-US" w:eastAsia="en-US"/>
    </w:rPr>
  </w:style>
  <w:style w:type="character" w:customStyle="1" w:styleId="LetterRedTextPwC">
    <w:name w:val="LetterRedText_PwC"/>
    <w:uiPriority w:val="1"/>
    <w:qFormat/>
    <w:rsid w:val="00D824A7"/>
    <w:rPr>
      <w:rFonts w:ascii="Georgia" w:hAnsi="Georgia"/>
      <w:color w:val="FF0000"/>
    </w:rPr>
  </w:style>
  <w:style w:type="paragraph" w:customStyle="1" w:styleId="LetterCommentsinBodyPwC">
    <w:name w:val="LetterCommentsinBody_PwC"/>
    <w:basedOn w:val="LetterBodyPwC"/>
    <w:qFormat/>
    <w:rsid w:val="00CD7791"/>
    <w:rPr>
      <w:color w:val="FF0000"/>
    </w:rPr>
  </w:style>
  <w:style w:type="paragraph" w:styleId="CommentSubject">
    <w:name w:val="annotation subject"/>
    <w:basedOn w:val="CommentText"/>
    <w:next w:val="CommentText"/>
    <w:link w:val="CommentSubjectChar"/>
    <w:semiHidden/>
    <w:unhideWhenUsed/>
    <w:rsid w:val="005D7E9F"/>
    <w:rPr>
      <w:b/>
      <w:bCs/>
    </w:rPr>
  </w:style>
  <w:style w:type="character" w:customStyle="1" w:styleId="CommentSubjectChar">
    <w:name w:val="Comment Subject Char"/>
    <w:basedOn w:val="CommentTextChar"/>
    <w:link w:val="CommentSubject"/>
    <w:semiHidden/>
    <w:rsid w:val="005D7E9F"/>
    <w:rPr>
      <w:rFonts w:ascii="Arial" w:hAnsi="Arial"/>
      <w:b/>
      <w:bCs/>
    </w:rPr>
  </w:style>
  <w:style w:type="character" w:customStyle="1" w:styleId="LetterRedPwC">
    <w:name w:val="LetterRed_PwC"/>
    <w:basedOn w:val="LetterRedTextPwC"/>
    <w:uiPriority w:val="1"/>
    <w:qFormat/>
    <w:rsid w:val="00274713"/>
    <w:rPr>
      <w:rFonts w:ascii="Georgia" w:hAnsi="Georgia"/>
      <w:color w:val="FF0000"/>
    </w:rPr>
  </w:style>
  <w:style w:type="paragraph" w:styleId="BodyText">
    <w:name w:val="Body Text"/>
    <w:basedOn w:val="Normal"/>
    <w:link w:val="BodyTextChar"/>
    <w:semiHidden/>
    <w:qFormat/>
    <w:rsid w:val="006C227B"/>
    <w:pPr>
      <w:spacing w:after="240" w:line="240" w:lineRule="atLeast"/>
    </w:pPr>
    <w:rPr>
      <w:rFonts w:eastAsia="SimSun"/>
      <w:sz w:val="20"/>
      <w:szCs w:val="20"/>
      <w:lang w:val="en-GB" w:eastAsia="zh-CN"/>
    </w:rPr>
  </w:style>
  <w:style w:type="character" w:customStyle="1" w:styleId="BodyTextChar">
    <w:name w:val="Body Text Char"/>
    <w:basedOn w:val="DefaultParagraphFont"/>
    <w:link w:val="BodyText"/>
    <w:semiHidden/>
    <w:rsid w:val="006C227B"/>
    <w:rPr>
      <w:rFonts w:ascii="Arial" w:eastAsia="SimSun" w:hAnsi="Arial"/>
      <w:lang w:val="en-GB" w:eastAsia="zh-CN"/>
    </w:rPr>
  </w:style>
  <w:style w:type="paragraph" w:customStyle="1" w:styleId="LetterBulletsPwC">
    <w:name w:val="LetterBullets_PwC"/>
    <w:basedOn w:val="LetterBodyPwC"/>
    <w:qFormat/>
    <w:rsid w:val="006C227B"/>
    <w:pPr>
      <w:numPr>
        <w:numId w:val="23"/>
      </w:numPr>
      <w:suppressAutoHyphens/>
      <w:spacing w:after="0"/>
    </w:pPr>
  </w:style>
  <w:style w:type="character" w:customStyle="1" w:styleId="Italics">
    <w:name w:val="Italics"/>
    <w:rsid w:val="006C227B"/>
    <w:rPr>
      <w:b w:val="0"/>
      <w:i/>
      <w:caps w:val="0"/>
      <w:u w:val="none"/>
    </w:rPr>
  </w:style>
  <w:style w:type="paragraph" w:styleId="FootnoteText">
    <w:name w:val="footnote text"/>
    <w:basedOn w:val="Normal"/>
    <w:link w:val="FootnoteTextChar"/>
    <w:semiHidden/>
    <w:unhideWhenUsed/>
    <w:qFormat/>
    <w:rsid w:val="00957D59"/>
    <w:rPr>
      <w:sz w:val="20"/>
      <w:szCs w:val="20"/>
    </w:rPr>
  </w:style>
  <w:style w:type="character" w:customStyle="1" w:styleId="FootnoteTextChar">
    <w:name w:val="Footnote Text Char"/>
    <w:basedOn w:val="DefaultParagraphFont"/>
    <w:link w:val="FootnoteText"/>
    <w:semiHidden/>
    <w:rsid w:val="00957D59"/>
    <w:rPr>
      <w:rFonts w:ascii="Arial" w:hAnsi="Arial"/>
    </w:rPr>
  </w:style>
  <w:style w:type="character" w:styleId="FootnoteReference">
    <w:name w:val="footnote reference"/>
    <w:basedOn w:val="DefaultParagraphFont"/>
    <w:semiHidden/>
    <w:unhideWhenUsed/>
    <w:rsid w:val="00957D59"/>
    <w:rPr>
      <w:vertAlign w:val="superscript"/>
    </w:rPr>
  </w:style>
  <w:style w:type="character" w:customStyle="1" w:styleId="hithighlighton1">
    <w:name w:val="hithighlighton1"/>
    <w:basedOn w:val="DefaultParagraphFont"/>
    <w:rsid w:val="004253E9"/>
    <w:rPr>
      <w:b/>
      <w:bCs/>
      <w:color w:val="BB0033"/>
      <w:bdr w:val="single" w:sz="6" w:space="0" w:color="BB0033"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21802">
      <w:bodyDiv w:val="1"/>
      <w:marLeft w:val="0"/>
      <w:marRight w:val="0"/>
      <w:marTop w:val="0"/>
      <w:marBottom w:val="0"/>
      <w:divBdr>
        <w:top w:val="none" w:sz="0" w:space="0" w:color="auto"/>
        <w:left w:val="none" w:sz="0" w:space="0" w:color="auto"/>
        <w:bottom w:val="none" w:sz="0" w:space="0" w:color="auto"/>
        <w:right w:val="none" w:sz="0" w:space="0" w:color="auto"/>
      </w:divBdr>
    </w:div>
    <w:div w:id="16384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arta002\documents\temp.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1BB4C7A7DE4380AC04E9F3EBF06DB6"/>
        <w:category>
          <w:name w:val="General"/>
          <w:gallery w:val="placeholder"/>
        </w:category>
        <w:types>
          <w:type w:val="bbPlcHdr"/>
        </w:types>
        <w:behaviors>
          <w:behavior w:val="content"/>
        </w:behaviors>
        <w:guid w:val="{FD61D03B-F123-4A23-8BBB-9ABD5C4F742C}"/>
      </w:docPartPr>
      <w:docPartBody>
        <w:p w:rsidR="004926C8" w:rsidRDefault="0069524E" w:rsidP="0069524E">
          <w:pPr>
            <w:pStyle w:val="4C1BB4C7A7DE4380AC04E9F3EBF06DB6"/>
          </w:pPr>
          <w:r w:rsidRPr="00790F45">
            <w:rPr>
              <w:rStyle w:val="PlaceholderText"/>
            </w:rPr>
            <w:t>Choose an item.</w:t>
          </w:r>
        </w:p>
      </w:docPartBody>
    </w:docPart>
    <w:docPart>
      <w:docPartPr>
        <w:name w:val="DE815100C4AF45108B365DCCB9DC703E"/>
        <w:category>
          <w:name w:val="General"/>
          <w:gallery w:val="placeholder"/>
        </w:category>
        <w:types>
          <w:type w:val="bbPlcHdr"/>
        </w:types>
        <w:behaviors>
          <w:behavior w:val="content"/>
        </w:behaviors>
        <w:guid w:val="{0B1BBBB5-1093-45CA-ABF4-AEEDFB3246A8}"/>
      </w:docPartPr>
      <w:docPartBody>
        <w:p w:rsidR="00C86492" w:rsidRDefault="00B5064B" w:rsidP="00B5064B">
          <w:pPr>
            <w:pStyle w:val="DE815100C4AF45108B365DCCB9DC703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7F"/>
    <w:rsid w:val="0002362A"/>
    <w:rsid w:val="000A536A"/>
    <w:rsid w:val="0010169D"/>
    <w:rsid w:val="0013120B"/>
    <w:rsid w:val="00194169"/>
    <w:rsid w:val="001B2A50"/>
    <w:rsid w:val="002C0E7D"/>
    <w:rsid w:val="00324DFA"/>
    <w:rsid w:val="00356EAC"/>
    <w:rsid w:val="0043393D"/>
    <w:rsid w:val="004926C8"/>
    <w:rsid w:val="004A4DC8"/>
    <w:rsid w:val="004B1EE9"/>
    <w:rsid w:val="004E5CC1"/>
    <w:rsid w:val="00544CB1"/>
    <w:rsid w:val="005766A2"/>
    <w:rsid w:val="00606BC1"/>
    <w:rsid w:val="00626FFB"/>
    <w:rsid w:val="00646BE7"/>
    <w:rsid w:val="00665C91"/>
    <w:rsid w:val="0069524E"/>
    <w:rsid w:val="007168C9"/>
    <w:rsid w:val="00765EE0"/>
    <w:rsid w:val="008732ED"/>
    <w:rsid w:val="0089062B"/>
    <w:rsid w:val="008C00D2"/>
    <w:rsid w:val="008D5332"/>
    <w:rsid w:val="009112FC"/>
    <w:rsid w:val="009670AF"/>
    <w:rsid w:val="0097392A"/>
    <w:rsid w:val="00A40F45"/>
    <w:rsid w:val="00A66A7F"/>
    <w:rsid w:val="00AA5C55"/>
    <w:rsid w:val="00AD68BE"/>
    <w:rsid w:val="00B01B7E"/>
    <w:rsid w:val="00B250C8"/>
    <w:rsid w:val="00B5064B"/>
    <w:rsid w:val="00B77FE4"/>
    <w:rsid w:val="00C0731A"/>
    <w:rsid w:val="00C70EC0"/>
    <w:rsid w:val="00C86492"/>
    <w:rsid w:val="00D065B8"/>
    <w:rsid w:val="00D611C2"/>
    <w:rsid w:val="00E54CF0"/>
    <w:rsid w:val="00F233C2"/>
    <w:rsid w:val="00F23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55"/>
    <w:rPr>
      <w:color w:val="808080"/>
    </w:rPr>
  </w:style>
  <w:style w:type="paragraph" w:customStyle="1" w:styleId="6A69600454E14F3AA1C5F76E4965A62A">
    <w:name w:val="6A69600454E14F3AA1C5F76E4965A62A"/>
    <w:rsid w:val="00A66A7F"/>
  </w:style>
  <w:style w:type="paragraph" w:customStyle="1" w:styleId="486C798EE11242E88308FAEABB37EDB0">
    <w:name w:val="486C798EE11242E88308FAEABB37EDB0"/>
    <w:rsid w:val="004A4DC8"/>
  </w:style>
  <w:style w:type="paragraph" w:customStyle="1" w:styleId="715C6F11950149148329AA75BA0E2BCE">
    <w:name w:val="715C6F11950149148329AA75BA0E2BCE"/>
    <w:rsid w:val="004A4DC8"/>
  </w:style>
  <w:style w:type="paragraph" w:customStyle="1" w:styleId="93B84F7C1DFA4C898DDCDC963CDA98F6">
    <w:name w:val="93B84F7C1DFA4C898DDCDC963CDA98F6"/>
    <w:rsid w:val="004A4DC8"/>
  </w:style>
  <w:style w:type="paragraph" w:customStyle="1" w:styleId="0FC3CF93B8814D76B07602C7D2730981">
    <w:name w:val="0FC3CF93B8814D76B07602C7D2730981"/>
    <w:rsid w:val="004A4DC8"/>
  </w:style>
  <w:style w:type="paragraph" w:customStyle="1" w:styleId="DE699826C03843BEBE8FDCF0924E1082">
    <w:name w:val="DE699826C03843BEBE8FDCF0924E1082"/>
    <w:rsid w:val="004A4DC8"/>
  </w:style>
  <w:style w:type="paragraph" w:customStyle="1" w:styleId="48F3043E89EC4F068A5E7A547EBB6616">
    <w:name w:val="48F3043E89EC4F068A5E7A547EBB6616"/>
    <w:rsid w:val="004A4DC8"/>
  </w:style>
  <w:style w:type="paragraph" w:customStyle="1" w:styleId="25DE7B3C715048C68A77A1BBFC5A31D6">
    <w:name w:val="25DE7B3C715048C68A77A1BBFC5A31D6"/>
    <w:rsid w:val="004A4DC8"/>
  </w:style>
  <w:style w:type="paragraph" w:customStyle="1" w:styleId="48C15AB9A8B543C4A2DB0D5290E09019">
    <w:name w:val="48C15AB9A8B543C4A2DB0D5290E09019"/>
    <w:rsid w:val="004A4DC8"/>
  </w:style>
  <w:style w:type="paragraph" w:customStyle="1" w:styleId="BB2C608DC2F641E4A8B8CE0DC8C4B5BA">
    <w:name w:val="BB2C608DC2F641E4A8B8CE0DC8C4B5BA"/>
    <w:rsid w:val="004A4DC8"/>
  </w:style>
  <w:style w:type="paragraph" w:customStyle="1" w:styleId="49E8D213AA1C477A877735DC20548C0B">
    <w:name w:val="49E8D213AA1C477A877735DC20548C0B"/>
    <w:rsid w:val="004A4DC8"/>
  </w:style>
  <w:style w:type="paragraph" w:customStyle="1" w:styleId="7EF08C7D0CEC4043984933B6BEA7BDC0">
    <w:name w:val="7EF08C7D0CEC4043984933B6BEA7BDC0"/>
    <w:rsid w:val="00194169"/>
  </w:style>
  <w:style w:type="paragraph" w:customStyle="1" w:styleId="504D8AAD30D24B778250D8BBCBF205F8">
    <w:name w:val="504D8AAD30D24B778250D8BBCBF205F8"/>
    <w:rsid w:val="0069524E"/>
  </w:style>
  <w:style w:type="paragraph" w:customStyle="1" w:styleId="4C1BB4C7A7DE4380AC04E9F3EBF06DB6">
    <w:name w:val="4C1BB4C7A7DE4380AC04E9F3EBF06DB6"/>
    <w:rsid w:val="0069524E"/>
  </w:style>
  <w:style w:type="paragraph" w:customStyle="1" w:styleId="4FF9796FBA51497C96B4D95877A4EA44">
    <w:name w:val="4FF9796FBA51497C96B4D95877A4EA44"/>
    <w:rsid w:val="005766A2"/>
    <w:rPr>
      <w:lang w:val="fr-CA" w:eastAsia="fr-CA"/>
    </w:rPr>
  </w:style>
  <w:style w:type="paragraph" w:customStyle="1" w:styleId="50548E5990184DF98C667F7DD88DEDB8">
    <w:name w:val="50548E5990184DF98C667F7DD88DEDB8"/>
    <w:rsid w:val="005766A2"/>
    <w:rPr>
      <w:lang w:val="fr-CA" w:eastAsia="fr-CA"/>
    </w:rPr>
  </w:style>
  <w:style w:type="paragraph" w:customStyle="1" w:styleId="E0271CD68ED942EF9D5918FDF00968E0">
    <w:name w:val="E0271CD68ED942EF9D5918FDF00968E0"/>
    <w:rsid w:val="005766A2"/>
    <w:rPr>
      <w:lang w:val="fr-CA" w:eastAsia="fr-CA"/>
    </w:rPr>
  </w:style>
  <w:style w:type="paragraph" w:customStyle="1" w:styleId="0F2421E1510E45169B3169FA49A75E00">
    <w:name w:val="0F2421E1510E45169B3169FA49A75E00"/>
    <w:rsid w:val="005766A2"/>
    <w:rPr>
      <w:lang w:val="fr-CA" w:eastAsia="fr-CA"/>
    </w:rPr>
  </w:style>
  <w:style w:type="paragraph" w:customStyle="1" w:styleId="544BA22587D0439D98ADC12C20064755">
    <w:name w:val="544BA22587D0439D98ADC12C20064755"/>
    <w:rsid w:val="00AA5C55"/>
  </w:style>
  <w:style w:type="paragraph" w:customStyle="1" w:styleId="DE815100C4AF45108B365DCCB9DC703E">
    <w:name w:val="DE815100C4AF45108B365DCCB9DC703E"/>
    <w:rsid w:val="00B5064B"/>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687B-492E-43AC-A03B-4F6B4E10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temp.doc</Template>
  <TotalTime>232</TotalTime>
  <Pages>60</Pages>
  <Words>24658</Words>
  <Characters>140604</Characters>
  <Application>Microsoft Office Word</Application>
  <DocSecurity>0</DocSecurity>
  <Lines>1171</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scsl</Company>
  <LinksUpToDate>false</LinksUpToDate>
  <CharactersWithSpaces>164933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 User</dc:creator>
  <cp:lastModifiedBy>Hussey, Anita</cp:lastModifiedBy>
  <cp:revision>61</cp:revision>
  <cp:lastPrinted>2014-08-28T12:22:00Z</cp:lastPrinted>
  <dcterms:created xsi:type="dcterms:W3CDTF">2022-04-05T13:43:00Z</dcterms:created>
  <dcterms:modified xsi:type="dcterms:W3CDTF">2023-10-23T20:46:00Z</dcterms:modified>
</cp:coreProperties>
</file>