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92" w:rsidRPr="009710E9" w:rsidRDefault="00B55492" w:rsidP="000E369D">
      <w:pPr>
        <w:pStyle w:val="Heading1"/>
        <w:spacing w:before="120" w:after="120"/>
        <w:ind w:right="746"/>
        <w:rPr>
          <w:rFonts w:ascii="Arial" w:hAnsi="Arial" w:cs="Arial"/>
          <w:sz w:val="22"/>
          <w:szCs w:val="22"/>
          <w:lang w:val="fr-CA"/>
        </w:rPr>
      </w:pPr>
      <w:r w:rsidRPr="009710E9">
        <w:rPr>
          <w:rFonts w:ascii="Arial" w:hAnsi="Arial" w:cs="Arial"/>
          <w:sz w:val="22"/>
          <w:szCs w:val="22"/>
          <w:lang w:val="fr-CA"/>
        </w:rPr>
        <w:t>[Entité]</w:t>
      </w:r>
    </w:p>
    <w:p w:rsidR="00B55492" w:rsidRPr="009710E9" w:rsidRDefault="00B55492" w:rsidP="000E369D">
      <w:pPr>
        <w:pStyle w:val="Heading1"/>
        <w:pBdr>
          <w:bottom w:val="single" w:sz="4" w:space="1" w:color="auto"/>
        </w:pBdr>
        <w:spacing w:before="120" w:after="120"/>
        <w:ind w:right="746"/>
        <w:rPr>
          <w:rFonts w:ascii="Arial" w:hAnsi="Arial" w:cs="Arial"/>
          <w:sz w:val="22"/>
          <w:szCs w:val="22"/>
          <w:lang w:val="fr-CA"/>
        </w:rPr>
      </w:pPr>
      <w:r w:rsidRPr="009710E9">
        <w:rPr>
          <w:rFonts w:ascii="Arial" w:hAnsi="Arial" w:cs="Arial"/>
          <w:sz w:val="22"/>
          <w:szCs w:val="22"/>
          <w:lang w:val="fr-CA"/>
        </w:rPr>
        <w:t>Exercice terminé le [date]</w:t>
      </w:r>
    </w:p>
    <w:p w:rsidR="00B55492" w:rsidRPr="009710E9" w:rsidRDefault="00B55492" w:rsidP="000E369D">
      <w:pPr>
        <w:spacing w:before="120" w:after="120"/>
        <w:ind w:right="746"/>
        <w:rPr>
          <w:rFonts w:ascii="Arial" w:hAnsi="Arial" w:cs="Arial"/>
          <w:sz w:val="22"/>
          <w:szCs w:val="22"/>
          <w:lang w:val="fr-CA"/>
        </w:rPr>
      </w:pPr>
      <w:r w:rsidRPr="009710E9">
        <w:rPr>
          <w:rFonts w:ascii="Arial" w:hAnsi="Arial" w:cs="Arial"/>
          <w:b/>
          <w:bCs/>
          <w:sz w:val="22"/>
          <w:szCs w:val="22"/>
          <w:lang w:val="fr-CA"/>
        </w:rPr>
        <w:t>Date</w:t>
      </w:r>
      <w:r w:rsidRPr="009710E9">
        <w:rPr>
          <w:rFonts w:ascii="Arial" w:hAnsi="Arial" w:cs="Arial"/>
          <w:sz w:val="22"/>
          <w:szCs w:val="22"/>
          <w:lang w:val="fr-CA"/>
        </w:rPr>
        <w:tab/>
      </w:r>
      <w:r w:rsidRPr="009710E9">
        <w:rPr>
          <w:rFonts w:ascii="Arial" w:hAnsi="Arial" w:cs="Arial"/>
          <w:sz w:val="22"/>
          <w:szCs w:val="22"/>
          <w:lang w:val="fr-CA"/>
        </w:rPr>
        <w:tab/>
      </w:r>
      <w:r w:rsidRPr="009710E9">
        <w:rPr>
          <w:rFonts w:ascii="Arial" w:hAnsi="Arial" w:cs="Arial"/>
          <w:sz w:val="22"/>
          <w:szCs w:val="22"/>
          <w:lang w:val="fr-CA"/>
        </w:rPr>
        <w:tab/>
        <w:t>[DATE]</w:t>
      </w:r>
    </w:p>
    <w:p w:rsidR="00B55492" w:rsidRPr="009710E9" w:rsidRDefault="00B55492" w:rsidP="000E369D">
      <w:pPr>
        <w:pStyle w:val="TableBullet"/>
        <w:numPr>
          <w:ilvl w:val="0"/>
          <w:numId w:val="0"/>
        </w:numPr>
        <w:spacing w:line="240" w:lineRule="auto"/>
        <w:ind w:right="746"/>
        <w:rPr>
          <w:rFonts w:cs="Arial"/>
          <w:b/>
          <w:lang w:val="fr-CA" w:eastAsia="es-AR" w:bidi="ar-SA"/>
        </w:rPr>
      </w:pPr>
      <w:r w:rsidRPr="009710E9">
        <w:rPr>
          <w:rFonts w:cs="Arial"/>
          <w:b/>
          <w:bCs/>
          <w:sz w:val="22"/>
          <w:szCs w:val="22"/>
          <w:lang w:val="fr-CA"/>
        </w:rPr>
        <w:t>Sont présents</w:t>
      </w:r>
      <w:r w:rsidRPr="009710E9">
        <w:rPr>
          <w:rFonts w:cs="Arial"/>
          <w:b/>
          <w:bCs/>
          <w:sz w:val="22"/>
          <w:szCs w:val="22"/>
          <w:lang w:val="fr-CA"/>
        </w:rPr>
        <w:tab/>
      </w:r>
      <w:r w:rsidRPr="00F535AB">
        <w:rPr>
          <w:rFonts w:cs="Arial"/>
          <w:bCs/>
          <w:sz w:val="22"/>
          <w:szCs w:val="22"/>
          <w:lang w:val="fr-CA"/>
        </w:rPr>
        <w:t>[</w:t>
      </w:r>
      <w:r w:rsidRPr="009710E9">
        <w:rPr>
          <w:rFonts w:cs="Arial"/>
          <w:sz w:val="22"/>
          <w:szCs w:val="22"/>
          <w:lang w:val="fr-CA"/>
        </w:rPr>
        <w:t>NOM], [NOM D</w:t>
      </w:r>
      <w:r w:rsidR="008E7B6B" w:rsidRPr="009710E9">
        <w:rPr>
          <w:rFonts w:cs="Arial"/>
          <w:sz w:val="22"/>
          <w:szCs w:val="22"/>
          <w:lang w:val="fr-CA"/>
        </w:rPr>
        <w:t>E L’ENTITÉ</w:t>
      </w:r>
      <w:r w:rsidRPr="009710E9">
        <w:rPr>
          <w:rFonts w:cs="Arial"/>
          <w:sz w:val="22"/>
          <w:szCs w:val="22"/>
          <w:lang w:val="fr-CA"/>
        </w:rPr>
        <w:t>]</w:t>
      </w:r>
    </w:p>
    <w:p w:rsidR="00B55492" w:rsidRPr="009710E9" w:rsidRDefault="00B55492" w:rsidP="000E369D">
      <w:pPr>
        <w:pStyle w:val="tablebodytext"/>
        <w:spacing w:line="240" w:lineRule="auto"/>
        <w:ind w:left="1440" w:right="746" w:firstLine="720"/>
        <w:rPr>
          <w:rFonts w:cs="Arial"/>
          <w:sz w:val="22"/>
          <w:szCs w:val="22"/>
          <w:lang w:val="fr-CA"/>
        </w:rPr>
      </w:pPr>
      <w:r w:rsidRPr="009710E9">
        <w:rPr>
          <w:rFonts w:cs="Arial"/>
          <w:sz w:val="22"/>
          <w:szCs w:val="22"/>
          <w:lang w:val="fr-CA"/>
        </w:rPr>
        <w:t>[NOM], BVG</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6"/>
        <w:gridCol w:w="5187"/>
      </w:tblGrid>
      <w:tr w:rsidR="00B55492" w:rsidRPr="009710E9" w:rsidTr="005A6F6D">
        <w:trPr>
          <w:tblHeader/>
        </w:trPr>
        <w:tc>
          <w:tcPr>
            <w:tcW w:w="45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55492" w:rsidRPr="009710E9" w:rsidRDefault="00B55492" w:rsidP="000E369D">
            <w:pPr>
              <w:pStyle w:val="Heading2"/>
              <w:spacing w:before="60" w:after="60" w:line="240" w:lineRule="auto"/>
              <w:ind w:right="746"/>
              <w:rPr>
                <w:rFonts w:ascii="Arial" w:hAnsi="Arial" w:cs="Arial"/>
                <w:lang w:val="fr-CA"/>
              </w:rPr>
            </w:pPr>
            <w:r w:rsidRPr="009710E9">
              <w:rPr>
                <w:rFonts w:ascii="Arial" w:hAnsi="Arial" w:cs="Arial"/>
                <w:lang w:val="fr-CA"/>
              </w:rPr>
              <w:t>Questions</w:t>
            </w:r>
          </w:p>
          <w:p w:rsidR="00B55492" w:rsidRPr="009710E9" w:rsidRDefault="00145B49" w:rsidP="000E369D">
            <w:pPr>
              <w:pStyle w:val="tablebodytext"/>
              <w:spacing w:line="240" w:lineRule="auto"/>
              <w:ind w:right="746"/>
              <w:rPr>
                <w:rFonts w:cs="Arial"/>
                <w:b/>
                <w:color w:val="auto"/>
                <w:sz w:val="22"/>
                <w:szCs w:val="22"/>
                <w:lang w:val="fr-CA" w:eastAsia="es-AR" w:bidi="ar-SA"/>
              </w:rPr>
            </w:pPr>
            <w:r w:rsidRPr="009710E9">
              <w:rPr>
                <w:rFonts w:cs="Arial"/>
                <w:b/>
                <w:i/>
                <w:color w:val="auto"/>
                <w:sz w:val="22"/>
                <w:szCs w:val="22"/>
                <w:lang w:val="fr-CA"/>
              </w:rPr>
              <w:t>Les questions en italiques sont obligatoires.</w:t>
            </w:r>
            <w:r w:rsidR="00B55492" w:rsidRPr="009710E9">
              <w:rPr>
                <w:rFonts w:cs="Arial"/>
                <w:b/>
                <w:color w:val="auto"/>
                <w:sz w:val="22"/>
                <w:szCs w:val="22"/>
                <w:lang w:val="fr-CA"/>
              </w:rPr>
              <w:t xml:space="preserve"> </w:t>
            </w:r>
            <w:r w:rsidR="00B55492" w:rsidRPr="009710E9">
              <w:rPr>
                <w:rFonts w:cs="Arial"/>
                <w:color w:val="auto"/>
                <w:sz w:val="22"/>
                <w:szCs w:val="22"/>
                <w:lang w:val="fr-CA"/>
              </w:rPr>
              <w:t>Toutes les autres sont des exemples de questions que l’on pourrait poser aux auditeurs internes</w:t>
            </w:r>
            <w:r w:rsidR="00B55492" w:rsidRPr="009710E9">
              <w:rPr>
                <w:rFonts w:cs="Arial"/>
                <w:b/>
                <w:color w:val="auto"/>
                <w:sz w:val="22"/>
                <w:szCs w:val="22"/>
                <w:lang w:val="fr-CA"/>
              </w:rPr>
              <w:t xml:space="preserve">. </w:t>
            </w:r>
          </w:p>
        </w:tc>
        <w:tc>
          <w:tcPr>
            <w:tcW w:w="51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B55492" w:rsidRPr="009710E9" w:rsidRDefault="00B55492" w:rsidP="000E369D">
            <w:pPr>
              <w:autoSpaceDE w:val="0"/>
              <w:autoSpaceDN w:val="0"/>
              <w:adjustRightInd w:val="0"/>
              <w:spacing w:before="60" w:after="60"/>
              <w:ind w:right="746"/>
              <w:jc w:val="center"/>
              <w:rPr>
                <w:rFonts w:ascii="Arial" w:hAnsi="Arial" w:cs="Arial"/>
                <w:b/>
                <w:bCs/>
                <w:sz w:val="22"/>
                <w:szCs w:val="22"/>
                <w:lang w:val="fr-CA"/>
              </w:rPr>
            </w:pPr>
            <w:r w:rsidRPr="009710E9">
              <w:rPr>
                <w:rFonts w:ascii="Arial" w:hAnsi="Arial" w:cs="Arial"/>
                <w:b/>
                <w:bCs/>
                <w:sz w:val="22"/>
                <w:szCs w:val="22"/>
                <w:lang w:val="fr-CA"/>
              </w:rPr>
              <w:t>Réponse</w:t>
            </w:r>
          </w:p>
        </w:tc>
      </w:tr>
      <w:tr w:rsidR="00B55492" w:rsidRPr="009710E9" w:rsidTr="005A6F6D">
        <w:tc>
          <w:tcPr>
            <w:tcW w:w="4556" w:type="dxa"/>
            <w:tcBorders>
              <w:top w:val="single" w:sz="12" w:space="0" w:color="auto"/>
            </w:tcBorders>
            <w:shd w:val="clear" w:color="auto" w:fill="auto"/>
          </w:tcPr>
          <w:p w:rsidR="00B55492" w:rsidRPr="009710E9" w:rsidRDefault="00B55492" w:rsidP="000E369D">
            <w:pPr>
              <w:autoSpaceDE w:val="0"/>
              <w:autoSpaceDN w:val="0"/>
              <w:adjustRightInd w:val="0"/>
              <w:spacing w:before="120" w:after="120"/>
              <w:ind w:left="259" w:right="746" w:hanging="259"/>
              <w:rPr>
                <w:rFonts w:ascii="Arial" w:hAnsi="Arial" w:cs="Arial"/>
                <w:b/>
                <w:sz w:val="20"/>
                <w:szCs w:val="20"/>
                <w:lang w:val="fr-CA"/>
              </w:rPr>
            </w:pPr>
            <w:r w:rsidRPr="009710E9">
              <w:rPr>
                <w:rFonts w:ascii="Arial" w:hAnsi="Arial" w:cs="Arial"/>
                <w:b/>
                <w:sz w:val="20"/>
                <w:szCs w:val="20"/>
                <w:lang w:val="fr-CA"/>
              </w:rPr>
              <w:t>a) Questions à poser pour comprendre si les auditeurs internes se sont engagés à prévenir, à empêcher et à dépister les fraudes.</w:t>
            </w:r>
          </w:p>
          <w:p w:rsidR="00B55492" w:rsidRPr="009710E9" w:rsidRDefault="00B55492" w:rsidP="000E369D">
            <w:pPr>
              <w:numPr>
                <w:ilvl w:val="0"/>
                <w:numId w:val="1"/>
              </w:numPr>
              <w:tabs>
                <w:tab w:val="clear" w:pos="720"/>
                <w:tab w:val="num" w:pos="307"/>
              </w:tabs>
              <w:autoSpaceDE w:val="0"/>
              <w:autoSpaceDN w:val="0"/>
              <w:adjustRightInd w:val="0"/>
              <w:spacing w:before="60" w:after="60"/>
              <w:ind w:left="307" w:right="746" w:hanging="307"/>
              <w:rPr>
                <w:rFonts w:ascii="Arial" w:hAnsi="Arial" w:cs="Arial"/>
                <w:i/>
                <w:sz w:val="20"/>
                <w:szCs w:val="20"/>
                <w:lang w:val="fr-CA"/>
              </w:rPr>
            </w:pPr>
            <w:r w:rsidRPr="009710E9">
              <w:rPr>
                <w:rFonts w:ascii="Arial" w:hAnsi="Arial" w:cs="Arial"/>
                <w:i/>
                <w:sz w:val="20"/>
                <w:szCs w:val="20"/>
                <w:lang w:val="fr-CA"/>
              </w:rPr>
              <w:t xml:space="preserve">Quel est votre point de vue sur le risque de fraude dans l’entité? </w:t>
            </w:r>
          </w:p>
          <w:p w:rsidR="00B55492" w:rsidRPr="009710E9" w:rsidRDefault="00B55492" w:rsidP="000E369D">
            <w:pPr>
              <w:numPr>
                <w:ilvl w:val="0"/>
                <w:numId w:val="1"/>
              </w:numPr>
              <w:tabs>
                <w:tab w:val="clear" w:pos="720"/>
                <w:tab w:val="num" w:pos="307"/>
              </w:tabs>
              <w:autoSpaceDE w:val="0"/>
              <w:autoSpaceDN w:val="0"/>
              <w:adjustRightInd w:val="0"/>
              <w:spacing w:before="60" w:after="120"/>
              <w:ind w:left="302" w:right="746" w:hanging="302"/>
              <w:rPr>
                <w:rFonts w:ascii="Arial" w:hAnsi="Arial" w:cs="Arial"/>
                <w:i/>
                <w:sz w:val="20"/>
                <w:szCs w:val="20"/>
                <w:lang w:val="fr-CA"/>
              </w:rPr>
            </w:pPr>
            <w:r w:rsidRPr="009710E9">
              <w:rPr>
                <w:rFonts w:ascii="Arial" w:hAnsi="Arial" w:cs="Arial"/>
                <w:i/>
                <w:sz w:val="20"/>
                <w:szCs w:val="20"/>
                <w:lang w:val="fr-CA"/>
              </w:rPr>
              <w:t xml:space="preserve">Avez-vous eu connaissance de fraudes avérées ou suspectées dans l’entité? </w:t>
            </w:r>
          </w:p>
          <w:p w:rsidR="009710E9" w:rsidRPr="00F535AB" w:rsidRDefault="009710E9" w:rsidP="009710E9">
            <w:pPr>
              <w:numPr>
                <w:ilvl w:val="0"/>
                <w:numId w:val="1"/>
              </w:numPr>
              <w:tabs>
                <w:tab w:val="clear" w:pos="720"/>
                <w:tab w:val="num" w:pos="307"/>
              </w:tabs>
              <w:autoSpaceDE w:val="0"/>
              <w:autoSpaceDN w:val="0"/>
              <w:adjustRightInd w:val="0"/>
              <w:spacing w:before="60" w:after="60"/>
              <w:ind w:left="307" w:hanging="307"/>
              <w:rPr>
                <w:rFonts w:ascii="Arial" w:hAnsi="Arial" w:cs="Arial"/>
                <w:sz w:val="20"/>
                <w:szCs w:val="20"/>
                <w:lang w:val="fr-CA"/>
              </w:rPr>
            </w:pPr>
            <w:r w:rsidRPr="00F535AB">
              <w:rPr>
                <w:rFonts w:ascii="Arial" w:hAnsi="Arial" w:cs="Arial"/>
                <w:sz w:val="20"/>
                <w:szCs w:val="20"/>
                <w:lang w:val="fr-CA"/>
              </w:rPr>
              <w:t>[Autre question]</w:t>
            </w:r>
          </w:p>
          <w:p w:rsidR="009710E9" w:rsidRPr="009710E9" w:rsidRDefault="009710E9" w:rsidP="009710E9">
            <w:pPr>
              <w:numPr>
                <w:ilvl w:val="0"/>
                <w:numId w:val="1"/>
              </w:numPr>
              <w:tabs>
                <w:tab w:val="clear" w:pos="720"/>
                <w:tab w:val="num" w:pos="307"/>
              </w:tabs>
              <w:autoSpaceDE w:val="0"/>
              <w:autoSpaceDN w:val="0"/>
              <w:adjustRightInd w:val="0"/>
              <w:spacing w:before="60" w:after="120"/>
              <w:ind w:left="302" w:right="746" w:hanging="302"/>
              <w:rPr>
                <w:rFonts w:ascii="Arial" w:hAnsi="Arial" w:cs="Arial"/>
                <w:i/>
                <w:sz w:val="20"/>
                <w:szCs w:val="20"/>
                <w:lang w:val="fr-CA"/>
              </w:rPr>
            </w:pPr>
            <w:r w:rsidRPr="00F535AB">
              <w:rPr>
                <w:rFonts w:ascii="Arial" w:hAnsi="Arial" w:cs="Arial"/>
                <w:sz w:val="20"/>
                <w:szCs w:val="20"/>
                <w:lang w:val="fr-CA"/>
              </w:rPr>
              <w:t>[</w:t>
            </w:r>
            <w:r>
              <w:rPr>
                <w:rFonts w:ascii="Arial" w:hAnsi="Arial" w:cs="Arial"/>
                <w:sz w:val="20"/>
                <w:szCs w:val="20"/>
                <w:lang w:val="fr-CA"/>
              </w:rPr>
              <w:t xml:space="preserve">Autre </w:t>
            </w:r>
            <w:r w:rsidRPr="00F535AB">
              <w:rPr>
                <w:rFonts w:ascii="Arial" w:hAnsi="Arial" w:cs="Arial"/>
                <w:sz w:val="20"/>
                <w:szCs w:val="20"/>
                <w:lang w:val="fr-CA"/>
              </w:rPr>
              <w:t>question]</w:t>
            </w:r>
          </w:p>
        </w:tc>
        <w:tc>
          <w:tcPr>
            <w:tcW w:w="5187" w:type="dxa"/>
            <w:tcBorders>
              <w:top w:val="single" w:sz="12" w:space="0" w:color="auto"/>
            </w:tcBorders>
            <w:shd w:val="clear" w:color="auto" w:fill="auto"/>
          </w:tcPr>
          <w:p w:rsidR="00B55492" w:rsidRPr="009710E9" w:rsidRDefault="00B55492" w:rsidP="000E369D">
            <w:pPr>
              <w:autoSpaceDE w:val="0"/>
              <w:autoSpaceDN w:val="0"/>
              <w:adjustRightInd w:val="0"/>
              <w:spacing w:before="60" w:after="60"/>
              <w:ind w:left="72" w:right="746" w:hanging="72"/>
              <w:rPr>
                <w:rFonts w:ascii="Arial" w:hAnsi="Arial" w:cs="Arial"/>
                <w:sz w:val="22"/>
                <w:szCs w:val="22"/>
                <w:lang w:val="fr-CA"/>
              </w:rPr>
            </w:pPr>
          </w:p>
        </w:tc>
      </w:tr>
      <w:tr w:rsidR="00B55492" w:rsidRPr="009710E9" w:rsidTr="005A6F6D">
        <w:tc>
          <w:tcPr>
            <w:tcW w:w="4556" w:type="dxa"/>
            <w:shd w:val="clear" w:color="auto" w:fill="auto"/>
          </w:tcPr>
          <w:p w:rsidR="00B55492" w:rsidRPr="009710E9" w:rsidRDefault="00B55492" w:rsidP="000E369D">
            <w:pPr>
              <w:autoSpaceDE w:val="0"/>
              <w:autoSpaceDN w:val="0"/>
              <w:adjustRightInd w:val="0"/>
              <w:spacing w:before="60" w:after="60"/>
              <w:ind w:left="252" w:right="746" w:hanging="252"/>
              <w:rPr>
                <w:rFonts w:ascii="Arial" w:hAnsi="Arial" w:cs="Arial"/>
                <w:sz w:val="20"/>
                <w:szCs w:val="20"/>
                <w:lang w:val="fr-CA"/>
              </w:rPr>
            </w:pPr>
            <w:r w:rsidRPr="009710E9">
              <w:rPr>
                <w:rFonts w:ascii="Arial" w:hAnsi="Arial" w:cs="Arial"/>
                <w:b/>
                <w:sz w:val="20"/>
                <w:szCs w:val="20"/>
                <w:lang w:val="fr-CA"/>
              </w:rPr>
              <w:t>b) Questions à poser pour comprendre comment les auditeurs internes surveillent les contrôles et les programmes qui servent à prévenir, à empêcher ou à détecter les fraudes.</w:t>
            </w:r>
          </w:p>
          <w:p w:rsidR="00B55492" w:rsidRPr="009710E9" w:rsidRDefault="00B55492" w:rsidP="000E369D">
            <w:pPr>
              <w:numPr>
                <w:ilvl w:val="0"/>
                <w:numId w:val="1"/>
              </w:numPr>
              <w:tabs>
                <w:tab w:val="clear" w:pos="720"/>
                <w:tab w:val="num" w:pos="307"/>
              </w:tabs>
              <w:autoSpaceDE w:val="0"/>
              <w:autoSpaceDN w:val="0"/>
              <w:adjustRightInd w:val="0"/>
              <w:spacing w:before="60" w:after="60"/>
              <w:ind w:left="307" w:right="746" w:hanging="307"/>
              <w:rPr>
                <w:rFonts w:ascii="Arial" w:hAnsi="Arial" w:cs="Arial"/>
                <w:i/>
                <w:sz w:val="20"/>
                <w:szCs w:val="20"/>
                <w:lang w:val="fr-CA"/>
              </w:rPr>
            </w:pPr>
            <w:r w:rsidRPr="009710E9">
              <w:rPr>
                <w:rFonts w:ascii="Arial" w:hAnsi="Arial" w:cs="Arial"/>
                <w:i/>
                <w:sz w:val="20"/>
                <w:szCs w:val="20"/>
                <w:lang w:val="fr-CA"/>
              </w:rPr>
              <w:t>Quelles procédures d’audit spécifiques avez-vous mises en œuvre (ou planifier mettre en œuvre) pour prévenir, empêcher ou détecter les fraudes?</w:t>
            </w:r>
          </w:p>
          <w:p w:rsidR="00B55492" w:rsidRPr="009710E9" w:rsidRDefault="00B55492" w:rsidP="000E369D">
            <w:pPr>
              <w:numPr>
                <w:ilvl w:val="0"/>
                <w:numId w:val="1"/>
              </w:numPr>
              <w:tabs>
                <w:tab w:val="clear" w:pos="720"/>
                <w:tab w:val="num" w:pos="307"/>
              </w:tabs>
              <w:autoSpaceDE w:val="0"/>
              <w:autoSpaceDN w:val="0"/>
              <w:adjustRightInd w:val="0"/>
              <w:spacing w:before="60" w:after="60"/>
              <w:ind w:left="307" w:right="746" w:hanging="307"/>
              <w:rPr>
                <w:rFonts w:ascii="Arial" w:hAnsi="Arial" w:cs="Arial"/>
                <w:sz w:val="20"/>
                <w:szCs w:val="20"/>
                <w:lang w:val="fr-CA"/>
              </w:rPr>
            </w:pPr>
            <w:r w:rsidRPr="009710E9">
              <w:rPr>
                <w:rFonts w:ascii="Arial" w:hAnsi="Arial" w:cs="Arial"/>
                <w:color w:val="000000"/>
                <w:sz w:val="20"/>
                <w:szCs w:val="20"/>
                <w:lang w:val="fr-CA" w:eastAsia="es-AR" w:bidi="ar-SA"/>
              </w:rPr>
              <w:t>Avez-vous effectué des examens spécifiques à la demande de la direction?</w:t>
            </w:r>
          </w:p>
          <w:p w:rsidR="00B55492" w:rsidRDefault="00B55492" w:rsidP="000E369D">
            <w:pPr>
              <w:numPr>
                <w:ilvl w:val="0"/>
                <w:numId w:val="1"/>
              </w:numPr>
              <w:tabs>
                <w:tab w:val="clear" w:pos="720"/>
                <w:tab w:val="num" w:pos="307"/>
              </w:tabs>
              <w:autoSpaceDE w:val="0"/>
              <w:autoSpaceDN w:val="0"/>
              <w:adjustRightInd w:val="0"/>
              <w:spacing w:before="60" w:after="120"/>
              <w:ind w:left="302" w:right="746" w:hanging="302"/>
              <w:rPr>
                <w:rFonts w:ascii="Arial" w:hAnsi="Arial" w:cs="Arial"/>
                <w:i/>
                <w:sz w:val="20"/>
                <w:szCs w:val="20"/>
                <w:lang w:val="fr-CA"/>
              </w:rPr>
            </w:pPr>
            <w:r w:rsidRPr="009710E9">
              <w:rPr>
                <w:rFonts w:ascii="Arial" w:hAnsi="Arial" w:cs="Arial"/>
                <w:i/>
                <w:sz w:val="20"/>
                <w:szCs w:val="20"/>
                <w:lang w:val="fr-CA"/>
              </w:rPr>
              <w:t>Est-ce que la direction a bien répondu aux observations et aux recommandations des auditeurs internes tout au long de l’exercice, concernant le risque ou la détection de fraudes?</w:t>
            </w:r>
          </w:p>
          <w:p w:rsidR="009710E9" w:rsidRPr="00383A17" w:rsidRDefault="009710E9" w:rsidP="009710E9">
            <w:pPr>
              <w:numPr>
                <w:ilvl w:val="0"/>
                <w:numId w:val="1"/>
              </w:numPr>
              <w:tabs>
                <w:tab w:val="clear" w:pos="720"/>
                <w:tab w:val="num" w:pos="307"/>
              </w:tabs>
              <w:autoSpaceDE w:val="0"/>
              <w:autoSpaceDN w:val="0"/>
              <w:adjustRightInd w:val="0"/>
              <w:spacing w:before="60" w:after="60"/>
              <w:ind w:left="307" w:hanging="307"/>
              <w:rPr>
                <w:rFonts w:ascii="Arial" w:hAnsi="Arial" w:cs="Arial"/>
                <w:sz w:val="20"/>
                <w:szCs w:val="20"/>
                <w:lang w:val="fr-CA"/>
              </w:rPr>
            </w:pPr>
            <w:r w:rsidRPr="00383A17">
              <w:rPr>
                <w:rFonts w:ascii="Arial" w:hAnsi="Arial" w:cs="Arial"/>
                <w:sz w:val="20"/>
                <w:szCs w:val="20"/>
                <w:lang w:val="fr-CA"/>
              </w:rPr>
              <w:t>[Autre question]</w:t>
            </w:r>
          </w:p>
          <w:p w:rsidR="009710E9" w:rsidRPr="009710E9" w:rsidRDefault="009710E9" w:rsidP="009710E9">
            <w:pPr>
              <w:numPr>
                <w:ilvl w:val="0"/>
                <w:numId w:val="1"/>
              </w:numPr>
              <w:tabs>
                <w:tab w:val="clear" w:pos="720"/>
                <w:tab w:val="num" w:pos="307"/>
              </w:tabs>
              <w:autoSpaceDE w:val="0"/>
              <w:autoSpaceDN w:val="0"/>
              <w:adjustRightInd w:val="0"/>
              <w:spacing w:before="60" w:after="120"/>
              <w:ind w:left="302" w:right="746" w:hanging="302"/>
              <w:rPr>
                <w:rFonts w:ascii="Arial" w:hAnsi="Arial" w:cs="Arial"/>
                <w:i/>
                <w:sz w:val="20"/>
                <w:szCs w:val="20"/>
                <w:lang w:val="fr-CA"/>
              </w:rPr>
            </w:pPr>
            <w:r w:rsidRPr="00383A17">
              <w:rPr>
                <w:rFonts w:ascii="Arial" w:hAnsi="Arial" w:cs="Arial"/>
                <w:sz w:val="20"/>
                <w:szCs w:val="20"/>
                <w:lang w:val="fr-CA"/>
              </w:rPr>
              <w:t>[</w:t>
            </w:r>
            <w:r>
              <w:rPr>
                <w:rFonts w:ascii="Arial" w:hAnsi="Arial" w:cs="Arial"/>
                <w:sz w:val="20"/>
                <w:szCs w:val="20"/>
                <w:lang w:val="fr-CA"/>
              </w:rPr>
              <w:t xml:space="preserve">Autre </w:t>
            </w:r>
            <w:r w:rsidRPr="00383A17">
              <w:rPr>
                <w:rFonts w:ascii="Arial" w:hAnsi="Arial" w:cs="Arial"/>
                <w:sz w:val="20"/>
                <w:szCs w:val="20"/>
                <w:lang w:val="fr-CA"/>
              </w:rPr>
              <w:t>question]</w:t>
            </w:r>
          </w:p>
        </w:tc>
        <w:tc>
          <w:tcPr>
            <w:tcW w:w="5187" w:type="dxa"/>
            <w:shd w:val="clear" w:color="auto" w:fill="auto"/>
          </w:tcPr>
          <w:p w:rsidR="00B55492" w:rsidRPr="009710E9" w:rsidRDefault="00B55492" w:rsidP="000E369D">
            <w:pPr>
              <w:autoSpaceDE w:val="0"/>
              <w:autoSpaceDN w:val="0"/>
              <w:adjustRightInd w:val="0"/>
              <w:spacing w:before="60" w:after="60"/>
              <w:ind w:left="72" w:right="746" w:hanging="72"/>
              <w:rPr>
                <w:rFonts w:ascii="Arial" w:hAnsi="Arial" w:cs="Arial"/>
                <w:sz w:val="22"/>
                <w:szCs w:val="22"/>
                <w:lang w:val="fr-CA"/>
              </w:rPr>
            </w:pPr>
          </w:p>
        </w:tc>
      </w:tr>
      <w:tr w:rsidR="009710E9" w:rsidRPr="009710E9" w:rsidTr="005A6F6D">
        <w:tc>
          <w:tcPr>
            <w:tcW w:w="4556" w:type="dxa"/>
            <w:shd w:val="clear" w:color="auto" w:fill="auto"/>
          </w:tcPr>
          <w:p w:rsidR="009710E9" w:rsidRPr="00F535AB" w:rsidRDefault="009710E9" w:rsidP="009710E9">
            <w:pPr>
              <w:autoSpaceDE w:val="0"/>
              <w:autoSpaceDN w:val="0"/>
              <w:adjustRightInd w:val="0"/>
              <w:spacing w:before="60" w:after="60"/>
              <w:rPr>
                <w:rFonts w:ascii="Arial" w:hAnsi="Arial" w:cs="Arial"/>
                <w:sz w:val="20"/>
                <w:szCs w:val="20"/>
                <w:lang w:val="fr-CA"/>
              </w:rPr>
            </w:pPr>
            <w:r w:rsidRPr="00F535AB">
              <w:rPr>
                <w:rFonts w:ascii="Arial" w:hAnsi="Arial" w:cs="Arial"/>
                <w:b/>
                <w:sz w:val="20"/>
                <w:szCs w:val="20"/>
                <w:lang w:val="fr-CA"/>
              </w:rPr>
              <w:lastRenderedPageBreak/>
              <w:t>c) Questions</w:t>
            </w:r>
            <w:r>
              <w:rPr>
                <w:rFonts w:ascii="Arial" w:hAnsi="Arial" w:cs="Arial"/>
                <w:b/>
                <w:sz w:val="20"/>
                <w:szCs w:val="20"/>
                <w:lang w:val="fr-CA"/>
              </w:rPr>
              <w:t xml:space="preserve"> sur le contournement des contrôles par la direction </w:t>
            </w:r>
          </w:p>
          <w:p w:rsidR="009710E9" w:rsidRPr="00F535AB" w:rsidRDefault="009710E9" w:rsidP="009710E9">
            <w:pPr>
              <w:numPr>
                <w:ilvl w:val="0"/>
                <w:numId w:val="1"/>
              </w:numPr>
              <w:tabs>
                <w:tab w:val="clear" w:pos="720"/>
                <w:tab w:val="num" w:pos="307"/>
              </w:tabs>
              <w:autoSpaceDE w:val="0"/>
              <w:autoSpaceDN w:val="0"/>
              <w:adjustRightInd w:val="0"/>
              <w:spacing w:before="60" w:after="60"/>
              <w:ind w:left="307" w:hanging="307"/>
              <w:rPr>
                <w:rFonts w:ascii="Arial" w:hAnsi="Arial" w:cs="Arial"/>
                <w:sz w:val="20"/>
                <w:szCs w:val="20"/>
                <w:lang w:val="fr-CA"/>
              </w:rPr>
            </w:pPr>
            <w:r>
              <w:rPr>
                <w:rFonts w:ascii="Arial" w:hAnsi="Arial" w:cs="Arial"/>
                <w:sz w:val="20"/>
                <w:szCs w:val="20"/>
                <w:lang w:val="fr-CA"/>
              </w:rPr>
              <w:t>Êtes-vous au courant de cas de contournement des contrôles par la direction? Dans l’affirmative, veuillez expliquer la nature et les circonstances de ces contournements</w:t>
            </w:r>
            <w:r w:rsidRPr="00F535AB">
              <w:rPr>
                <w:rFonts w:ascii="Arial" w:hAnsi="Arial" w:cs="Arial"/>
                <w:sz w:val="20"/>
                <w:szCs w:val="20"/>
                <w:lang w:val="fr-CA"/>
              </w:rPr>
              <w:t>.</w:t>
            </w:r>
          </w:p>
          <w:p w:rsidR="009710E9" w:rsidRPr="00F535AB" w:rsidRDefault="009710E9" w:rsidP="00F535AB">
            <w:pPr>
              <w:numPr>
                <w:ilvl w:val="0"/>
                <w:numId w:val="1"/>
              </w:numPr>
              <w:tabs>
                <w:tab w:val="clear" w:pos="720"/>
                <w:tab w:val="num" w:pos="307"/>
              </w:tabs>
              <w:autoSpaceDE w:val="0"/>
              <w:autoSpaceDN w:val="0"/>
              <w:adjustRightInd w:val="0"/>
              <w:spacing w:before="60" w:after="60"/>
              <w:ind w:left="307" w:hanging="307"/>
              <w:rPr>
                <w:rFonts w:ascii="Arial" w:hAnsi="Arial" w:cs="Arial"/>
                <w:b/>
                <w:sz w:val="20"/>
                <w:szCs w:val="20"/>
                <w:lang w:val="fr-CA"/>
              </w:rPr>
            </w:pPr>
            <w:r w:rsidRPr="00F535AB">
              <w:rPr>
                <w:rFonts w:ascii="Arial" w:hAnsi="Arial" w:cs="Arial"/>
                <w:sz w:val="20"/>
                <w:szCs w:val="20"/>
                <w:lang w:val="fr-CA"/>
              </w:rPr>
              <w:t>[</w:t>
            </w:r>
            <w:r w:rsidRPr="00383A17">
              <w:rPr>
                <w:rFonts w:ascii="Arial" w:hAnsi="Arial" w:cs="Arial"/>
                <w:sz w:val="20"/>
                <w:szCs w:val="20"/>
                <w:lang w:val="fr-CA"/>
              </w:rPr>
              <w:t>Autre question</w:t>
            </w:r>
            <w:r w:rsidRPr="00F535AB">
              <w:rPr>
                <w:rFonts w:ascii="Arial" w:hAnsi="Arial" w:cs="Arial"/>
                <w:sz w:val="20"/>
                <w:szCs w:val="20"/>
                <w:lang w:val="fr-CA"/>
              </w:rPr>
              <w:t>]</w:t>
            </w:r>
          </w:p>
          <w:p w:rsidR="009710E9" w:rsidRPr="009710E9" w:rsidRDefault="009710E9" w:rsidP="00F535AB">
            <w:pPr>
              <w:numPr>
                <w:ilvl w:val="0"/>
                <w:numId w:val="1"/>
              </w:numPr>
              <w:tabs>
                <w:tab w:val="clear" w:pos="720"/>
                <w:tab w:val="num" w:pos="307"/>
              </w:tabs>
              <w:autoSpaceDE w:val="0"/>
              <w:autoSpaceDN w:val="0"/>
              <w:adjustRightInd w:val="0"/>
              <w:spacing w:before="60" w:after="60"/>
              <w:ind w:left="307" w:hanging="307"/>
              <w:rPr>
                <w:rFonts w:ascii="Arial" w:hAnsi="Arial" w:cs="Arial"/>
                <w:b/>
                <w:sz w:val="20"/>
                <w:szCs w:val="20"/>
                <w:lang w:val="fr-CA"/>
              </w:rPr>
            </w:pPr>
            <w:r w:rsidRPr="00F535AB">
              <w:rPr>
                <w:rFonts w:ascii="Arial" w:hAnsi="Arial" w:cs="Arial"/>
                <w:sz w:val="20"/>
                <w:szCs w:val="20"/>
                <w:lang w:val="fr-CA"/>
              </w:rPr>
              <w:t>[</w:t>
            </w:r>
            <w:r w:rsidRPr="00383A17">
              <w:rPr>
                <w:rFonts w:ascii="Arial" w:hAnsi="Arial" w:cs="Arial"/>
                <w:sz w:val="20"/>
                <w:szCs w:val="20"/>
                <w:lang w:val="fr-CA"/>
              </w:rPr>
              <w:t>Autre question</w:t>
            </w:r>
            <w:r w:rsidRPr="00F535AB">
              <w:rPr>
                <w:rFonts w:ascii="Arial" w:hAnsi="Arial" w:cs="Arial"/>
                <w:sz w:val="20"/>
                <w:szCs w:val="20"/>
                <w:lang w:val="fr-CA"/>
              </w:rPr>
              <w:t>]</w:t>
            </w:r>
          </w:p>
        </w:tc>
        <w:tc>
          <w:tcPr>
            <w:tcW w:w="5187" w:type="dxa"/>
            <w:shd w:val="clear" w:color="auto" w:fill="auto"/>
          </w:tcPr>
          <w:p w:rsidR="009710E9" w:rsidRPr="009710E9" w:rsidRDefault="009710E9" w:rsidP="000E369D">
            <w:pPr>
              <w:autoSpaceDE w:val="0"/>
              <w:autoSpaceDN w:val="0"/>
              <w:adjustRightInd w:val="0"/>
              <w:spacing w:before="60" w:after="60"/>
              <w:ind w:left="72" w:right="746" w:hanging="72"/>
              <w:rPr>
                <w:rFonts w:ascii="Arial" w:hAnsi="Arial" w:cs="Arial"/>
                <w:sz w:val="22"/>
                <w:szCs w:val="22"/>
                <w:lang w:val="fr-CA"/>
              </w:rPr>
            </w:pPr>
          </w:p>
        </w:tc>
      </w:tr>
      <w:tr w:rsidR="009710E9" w:rsidRPr="005A6F6D" w:rsidTr="005A6F6D">
        <w:tc>
          <w:tcPr>
            <w:tcW w:w="4556" w:type="dxa"/>
            <w:shd w:val="clear" w:color="auto" w:fill="auto"/>
          </w:tcPr>
          <w:p w:rsidR="009710E9" w:rsidRPr="00F535AB" w:rsidRDefault="009710E9" w:rsidP="009710E9">
            <w:pPr>
              <w:autoSpaceDE w:val="0"/>
              <w:autoSpaceDN w:val="0"/>
              <w:adjustRightInd w:val="0"/>
              <w:spacing w:before="60" w:after="60"/>
              <w:rPr>
                <w:rFonts w:ascii="Arial" w:hAnsi="Arial" w:cs="Arial"/>
                <w:sz w:val="20"/>
                <w:szCs w:val="20"/>
                <w:lang w:val="fr-CA"/>
              </w:rPr>
            </w:pPr>
            <w:r w:rsidRPr="00F535AB">
              <w:rPr>
                <w:rFonts w:ascii="Arial" w:hAnsi="Arial" w:cs="Arial"/>
                <w:b/>
                <w:sz w:val="20"/>
                <w:szCs w:val="20"/>
                <w:lang w:val="fr-CA"/>
              </w:rPr>
              <w:t xml:space="preserve">d) </w:t>
            </w:r>
            <w:r w:rsidRPr="00383A17">
              <w:rPr>
                <w:rFonts w:ascii="Arial" w:hAnsi="Arial" w:cs="Arial"/>
                <w:b/>
                <w:sz w:val="20"/>
                <w:szCs w:val="20"/>
                <w:lang w:val="fr-CA"/>
              </w:rPr>
              <w:t>Questions concernant</w:t>
            </w:r>
            <w:r>
              <w:rPr>
                <w:rFonts w:ascii="Arial" w:hAnsi="Arial" w:cs="Arial"/>
                <w:b/>
                <w:sz w:val="20"/>
                <w:szCs w:val="20"/>
                <w:lang w:val="fr-CA"/>
              </w:rPr>
              <w:t xml:space="preserve"> le risque d’anomalies significatives résultant d’erreurs</w:t>
            </w:r>
            <w:r w:rsidRPr="00F535AB">
              <w:rPr>
                <w:rFonts w:ascii="Arial" w:hAnsi="Arial" w:cs="Arial"/>
                <w:b/>
                <w:sz w:val="20"/>
                <w:szCs w:val="20"/>
                <w:lang w:val="fr-CA"/>
              </w:rPr>
              <w:t>.</w:t>
            </w:r>
          </w:p>
          <w:p w:rsidR="009710E9" w:rsidRPr="00F535AB" w:rsidRDefault="009710E9" w:rsidP="009710E9">
            <w:pPr>
              <w:autoSpaceDE w:val="0"/>
              <w:autoSpaceDN w:val="0"/>
              <w:adjustRightInd w:val="0"/>
              <w:spacing w:before="60" w:after="60"/>
              <w:rPr>
                <w:rFonts w:ascii="Arial" w:hAnsi="Arial" w:cs="Arial"/>
                <w:color w:val="0000FF"/>
                <w:sz w:val="20"/>
                <w:szCs w:val="20"/>
                <w:lang w:val="fr-CA"/>
              </w:rPr>
            </w:pPr>
            <w:r w:rsidRPr="00F535AB">
              <w:rPr>
                <w:rFonts w:ascii="Arial" w:hAnsi="Arial" w:cs="Arial"/>
                <w:sz w:val="20"/>
                <w:szCs w:val="20"/>
                <w:lang w:val="fr-CA"/>
              </w:rPr>
              <w:t>[</w:t>
            </w:r>
            <w:r w:rsidR="00CE7550" w:rsidRPr="00F535AB">
              <w:rPr>
                <w:rFonts w:ascii="Arial" w:hAnsi="Arial" w:cs="Arial"/>
                <w:color w:val="0000FF"/>
                <w:sz w:val="20"/>
                <w:szCs w:val="20"/>
                <w:lang w:val="fr-CA"/>
              </w:rPr>
              <w:t>Selon vos connaissances de l’entité et de son environnement et les informations recueillies dans le cadre d’autres procédures d’évaluation des risques, demandez aux auditeurs internes des informations se rapportant à l’identification et à l’évaluation des risques d’anomalies significatives résultant d’erreurs. De telles demandes d’informations pourraient notamment comprendre ce qui suit :</w:t>
            </w:r>
          </w:p>
          <w:p w:rsidR="009710E9" w:rsidRPr="00F535AB" w:rsidRDefault="00CE7550" w:rsidP="009710E9">
            <w:pPr>
              <w:pStyle w:val="ListParagraph"/>
              <w:numPr>
                <w:ilvl w:val="0"/>
                <w:numId w:val="4"/>
              </w:numPr>
              <w:autoSpaceDE w:val="0"/>
              <w:autoSpaceDN w:val="0"/>
              <w:adjustRightInd w:val="0"/>
              <w:spacing w:before="60" w:after="60"/>
              <w:rPr>
                <w:rFonts w:ascii="Arial" w:hAnsi="Arial" w:cs="Arial"/>
                <w:color w:val="0000FF"/>
                <w:sz w:val="20"/>
                <w:szCs w:val="20"/>
                <w:lang w:val="fr-CA"/>
              </w:rPr>
            </w:pPr>
            <w:r w:rsidRPr="00F535AB">
              <w:rPr>
                <w:rFonts w:ascii="Arial" w:hAnsi="Arial" w:cs="Arial"/>
                <w:color w:val="0000FF"/>
                <w:sz w:val="20"/>
                <w:szCs w:val="20"/>
                <w:lang w:val="fr-CA"/>
              </w:rPr>
              <w:t>les c</w:t>
            </w:r>
            <w:r w:rsidR="009710E9" w:rsidRPr="00F535AB">
              <w:rPr>
                <w:rFonts w:ascii="Arial" w:hAnsi="Arial" w:cs="Arial"/>
                <w:color w:val="0000FF"/>
                <w:sz w:val="20"/>
                <w:szCs w:val="20"/>
                <w:lang w:val="fr-CA"/>
              </w:rPr>
              <w:t>hangements dans les risq</w:t>
            </w:r>
            <w:r w:rsidRPr="00F535AB">
              <w:rPr>
                <w:rFonts w:ascii="Arial" w:hAnsi="Arial" w:cs="Arial"/>
                <w:color w:val="0000FF"/>
                <w:sz w:val="20"/>
                <w:szCs w:val="20"/>
                <w:lang w:val="fr-CA"/>
              </w:rPr>
              <w:t>ues opérationnels ou financiers;</w:t>
            </w:r>
          </w:p>
          <w:p w:rsidR="009710E9" w:rsidRPr="00F535AB" w:rsidRDefault="00CE7550" w:rsidP="009710E9">
            <w:pPr>
              <w:pStyle w:val="ListParagraph"/>
              <w:numPr>
                <w:ilvl w:val="0"/>
                <w:numId w:val="4"/>
              </w:numPr>
              <w:autoSpaceDE w:val="0"/>
              <w:autoSpaceDN w:val="0"/>
              <w:adjustRightInd w:val="0"/>
              <w:spacing w:before="60" w:after="60"/>
              <w:rPr>
                <w:rFonts w:ascii="Arial" w:hAnsi="Arial" w:cs="Arial"/>
                <w:b/>
                <w:color w:val="0000FF"/>
                <w:sz w:val="20"/>
                <w:szCs w:val="20"/>
                <w:lang w:val="fr-CA"/>
              </w:rPr>
            </w:pPr>
            <w:r w:rsidRPr="00F535AB">
              <w:rPr>
                <w:rFonts w:ascii="Arial" w:hAnsi="Arial" w:cs="Arial"/>
                <w:color w:val="0000FF"/>
                <w:sz w:val="20"/>
                <w:szCs w:val="20"/>
                <w:lang w:val="fr-CA"/>
              </w:rPr>
              <w:t>les c</w:t>
            </w:r>
            <w:r w:rsidR="009710E9" w:rsidRPr="00F535AB">
              <w:rPr>
                <w:rFonts w:ascii="Arial" w:hAnsi="Arial" w:cs="Arial"/>
                <w:color w:val="0000FF"/>
                <w:sz w:val="20"/>
                <w:szCs w:val="20"/>
                <w:lang w:val="fr-CA"/>
              </w:rPr>
              <w:t xml:space="preserve">ontrats importants nouveaux ou modifiés, </w:t>
            </w:r>
            <w:r w:rsidR="00BC614B" w:rsidRPr="00F535AB">
              <w:rPr>
                <w:rFonts w:ascii="Arial" w:hAnsi="Arial" w:cs="Arial"/>
                <w:color w:val="0000FF"/>
                <w:sz w:val="20"/>
                <w:szCs w:val="20"/>
                <w:lang w:val="fr-CA"/>
              </w:rPr>
              <w:t xml:space="preserve">les </w:t>
            </w:r>
            <w:r w:rsidR="009710E9" w:rsidRPr="00F535AB">
              <w:rPr>
                <w:rFonts w:ascii="Arial" w:hAnsi="Arial" w:cs="Arial"/>
                <w:color w:val="0000FF"/>
                <w:sz w:val="20"/>
                <w:szCs w:val="20"/>
                <w:lang w:val="fr-CA"/>
              </w:rPr>
              <w:t>opérations complexes ou de nature inhabituelle</w:t>
            </w:r>
            <w:r w:rsidRPr="00F535AB">
              <w:rPr>
                <w:rFonts w:ascii="Arial" w:hAnsi="Arial" w:cs="Arial"/>
                <w:color w:val="0000FF"/>
                <w:sz w:val="20"/>
                <w:szCs w:val="20"/>
                <w:lang w:val="fr-CA"/>
              </w:rPr>
              <w:t>;</w:t>
            </w:r>
            <w:r w:rsidR="009710E9" w:rsidRPr="00F535AB">
              <w:rPr>
                <w:rFonts w:ascii="Arial" w:hAnsi="Arial" w:cs="Arial"/>
                <w:color w:val="0000FF"/>
                <w:sz w:val="20"/>
                <w:szCs w:val="20"/>
                <w:lang w:val="fr-CA"/>
              </w:rPr>
              <w:t xml:space="preserve"> </w:t>
            </w:r>
          </w:p>
          <w:p w:rsidR="009710E9" w:rsidRPr="009710E9" w:rsidRDefault="00CE7550" w:rsidP="00F535AB">
            <w:pPr>
              <w:pStyle w:val="ListParagraph"/>
              <w:numPr>
                <w:ilvl w:val="0"/>
                <w:numId w:val="2"/>
              </w:numPr>
              <w:autoSpaceDE w:val="0"/>
              <w:autoSpaceDN w:val="0"/>
              <w:adjustRightInd w:val="0"/>
              <w:spacing w:before="60" w:after="60"/>
              <w:rPr>
                <w:rFonts w:ascii="Arial" w:hAnsi="Arial" w:cs="Arial"/>
                <w:b/>
                <w:sz w:val="20"/>
                <w:szCs w:val="20"/>
                <w:lang w:val="fr-CA"/>
              </w:rPr>
            </w:pPr>
            <w:r w:rsidRPr="00F535AB">
              <w:rPr>
                <w:rFonts w:ascii="Arial" w:hAnsi="Arial" w:cs="Arial"/>
                <w:color w:val="0000FF"/>
                <w:sz w:val="20"/>
                <w:szCs w:val="20"/>
                <w:lang w:val="fr-CA"/>
              </w:rPr>
              <w:t>l’e</w:t>
            </w:r>
            <w:r w:rsidR="009710E9" w:rsidRPr="00F535AB">
              <w:rPr>
                <w:rFonts w:ascii="Arial" w:hAnsi="Arial" w:cs="Arial"/>
                <w:color w:val="0000FF"/>
                <w:sz w:val="20"/>
                <w:szCs w:val="20"/>
                <w:lang w:val="fr-CA"/>
              </w:rPr>
              <w:t xml:space="preserve">xamen des mesures de la performance financière, y compris </w:t>
            </w:r>
            <w:r w:rsidRPr="00F535AB">
              <w:rPr>
                <w:rFonts w:ascii="Arial" w:hAnsi="Arial" w:cs="Arial"/>
                <w:color w:val="0000FF"/>
                <w:sz w:val="20"/>
                <w:szCs w:val="20"/>
                <w:lang w:val="fr-CA"/>
              </w:rPr>
              <w:t xml:space="preserve">de </w:t>
            </w:r>
            <w:r w:rsidR="009710E9" w:rsidRPr="00F535AB">
              <w:rPr>
                <w:rFonts w:ascii="Arial" w:hAnsi="Arial" w:cs="Arial"/>
                <w:color w:val="0000FF"/>
                <w:sz w:val="20"/>
                <w:szCs w:val="20"/>
                <w:lang w:val="fr-CA"/>
              </w:rPr>
              <w:t>l’incidence sur la rémunération</w:t>
            </w:r>
            <w:r w:rsidRPr="00F535AB">
              <w:rPr>
                <w:rFonts w:ascii="Arial" w:hAnsi="Arial" w:cs="Arial"/>
                <w:color w:val="0000FF"/>
                <w:sz w:val="20"/>
                <w:szCs w:val="20"/>
                <w:lang w:val="fr-CA"/>
              </w:rPr>
              <w:t>.</w:t>
            </w:r>
            <w:r w:rsidR="009710E9" w:rsidRPr="00F535AB">
              <w:rPr>
                <w:rFonts w:ascii="Arial" w:hAnsi="Arial" w:cs="Arial"/>
                <w:sz w:val="20"/>
                <w:szCs w:val="20"/>
                <w:lang w:val="fr-CA"/>
              </w:rPr>
              <w:t>]</w:t>
            </w:r>
          </w:p>
        </w:tc>
        <w:tc>
          <w:tcPr>
            <w:tcW w:w="5187" w:type="dxa"/>
            <w:shd w:val="clear" w:color="auto" w:fill="auto"/>
          </w:tcPr>
          <w:p w:rsidR="009710E9" w:rsidRPr="009710E9" w:rsidRDefault="009710E9" w:rsidP="000E369D">
            <w:pPr>
              <w:autoSpaceDE w:val="0"/>
              <w:autoSpaceDN w:val="0"/>
              <w:adjustRightInd w:val="0"/>
              <w:spacing w:before="60" w:after="60"/>
              <w:ind w:left="72" w:right="746" w:hanging="72"/>
              <w:rPr>
                <w:rFonts w:ascii="Arial" w:hAnsi="Arial" w:cs="Arial"/>
                <w:sz w:val="22"/>
                <w:szCs w:val="22"/>
                <w:lang w:val="fr-CA"/>
              </w:rPr>
            </w:pPr>
          </w:p>
        </w:tc>
      </w:tr>
    </w:tbl>
    <w:p w:rsidR="009710E9" w:rsidRPr="00F535AB" w:rsidRDefault="009710E9" w:rsidP="009710E9">
      <w:pPr>
        <w:rPr>
          <w:lang w:val="fr-CA"/>
        </w:rPr>
      </w:pPr>
    </w:p>
    <w:p w:rsidR="00A45F8B" w:rsidRPr="005A6F6D" w:rsidRDefault="009710E9" w:rsidP="005A6F6D">
      <w:pPr>
        <w:rPr>
          <w:rFonts w:ascii="Arial" w:hAnsi="Arial" w:cs="Arial"/>
          <w:lang w:val="fr-CA"/>
        </w:rPr>
      </w:pPr>
      <w:r w:rsidRPr="00383A17">
        <w:rPr>
          <w:rFonts w:ascii="Arial" w:hAnsi="Arial" w:cs="Arial"/>
          <w:b/>
          <w:color w:val="000000"/>
          <w:sz w:val="20"/>
          <w:szCs w:val="20"/>
          <w:lang w:val="fr-CA" w:eastAsia="es-AR" w:bidi="ar-SA"/>
        </w:rPr>
        <w:t>Remarque :</w:t>
      </w:r>
      <w:r w:rsidRPr="00383A17">
        <w:rPr>
          <w:rFonts w:ascii="Arial" w:hAnsi="Arial" w:cs="Arial"/>
          <w:color w:val="000000"/>
          <w:sz w:val="20"/>
          <w:szCs w:val="20"/>
          <w:lang w:val="fr-CA" w:eastAsia="es-AR" w:bidi="ar-SA"/>
        </w:rPr>
        <w:t xml:space="preserve"> </w:t>
      </w:r>
      <w:r>
        <w:rPr>
          <w:rFonts w:ascii="Arial" w:hAnsi="Arial" w:cs="Arial"/>
          <w:color w:val="000000"/>
          <w:sz w:val="20"/>
          <w:szCs w:val="20"/>
          <w:lang w:val="fr-CA" w:eastAsia="es-AR" w:bidi="ar-SA"/>
        </w:rPr>
        <w:t xml:space="preserve">Lorsqu’elles posent des questions pour mieux comprendre les méthodes adoptées par les auditeurs internes pour évaluer les risques d’anomalie significatives résultant de fraude ou d’erreurs et des contrôles connexes, les équipes doivent examiner les liens possibles avec l’évaluation des composantes du contrôle interne. </w:t>
      </w:r>
    </w:p>
    <w:sectPr w:rsidR="00A45F8B" w:rsidRPr="005A6F6D" w:rsidSect="000E369D">
      <w:headerReference w:type="even" r:id="rId7"/>
      <w:headerReference w:type="default" r:id="rId8"/>
      <w:footerReference w:type="even" r:id="rId9"/>
      <w:footerReference w:type="default" r:id="rId10"/>
      <w:headerReference w:type="first" r:id="rId11"/>
      <w:footerReference w:type="first" r:id="rId12"/>
      <w:pgSz w:w="11906" w:h="16838" w:code="9"/>
      <w:pgMar w:top="1440" w:right="1376" w:bottom="1440" w:left="1080" w:header="706" w:footer="706" w:gutter="0"/>
      <w:pgBorders w:offsetFrom="page">
        <w:top w:val="none" w:sz="0" w:space="13" w:color="0000C3" w:shadow="1" w:frame="1"/>
        <w:left w:val="none" w:sz="0" w:space="7" w:color="000002" w:shadow="1"/>
        <w:bottom w:val="none" w:sz="0" w:space="13" w:color="000002" w:shadow="1"/>
        <w:right w:val="none" w:sz="0" w:space="0" w:color="000000" w:shadow="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41" w:rsidRDefault="002C1E41">
      <w:r>
        <w:separator/>
      </w:r>
    </w:p>
  </w:endnote>
  <w:endnote w:type="continuationSeparator" w:id="0">
    <w:p w:rsidR="002C1E41" w:rsidRDefault="002C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61" w:rsidRDefault="00660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24E" w:rsidRPr="001944FB" w:rsidRDefault="0049624E" w:rsidP="00A45F8B">
    <w:pPr>
      <w:pStyle w:val="Footer"/>
      <w:tabs>
        <w:tab w:val="clear" w:pos="4320"/>
        <w:tab w:val="clear" w:pos="8640"/>
      </w:tabs>
      <w:jc w:val="right"/>
      <w:rPr>
        <w:rFonts w:ascii="Arial" w:hAnsi="Arial" w:cs="Arial"/>
        <w:sz w:val="20"/>
        <w:szCs w:val="20"/>
        <w:lang w:val="fr-CA"/>
      </w:rPr>
    </w:pPr>
    <w:r w:rsidRPr="00F732F8">
      <w:rPr>
        <w:rFonts w:ascii="Arial" w:hAnsi="Arial" w:cs="Arial"/>
        <w:sz w:val="20"/>
        <w:szCs w:val="16"/>
        <w:lang w:val="fr-CA"/>
      </w:rPr>
      <w:fldChar w:fldCharType="begin"/>
    </w:r>
    <w:r w:rsidRPr="00F732F8">
      <w:rPr>
        <w:rFonts w:ascii="Arial" w:hAnsi="Arial" w:cs="Arial"/>
        <w:sz w:val="20"/>
        <w:szCs w:val="16"/>
        <w:lang w:val="fr-CA"/>
      </w:rPr>
      <w:instrText xml:space="preserve"> PAGE   \* MERGEFORMAT </w:instrText>
    </w:r>
    <w:r w:rsidRPr="00F732F8">
      <w:rPr>
        <w:rFonts w:ascii="Arial" w:hAnsi="Arial" w:cs="Arial"/>
        <w:sz w:val="20"/>
        <w:szCs w:val="16"/>
        <w:lang w:val="fr-CA"/>
      </w:rPr>
      <w:fldChar w:fldCharType="separate"/>
    </w:r>
    <w:r w:rsidR="00660661">
      <w:rPr>
        <w:rFonts w:ascii="Arial" w:hAnsi="Arial" w:cs="Arial"/>
        <w:noProof/>
        <w:sz w:val="20"/>
        <w:szCs w:val="16"/>
        <w:lang w:val="fr-CA"/>
      </w:rPr>
      <w:t>2</w:t>
    </w:r>
    <w:r w:rsidRPr="00F732F8">
      <w:rPr>
        <w:rFonts w:ascii="Arial" w:hAnsi="Arial" w:cs="Arial"/>
        <w:noProof/>
        <w:sz w:val="20"/>
        <w:szCs w:val="16"/>
        <w:lang w:val="fr-C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142" w:rsidRPr="00384DC3" w:rsidRDefault="00F535AB" w:rsidP="00A86142">
    <w:pPr>
      <w:pStyle w:val="Footer"/>
      <w:tabs>
        <w:tab w:val="clear" w:pos="4320"/>
        <w:tab w:val="clear" w:pos="8640"/>
        <w:tab w:val="center" w:pos="4820"/>
        <w:tab w:val="right" w:pos="9720"/>
      </w:tabs>
      <w:rPr>
        <w:rFonts w:ascii="Arial" w:hAnsi="Arial" w:cs="Arial"/>
        <w:sz w:val="16"/>
        <w:szCs w:val="16"/>
        <w:lang w:val="fr-CA"/>
      </w:rPr>
    </w:pPr>
    <w:r>
      <w:rPr>
        <w:rFonts w:ascii="Arial" w:hAnsi="Arial" w:cs="Arial"/>
        <w:sz w:val="16"/>
        <w:szCs w:val="16"/>
        <w:lang w:val="fr-CA"/>
      </w:rPr>
      <w:t>juin-2019</w:t>
    </w:r>
  </w:p>
  <w:p w:rsidR="00A86142" w:rsidRPr="001944FB" w:rsidRDefault="00660661" w:rsidP="006039BE">
    <w:pPr>
      <w:pStyle w:val="Footer"/>
      <w:tabs>
        <w:tab w:val="clear" w:pos="4320"/>
        <w:tab w:val="clear" w:pos="8640"/>
        <w:tab w:val="right" w:pos="10080"/>
      </w:tabs>
      <w:rPr>
        <w:rFonts w:ascii="Arial" w:hAnsi="Arial" w:cs="Arial"/>
        <w:sz w:val="20"/>
        <w:szCs w:val="20"/>
        <w:lang w:val="fr-CA"/>
      </w:rPr>
    </w:pPr>
    <w:r>
      <w:rPr>
        <w:rFonts w:ascii="Arial" w:hAnsi="Arial" w:cs="Arial"/>
        <w:sz w:val="16"/>
        <w:szCs w:val="16"/>
        <w:lang w:val="fr-CA"/>
      </w:rPr>
      <w:t>Propriétaire du modèle: Services d’audit</w:t>
    </w:r>
    <w:bookmarkStart w:id="0" w:name="_GoBack"/>
    <w:bookmarkEnd w:id="0"/>
    <w:r w:rsidR="00A86142">
      <w:rPr>
        <w:rFonts w:ascii="Arial" w:hAnsi="Arial" w:cs="Arial"/>
        <w:sz w:val="16"/>
        <w:szCs w:val="16"/>
        <w:lang w:val="fr-CA"/>
      </w:rPr>
      <w:tab/>
    </w:r>
    <w:r w:rsidR="00A86142" w:rsidRPr="00F732F8">
      <w:rPr>
        <w:rFonts w:ascii="Arial" w:hAnsi="Arial" w:cs="Arial"/>
        <w:sz w:val="20"/>
        <w:szCs w:val="16"/>
        <w:lang w:val="fr-CA"/>
      </w:rPr>
      <w:fldChar w:fldCharType="begin"/>
    </w:r>
    <w:r w:rsidR="00A86142" w:rsidRPr="00F732F8">
      <w:rPr>
        <w:rFonts w:ascii="Arial" w:hAnsi="Arial" w:cs="Arial"/>
        <w:sz w:val="20"/>
        <w:szCs w:val="16"/>
        <w:lang w:val="fr-CA"/>
      </w:rPr>
      <w:instrText xml:space="preserve"> PAGE   \* MERGEFORMAT </w:instrText>
    </w:r>
    <w:r w:rsidR="00A86142" w:rsidRPr="00F732F8">
      <w:rPr>
        <w:rFonts w:ascii="Arial" w:hAnsi="Arial" w:cs="Arial"/>
        <w:sz w:val="20"/>
        <w:szCs w:val="16"/>
        <w:lang w:val="fr-CA"/>
      </w:rPr>
      <w:fldChar w:fldCharType="separate"/>
    </w:r>
    <w:r>
      <w:rPr>
        <w:rFonts w:ascii="Arial" w:hAnsi="Arial" w:cs="Arial"/>
        <w:noProof/>
        <w:sz w:val="20"/>
        <w:szCs w:val="16"/>
        <w:lang w:val="fr-CA"/>
      </w:rPr>
      <w:t>1</w:t>
    </w:r>
    <w:r w:rsidR="00A86142" w:rsidRPr="00F732F8">
      <w:rPr>
        <w:rFonts w:ascii="Arial" w:hAnsi="Arial" w:cs="Arial"/>
        <w:noProof/>
        <w:sz w:val="20"/>
        <w:szCs w:val="16"/>
        <w:lang w:val="fr-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41" w:rsidRDefault="002C1E41">
      <w:r>
        <w:separator/>
      </w:r>
    </w:p>
  </w:footnote>
  <w:footnote w:type="continuationSeparator" w:id="0">
    <w:p w:rsidR="002C1E41" w:rsidRDefault="002C1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61" w:rsidRDefault="00660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661" w:rsidRDefault="00660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69D" w:rsidRPr="000E369D" w:rsidRDefault="00660661" w:rsidP="000E369D">
    <w:pPr>
      <w:jc w:val="right"/>
      <w:rPr>
        <w:rFonts w:ascii="Arial" w:hAnsi="Arial" w:cs="Arial"/>
        <w:lang w:val="fr-CA"/>
      </w:rPr>
    </w:pPr>
    <w:sdt>
      <w:sdtPr>
        <w:rPr>
          <w:rFonts w:ascii="Arial" w:hAnsi="Arial" w:cs="Arial"/>
          <w:b/>
          <w:lang w:val="fr-CA"/>
        </w:rPr>
        <w:alias w:val="Étiquette de sécurité"/>
        <w:tag w:val="OAG-BVG-Classification"/>
        <w:id w:val="2052195265"/>
        <w:placeholder>
          <w:docPart w:val="0088EF450ADA4753BC3BB3916F058947"/>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sidR="000E369D" w:rsidRPr="000E369D">
          <w:rPr>
            <w:rFonts w:ascii="Arial" w:hAnsi="Arial" w:cs="Arial"/>
            <w:b/>
            <w:lang w:val="fr-CA"/>
          </w:rPr>
          <w:t>PROTÉGÉ A (lorsque rempli)</w:t>
        </w:r>
      </w:sdtContent>
    </w:sdt>
  </w:p>
  <w:p w:rsidR="00FB7AC4" w:rsidRPr="00B55492" w:rsidRDefault="00FB7AC4" w:rsidP="000E369D">
    <w:pPr>
      <w:pStyle w:val="Header"/>
      <w:pBdr>
        <w:bottom w:val="single" w:sz="4" w:space="1" w:color="auto"/>
      </w:pBdr>
      <w:tabs>
        <w:tab w:val="clear" w:pos="4153"/>
        <w:tab w:val="clear" w:pos="8306"/>
      </w:tabs>
      <w:spacing w:before="120" w:after="240"/>
      <w:ind w:right="29"/>
      <w:rPr>
        <w:rFonts w:ascii="Arial" w:hAnsi="Arial" w:cs="Arial"/>
        <w:b/>
        <w:bCs/>
        <w:sz w:val="26"/>
        <w:szCs w:val="26"/>
        <w:lang w:val="fr-CA"/>
      </w:rPr>
    </w:pPr>
    <w:r w:rsidRPr="00276B3D">
      <w:rPr>
        <w:rFonts w:ascii="Arial" w:hAnsi="Arial" w:cs="Arial"/>
        <w:b/>
        <w:bCs/>
        <w:sz w:val="26"/>
        <w:szCs w:val="26"/>
        <w:lang w:val="fr-CA"/>
      </w:rPr>
      <w:t>Risque</w:t>
    </w:r>
    <w:r>
      <w:rPr>
        <w:rFonts w:ascii="Arial" w:hAnsi="Arial" w:cs="Arial"/>
        <w:b/>
        <w:bCs/>
        <w:sz w:val="26"/>
        <w:szCs w:val="26"/>
        <w:lang w:val="fr-CA"/>
      </w:rPr>
      <w:t>s</w:t>
    </w:r>
    <w:r w:rsidRPr="00276B3D">
      <w:rPr>
        <w:rFonts w:ascii="Arial" w:hAnsi="Arial" w:cs="Arial"/>
        <w:b/>
        <w:bCs/>
        <w:sz w:val="26"/>
        <w:szCs w:val="26"/>
        <w:lang w:val="fr-CA"/>
      </w:rPr>
      <w:t xml:space="preserve"> de fraude </w:t>
    </w:r>
    <w:r w:rsidR="00A86142">
      <w:rPr>
        <w:rFonts w:ascii="Arial" w:hAnsi="Arial" w:cs="Arial"/>
        <w:b/>
        <w:bCs/>
        <w:sz w:val="26"/>
        <w:szCs w:val="26"/>
        <w:lang w:val="fr-CA"/>
      </w:rPr>
      <w:t>—</w:t>
    </w:r>
    <w:r w:rsidRPr="00276B3D">
      <w:rPr>
        <w:rFonts w:ascii="Arial" w:hAnsi="Arial" w:cs="Arial"/>
        <w:b/>
        <w:bCs/>
        <w:sz w:val="26"/>
        <w:szCs w:val="26"/>
        <w:lang w:val="fr-CA"/>
      </w:rPr>
      <w:t xml:space="preserve"> Demandes d’in</w:t>
    </w:r>
    <w:r>
      <w:rPr>
        <w:rFonts w:ascii="Arial" w:hAnsi="Arial" w:cs="Arial"/>
        <w:b/>
        <w:bCs/>
        <w:sz w:val="26"/>
        <w:szCs w:val="26"/>
        <w:lang w:val="fr-CA"/>
      </w:rPr>
      <w:t>formations auprès des auditeurs internes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2142E"/>
    <w:multiLevelType w:val="hybridMultilevel"/>
    <w:tmpl w:val="3E9AF2F2"/>
    <w:lvl w:ilvl="0" w:tplc="2C0A0001">
      <w:start w:val="1"/>
      <w:numFmt w:val="bullet"/>
      <w:lvlText w:val=""/>
      <w:lvlJc w:val="left"/>
      <w:pPr>
        <w:tabs>
          <w:tab w:val="num" w:pos="720"/>
        </w:tabs>
        <w:ind w:left="720" w:hanging="360"/>
      </w:pPr>
      <w:rPr>
        <w:rFonts w:ascii="Symbol" w:hAnsi="Symbol" w:hint="default"/>
      </w:rPr>
    </w:lvl>
    <w:lvl w:ilvl="1" w:tplc="639AA450">
      <w:start w:val="1"/>
      <w:numFmt w:val="bullet"/>
      <w:pStyle w:val="TableBullet"/>
      <w:lvlText w:val=""/>
      <w:lvlJc w:val="left"/>
      <w:pPr>
        <w:tabs>
          <w:tab w:val="num" w:pos="1440"/>
        </w:tabs>
        <w:ind w:left="1251" w:hanging="171"/>
      </w:pPr>
      <w:rPr>
        <w:rFonts w:ascii="Symbol" w:hAnsi="Symbol" w:hint="default"/>
        <w:color w:val="000000"/>
        <w:sz w:val="18"/>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330A5"/>
    <w:multiLevelType w:val="hybridMultilevel"/>
    <w:tmpl w:val="C9BC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378F0"/>
    <w:multiLevelType w:val="hybridMultilevel"/>
    <w:tmpl w:val="EDBE23BE"/>
    <w:lvl w:ilvl="0" w:tplc="639AA450">
      <w:start w:val="1"/>
      <w:numFmt w:val="bullet"/>
      <w:lvlText w:val=""/>
      <w:lvlJc w:val="left"/>
      <w:pPr>
        <w:tabs>
          <w:tab w:val="num" w:pos="895"/>
        </w:tabs>
        <w:ind w:left="706" w:hanging="171"/>
      </w:pPr>
      <w:rPr>
        <w:rFonts w:ascii="Symbol" w:hAnsi="Symbol" w:hint="default"/>
        <w:color w:val="00000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40014E5"/>
    <w:multiLevelType w:val="hybridMultilevel"/>
    <w:tmpl w:val="98E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B6"/>
    <w:rsid w:val="0004643E"/>
    <w:rsid w:val="000E369D"/>
    <w:rsid w:val="000F20A6"/>
    <w:rsid w:val="00100459"/>
    <w:rsid w:val="0010095F"/>
    <w:rsid w:val="00145B49"/>
    <w:rsid w:val="00152AB6"/>
    <w:rsid w:val="00166B43"/>
    <w:rsid w:val="00172519"/>
    <w:rsid w:val="001944FB"/>
    <w:rsid w:val="001C38F6"/>
    <w:rsid w:val="001C7BBE"/>
    <w:rsid w:val="001E3DE1"/>
    <w:rsid w:val="00276B3D"/>
    <w:rsid w:val="002A6D8B"/>
    <w:rsid w:val="002C1E41"/>
    <w:rsid w:val="0030205F"/>
    <w:rsid w:val="00335F8D"/>
    <w:rsid w:val="003439A4"/>
    <w:rsid w:val="0039769D"/>
    <w:rsid w:val="00403F20"/>
    <w:rsid w:val="004158AC"/>
    <w:rsid w:val="004440FE"/>
    <w:rsid w:val="0049624E"/>
    <w:rsid w:val="004A38C9"/>
    <w:rsid w:val="00566E52"/>
    <w:rsid w:val="005A6F6D"/>
    <w:rsid w:val="006039BE"/>
    <w:rsid w:val="00660661"/>
    <w:rsid w:val="00661FEA"/>
    <w:rsid w:val="00685AFE"/>
    <w:rsid w:val="006B4A0B"/>
    <w:rsid w:val="006D0E85"/>
    <w:rsid w:val="006D5545"/>
    <w:rsid w:val="006F48E9"/>
    <w:rsid w:val="007373DB"/>
    <w:rsid w:val="00762084"/>
    <w:rsid w:val="007A64EE"/>
    <w:rsid w:val="007B5FD5"/>
    <w:rsid w:val="008C2BF9"/>
    <w:rsid w:val="008E7B6B"/>
    <w:rsid w:val="00952950"/>
    <w:rsid w:val="00955A6E"/>
    <w:rsid w:val="009710E9"/>
    <w:rsid w:val="00974A1E"/>
    <w:rsid w:val="0097682A"/>
    <w:rsid w:val="0097752A"/>
    <w:rsid w:val="00990B37"/>
    <w:rsid w:val="009F2D91"/>
    <w:rsid w:val="00A32762"/>
    <w:rsid w:val="00A45F8B"/>
    <w:rsid w:val="00A470CE"/>
    <w:rsid w:val="00A778ED"/>
    <w:rsid w:val="00A86142"/>
    <w:rsid w:val="00AB084E"/>
    <w:rsid w:val="00B55492"/>
    <w:rsid w:val="00B57F44"/>
    <w:rsid w:val="00B71BF4"/>
    <w:rsid w:val="00BC614B"/>
    <w:rsid w:val="00BC7BC3"/>
    <w:rsid w:val="00BE521E"/>
    <w:rsid w:val="00BF245C"/>
    <w:rsid w:val="00C43232"/>
    <w:rsid w:val="00CA70C7"/>
    <w:rsid w:val="00CB16EF"/>
    <w:rsid w:val="00CE7550"/>
    <w:rsid w:val="00D523E0"/>
    <w:rsid w:val="00E41E03"/>
    <w:rsid w:val="00E44A42"/>
    <w:rsid w:val="00EA38F7"/>
    <w:rsid w:val="00EC2731"/>
    <w:rsid w:val="00ED379C"/>
    <w:rsid w:val="00EE4B50"/>
    <w:rsid w:val="00F00D92"/>
    <w:rsid w:val="00F226A9"/>
    <w:rsid w:val="00F241EE"/>
    <w:rsid w:val="00F437C5"/>
    <w:rsid w:val="00F535AB"/>
    <w:rsid w:val="00F67871"/>
    <w:rsid w:val="00F732F8"/>
    <w:rsid w:val="00FA0CBF"/>
    <w:rsid w:val="00FA3162"/>
    <w:rsid w:val="00FB7A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74482658-2AE3-4F1D-A491-DB0D2F3D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B6"/>
    <w:rPr>
      <w:rFonts w:cs="Angsana New"/>
      <w:sz w:val="24"/>
      <w:szCs w:val="28"/>
      <w:lang w:val="en-GB" w:eastAsia="en-US" w:bidi="th-TH"/>
    </w:rPr>
  </w:style>
  <w:style w:type="paragraph" w:styleId="Heading1">
    <w:name w:val="heading 1"/>
    <w:basedOn w:val="Normal"/>
    <w:next w:val="Normal"/>
    <w:qFormat/>
    <w:rsid w:val="00152AB6"/>
    <w:pPr>
      <w:keepNext/>
      <w:outlineLvl w:val="0"/>
    </w:pPr>
    <w:rPr>
      <w:b/>
      <w:bCs/>
    </w:rPr>
  </w:style>
  <w:style w:type="paragraph" w:styleId="Heading2">
    <w:name w:val="heading 2"/>
    <w:basedOn w:val="Normal"/>
    <w:next w:val="Normal"/>
    <w:qFormat/>
    <w:rsid w:val="00152AB6"/>
    <w:pPr>
      <w:keepNext/>
      <w:autoSpaceDE w:val="0"/>
      <w:autoSpaceDN w:val="0"/>
      <w:adjustRightInd w:val="0"/>
      <w:spacing w:before="120" w:after="120" w:line="240" w:lineRule="atLeast"/>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bodytext"/>
    <w:basedOn w:val="Normal"/>
    <w:rsid w:val="00152AB6"/>
    <w:pPr>
      <w:spacing w:before="120" w:after="120" w:line="240" w:lineRule="atLeast"/>
    </w:pPr>
    <w:rPr>
      <w:rFonts w:ascii="Arial" w:hAnsi="Arial" w:cs="Arial Unicode MS"/>
      <w:color w:val="000000"/>
      <w:szCs w:val="24"/>
      <w:lang w:val="en-US"/>
    </w:rPr>
  </w:style>
  <w:style w:type="paragraph" w:customStyle="1" w:styleId="TableBullet">
    <w:name w:val="Table Bullet"/>
    <w:basedOn w:val="Normal"/>
    <w:rsid w:val="00152AB6"/>
    <w:pPr>
      <w:numPr>
        <w:ilvl w:val="1"/>
        <w:numId w:val="1"/>
      </w:numPr>
      <w:spacing w:before="120" w:after="120" w:line="260" w:lineRule="atLeast"/>
    </w:pPr>
    <w:rPr>
      <w:rFonts w:ascii="Arial" w:hAnsi="Arial" w:cs="Arial Unicode MS"/>
      <w:szCs w:val="24"/>
      <w:lang w:val="en-US"/>
    </w:rPr>
  </w:style>
  <w:style w:type="paragraph" w:styleId="Header">
    <w:name w:val="header"/>
    <w:basedOn w:val="Normal"/>
    <w:link w:val="HeaderChar"/>
    <w:rsid w:val="00152AB6"/>
    <w:pPr>
      <w:tabs>
        <w:tab w:val="center" w:pos="4153"/>
        <w:tab w:val="right" w:pos="8306"/>
      </w:tabs>
    </w:pPr>
  </w:style>
  <w:style w:type="paragraph" w:styleId="BalloonText">
    <w:name w:val="Balloon Text"/>
    <w:basedOn w:val="Normal"/>
    <w:semiHidden/>
    <w:rsid w:val="0010095F"/>
    <w:rPr>
      <w:rFonts w:ascii="Tahoma" w:hAnsi="Tahoma" w:cs="Tahoma"/>
      <w:sz w:val="16"/>
      <w:szCs w:val="16"/>
    </w:rPr>
  </w:style>
  <w:style w:type="paragraph" w:styleId="Footer">
    <w:name w:val="footer"/>
    <w:basedOn w:val="Normal"/>
    <w:link w:val="FooterChar"/>
    <w:uiPriority w:val="99"/>
    <w:rsid w:val="000F20A6"/>
    <w:pPr>
      <w:tabs>
        <w:tab w:val="center" w:pos="4320"/>
        <w:tab w:val="right" w:pos="8640"/>
      </w:tabs>
    </w:pPr>
  </w:style>
  <w:style w:type="character" w:styleId="CommentReference">
    <w:name w:val="annotation reference"/>
    <w:basedOn w:val="DefaultParagraphFont"/>
    <w:semiHidden/>
    <w:rsid w:val="00685AFE"/>
    <w:rPr>
      <w:sz w:val="16"/>
      <w:szCs w:val="16"/>
    </w:rPr>
  </w:style>
  <w:style w:type="paragraph" w:styleId="CommentText">
    <w:name w:val="annotation text"/>
    <w:basedOn w:val="Normal"/>
    <w:semiHidden/>
    <w:rsid w:val="00685AFE"/>
    <w:rPr>
      <w:sz w:val="20"/>
      <w:szCs w:val="20"/>
    </w:rPr>
  </w:style>
  <w:style w:type="paragraph" w:styleId="CommentSubject">
    <w:name w:val="annotation subject"/>
    <w:basedOn w:val="CommentText"/>
    <w:next w:val="CommentText"/>
    <w:semiHidden/>
    <w:rsid w:val="00685AFE"/>
    <w:rPr>
      <w:b/>
      <w:bCs/>
    </w:rPr>
  </w:style>
  <w:style w:type="character" w:customStyle="1" w:styleId="FooterChar">
    <w:name w:val="Footer Char"/>
    <w:basedOn w:val="DefaultParagraphFont"/>
    <w:link w:val="Footer"/>
    <w:uiPriority w:val="99"/>
    <w:rsid w:val="00B55492"/>
    <w:rPr>
      <w:rFonts w:cs="Angsana New"/>
      <w:sz w:val="24"/>
      <w:szCs w:val="28"/>
      <w:lang w:val="en-GB" w:eastAsia="en-US" w:bidi="th-TH"/>
    </w:rPr>
  </w:style>
  <w:style w:type="character" w:customStyle="1" w:styleId="HeaderChar">
    <w:name w:val="Header Char"/>
    <w:basedOn w:val="DefaultParagraphFont"/>
    <w:link w:val="Header"/>
    <w:rsid w:val="00FB7AC4"/>
    <w:rPr>
      <w:rFonts w:cs="Angsana New"/>
      <w:sz w:val="24"/>
      <w:szCs w:val="28"/>
      <w:lang w:val="en-GB" w:eastAsia="en-US" w:bidi="th-TH"/>
    </w:rPr>
  </w:style>
  <w:style w:type="paragraph" w:customStyle="1" w:styleId="OAG-BVG-Classification">
    <w:name w:val="OAG-BVG-Classification"/>
    <w:link w:val="OAG-BVG-ClassificationChar"/>
    <w:rsid w:val="00FB7AC4"/>
    <w:rPr>
      <w:rFonts w:ascii="Arial" w:hAnsi="Arial"/>
      <w:b/>
      <w:sz w:val="22"/>
      <w:szCs w:val="22"/>
    </w:rPr>
  </w:style>
  <w:style w:type="character" w:customStyle="1" w:styleId="OAG-BVG-ClassificationChar">
    <w:name w:val="OAG-BVG-Classification Char"/>
    <w:basedOn w:val="DefaultParagraphFont"/>
    <w:link w:val="OAG-BVG-Classification"/>
    <w:rsid w:val="00FB7AC4"/>
    <w:rPr>
      <w:rFonts w:ascii="Arial" w:hAnsi="Arial"/>
      <w:b/>
      <w:sz w:val="22"/>
      <w:szCs w:val="22"/>
    </w:rPr>
  </w:style>
  <w:style w:type="paragraph" w:styleId="ListParagraph">
    <w:name w:val="List Paragraph"/>
    <w:basedOn w:val="Normal"/>
    <w:uiPriority w:val="34"/>
    <w:qFormat/>
    <w:rsid w:val="00971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88EF450ADA4753BC3BB3916F058947"/>
        <w:category>
          <w:name w:val="General"/>
          <w:gallery w:val="placeholder"/>
        </w:category>
        <w:types>
          <w:type w:val="bbPlcHdr"/>
        </w:types>
        <w:behaviors>
          <w:behavior w:val="content"/>
        </w:behaviors>
        <w:guid w:val="{E8F48049-F839-4AE6-868B-A69E57382A0B}"/>
      </w:docPartPr>
      <w:docPartBody>
        <w:p w:rsidR="00825101" w:rsidRDefault="00A330F1" w:rsidP="00A330F1">
          <w:pPr>
            <w:pStyle w:val="0088EF450ADA4753BC3BB3916F058947"/>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DC"/>
    <w:rsid w:val="002A4832"/>
    <w:rsid w:val="00620BC0"/>
    <w:rsid w:val="00825101"/>
    <w:rsid w:val="00A330F1"/>
    <w:rsid w:val="00D404DC"/>
    <w:rsid w:val="00E07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0F1"/>
    <w:rPr>
      <w:color w:val="808080"/>
    </w:rPr>
  </w:style>
  <w:style w:type="paragraph" w:customStyle="1" w:styleId="DE6E345E87E94581905F4355E67E8337">
    <w:name w:val="DE6E345E87E94581905F4355E67E8337"/>
    <w:rsid w:val="00D404DC"/>
  </w:style>
  <w:style w:type="paragraph" w:customStyle="1" w:styleId="BDABFCF65AA645DDAAAD1CD57592D358">
    <w:name w:val="BDABFCF65AA645DDAAAD1CD57592D358"/>
    <w:rsid w:val="00D404DC"/>
  </w:style>
  <w:style w:type="paragraph" w:customStyle="1" w:styleId="89315608955F45B4B9C0B346709B4883">
    <w:name w:val="89315608955F45B4B9C0B346709B4883"/>
    <w:rsid w:val="00620BC0"/>
  </w:style>
  <w:style w:type="paragraph" w:customStyle="1" w:styleId="2AF580C7109E427CAC393141345CDA22">
    <w:name w:val="2AF580C7109E427CAC393141345CDA22"/>
    <w:rsid w:val="00A330F1"/>
  </w:style>
  <w:style w:type="paragraph" w:customStyle="1" w:styleId="0088EF450ADA4753BC3BB3916F058947">
    <w:name w:val="0088EF450ADA4753BC3BB3916F058947"/>
    <w:rsid w:val="00A33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2163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Risques de fraude – Demandes d’informations auprès des auditeurs internes</vt:lpstr>
      <vt:lpstr>Risques de fraude – Demandes d’informations auprès des auditeurs internes</vt:lpstr>
    </vt:vector>
  </TitlesOfParts>
  <Company>OAG-BVG</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Risques de fraude – Demandes d’informations auprès des auditeurs internes</dc:title>
  <dc:subject>Risques de fraude – Demandes d’informations auprès des auditeurs internes</dc:subject>
  <dc:creator>OAG-BVG</dc:creator>
  <cp:lastModifiedBy>Lepage, Roxanne</cp:lastModifiedBy>
  <cp:revision>3</cp:revision>
  <cp:lastPrinted>2010-06-01T13:13:00Z</cp:lastPrinted>
  <dcterms:created xsi:type="dcterms:W3CDTF">2019-05-22T15:44:00Z</dcterms:created>
  <dcterms:modified xsi:type="dcterms:W3CDTF">2020-05-29T18:48:00Z</dcterms:modified>
  <cp:category>Templates</cp:category>
  <cp:contentStatus>15625</cp:contentStatus>
</cp:coreProperties>
</file>