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1D710" w14:textId="16690FBA" w:rsidR="00E0624A" w:rsidRPr="00144144" w:rsidRDefault="00E0624A" w:rsidP="00144144">
      <w:pPr>
        <w:pStyle w:val="Heading2"/>
        <w:rPr>
          <w:lang w:val="fr-CA"/>
        </w:rPr>
      </w:pPr>
      <w:r w:rsidRPr="00144144">
        <w:rPr>
          <w:lang w:val="fr-CA"/>
        </w:rPr>
        <w:t xml:space="preserve">L’audit </w:t>
      </w:r>
      <w:r w:rsidR="00E8228E" w:rsidRPr="00144144">
        <w:rPr>
          <w:lang w:val="fr-CA"/>
        </w:rPr>
        <w:t xml:space="preserve">tire à sa fin! </w:t>
      </w:r>
      <w:r w:rsidR="00DB5EF7" w:rsidRPr="00144144">
        <w:rPr>
          <w:lang w:val="fr-CA"/>
        </w:rPr>
        <w:t>V</w:t>
      </w:r>
      <w:r w:rsidR="00E8228E" w:rsidRPr="00144144">
        <w:rPr>
          <w:lang w:val="fr-CA"/>
        </w:rPr>
        <w:t>ite</w:t>
      </w:r>
      <w:r w:rsidR="00DB5EF7" w:rsidRPr="00144144">
        <w:rPr>
          <w:lang w:val="fr-CA"/>
        </w:rPr>
        <w:t>, que</w:t>
      </w:r>
      <w:r w:rsidR="00E8228E" w:rsidRPr="00144144">
        <w:rPr>
          <w:lang w:val="fr-CA"/>
        </w:rPr>
        <w:t xml:space="preserve"> q</w:t>
      </w:r>
      <w:r w:rsidR="00186459" w:rsidRPr="00144144">
        <w:rPr>
          <w:lang w:val="fr-CA"/>
        </w:rPr>
        <w:t xml:space="preserve">uelqu’un </w:t>
      </w:r>
      <w:r w:rsidR="00E8228E" w:rsidRPr="00144144">
        <w:rPr>
          <w:lang w:val="fr-CA"/>
        </w:rPr>
        <w:t>vérifie</w:t>
      </w:r>
      <w:r w:rsidR="00186459" w:rsidRPr="00144144">
        <w:rPr>
          <w:lang w:val="fr-CA"/>
        </w:rPr>
        <w:t xml:space="preserve"> </w:t>
      </w:r>
      <w:r w:rsidR="0095245E" w:rsidRPr="00144144">
        <w:rPr>
          <w:lang w:val="fr-CA"/>
        </w:rPr>
        <w:t>l</w:t>
      </w:r>
      <w:r w:rsidR="00186459" w:rsidRPr="00144144">
        <w:rPr>
          <w:lang w:val="fr-CA"/>
        </w:rPr>
        <w:t>es</w:t>
      </w:r>
      <w:r w:rsidRPr="00144144">
        <w:rPr>
          <w:lang w:val="fr-CA"/>
        </w:rPr>
        <w:t xml:space="preserve"> flux de trésorerie!</w:t>
      </w:r>
    </w:p>
    <w:p w14:paraId="51C4704E" w14:textId="0FA933AD" w:rsidR="00E0624A" w:rsidRPr="00B526E1" w:rsidRDefault="00E0624A" w:rsidP="00144144">
      <w:pPr>
        <w:rPr>
          <w:lang w:val="fr-CA"/>
        </w:rPr>
      </w:pPr>
      <w:r w:rsidRPr="00B526E1">
        <w:rPr>
          <w:lang w:val="fr-CA"/>
        </w:rPr>
        <w:t>Le but de ce document est de vous faire réfléchir aux différents points à co</w:t>
      </w:r>
      <w:r w:rsidR="00C101D7">
        <w:rPr>
          <w:lang w:val="fr-CA"/>
        </w:rPr>
        <w:t xml:space="preserve">nsidérer lorsque vous auditez l’état </w:t>
      </w:r>
      <w:r w:rsidR="00186459" w:rsidRPr="00B526E1">
        <w:rPr>
          <w:lang w:val="fr-CA"/>
        </w:rPr>
        <w:t>des</w:t>
      </w:r>
      <w:r w:rsidRPr="00B526E1">
        <w:rPr>
          <w:lang w:val="fr-CA"/>
        </w:rPr>
        <w:t xml:space="preserve"> flux de trésorerie. Si vous êtes comme moi, il est possible que l</w:t>
      </w:r>
      <w:r w:rsidR="00C101D7">
        <w:rPr>
          <w:lang w:val="fr-CA"/>
        </w:rPr>
        <w:t>’état</w:t>
      </w:r>
      <w:r w:rsidR="00186459" w:rsidRPr="00B526E1">
        <w:rPr>
          <w:lang w:val="fr-CA"/>
        </w:rPr>
        <w:t xml:space="preserve"> des</w:t>
      </w:r>
      <w:r w:rsidRPr="00B526E1">
        <w:rPr>
          <w:lang w:val="fr-CA"/>
        </w:rPr>
        <w:t xml:space="preserve"> flux de trésorerie n</w:t>
      </w:r>
      <w:r w:rsidR="00BE5A46" w:rsidRPr="00B526E1">
        <w:rPr>
          <w:lang w:val="fr-CA"/>
        </w:rPr>
        <w:t>’ait pas</w:t>
      </w:r>
      <w:r w:rsidR="0095245E" w:rsidRPr="00B526E1">
        <w:rPr>
          <w:lang w:val="fr-CA"/>
        </w:rPr>
        <w:t xml:space="preserve"> reç</w:t>
      </w:r>
      <w:r w:rsidR="00BE5A46" w:rsidRPr="00B526E1">
        <w:rPr>
          <w:lang w:val="fr-CA"/>
        </w:rPr>
        <w:t>u</w:t>
      </w:r>
      <w:r w:rsidR="0095245E" w:rsidRPr="00B526E1">
        <w:rPr>
          <w:lang w:val="fr-CA"/>
        </w:rPr>
        <w:t xml:space="preserve"> </w:t>
      </w:r>
      <w:r w:rsidRPr="00B526E1">
        <w:rPr>
          <w:lang w:val="fr-CA"/>
        </w:rPr>
        <w:t>toute l’attention</w:t>
      </w:r>
      <w:r w:rsidR="00186459" w:rsidRPr="00B526E1">
        <w:rPr>
          <w:lang w:val="fr-CA"/>
        </w:rPr>
        <w:t xml:space="preserve"> nécessaire tout</w:t>
      </w:r>
      <w:r w:rsidRPr="00B526E1">
        <w:rPr>
          <w:lang w:val="fr-CA"/>
        </w:rPr>
        <w:t xml:space="preserve"> simplement parce qu’il est trop facile de </w:t>
      </w:r>
      <w:r w:rsidR="00186459" w:rsidRPr="00B526E1">
        <w:rPr>
          <w:lang w:val="fr-CA"/>
        </w:rPr>
        <w:t xml:space="preserve">le </w:t>
      </w:r>
      <w:r w:rsidRPr="00B526E1">
        <w:rPr>
          <w:lang w:val="fr-CA"/>
        </w:rPr>
        <w:t>regarder</w:t>
      </w:r>
      <w:r w:rsidR="00800CEA" w:rsidRPr="00B526E1">
        <w:rPr>
          <w:lang w:val="fr-CA"/>
        </w:rPr>
        <w:t xml:space="preserve"> et de conclure qu’il </w:t>
      </w:r>
      <w:r w:rsidR="00186459" w:rsidRPr="00B526E1">
        <w:rPr>
          <w:lang w:val="fr-CA"/>
        </w:rPr>
        <w:t>doit être</w:t>
      </w:r>
      <w:r w:rsidR="00800CEA" w:rsidRPr="00B526E1">
        <w:rPr>
          <w:lang w:val="fr-CA"/>
        </w:rPr>
        <w:t xml:space="preserve"> exact </w:t>
      </w:r>
      <w:r w:rsidR="00186459" w:rsidRPr="00B526E1">
        <w:rPr>
          <w:lang w:val="fr-CA"/>
        </w:rPr>
        <w:t>puisque</w:t>
      </w:r>
      <w:r w:rsidR="00800CEA" w:rsidRPr="00B526E1">
        <w:rPr>
          <w:lang w:val="fr-CA"/>
        </w:rPr>
        <w:t xml:space="preserve"> le solde</w:t>
      </w:r>
      <w:r w:rsidR="00186459" w:rsidRPr="00B526E1">
        <w:rPr>
          <w:lang w:val="fr-CA"/>
        </w:rPr>
        <w:t xml:space="preserve"> de clôture de la trésorerie</w:t>
      </w:r>
      <w:r w:rsidR="00800CEA" w:rsidRPr="00B526E1">
        <w:rPr>
          <w:lang w:val="fr-CA"/>
        </w:rPr>
        <w:t xml:space="preserve"> correspond au</w:t>
      </w:r>
      <w:r w:rsidR="00186459" w:rsidRPr="00B526E1">
        <w:rPr>
          <w:lang w:val="fr-CA"/>
        </w:rPr>
        <w:t xml:space="preserve"> solde du</w:t>
      </w:r>
      <w:r w:rsidR="00800CEA" w:rsidRPr="00B526E1">
        <w:rPr>
          <w:lang w:val="fr-CA"/>
        </w:rPr>
        <w:t xml:space="preserve"> compte bancaire. Pourquoi y aurait-il des erreurs si le solde </w:t>
      </w:r>
      <w:r w:rsidR="00186459" w:rsidRPr="00B526E1">
        <w:rPr>
          <w:lang w:val="fr-CA"/>
        </w:rPr>
        <w:t xml:space="preserve">de clôture </w:t>
      </w:r>
      <w:r w:rsidR="00BD53F9" w:rsidRPr="00B526E1">
        <w:rPr>
          <w:lang w:val="fr-CA"/>
        </w:rPr>
        <w:t>de</w:t>
      </w:r>
      <w:r w:rsidR="00186459" w:rsidRPr="00B526E1">
        <w:rPr>
          <w:lang w:val="fr-CA"/>
        </w:rPr>
        <w:t xml:space="preserve"> la trésorerie </w:t>
      </w:r>
      <w:r w:rsidR="00BD53F9" w:rsidRPr="00B526E1">
        <w:rPr>
          <w:lang w:val="fr-CA"/>
        </w:rPr>
        <w:t>est exact</w:t>
      </w:r>
      <w:r w:rsidR="00800CEA" w:rsidRPr="00B526E1">
        <w:rPr>
          <w:lang w:val="fr-CA"/>
        </w:rPr>
        <w:t>? Sans oublier qu’il est très facile de valider l</w:t>
      </w:r>
      <w:r w:rsidR="00E40562" w:rsidRPr="00B526E1">
        <w:rPr>
          <w:lang w:val="fr-CA"/>
        </w:rPr>
        <w:t>a plupart d</w:t>
      </w:r>
      <w:r w:rsidR="00800CEA" w:rsidRPr="00B526E1">
        <w:rPr>
          <w:lang w:val="fr-CA"/>
        </w:rPr>
        <w:t xml:space="preserve">es </w:t>
      </w:r>
      <w:r w:rsidR="00C101D7">
        <w:rPr>
          <w:lang w:val="fr-CA"/>
        </w:rPr>
        <w:t>postes</w:t>
      </w:r>
      <w:r w:rsidR="00800CEA" w:rsidRPr="00B526E1">
        <w:rPr>
          <w:lang w:val="fr-CA"/>
        </w:rPr>
        <w:t xml:space="preserve"> </w:t>
      </w:r>
      <w:r w:rsidR="00E40562" w:rsidRPr="00B526E1">
        <w:rPr>
          <w:lang w:val="fr-CA"/>
        </w:rPr>
        <w:t>p</w:t>
      </w:r>
      <w:r w:rsidR="00800CEA" w:rsidRPr="00B526E1">
        <w:rPr>
          <w:lang w:val="fr-CA"/>
        </w:rPr>
        <w:t>ar</w:t>
      </w:r>
      <w:r w:rsidR="00E40562" w:rsidRPr="00B526E1">
        <w:rPr>
          <w:lang w:val="fr-CA"/>
        </w:rPr>
        <w:t>ce qu’</w:t>
      </w:r>
      <w:r w:rsidR="00800CEA" w:rsidRPr="00B526E1">
        <w:rPr>
          <w:lang w:val="fr-CA"/>
        </w:rPr>
        <w:t xml:space="preserve">ils proviennent généralement directement </w:t>
      </w:r>
      <w:r w:rsidR="00BD53F9" w:rsidRPr="00B526E1">
        <w:rPr>
          <w:lang w:val="fr-CA"/>
        </w:rPr>
        <w:t>de l’état de la situation financière</w:t>
      </w:r>
      <w:r w:rsidR="00800CEA" w:rsidRPr="00B526E1">
        <w:rPr>
          <w:lang w:val="fr-CA"/>
        </w:rPr>
        <w:t xml:space="preserve"> ou </w:t>
      </w:r>
      <w:r w:rsidR="00BD53F9" w:rsidRPr="00B526E1">
        <w:rPr>
          <w:lang w:val="fr-CA"/>
        </w:rPr>
        <w:t>de l’état</w:t>
      </w:r>
      <w:r w:rsidR="00800CEA" w:rsidRPr="00B526E1">
        <w:rPr>
          <w:lang w:val="fr-CA"/>
        </w:rPr>
        <w:t xml:space="preserve"> de</w:t>
      </w:r>
      <w:r w:rsidR="00BD53F9" w:rsidRPr="00B526E1">
        <w:rPr>
          <w:lang w:val="fr-CA"/>
        </w:rPr>
        <w:t>s</w:t>
      </w:r>
      <w:r w:rsidR="00800CEA" w:rsidRPr="00B526E1">
        <w:rPr>
          <w:lang w:val="fr-CA"/>
        </w:rPr>
        <w:t xml:space="preserve"> résultats. Malheureusement,</w:t>
      </w:r>
      <w:r w:rsidR="00E40562" w:rsidRPr="00B526E1">
        <w:rPr>
          <w:lang w:val="fr-CA"/>
        </w:rPr>
        <w:t xml:space="preserve"> comme</w:t>
      </w:r>
      <w:r w:rsidR="00800CEA" w:rsidRPr="00B526E1">
        <w:rPr>
          <w:lang w:val="fr-CA"/>
        </w:rPr>
        <w:t xml:space="preserve"> ces deux états sont produits sur une base</w:t>
      </w:r>
      <w:r w:rsidR="009D66B2">
        <w:rPr>
          <w:lang w:val="fr-CA"/>
        </w:rPr>
        <w:t xml:space="preserve"> de comptabilité</w:t>
      </w:r>
      <w:r w:rsidR="00E40562" w:rsidRPr="00B526E1">
        <w:rPr>
          <w:lang w:val="fr-CA"/>
        </w:rPr>
        <w:t xml:space="preserve"> d’exercice,</w:t>
      </w:r>
      <w:r w:rsidR="00800CEA" w:rsidRPr="00B526E1">
        <w:rPr>
          <w:lang w:val="fr-CA"/>
        </w:rPr>
        <w:t xml:space="preserve"> </w:t>
      </w:r>
      <w:r w:rsidR="00E40562" w:rsidRPr="00B526E1">
        <w:rPr>
          <w:lang w:val="fr-CA"/>
        </w:rPr>
        <w:t xml:space="preserve">on ne peut </w:t>
      </w:r>
      <w:r w:rsidR="00DD3754">
        <w:rPr>
          <w:lang w:val="fr-CA"/>
        </w:rPr>
        <w:t xml:space="preserve">pas </w:t>
      </w:r>
      <w:r w:rsidR="0095245E" w:rsidRPr="00B526E1">
        <w:rPr>
          <w:lang w:val="fr-CA"/>
        </w:rPr>
        <w:t xml:space="preserve">s’en sortir avec </w:t>
      </w:r>
      <w:r w:rsidR="00E40562" w:rsidRPr="00B526E1">
        <w:rPr>
          <w:lang w:val="fr-CA"/>
        </w:rPr>
        <w:t>une validation rapide et facile</w:t>
      </w:r>
      <w:r w:rsidR="00F35E31" w:rsidRPr="00B526E1">
        <w:rPr>
          <w:lang w:val="fr-CA"/>
        </w:rPr>
        <w:t xml:space="preserve">. </w:t>
      </w:r>
      <w:r w:rsidR="00A31259" w:rsidRPr="00B526E1">
        <w:rPr>
          <w:lang w:val="fr-CA"/>
        </w:rPr>
        <w:t xml:space="preserve">Examinons de près les étapes à suivre pour auditer </w:t>
      </w:r>
      <w:r w:rsidR="00C101D7">
        <w:rPr>
          <w:lang w:val="fr-CA"/>
        </w:rPr>
        <w:t>l’état</w:t>
      </w:r>
      <w:r w:rsidR="00A31259" w:rsidRPr="00B526E1">
        <w:rPr>
          <w:lang w:val="fr-CA"/>
        </w:rPr>
        <w:t xml:space="preserve"> des flux de trésorerie.</w:t>
      </w:r>
    </w:p>
    <w:p w14:paraId="63038F65" w14:textId="6B088DAE" w:rsidR="00F35E31" w:rsidRPr="003D57ED" w:rsidRDefault="00D26EBE" w:rsidP="00144144">
      <w:pPr>
        <w:pStyle w:val="Heading3"/>
        <w:rPr>
          <w:lang w:val="fr-CA"/>
        </w:rPr>
      </w:pPr>
      <w:r>
        <w:rPr>
          <w:lang w:val="fr-CA"/>
        </w:rPr>
        <w:t>B</w:t>
      </w:r>
      <w:r w:rsidR="0014060D">
        <w:rPr>
          <w:lang w:val="fr-CA"/>
        </w:rPr>
        <w:t>ase no </w:t>
      </w:r>
      <w:r w:rsidR="00692DCD">
        <w:rPr>
          <w:lang w:val="fr-CA"/>
        </w:rPr>
        <w:t>1 - le</w:t>
      </w:r>
      <w:r w:rsidR="00F35E31" w:rsidRPr="003D57ED">
        <w:rPr>
          <w:lang w:val="fr-CA"/>
        </w:rPr>
        <w:t xml:space="preserve">s méthodes de préparation </w:t>
      </w:r>
      <w:r w:rsidR="00E40562" w:rsidRPr="003D57ED">
        <w:rPr>
          <w:lang w:val="fr-CA"/>
        </w:rPr>
        <w:t>d</w:t>
      </w:r>
      <w:r w:rsidR="00C101D7">
        <w:rPr>
          <w:lang w:val="fr-CA"/>
        </w:rPr>
        <w:t>e l’état</w:t>
      </w:r>
      <w:r w:rsidR="00BD53F9" w:rsidRPr="003D57ED">
        <w:rPr>
          <w:lang w:val="fr-CA"/>
        </w:rPr>
        <w:t xml:space="preserve"> des</w:t>
      </w:r>
      <w:r w:rsidR="00F35E31" w:rsidRPr="003D57ED">
        <w:rPr>
          <w:lang w:val="fr-CA"/>
        </w:rPr>
        <w:t xml:space="preserve"> flux de trésorerie</w:t>
      </w:r>
    </w:p>
    <w:p w14:paraId="1AA1039D" w14:textId="195856C1" w:rsidR="00F35E31" w:rsidRPr="00B526E1" w:rsidRDefault="00F35E31" w:rsidP="00144144">
      <w:pPr>
        <w:pStyle w:val="Heading4"/>
        <w:rPr>
          <w:lang w:val="fr-CA"/>
        </w:rPr>
      </w:pPr>
      <w:r w:rsidRPr="00B526E1">
        <w:rPr>
          <w:lang w:val="fr-CA"/>
        </w:rPr>
        <w:t>Indirect</w:t>
      </w:r>
      <w:r w:rsidR="00BD53F9" w:rsidRPr="00B526E1">
        <w:rPr>
          <w:lang w:val="fr-CA"/>
        </w:rPr>
        <w:t>e</w:t>
      </w:r>
    </w:p>
    <w:p w14:paraId="2E14636C" w14:textId="46539E1C" w:rsidR="00F35E31" w:rsidRPr="00B526E1" w:rsidRDefault="00F35E31" w:rsidP="00144144">
      <w:pPr>
        <w:rPr>
          <w:lang w:val="fr-CA"/>
        </w:rPr>
      </w:pPr>
      <w:r w:rsidRPr="00B526E1">
        <w:rPr>
          <w:lang w:val="fr-CA"/>
        </w:rPr>
        <w:t xml:space="preserve">La méthode indirecte </w:t>
      </w:r>
      <w:r w:rsidR="00DD3754">
        <w:rPr>
          <w:lang w:val="fr-CA"/>
        </w:rPr>
        <w:t>présente les activités de fonctionnement en débutant</w:t>
      </w:r>
      <w:r w:rsidR="00056DAD">
        <w:rPr>
          <w:lang w:val="fr-CA"/>
        </w:rPr>
        <w:t xml:space="preserve"> avec </w:t>
      </w:r>
      <w:r w:rsidR="00056DAD" w:rsidRPr="00056DAD">
        <w:rPr>
          <w:lang w:val="fr-CA"/>
        </w:rPr>
        <w:t xml:space="preserve">le résultat net </w:t>
      </w:r>
      <w:r w:rsidR="00056DAD">
        <w:rPr>
          <w:lang w:val="fr-CA"/>
        </w:rPr>
        <w:t xml:space="preserve">qui </w:t>
      </w:r>
      <w:r w:rsidR="00056DAD" w:rsidRPr="00056DAD">
        <w:rPr>
          <w:lang w:val="fr-CA"/>
        </w:rPr>
        <w:t xml:space="preserve">est </w:t>
      </w:r>
      <w:r w:rsidR="00056DAD">
        <w:rPr>
          <w:lang w:val="fr-CA"/>
        </w:rPr>
        <w:t xml:space="preserve">ensuite </w:t>
      </w:r>
      <w:r w:rsidR="00056DAD" w:rsidRPr="00056DAD">
        <w:rPr>
          <w:lang w:val="fr-CA"/>
        </w:rPr>
        <w:t xml:space="preserve">ajusté des effets des transactions sans effet sur la trésorerie, des décalages ou régularisations d'entrées ou de sorties de trésorerie passées ou futures liées aux activités </w:t>
      </w:r>
      <w:r w:rsidR="00DD3754">
        <w:rPr>
          <w:lang w:val="fr-CA"/>
        </w:rPr>
        <w:t>de fonctionnement</w:t>
      </w:r>
      <w:r w:rsidR="00056DAD" w:rsidRPr="00056DAD">
        <w:rPr>
          <w:lang w:val="fr-CA"/>
        </w:rPr>
        <w:t xml:space="preserve"> et des éléments de produits ou de charges liés aux flux de trésorerie concernant les investissements ou le financement.</w:t>
      </w:r>
    </w:p>
    <w:p w14:paraId="57701F99" w14:textId="6D04D977" w:rsidR="00F35E31" w:rsidRPr="00B526E1" w:rsidRDefault="00F35E31" w:rsidP="00144144">
      <w:pPr>
        <w:pStyle w:val="Heading4"/>
        <w:rPr>
          <w:lang w:val="fr-CA"/>
        </w:rPr>
      </w:pPr>
      <w:r w:rsidRPr="00B526E1">
        <w:rPr>
          <w:lang w:val="fr-CA"/>
        </w:rPr>
        <w:t>Direct</w:t>
      </w:r>
      <w:r w:rsidR="00BD53F9" w:rsidRPr="00B526E1">
        <w:rPr>
          <w:lang w:val="fr-CA"/>
        </w:rPr>
        <w:t>e</w:t>
      </w:r>
    </w:p>
    <w:p w14:paraId="3E8FFC71" w14:textId="512DB211" w:rsidR="00BD53F9" w:rsidRPr="00B526E1" w:rsidRDefault="00056DAD" w:rsidP="00144144">
      <w:pPr>
        <w:rPr>
          <w:lang w:val="fr-CA"/>
        </w:rPr>
      </w:pPr>
      <w:r>
        <w:rPr>
          <w:lang w:val="fr-CA"/>
        </w:rPr>
        <w:t>Quant à elle, l</w:t>
      </w:r>
      <w:r w:rsidR="00F35E31" w:rsidRPr="00B526E1">
        <w:rPr>
          <w:lang w:val="fr-CA"/>
        </w:rPr>
        <w:t xml:space="preserve">a méthode directe </w:t>
      </w:r>
      <w:r w:rsidR="00DD3754">
        <w:rPr>
          <w:lang w:val="fr-CA"/>
        </w:rPr>
        <w:t>montre</w:t>
      </w:r>
      <w:r>
        <w:rPr>
          <w:lang w:val="fr-CA"/>
        </w:rPr>
        <w:t xml:space="preserve"> </w:t>
      </w:r>
      <w:r w:rsidR="00DD3754">
        <w:rPr>
          <w:lang w:val="fr-CA"/>
        </w:rPr>
        <w:t xml:space="preserve">les activités de fonctionnement en présentant </w:t>
      </w:r>
      <w:r w:rsidRPr="00056DAD">
        <w:rPr>
          <w:lang w:val="fr-CA"/>
        </w:rPr>
        <w:t>les principales catégories d'entrées et de sorties de trésorerie brutes</w:t>
      </w:r>
      <w:r>
        <w:rPr>
          <w:lang w:val="fr-CA"/>
        </w:rPr>
        <w:t>.</w:t>
      </w:r>
    </w:p>
    <w:p w14:paraId="656BCBC8" w14:textId="05CAC838" w:rsidR="00E057A7" w:rsidRPr="00B526E1" w:rsidRDefault="00E057A7" w:rsidP="00692DCD">
      <w:pPr>
        <w:pStyle w:val="Heading4"/>
        <w:rPr>
          <w:lang w:val="fr-CA"/>
        </w:rPr>
      </w:pPr>
      <w:r w:rsidRPr="00B526E1">
        <w:rPr>
          <w:lang w:val="fr-CA"/>
        </w:rPr>
        <w:t>Différence entre les deux méthodes</w:t>
      </w:r>
    </w:p>
    <w:p w14:paraId="7375B5C2" w14:textId="59B9B205" w:rsidR="00E057A7" w:rsidRPr="00B526E1" w:rsidRDefault="00E057A7" w:rsidP="00144144">
      <w:pPr>
        <w:rPr>
          <w:lang w:val="fr-CA"/>
        </w:rPr>
      </w:pPr>
      <w:r w:rsidRPr="00B526E1">
        <w:rPr>
          <w:lang w:val="fr-CA"/>
        </w:rPr>
        <w:t>Le choix de la méthode de préparation a</w:t>
      </w:r>
      <w:r w:rsidR="00E40562" w:rsidRPr="00B526E1">
        <w:rPr>
          <w:lang w:val="fr-CA"/>
        </w:rPr>
        <w:t>ura</w:t>
      </w:r>
      <w:r w:rsidRPr="00B526E1">
        <w:rPr>
          <w:lang w:val="fr-CA"/>
        </w:rPr>
        <w:t xml:space="preserve"> une incidence sur la présentation des activités de fonctionnement, mais </w:t>
      </w:r>
      <w:r w:rsidR="00DD3754">
        <w:rPr>
          <w:lang w:val="fr-CA"/>
        </w:rPr>
        <w:t>pas</w:t>
      </w:r>
      <w:r w:rsidRPr="00B526E1">
        <w:rPr>
          <w:lang w:val="fr-CA"/>
        </w:rPr>
        <w:t xml:space="preserve"> sur </w:t>
      </w:r>
      <w:r w:rsidR="0095245E" w:rsidRPr="00B526E1">
        <w:rPr>
          <w:lang w:val="fr-CA"/>
        </w:rPr>
        <w:t>celles d</w:t>
      </w:r>
      <w:r w:rsidRPr="00B526E1">
        <w:rPr>
          <w:lang w:val="fr-CA"/>
        </w:rPr>
        <w:t xml:space="preserve">es activités de financement et d’investissement. Comme ces deux dernières catégories d’activités </w:t>
      </w:r>
      <w:r w:rsidR="000F1D83" w:rsidRPr="00B526E1">
        <w:rPr>
          <w:lang w:val="fr-CA"/>
        </w:rPr>
        <w:t>comprennent seulement des éléments de trésorerie, la méthode n’aura aucune incidence sur ceux-ci</w:t>
      </w:r>
      <w:r w:rsidR="00E40562" w:rsidRPr="00B526E1">
        <w:rPr>
          <w:lang w:val="fr-CA"/>
        </w:rPr>
        <w:t xml:space="preserve">. </w:t>
      </w:r>
    </w:p>
    <w:p w14:paraId="7B4C32CD" w14:textId="4EDCB3B0" w:rsidR="00692DCD" w:rsidRDefault="0014060D" w:rsidP="00144144">
      <w:pPr>
        <w:pStyle w:val="Heading3"/>
        <w:rPr>
          <w:lang w:val="fr-CA"/>
        </w:rPr>
      </w:pPr>
      <w:r>
        <w:rPr>
          <w:lang w:val="fr-CA"/>
        </w:rPr>
        <w:t>Base no </w:t>
      </w:r>
      <w:r w:rsidR="00692DCD">
        <w:rPr>
          <w:lang w:val="fr-CA"/>
        </w:rPr>
        <w:t>2 – que signifie « trésorerie » dans « </w:t>
      </w:r>
      <w:r w:rsidR="00C101D7">
        <w:rPr>
          <w:lang w:val="fr-CA"/>
        </w:rPr>
        <w:t>état</w:t>
      </w:r>
      <w:r w:rsidR="00692DCD">
        <w:rPr>
          <w:lang w:val="fr-CA"/>
        </w:rPr>
        <w:t xml:space="preserve"> des flux de trésorerie »?</w:t>
      </w:r>
    </w:p>
    <w:p w14:paraId="7AF5870F" w14:textId="09DB6EB5" w:rsidR="00692DCD" w:rsidRPr="00CF272C" w:rsidRDefault="00C00EB3" w:rsidP="00692DCD">
      <w:pPr>
        <w:rPr>
          <w:lang w:val="fr-CA"/>
        </w:rPr>
      </w:pPr>
      <w:r w:rsidRPr="00CF272C">
        <w:rPr>
          <w:lang w:val="fr-CA"/>
        </w:rPr>
        <w:t>Votre entité p</w:t>
      </w:r>
      <w:r w:rsidR="00AC6146">
        <w:rPr>
          <w:lang w:val="fr-CA"/>
        </w:rPr>
        <w:t>ourrait</w:t>
      </w:r>
      <w:r w:rsidRPr="00CF272C">
        <w:rPr>
          <w:lang w:val="fr-CA"/>
        </w:rPr>
        <w:t xml:space="preserve"> avoir différents actifs ou passifs en lien avec la trésorerie, tel que </w:t>
      </w:r>
      <w:r w:rsidR="00C101D7">
        <w:rPr>
          <w:lang w:val="fr-CA"/>
        </w:rPr>
        <w:t xml:space="preserve">de </w:t>
      </w:r>
      <w:r w:rsidRPr="00CF272C">
        <w:rPr>
          <w:lang w:val="fr-CA"/>
        </w:rPr>
        <w:t xml:space="preserve">la trésorerie dans un compte bancaire, des découverts </w:t>
      </w:r>
      <w:r w:rsidR="00CF272C" w:rsidRPr="00CF272C">
        <w:rPr>
          <w:lang w:val="fr-CA"/>
        </w:rPr>
        <w:t>bancaires</w:t>
      </w:r>
      <w:r w:rsidRPr="00CF272C">
        <w:rPr>
          <w:lang w:val="fr-CA"/>
        </w:rPr>
        <w:t>, des marges de cr</w:t>
      </w:r>
      <w:bookmarkStart w:id="0" w:name="_GoBack"/>
      <w:r w:rsidRPr="00CF272C">
        <w:rPr>
          <w:lang w:val="fr-CA"/>
        </w:rPr>
        <w:t>édit</w:t>
      </w:r>
      <w:bookmarkEnd w:id="0"/>
      <w:r w:rsidRPr="00CF272C">
        <w:rPr>
          <w:lang w:val="fr-CA"/>
        </w:rPr>
        <w:t>s, des équivalents de trésorerie, de l’encaisse affectée, de la trésorerie détenue dans un compte d’investissement, etc.</w:t>
      </w:r>
      <w:r w:rsidR="00692DCD" w:rsidRPr="00CF272C">
        <w:rPr>
          <w:lang w:val="fr-CA"/>
        </w:rPr>
        <w:t xml:space="preserve"> </w:t>
      </w:r>
      <w:r w:rsidRPr="00CF272C">
        <w:rPr>
          <w:lang w:val="fr-CA"/>
        </w:rPr>
        <w:t xml:space="preserve">Avec autant de termes, </w:t>
      </w:r>
      <w:r w:rsidR="00CF272C" w:rsidRPr="00CF272C">
        <w:rPr>
          <w:lang w:val="fr-CA"/>
        </w:rPr>
        <w:t>il est facile de s’y perdre</w:t>
      </w:r>
      <w:r w:rsidRPr="00CF272C">
        <w:rPr>
          <w:lang w:val="fr-CA"/>
        </w:rPr>
        <w:t>!</w:t>
      </w:r>
      <w:r w:rsidR="00CF272C" w:rsidRPr="00CF272C">
        <w:rPr>
          <w:lang w:val="fr-CA"/>
        </w:rPr>
        <w:t xml:space="preserve"> I</w:t>
      </w:r>
      <w:r w:rsidR="00C101D7">
        <w:rPr>
          <w:lang w:val="fr-CA"/>
        </w:rPr>
        <w:t>l</w:t>
      </w:r>
      <w:r w:rsidR="00CF272C" w:rsidRPr="00CF272C">
        <w:rPr>
          <w:lang w:val="fr-CA"/>
        </w:rPr>
        <w:t xml:space="preserve"> est donc important</w:t>
      </w:r>
      <w:r w:rsidR="00692DCD" w:rsidRPr="00CF272C">
        <w:rPr>
          <w:lang w:val="fr-CA"/>
        </w:rPr>
        <w:t xml:space="preserve"> </w:t>
      </w:r>
      <w:r w:rsidR="00CF272C" w:rsidRPr="00CF272C">
        <w:rPr>
          <w:lang w:val="fr-CA"/>
        </w:rPr>
        <w:t>d’avoir une bonne compréhension des exigences du référentiel comptable afin de s’assurer que l’état concilie les bons éléments</w:t>
      </w:r>
      <w:r w:rsidR="00692DCD" w:rsidRPr="00CF272C">
        <w:rPr>
          <w:lang w:val="fr-CA"/>
        </w:rPr>
        <w:t xml:space="preserve">. </w:t>
      </w:r>
      <w:r w:rsidR="00CF272C" w:rsidRPr="00CF272C">
        <w:rPr>
          <w:lang w:val="fr-CA"/>
        </w:rPr>
        <w:t>Ne vous en faites pas, on s’occupe de vous</w:t>
      </w:r>
      <w:r w:rsidR="00692DCD" w:rsidRPr="00CF272C">
        <w:rPr>
          <w:lang w:val="fr-CA"/>
        </w:rPr>
        <w:t xml:space="preserve"> </w:t>
      </w:r>
      <w:r w:rsidRPr="00CF272C">
        <w:rPr>
          <w:lang w:val="fr-CA"/>
        </w:rPr>
        <w:t>–</w:t>
      </w:r>
      <w:r w:rsidR="00692DCD" w:rsidRPr="00CF272C">
        <w:rPr>
          <w:lang w:val="fr-CA"/>
        </w:rPr>
        <w:t xml:space="preserve"> </w:t>
      </w:r>
      <w:r w:rsidRPr="00CF272C">
        <w:rPr>
          <w:lang w:val="fr-CA"/>
        </w:rPr>
        <w:t xml:space="preserve">le tableau suivant présente quelques </w:t>
      </w:r>
      <w:r w:rsidR="00CF272C" w:rsidRPr="00CF272C">
        <w:rPr>
          <w:lang w:val="fr-CA"/>
        </w:rPr>
        <w:t>définitions</w:t>
      </w:r>
      <w:r w:rsidRPr="00CF272C">
        <w:rPr>
          <w:lang w:val="fr-CA"/>
        </w:rPr>
        <w:t xml:space="preserve"> et exigences importantes. </w:t>
      </w:r>
    </w:p>
    <w:tbl>
      <w:tblPr>
        <w:tblStyle w:val="TableGrid"/>
        <w:tblW w:w="11340" w:type="dxa"/>
        <w:tblInd w:w="-1139" w:type="dxa"/>
        <w:tblLook w:val="04A0" w:firstRow="1" w:lastRow="0" w:firstColumn="1" w:lastColumn="0" w:noHBand="0" w:noVBand="1"/>
      </w:tblPr>
      <w:tblGrid>
        <w:gridCol w:w="1560"/>
        <w:gridCol w:w="3260"/>
        <w:gridCol w:w="3260"/>
        <w:gridCol w:w="3260"/>
      </w:tblGrid>
      <w:tr w:rsidR="00692DCD" w:rsidRPr="00CF272C" w14:paraId="660C7A1B" w14:textId="77777777" w:rsidTr="0014060D">
        <w:tc>
          <w:tcPr>
            <w:tcW w:w="1560" w:type="dxa"/>
            <w:shd w:val="clear" w:color="auto" w:fill="D9D9D9" w:themeFill="background1" w:themeFillShade="D9"/>
          </w:tcPr>
          <w:p w14:paraId="49785C65" w14:textId="7FC3AD2D" w:rsidR="00692DCD" w:rsidRPr="00CF272C" w:rsidRDefault="0065666C" w:rsidP="00692DCD">
            <w:pPr>
              <w:jc w:val="center"/>
              <w:rPr>
                <w:b/>
                <w:highlight w:val="yellow"/>
                <w:lang w:val="fr-CA"/>
              </w:rPr>
            </w:pPr>
            <w:r w:rsidRPr="00CF272C">
              <w:rPr>
                <w:b/>
                <w:lang w:val="fr-CA"/>
              </w:rPr>
              <w:t>Élément</w:t>
            </w:r>
          </w:p>
        </w:tc>
        <w:tc>
          <w:tcPr>
            <w:tcW w:w="3260" w:type="dxa"/>
            <w:shd w:val="clear" w:color="auto" w:fill="D9D9D9" w:themeFill="background1" w:themeFillShade="D9"/>
          </w:tcPr>
          <w:p w14:paraId="297D69F5" w14:textId="3694856E" w:rsidR="00692DCD" w:rsidRPr="00CF272C" w:rsidRDefault="0065666C" w:rsidP="00692DCD">
            <w:pPr>
              <w:jc w:val="center"/>
              <w:rPr>
                <w:b/>
                <w:highlight w:val="yellow"/>
                <w:lang w:val="fr-CA"/>
              </w:rPr>
            </w:pPr>
            <w:r w:rsidRPr="00CF272C">
              <w:rPr>
                <w:b/>
                <w:lang w:val="fr-CA"/>
              </w:rPr>
              <w:t>NCSP</w:t>
            </w:r>
          </w:p>
        </w:tc>
        <w:tc>
          <w:tcPr>
            <w:tcW w:w="3260" w:type="dxa"/>
            <w:shd w:val="clear" w:color="auto" w:fill="D9D9D9" w:themeFill="background1" w:themeFillShade="D9"/>
          </w:tcPr>
          <w:p w14:paraId="4B56989F" w14:textId="77777777" w:rsidR="00692DCD" w:rsidRPr="00CF272C" w:rsidRDefault="00692DCD" w:rsidP="00692DCD">
            <w:pPr>
              <w:ind w:hanging="108"/>
              <w:jc w:val="center"/>
              <w:rPr>
                <w:b/>
                <w:highlight w:val="yellow"/>
                <w:lang w:val="fr-CA"/>
              </w:rPr>
            </w:pPr>
            <w:r w:rsidRPr="00CF272C">
              <w:rPr>
                <w:b/>
                <w:lang w:val="fr-CA"/>
              </w:rPr>
              <w:t>IFRS</w:t>
            </w:r>
          </w:p>
        </w:tc>
        <w:tc>
          <w:tcPr>
            <w:tcW w:w="3260" w:type="dxa"/>
            <w:shd w:val="clear" w:color="auto" w:fill="D9D9D9" w:themeFill="background1" w:themeFillShade="D9"/>
          </w:tcPr>
          <w:p w14:paraId="5429E394" w14:textId="77777777" w:rsidR="00692DCD" w:rsidRPr="00CF272C" w:rsidRDefault="00692DCD" w:rsidP="00692DCD">
            <w:pPr>
              <w:ind w:hanging="108"/>
              <w:jc w:val="center"/>
              <w:rPr>
                <w:b/>
                <w:highlight w:val="yellow"/>
                <w:lang w:val="fr-CA"/>
              </w:rPr>
            </w:pPr>
            <w:r w:rsidRPr="00CF272C">
              <w:rPr>
                <w:b/>
                <w:lang w:val="fr-CA"/>
              </w:rPr>
              <w:t>IPSAS</w:t>
            </w:r>
          </w:p>
        </w:tc>
      </w:tr>
      <w:tr w:rsidR="00692DCD" w:rsidRPr="0014060D" w14:paraId="6AFC758A" w14:textId="77777777" w:rsidTr="00692DCD">
        <w:tc>
          <w:tcPr>
            <w:tcW w:w="1560" w:type="dxa"/>
          </w:tcPr>
          <w:p w14:paraId="07B559BE" w14:textId="77777777" w:rsidR="00692DCD" w:rsidRPr="0065666C" w:rsidRDefault="00692DCD" w:rsidP="00692DCD">
            <w:pPr>
              <w:rPr>
                <w:highlight w:val="yellow"/>
                <w:lang w:val="fr-CA"/>
              </w:rPr>
            </w:pPr>
          </w:p>
          <w:p w14:paraId="53409222" w14:textId="51F1F603" w:rsidR="00692DCD" w:rsidRPr="0065666C" w:rsidRDefault="0065666C" w:rsidP="00692DCD">
            <w:pPr>
              <w:rPr>
                <w:highlight w:val="yellow"/>
                <w:lang w:val="fr-CA"/>
              </w:rPr>
            </w:pPr>
            <w:r>
              <w:rPr>
                <w:lang w:val="fr-CA"/>
              </w:rPr>
              <w:t>É</w:t>
            </w:r>
            <w:r w:rsidRPr="0065666C">
              <w:rPr>
                <w:lang w:val="fr-CA"/>
              </w:rPr>
              <w:t>tat des flux de trésorerie</w:t>
            </w:r>
          </w:p>
        </w:tc>
        <w:tc>
          <w:tcPr>
            <w:tcW w:w="3260" w:type="dxa"/>
          </w:tcPr>
          <w:p w14:paraId="6F330075" w14:textId="2CDC0A41" w:rsidR="00692DCD" w:rsidRPr="0065666C" w:rsidRDefault="0065666C" w:rsidP="00692DCD">
            <w:pPr>
              <w:rPr>
                <w:lang w:val="fr-CA"/>
              </w:rPr>
            </w:pPr>
            <w:r w:rsidRPr="0065666C">
              <w:rPr>
                <w:lang w:val="fr-CA"/>
              </w:rPr>
              <w:t>SP</w:t>
            </w:r>
            <w:r w:rsidR="00692DCD" w:rsidRPr="0065666C">
              <w:rPr>
                <w:lang w:val="fr-CA"/>
              </w:rPr>
              <w:t>1201.107</w:t>
            </w:r>
          </w:p>
          <w:p w14:paraId="12A58E1B" w14:textId="68F022E1" w:rsidR="00692DCD" w:rsidRPr="0065666C" w:rsidRDefault="0065666C" w:rsidP="00692DCD">
            <w:pPr>
              <w:rPr>
                <w:highlight w:val="yellow"/>
                <w:lang w:val="fr-CA"/>
              </w:rPr>
            </w:pPr>
            <w:r w:rsidRPr="0065666C">
              <w:rPr>
                <w:i/>
                <w:lang w:val="fr-CA"/>
              </w:rPr>
              <w:t xml:space="preserve">L'état des flux de trésorerie doit montrer comment le gouvernement a généré et utilisé la trésorerie et les équivalents de trésorerie dans l'exercice, ainsi que la variation de la trésorerie et des équivalents de trésorerie au cours de l'exercice. L'état des </w:t>
            </w:r>
            <w:r w:rsidRPr="0065666C">
              <w:rPr>
                <w:i/>
                <w:lang w:val="fr-CA"/>
              </w:rPr>
              <w:lastRenderedPageBreak/>
              <w:t>flux de trésorerie doit montrer la trésorerie et les équivalents de trésorerie au début et à la fin de l'exercice.</w:t>
            </w:r>
          </w:p>
        </w:tc>
        <w:tc>
          <w:tcPr>
            <w:tcW w:w="3260" w:type="dxa"/>
          </w:tcPr>
          <w:p w14:paraId="74495030" w14:textId="77777777" w:rsidR="00692DCD" w:rsidRPr="00C00EB3" w:rsidRDefault="00692DCD" w:rsidP="00692DCD">
            <w:pPr>
              <w:rPr>
                <w:lang w:val="fr-CA"/>
              </w:rPr>
            </w:pPr>
            <w:r w:rsidRPr="00C00EB3">
              <w:rPr>
                <w:lang w:val="fr-CA"/>
              </w:rPr>
              <w:lastRenderedPageBreak/>
              <w:t xml:space="preserve">IAS 7.6 </w:t>
            </w:r>
          </w:p>
          <w:p w14:paraId="0B2247C7" w14:textId="04BC1465" w:rsidR="00692DCD" w:rsidRPr="0065666C" w:rsidRDefault="0065666C" w:rsidP="00692DCD">
            <w:pPr>
              <w:rPr>
                <w:lang w:val="fr-CA"/>
              </w:rPr>
            </w:pPr>
            <w:r w:rsidRPr="0065666C">
              <w:rPr>
                <w:lang w:val="fr-CA"/>
              </w:rPr>
              <w:t xml:space="preserve">Les flux de trésorerie sont les entrées et sorties de trésorerie et d'équivalents de trésorerie. </w:t>
            </w:r>
          </w:p>
        </w:tc>
        <w:tc>
          <w:tcPr>
            <w:tcW w:w="3260" w:type="dxa"/>
          </w:tcPr>
          <w:p w14:paraId="2BEE605B" w14:textId="62CBA614" w:rsidR="00692DCD" w:rsidRPr="00C00EB3" w:rsidRDefault="00692DCD" w:rsidP="00692DCD">
            <w:pPr>
              <w:rPr>
                <w:lang w:val="fr-CA"/>
              </w:rPr>
            </w:pPr>
            <w:r w:rsidRPr="00C00EB3">
              <w:rPr>
                <w:lang w:val="fr-CA"/>
              </w:rPr>
              <w:t>2.8</w:t>
            </w:r>
          </w:p>
          <w:p w14:paraId="7B684A6F" w14:textId="03E657EF" w:rsidR="00692DCD" w:rsidRPr="0014060D" w:rsidRDefault="00C00EB3" w:rsidP="00692DCD">
            <w:pPr>
              <w:rPr>
                <w:lang w:val="fr-CA"/>
              </w:rPr>
            </w:pPr>
            <w:r w:rsidRPr="00C00EB3">
              <w:rPr>
                <w:lang w:val="fr-CA"/>
              </w:rPr>
              <w:t>Les flux de trésorerie sont les entrées et sorties de trésorerie et d’équivalents de trésorerie.</w:t>
            </w:r>
          </w:p>
        </w:tc>
      </w:tr>
      <w:tr w:rsidR="00692DCD" w:rsidRPr="0014060D" w14:paraId="0854A12E" w14:textId="77777777" w:rsidTr="00692DCD">
        <w:tc>
          <w:tcPr>
            <w:tcW w:w="1560" w:type="dxa"/>
          </w:tcPr>
          <w:p w14:paraId="72361AA7" w14:textId="77777777" w:rsidR="00692DCD" w:rsidRPr="00C00EB3" w:rsidRDefault="00692DCD" w:rsidP="00692DCD">
            <w:pPr>
              <w:rPr>
                <w:highlight w:val="yellow"/>
                <w:lang w:val="fr-CA"/>
              </w:rPr>
            </w:pPr>
          </w:p>
          <w:p w14:paraId="20A96BAF" w14:textId="34B5B07E" w:rsidR="00692DCD" w:rsidRPr="00692DCD" w:rsidRDefault="0065666C" w:rsidP="00692DCD">
            <w:pPr>
              <w:rPr>
                <w:highlight w:val="yellow"/>
              </w:rPr>
            </w:pPr>
            <w:r w:rsidRPr="0065666C">
              <w:t>Trésorerie</w:t>
            </w:r>
          </w:p>
        </w:tc>
        <w:tc>
          <w:tcPr>
            <w:tcW w:w="3260" w:type="dxa"/>
          </w:tcPr>
          <w:p w14:paraId="1E94EB86" w14:textId="06938487" w:rsidR="00692DCD" w:rsidRPr="00C00EB3" w:rsidRDefault="0065666C" w:rsidP="00692DCD">
            <w:pPr>
              <w:rPr>
                <w:lang w:val="fr-CA"/>
              </w:rPr>
            </w:pPr>
            <w:r w:rsidRPr="00C00EB3">
              <w:rPr>
                <w:lang w:val="fr-CA"/>
              </w:rPr>
              <w:t>SP</w:t>
            </w:r>
            <w:r w:rsidR="00692DCD" w:rsidRPr="00C00EB3">
              <w:rPr>
                <w:lang w:val="fr-CA"/>
              </w:rPr>
              <w:t>1201.104</w:t>
            </w:r>
          </w:p>
          <w:p w14:paraId="521C2A14" w14:textId="794CFAC2" w:rsidR="00692DCD" w:rsidRPr="0065666C" w:rsidRDefault="0065666C" w:rsidP="00692DCD">
            <w:pPr>
              <w:rPr>
                <w:highlight w:val="yellow"/>
                <w:lang w:val="fr-CA"/>
              </w:rPr>
            </w:pPr>
            <w:r w:rsidRPr="0065666C">
              <w:rPr>
                <w:lang w:val="fr-CA"/>
              </w:rPr>
              <w:t>La trésorerie comprend les fonds en caisse et les dépôts à vue.</w:t>
            </w:r>
          </w:p>
        </w:tc>
        <w:tc>
          <w:tcPr>
            <w:tcW w:w="3260" w:type="dxa"/>
          </w:tcPr>
          <w:p w14:paraId="1D871629" w14:textId="77777777" w:rsidR="00692DCD" w:rsidRPr="00C00EB3" w:rsidRDefault="00692DCD" w:rsidP="00692DCD">
            <w:pPr>
              <w:rPr>
                <w:lang w:val="fr-CA"/>
              </w:rPr>
            </w:pPr>
            <w:r w:rsidRPr="00C00EB3">
              <w:rPr>
                <w:lang w:val="fr-CA"/>
              </w:rPr>
              <w:t>IAS 7.6</w:t>
            </w:r>
          </w:p>
          <w:p w14:paraId="6269F504" w14:textId="44EDE7D2" w:rsidR="00692DCD" w:rsidRPr="00C00EB3" w:rsidRDefault="0065666C" w:rsidP="00692DCD">
            <w:pPr>
              <w:rPr>
                <w:lang w:val="fr-CA"/>
              </w:rPr>
            </w:pPr>
            <w:r w:rsidRPr="00C00EB3">
              <w:rPr>
                <w:lang w:val="fr-CA"/>
              </w:rPr>
              <w:t>La trésorerie comprend les fonds en caisse et les dépôts à vue.</w:t>
            </w:r>
          </w:p>
        </w:tc>
        <w:tc>
          <w:tcPr>
            <w:tcW w:w="3260" w:type="dxa"/>
          </w:tcPr>
          <w:p w14:paraId="15E9774B" w14:textId="77777777" w:rsidR="00692DCD" w:rsidRPr="00E9185D" w:rsidRDefault="00692DCD" w:rsidP="00692DCD">
            <w:pPr>
              <w:rPr>
                <w:lang w:val="fr-CA"/>
              </w:rPr>
            </w:pPr>
            <w:r w:rsidRPr="00E9185D">
              <w:rPr>
                <w:lang w:val="fr-CA"/>
              </w:rPr>
              <w:t>IPSAS 2.8</w:t>
            </w:r>
          </w:p>
          <w:p w14:paraId="5AF1C663" w14:textId="3B036649" w:rsidR="00692DCD" w:rsidRPr="00C00EB3" w:rsidRDefault="00C00EB3" w:rsidP="00692DCD">
            <w:pPr>
              <w:rPr>
                <w:lang w:val="fr-CA"/>
              </w:rPr>
            </w:pPr>
            <w:r w:rsidRPr="00C00EB3">
              <w:rPr>
                <w:lang w:val="fr-CA"/>
              </w:rPr>
              <w:t>La trésorerie comprend les fonds en caisse et les dépôts à vue.</w:t>
            </w:r>
          </w:p>
        </w:tc>
      </w:tr>
      <w:tr w:rsidR="00692DCD" w:rsidRPr="0014060D" w14:paraId="2637C93F" w14:textId="77777777" w:rsidTr="00692DCD">
        <w:tc>
          <w:tcPr>
            <w:tcW w:w="1560" w:type="dxa"/>
          </w:tcPr>
          <w:p w14:paraId="31B813B0" w14:textId="77777777" w:rsidR="00692DCD" w:rsidRPr="00C00EB3" w:rsidRDefault="00692DCD" w:rsidP="00692DCD">
            <w:pPr>
              <w:rPr>
                <w:highlight w:val="yellow"/>
                <w:lang w:val="fr-CA"/>
              </w:rPr>
            </w:pPr>
          </w:p>
          <w:p w14:paraId="7DD826B1" w14:textId="0E57EAE4" w:rsidR="00692DCD" w:rsidRPr="00692DCD" w:rsidRDefault="0065666C" w:rsidP="00692DCD">
            <w:pPr>
              <w:rPr>
                <w:highlight w:val="yellow"/>
              </w:rPr>
            </w:pPr>
            <w:r>
              <w:t>Équivalents de trésorerie</w:t>
            </w:r>
          </w:p>
        </w:tc>
        <w:tc>
          <w:tcPr>
            <w:tcW w:w="3260" w:type="dxa"/>
          </w:tcPr>
          <w:p w14:paraId="685159BF" w14:textId="5A95CA5F" w:rsidR="00692DCD" w:rsidRPr="00C00EB3" w:rsidRDefault="0065666C" w:rsidP="00692DCD">
            <w:pPr>
              <w:rPr>
                <w:lang w:val="fr-CA"/>
              </w:rPr>
            </w:pPr>
            <w:r w:rsidRPr="00C00EB3">
              <w:rPr>
                <w:lang w:val="fr-CA"/>
              </w:rPr>
              <w:t>SP</w:t>
            </w:r>
            <w:r w:rsidR="00692DCD" w:rsidRPr="00C00EB3">
              <w:rPr>
                <w:lang w:val="fr-CA"/>
              </w:rPr>
              <w:t xml:space="preserve">1201.105 </w:t>
            </w:r>
          </w:p>
          <w:p w14:paraId="13ECE18F" w14:textId="3F6668FD" w:rsidR="00692DCD" w:rsidRPr="0065666C" w:rsidRDefault="0065666C" w:rsidP="00692DCD">
            <w:pPr>
              <w:rPr>
                <w:highlight w:val="yellow"/>
                <w:lang w:val="fr-CA"/>
              </w:rPr>
            </w:pPr>
            <w:r w:rsidRPr="0065666C">
              <w:rPr>
                <w:lang w:val="fr-CA"/>
              </w:rPr>
              <w:t>Les équivalents de trésorerie sont des placements à court terme, très liquides, facilement convertibles en un montant connu de trésorerie et dont la valeur ne risque pas de changer de façon significative. Les équivalents de trésorerie sont détenus dans le but de faire face aux engagements de trésorerie à court terme, et non à des fins de placement ou autres. Un placement ne sera en général assimilé à des équivalents de trésorerie que s'il a une échéance proche, par exemple inférieure ou égale à trois mois à partir de la date d'acquisition.</w:t>
            </w:r>
            <w:r w:rsidR="00056DAD">
              <w:rPr>
                <w:lang w:val="fr-CA"/>
              </w:rPr>
              <w:t xml:space="preserve"> </w:t>
            </w:r>
            <w:r w:rsidR="00056DAD" w:rsidRPr="00056DAD">
              <w:rPr>
                <w:lang w:val="fr-CA"/>
              </w:rPr>
              <w:t>Les placements en titres de capitaux propres sont exclus des équivalents de trésorerie sauf s'ils sont, en substance, des équivalents de trésorerie.</w:t>
            </w:r>
          </w:p>
        </w:tc>
        <w:tc>
          <w:tcPr>
            <w:tcW w:w="3260" w:type="dxa"/>
          </w:tcPr>
          <w:p w14:paraId="0195F761" w14:textId="35E72456" w:rsidR="00692DCD" w:rsidRPr="00C00EB3" w:rsidRDefault="0014060D" w:rsidP="00692DCD">
            <w:pPr>
              <w:rPr>
                <w:lang w:val="fr-CA"/>
              </w:rPr>
            </w:pPr>
            <w:r>
              <w:rPr>
                <w:lang w:val="fr-CA"/>
              </w:rPr>
              <w:t>IAS 7.6</w:t>
            </w:r>
          </w:p>
          <w:p w14:paraId="6D31E0A9" w14:textId="77777777" w:rsidR="0065666C" w:rsidRPr="00C00EB3" w:rsidRDefault="0065666C" w:rsidP="00692DCD">
            <w:pPr>
              <w:rPr>
                <w:lang w:val="fr-CA"/>
              </w:rPr>
            </w:pPr>
            <w:r w:rsidRPr="00C00EB3">
              <w:rPr>
                <w:lang w:val="fr-CA"/>
              </w:rPr>
              <w:t xml:space="preserve">Les équivalents de trésorerie sont les placements à court terme, très liquides qui sont facilement convertibles en un montant connu de trésorerie et qui sont soumis à un risque négligeable de changement de valeur. </w:t>
            </w:r>
          </w:p>
          <w:p w14:paraId="3FA1670C" w14:textId="2D84A80F" w:rsidR="00692DCD" w:rsidRPr="00C00EB3" w:rsidRDefault="00692DCD" w:rsidP="00692DCD">
            <w:pPr>
              <w:rPr>
                <w:lang w:val="fr-CA"/>
              </w:rPr>
            </w:pPr>
            <w:r w:rsidRPr="00C00EB3">
              <w:rPr>
                <w:lang w:val="fr-CA"/>
              </w:rPr>
              <w:t>IAS 7.7</w:t>
            </w:r>
          </w:p>
          <w:p w14:paraId="2DFB1ACA" w14:textId="3B0E2422" w:rsidR="00692DCD" w:rsidRPr="00C00EB3" w:rsidRDefault="0065666C" w:rsidP="00692DCD">
            <w:pPr>
              <w:rPr>
                <w:lang w:val="fr-CA"/>
              </w:rPr>
            </w:pPr>
            <w:r w:rsidRPr="00C00EB3">
              <w:rPr>
                <w:lang w:val="fr-CA"/>
              </w:rPr>
              <w:t>Les équivalents de trésorerie sont détenus dans le but de faire face aux engagements de trésorerie à court terme plutôt que pour un placement ou d'autres finalités. Pour qu'un placement puisse être considéré comme un équivalent de trésorerie, il doit être facilement convertible, en un montant de trésorerie connu et être soumis à un risque négligeable de changement de valeur. En conséquence, un placement ne sera normalement qualifié d'équivalent de trésorerie que s'il a une échéance rapprochée, par exemple inférieure ou égale à trois mois à partir de la date d'acquisition.</w:t>
            </w:r>
            <w:r w:rsidR="00056DAD" w:rsidRPr="00056DAD">
              <w:rPr>
                <w:lang w:val="fr-CA"/>
              </w:rPr>
              <w:t xml:space="preserve"> Les participations dans des capitaux propres sont exclues des équivalents de trésorerie à moins qu'elles ne soient, en substance, des équivalents de trésorerie, par exemple dans le cas d'actions préférentielles acquises peu avant leur date d'échéance et ayant une date de remboursement déterminée.</w:t>
            </w:r>
            <w:r w:rsidR="00056DAD">
              <w:rPr>
                <w:lang w:val="fr-CA"/>
              </w:rPr>
              <w:t xml:space="preserve"> </w:t>
            </w:r>
          </w:p>
        </w:tc>
        <w:tc>
          <w:tcPr>
            <w:tcW w:w="3260" w:type="dxa"/>
          </w:tcPr>
          <w:p w14:paraId="153F92A6" w14:textId="77777777" w:rsidR="00692DCD" w:rsidRPr="00E9185D" w:rsidRDefault="00692DCD" w:rsidP="00692DCD">
            <w:pPr>
              <w:rPr>
                <w:lang w:val="fr-CA"/>
              </w:rPr>
            </w:pPr>
            <w:r w:rsidRPr="00E9185D">
              <w:rPr>
                <w:lang w:val="fr-CA"/>
              </w:rPr>
              <w:t>IPSAS 2.8</w:t>
            </w:r>
          </w:p>
          <w:p w14:paraId="74D9A143" w14:textId="77777777" w:rsidR="00C00EB3" w:rsidRPr="00C00EB3" w:rsidRDefault="00C00EB3" w:rsidP="00C00EB3">
            <w:pPr>
              <w:rPr>
                <w:lang w:val="fr-CA"/>
              </w:rPr>
            </w:pPr>
            <w:r w:rsidRPr="00C00EB3">
              <w:rPr>
                <w:lang w:val="fr-CA"/>
              </w:rPr>
              <w:t xml:space="preserve">Les équivalents de trésorerie sont les placements à court terme, très liquides qui sont facilement convertibles en un montant connu de trésorerie et qui sont soumis à un risque négligeable de changement de valeur. </w:t>
            </w:r>
          </w:p>
          <w:p w14:paraId="18B5838E" w14:textId="77777777" w:rsidR="00692DCD" w:rsidRPr="00E9185D" w:rsidRDefault="00692DCD" w:rsidP="00692DCD">
            <w:pPr>
              <w:rPr>
                <w:lang w:val="fr-CA"/>
              </w:rPr>
            </w:pPr>
            <w:r w:rsidRPr="00E9185D">
              <w:rPr>
                <w:lang w:val="fr-CA"/>
              </w:rPr>
              <w:t>IPSAS 2.9</w:t>
            </w:r>
          </w:p>
          <w:p w14:paraId="06848D92" w14:textId="6AA479D9" w:rsidR="00692DCD" w:rsidRPr="00C00EB3" w:rsidRDefault="00C00EB3" w:rsidP="00692DCD">
            <w:pPr>
              <w:rPr>
                <w:lang w:val="fr-CA"/>
              </w:rPr>
            </w:pPr>
            <w:r w:rsidRPr="00C00EB3">
              <w:rPr>
                <w:lang w:val="fr-CA"/>
              </w:rPr>
              <w:t>Les équivalents de trésorerie sont détenus dans le but de faire face aux engagements de trésorerie à court terme plutôt que pour un placement ou d'autres finalités. Pour qu'un placement puisse être considéré comme un équivalent de trésorerie, il doit être facilement convertible, en un montant de trésorerie connu et être soumis à un risque négligeable de changement de valeur. En conséquence, un placement ne sera normalement qualifié d'équivalent de trésorerie que s'il a une échéance rapprochée, par exemple inférieure ou égale à trois mois à partir de la date d'acquisition.</w:t>
            </w:r>
            <w:r w:rsidR="00056DAD" w:rsidRPr="00056DAD">
              <w:rPr>
                <w:lang w:val="fr-CA"/>
              </w:rPr>
              <w:t xml:space="preserve"> Les participations dans des capitaux propres sont exclues des équivalents de trésorerie à moins qu'elles ne soient, en substance, des équivalents de trésorerie, par exemple dans le cas d'actions préférentielles acquises peu avant leur date d'échéance et ayant une date de remboursement déterminée.</w:t>
            </w:r>
            <w:r w:rsidR="00056DAD">
              <w:rPr>
                <w:lang w:val="fr-CA"/>
              </w:rPr>
              <w:t xml:space="preserve"> </w:t>
            </w:r>
          </w:p>
        </w:tc>
      </w:tr>
      <w:tr w:rsidR="00692DCD" w:rsidRPr="0014060D" w14:paraId="298C10A1" w14:textId="77777777" w:rsidTr="00692DCD">
        <w:tc>
          <w:tcPr>
            <w:tcW w:w="1560" w:type="dxa"/>
          </w:tcPr>
          <w:p w14:paraId="453039FF" w14:textId="77777777" w:rsidR="00692DCD" w:rsidRPr="00C00EB3" w:rsidRDefault="00692DCD" w:rsidP="00692DCD">
            <w:pPr>
              <w:rPr>
                <w:lang w:val="fr-CA"/>
              </w:rPr>
            </w:pPr>
          </w:p>
          <w:p w14:paraId="662DC9BF" w14:textId="3A24DDF3" w:rsidR="00692DCD" w:rsidRPr="0065666C" w:rsidRDefault="0065666C" w:rsidP="00692DCD">
            <w:r w:rsidRPr="0065666C">
              <w:t>Découverts bancaires</w:t>
            </w:r>
          </w:p>
        </w:tc>
        <w:tc>
          <w:tcPr>
            <w:tcW w:w="3260" w:type="dxa"/>
          </w:tcPr>
          <w:p w14:paraId="05A183A0" w14:textId="2AD18B08" w:rsidR="00692DCD" w:rsidRPr="00C00EB3" w:rsidRDefault="0065666C" w:rsidP="00692DCD">
            <w:pPr>
              <w:rPr>
                <w:lang w:val="fr-CA"/>
              </w:rPr>
            </w:pPr>
            <w:r w:rsidRPr="00C00EB3">
              <w:rPr>
                <w:lang w:val="fr-CA"/>
              </w:rPr>
              <w:t>SP</w:t>
            </w:r>
            <w:r w:rsidR="00692DCD" w:rsidRPr="00C00EB3">
              <w:rPr>
                <w:lang w:val="fr-CA"/>
              </w:rPr>
              <w:t xml:space="preserve">1201.105 </w:t>
            </w:r>
          </w:p>
          <w:p w14:paraId="20433F6F" w14:textId="1E999031" w:rsidR="00692DCD" w:rsidRPr="0065666C" w:rsidRDefault="0065666C" w:rsidP="00692DCD">
            <w:pPr>
              <w:rPr>
                <w:lang w:val="fr-CA"/>
              </w:rPr>
            </w:pPr>
            <w:r w:rsidRPr="0065666C">
              <w:rPr>
                <w:lang w:val="fr-CA"/>
              </w:rPr>
              <w:t xml:space="preserve">Lorsque les découverts bancaires, remboursables à vue, font partie intégrante de la gestion de la trésorerie du gouvernement, de telle sorte que le solde bancaire du </w:t>
            </w:r>
            <w:r w:rsidRPr="0065666C">
              <w:rPr>
                <w:lang w:val="fr-CA"/>
              </w:rPr>
              <w:lastRenderedPageBreak/>
              <w:t>gouvernement fluctue souvent entre le disponible et le découvert, les découverts bancaires peuvent être inclus dans la trésorerie et les équivalents de trésorerie.</w:t>
            </w:r>
          </w:p>
          <w:p w14:paraId="4EE5428A" w14:textId="77777777" w:rsidR="00692DCD" w:rsidRPr="0065666C" w:rsidRDefault="00692DCD" w:rsidP="00692DCD">
            <w:pPr>
              <w:rPr>
                <w:lang w:val="fr-CA"/>
              </w:rPr>
            </w:pPr>
          </w:p>
        </w:tc>
        <w:tc>
          <w:tcPr>
            <w:tcW w:w="3260" w:type="dxa"/>
          </w:tcPr>
          <w:p w14:paraId="4C369155" w14:textId="17E3372F" w:rsidR="00692DCD" w:rsidRPr="00C00EB3" w:rsidRDefault="0014060D" w:rsidP="00692DCD">
            <w:pPr>
              <w:rPr>
                <w:lang w:val="fr-CA"/>
              </w:rPr>
            </w:pPr>
            <w:r>
              <w:rPr>
                <w:lang w:val="fr-CA"/>
              </w:rPr>
              <w:lastRenderedPageBreak/>
              <w:t>IAS 7.8</w:t>
            </w:r>
          </w:p>
          <w:p w14:paraId="6472449D" w14:textId="0C5BC2A5" w:rsidR="00692DCD" w:rsidRPr="0065666C" w:rsidRDefault="0065666C" w:rsidP="00692DCD">
            <w:pPr>
              <w:rPr>
                <w:lang w:val="fr-CA"/>
              </w:rPr>
            </w:pPr>
            <w:r w:rsidRPr="0065666C">
              <w:rPr>
                <w:lang w:val="fr-CA"/>
              </w:rPr>
              <w:t xml:space="preserve">Les emprunts bancaires sont en général considérés comme des activités de financement. Toutefois, dans certains pays, les découverts bancaires remboursables à vue font </w:t>
            </w:r>
            <w:r w:rsidRPr="0065666C">
              <w:rPr>
                <w:lang w:val="fr-CA"/>
              </w:rPr>
              <w:lastRenderedPageBreak/>
              <w:t>partie intégrante de la gestion de la trésorerie de l'entité. Dans ces circonstances, les découverts bancaires constituent une composante de la trésorerie et des équivalents de trésorerie. Une caractéristique de telles conventions bancaires est que le solde bancaire fluctue souvent entre le disponible et le découvert.</w:t>
            </w:r>
          </w:p>
        </w:tc>
        <w:tc>
          <w:tcPr>
            <w:tcW w:w="3260" w:type="dxa"/>
          </w:tcPr>
          <w:p w14:paraId="0EBF39F8" w14:textId="77777777" w:rsidR="00692DCD" w:rsidRPr="00E9185D" w:rsidRDefault="00692DCD" w:rsidP="00692DCD">
            <w:pPr>
              <w:rPr>
                <w:lang w:val="fr-CA"/>
              </w:rPr>
            </w:pPr>
            <w:r w:rsidRPr="00E9185D">
              <w:rPr>
                <w:lang w:val="fr-CA"/>
              </w:rPr>
              <w:lastRenderedPageBreak/>
              <w:t>IPSAS 2.10</w:t>
            </w:r>
          </w:p>
          <w:p w14:paraId="591F8708" w14:textId="4481E188" w:rsidR="00692DCD" w:rsidRPr="00C00EB3" w:rsidRDefault="00C00EB3" w:rsidP="00692DCD">
            <w:pPr>
              <w:rPr>
                <w:highlight w:val="yellow"/>
                <w:lang w:val="fr-CA"/>
              </w:rPr>
            </w:pPr>
            <w:r w:rsidRPr="00C00EB3">
              <w:rPr>
                <w:lang w:val="fr-CA"/>
              </w:rPr>
              <w:t>Les emprunts bancaires sont en général considérés comme des activités de financement. Toutefois,</w:t>
            </w:r>
            <w:r w:rsidRPr="0065666C">
              <w:rPr>
                <w:lang w:val="fr-CA"/>
              </w:rPr>
              <w:t xml:space="preserve"> dans certains pays, les découverts bancaires remboursables à vue font </w:t>
            </w:r>
            <w:r w:rsidRPr="0065666C">
              <w:rPr>
                <w:lang w:val="fr-CA"/>
              </w:rPr>
              <w:lastRenderedPageBreak/>
              <w:t>partie intégrante de la gestion de la trésorerie de l'entité. Dans ces circonstances, les découverts bancaires constituent une composante de la trésorerie et des équivalents de trésorerie. Une caractéristique de telles conventions bancaires est que le solde bancaire fluctue souvent entre le disponible et le découvert.</w:t>
            </w:r>
          </w:p>
        </w:tc>
      </w:tr>
    </w:tbl>
    <w:p w14:paraId="7D66B857" w14:textId="14766F5D" w:rsidR="00692DCD" w:rsidRPr="00E9185D" w:rsidRDefault="00E9185D" w:rsidP="00692DCD">
      <w:pPr>
        <w:rPr>
          <w:lang w:val="fr-CA"/>
        </w:rPr>
      </w:pPr>
      <w:r w:rsidRPr="00E9185D">
        <w:rPr>
          <w:lang w:val="fr-CA"/>
        </w:rPr>
        <w:lastRenderedPageBreak/>
        <w:t>Voici quelques conséquences de ces définitions et de ces exigences liées à l’état des flux de trésorerie:</w:t>
      </w:r>
    </w:p>
    <w:p w14:paraId="68BAE939" w14:textId="62525891" w:rsidR="00692DCD" w:rsidRPr="00E9185D" w:rsidRDefault="00E9185D" w:rsidP="00692DCD">
      <w:pPr>
        <w:pStyle w:val="ListParagraph"/>
        <w:numPr>
          <w:ilvl w:val="0"/>
          <w:numId w:val="7"/>
        </w:numPr>
        <w:rPr>
          <w:lang w:val="fr-CA"/>
        </w:rPr>
      </w:pPr>
      <w:r w:rsidRPr="00E9185D">
        <w:rPr>
          <w:lang w:val="fr-CA"/>
        </w:rPr>
        <w:t>Vous devez vous assurer que ce qui est classé dans le</w:t>
      </w:r>
      <w:r w:rsidR="009A2913">
        <w:rPr>
          <w:lang w:val="fr-CA"/>
        </w:rPr>
        <w:t xml:space="preserve"> poste </w:t>
      </w:r>
      <w:r w:rsidRPr="00E9185D">
        <w:rPr>
          <w:lang w:val="fr-CA"/>
        </w:rPr>
        <w:t xml:space="preserve">de la trésorerie rencontre la </w:t>
      </w:r>
      <w:r w:rsidR="009A2913" w:rsidRPr="00E9185D">
        <w:rPr>
          <w:lang w:val="fr-CA"/>
        </w:rPr>
        <w:t>définition</w:t>
      </w:r>
      <w:r w:rsidRPr="00E9185D">
        <w:rPr>
          <w:lang w:val="fr-CA"/>
        </w:rPr>
        <w:t xml:space="preserve"> de trésorerie</w:t>
      </w:r>
      <w:r w:rsidR="00692DCD" w:rsidRPr="00E9185D">
        <w:rPr>
          <w:lang w:val="fr-CA"/>
        </w:rPr>
        <w:t>.</w:t>
      </w:r>
    </w:p>
    <w:p w14:paraId="65922737" w14:textId="7E6A56A9" w:rsidR="00692DCD" w:rsidRPr="00E9185D" w:rsidRDefault="00E9185D" w:rsidP="00692DCD">
      <w:pPr>
        <w:pStyle w:val="ListParagraph"/>
        <w:numPr>
          <w:ilvl w:val="0"/>
          <w:numId w:val="7"/>
        </w:numPr>
        <w:rPr>
          <w:lang w:val="fr-CA"/>
        </w:rPr>
      </w:pPr>
      <w:r w:rsidRPr="00E9185D">
        <w:rPr>
          <w:lang w:val="fr-CA"/>
        </w:rPr>
        <w:t>Si l’entité auditée possède des équivalents de trésorerie, vous devez vous assurer que l’état des flux de trésorerie concilie la trésorerie et l’équivalent de trésorerie.</w:t>
      </w:r>
    </w:p>
    <w:p w14:paraId="3A1E0152" w14:textId="4A363A2A" w:rsidR="00E9185D" w:rsidRPr="005F34CA" w:rsidRDefault="00E9185D" w:rsidP="00E9185D">
      <w:pPr>
        <w:pStyle w:val="ListParagraph"/>
        <w:numPr>
          <w:ilvl w:val="1"/>
          <w:numId w:val="7"/>
        </w:numPr>
        <w:rPr>
          <w:lang w:val="fr-CA"/>
        </w:rPr>
      </w:pPr>
      <w:r w:rsidRPr="00E9185D">
        <w:rPr>
          <w:lang w:val="fr-CA"/>
        </w:rPr>
        <w:t>Il est important de bien comprendre les intentions de l’entité</w:t>
      </w:r>
      <w:r w:rsidR="00056DAD">
        <w:rPr>
          <w:lang w:val="fr-CA"/>
        </w:rPr>
        <w:t xml:space="preserve"> quant à leur gestion de la trésorerie</w:t>
      </w:r>
      <w:r w:rsidRPr="00E9185D">
        <w:rPr>
          <w:lang w:val="fr-CA"/>
        </w:rPr>
        <w:t xml:space="preserve"> afin de s’assurer du classement appropriée de n’importe quel solde d’équivalents de trésorerie.</w:t>
      </w:r>
      <w:r w:rsidR="00692DCD" w:rsidRPr="00E9185D">
        <w:rPr>
          <w:lang w:val="fr-CA"/>
        </w:rPr>
        <w:t xml:space="preserve"> </w:t>
      </w:r>
      <w:r w:rsidRPr="00E9185D">
        <w:rPr>
          <w:lang w:val="fr-CA"/>
        </w:rPr>
        <w:t xml:space="preserve">Par exemple, un placement à court terme peut ne pas rencontrer la définition d’équivalents de trésorerie s’il est détenu dans un portefeuille de placements et qu’il n’est pas détenu dans le but de faire face aux engagements </w:t>
      </w:r>
      <w:r w:rsidRPr="005F34CA">
        <w:rPr>
          <w:lang w:val="fr-CA"/>
        </w:rPr>
        <w:t>de trésorerie à court terme.</w:t>
      </w:r>
    </w:p>
    <w:p w14:paraId="4D6C7928" w14:textId="0542FCD2" w:rsidR="005F34CA" w:rsidRPr="0076746B" w:rsidRDefault="009A2913" w:rsidP="00692DCD">
      <w:pPr>
        <w:pStyle w:val="ListParagraph"/>
        <w:numPr>
          <w:ilvl w:val="1"/>
          <w:numId w:val="7"/>
        </w:numPr>
        <w:rPr>
          <w:lang w:val="fr-CA"/>
        </w:rPr>
      </w:pPr>
      <w:r w:rsidRPr="005F34CA">
        <w:rPr>
          <w:lang w:val="fr-CA"/>
        </w:rPr>
        <w:t xml:space="preserve">De plus, un équivalent de trésorerie peut être classé dans un poste différent </w:t>
      </w:r>
      <w:r w:rsidR="00C101D7">
        <w:rPr>
          <w:lang w:val="fr-CA"/>
        </w:rPr>
        <w:t>de</w:t>
      </w:r>
      <w:r w:rsidRPr="005F34CA">
        <w:rPr>
          <w:lang w:val="fr-CA"/>
        </w:rPr>
        <w:t xml:space="preserve"> la trésorerie à l’état de la situation financière (par exemple, dans un compte d’investissement). Si cela est le cas, il devrait tout de même être inclus dans le total de « trésorerie et d’équivalents de trésorerie » </w:t>
      </w:r>
      <w:r w:rsidR="00D26EBE">
        <w:rPr>
          <w:lang w:val="fr-CA"/>
        </w:rPr>
        <w:t xml:space="preserve">afin </w:t>
      </w:r>
      <w:r w:rsidR="00056DAD">
        <w:rPr>
          <w:lang w:val="fr-CA"/>
        </w:rPr>
        <w:t xml:space="preserve">que </w:t>
      </w:r>
      <w:r w:rsidRPr="005F34CA">
        <w:rPr>
          <w:lang w:val="fr-CA"/>
        </w:rPr>
        <w:t>l’état des flux de trésorerie</w:t>
      </w:r>
      <w:r w:rsidR="00056DAD">
        <w:rPr>
          <w:lang w:val="fr-CA"/>
        </w:rPr>
        <w:t xml:space="preserve"> concilie</w:t>
      </w:r>
      <w:r w:rsidRPr="005F34CA">
        <w:rPr>
          <w:lang w:val="fr-CA"/>
        </w:rPr>
        <w:t xml:space="preserve">. </w:t>
      </w:r>
      <w:r w:rsidR="005F34CA" w:rsidRPr="005F34CA">
        <w:rPr>
          <w:lang w:val="fr-CA"/>
        </w:rPr>
        <w:t>Des détails suffisants devraient être présentés</w:t>
      </w:r>
      <w:r w:rsidR="00056DAD">
        <w:rPr>
          <w:lang w:val="fr-CA"/>
        </w:rPr>
        <w:t xml:space="preserve">, </w:t>
      </w:r>
      <w:r w:rsidR="00056DAD" w:rsidRPr="005F34CA">
        <w:rPr>
          <w:lang w:val="fr-CA"/>
        </w:rPr>
        <w:t xml:space="preserve">soit dans l’état des </w:t>
      </w:r>
      <w:r w:rsidR="00056DAD" w:rsidRPr="0076746B">
        <w:rPr>
          <w:lang w:val="fr-CA"/>
        </w:rPr>
        <w:t>flux de trésorerie ou dans une note afférente</w:t>
      </w:r>
      <w:r w:rsidR="00056DAD">
        <w:rPr>
          <w:lang w:val="fr-CA"/>
        </w:rPr>
        <w:t>,</w:t>
      </w:r>
      <w:r w:rsidR="005F34CA" w:rsidRPr="005F34CA">
        <w:rPr>
          <w:lang w:val="fr-CA"/>
        </w:rPr>
        <w:t xml:space="preserve"> afin de permettre au lecteur de comprendre la conciliation de « trésorerie et d’équivalents de trésorerie »</w:t>
      </w:r>
      <w:r w:rsidR="00056DAD">
        <w:rPr>
          <w:lang w:val="fr-CA"/>
        </w:rPr>
        <w:t>.</w:t>
      </w:r>
    </w:p>
    <w:p w14:paraId="0CAB0578" w14:textId="53FC9C87" w:rsidR="0076746B" w:rsidRPr="0076746B" w:rsidRDefault="005F34CA" w:rsidP="00144144">
      <w:pPr>
        <w:pStyle w:val="ListParagraph"/>
        <w:numPr>
          <w:ilvl w:val="0"/>
          <w:numId w:val="7"/>
        </w:numPr>
        <w:rPr>
          <w:b/>
          <w:sz w:val="24"/>
          <w:szCs w:val="24"/>
          <w:lang w:val="fr-CA"/>
        </w:rPr>
      </w:pPr>
      <w:r w:rsidRPr="0076746B">
        <w:rPr>
          <w:lang w:val="fr-CA"/>
        </w:rPr>
        <w:t xml:space="preserve">Le solde de trésorerie et d’équivalents de trésorerie présenté </w:t>
      </w:r>
      <w:r w:rsidR="0076746B" w:rsidRPr="0076746B">
        <w:rPr>
          <w:lang w:val="fr-CA"/>
        </w:rPr>
        <w:t>à</w:t>
      </w:r>
      <w:r w:rsidRPr="0076746B">
        <w:rPr>
          <w:lang w:val="fr-CA"/>
        </w:rPr>
        <w:t xml:space="preserve"> l’état des flux de trésorerie peut être différent du solde de trésorerie et d’équivalents de trésoreries présenté à l’état de la situation financière, puisque certain</w:t>
      </w:r>
      <w:r w:rsidR="00056DAD">
        <w:rPr>
          <w:lang w:val="fr-CA"/>
        </w:rPr>
        <w:t>e</w:t>
      </w:r>
      <w:r w:rsidRPr="0076746B">
        <w:rPr>
          <w:lang w:val="fr-CA"/>
        </w:rPr>
        <w:t xml:space="preserve">s </w:t>
      </w:r>
      <w:r w:rsidR="00056DAD">
        <w:rPr>
          <w:lang w:val="fr-CA"/>
        </w:rPr>
        <w:t>composantes</w:t>
      </w:r>
      <w:r w:rsidRPr="0076746B">
        <w:rPr>
          <w:lang w:val="fr-CA"/>
        </w:rPr>
        <w:t xml:space="preserve"> peuvent être </w:t>
      </w:r>
      <w:r w:rsidR="00056DAD" w:rsidRPr="0076746B">
        <w:rPr>
          <w:lang w:val="fr-CA"/>
        </w:rPr>
        <w:t>classées</w:t>
      </w:r>
      <w:r w:rsidRPr="0076746B">
        <w:rPr>
          <w:lang w:val="fr-CA"/>
        </w:rPr>
        <w:t xml:space="preserve"> sous un poste distinct (</w:t>
      </w:r>
      <w:r w:rsidR="0076746B" w:rsidRPr="0076746B">
        <w:rPr>
          <w:lang w:val="fr-CA"/>
        </w:rPr>
        <w:t>par exemple</w:t>
      </w:r>
      <w:r w:rsidR="00DD3754">
        <w:rPr>
          <w:lang w:val="fr-CA"/>
        </w:rPr>
        <w:t>,</w:t>
      </w:r>
      <w:r w:rsidR="0076746B" w:rsidRPr="0076746B">
        <w:rPr>
          <w:lang w:val="fr-CA"/>
        </w:rPr>
        <w:t xml:space="preserve"> un découvert bancaire peut être présenté sous les passifs</w:t>
      </w:r>
      <w:r w:rsidRPr="0076746B">
        <w:rPr>
          <w:lang w:val="fr-CA"/>
        </w:rPr>
        <w:t>)</w:t>
      </w:r>
      <w:r w:rsidR="0076746B" w:rsidRPr="0076746B">
        <w:rPr>
          <w:lang w:val="fr-CA"/>
        </w:rPr>
        <w:t xml:space="preserve">. Tel que mentionné ci-haut, des </w:t>
      </w:r>
      <w:r w:rsidR="00056DAD" w:rsidRPr="005F34CA">
        <w:rPr>
          <w:lang w:val="fr-CA"/>
        </w:rPr>
        <w:t>détails suffisants devraient être présentés</w:t>
      </w:r>
      <w:r w:rsidR="00056DAD">
        <w:rPr>
          <w:lang w:val="fr-CA"/>
        </w:rPr>
        <w:t xml:space="preserve">, </w:t>
      </w:r>
      <w:r w:rsidR="00056DAD" w:rsidRPr="005F34CA">
        <w:rPr>
          <w:lang w:val="fr-CA"/>
        </w:rPr>
        <w:t xml:space="preserve">soit dans l’état des </w:t>
      </w:r>
      <w:r w:rsidR="00056DAD" w:rsidRPr="0076746B">
        <w:rPr>
          <w:lang w:val="fr-CA"/>
        </w:rPr>
        <w:t>flux de trésorerie ou dans une note afférente</w:t>
      </w:r>
      <w:r w:rsidR="00056DAD">
        <w:rPr>
          <w:lang w:val="fr-CA"/>
        </w:rPr>
        <w:t>,</w:t>
      </w:r>
      <w:r w:rsidR="00056DAD" w:rsidRPr="005F34CA">
        <w:rPr>
          <w:lang w:val="fr-CA"/>
        </w:rPr>
        <w:t xml:space="preserve"> afin de permettre au lecteur de comprendre la conciliation de « trésorerie et d’équivalents de trésorerie »</w:t>
      </w:r>
      <w:r w:rsidR="00056DAD">
        <w:rPr>
          <w:lang w:val="fr-CA"/>
        </w:rPr>
        <w:t>.</w:t>
      </w:r>
    </w:p>
    <w:p w14:paraId="7FDE197D" w14:textId="7F633392" w:rsidR="00CA06AC" w:rsidRPr="003D57ED" w:rsidRDefault="00CA06AC" w:rsidP="00144144">
      <w:pPr>
        <w:rPr>
          <w:b/>
          <w:sz w:val="24"/>
          <w:szCs w:val="24"/>
          <w:lang w:val="fr-CA"/>
        </w:rPr>
      </w:pPr>
      <w:r w:rsidRPr="003D57ED">
        <w:rPr>
          <w:b/>
          <w:sz w:val="24"/>
          <w:szCs w:val="24"/>
          <w:lang w:val="fr-CA"/>
        </w:rPr>
        <w:t>Connaissez vos entités</w:t>
      </w:r>
      <w:r w:rsidR="00DE051D">
        <w:rPr>
          <w:b/>
          <w:sz w:val="24"/>
          <w:szCs w:val="24"/>
          <w:lang w:val="fr-CA"/>
        </w:rPr>
        <w:t>!</w:t>
      </w:r>
    </w:p>
    <w:p w14:paraId="7F9CAD9C" w14:textId="6D5FFB67" w:rsidR="00692DCD" w:rsidRDefault="00CA06AC" w:rsidP="00144144">
      <w:pPr>
        <w:rPr>
          <w:lang w:val="fr-CA"/>
        </w:rPr>
      </w:pPr>
      <w:r w:rsidRPr="00B526E1">
        <w:rPr>
          <w:lang w:val="fr-CA"/>
        </w:rPr>
        <w:t xml:space="preserve">La façon </w:t>
      </w:r>
      <w:r w:rsidR="00F416CE" w:rsidRPr="00B526E1">
        <w:rPr>
          <w:lang w:val="fr-CA"/>
        </w:rPr>
        <w:t xml:space="preserve">infaillible </w:t>
      </w:r>
      <w:r w:rsidRPr="00B526E1">
        <w:rPr>
          <w:lang w:val="fr-CA"/>
        </w:rPr>
        <w:t>de s’assurer que vous avez</w:t>
      </w:r>
      <w:r w:rsidR="00F416CE" w:rsidRPr="00B526E1">
        <w:rPr>
          <w:lang w:val="fr-CA"/>
        </w:rPr>
        <w:t xml:space="preserve"> tenu compte de</w:t>
      </w:r>
      <w:r w:rsidRPr="00B526E1">
        <w:rPr>
          <w:lang w:val="fr-CA"/>
        </w:rPr>
        <w:t xml:space="preserve"> tous les ajustements nécessaires est d</w:t>
      </w:r>
      <w:r w:rsidR="00F416CE" w:rsidRPr="00B526E1">
        <w:rPr>
          <w:lang w:val="fr-CA"/>
        </w:rPr>
        <w:t xml:space="preserve">’examiner </w:t>
      </w:r>
      <w:r w:rsidRPr="00B526E1">
        <w:rPr>
          <w:lang w:val="fr-CA"/>
        </w:rPr>
        <w:t>tous</w:t>
      </w:r>
      <w:r w:rsidR="00EC1E4D" w:rsidRPr="00B526E1">
        <w:rPr>
          <w:lang w:val="fr-CA"/>
        </w:rPr>
        <w:t xml:space="preserve"> les types d</w:t>
      </w:r>
      <w:r w:rsidR="00FF13D7">
        <w:rPr>
          <w:lang w:val="fr-CA"/>
        </w:rPr>
        <w:t>’opérations</w:t>
      </w:r>
      <w:r w:rsidR="00EC1E4D" w:rsidRPr="00B526E1">
        <w:rPr>
          <w:lang w:val="fr-CA"/>
        </w:rPr>
        <w:t xml:space="preserve"> qui</w:t>
      </w:r>
      <w:r w:rsidR="00F416CE" w:rsidRPr="00B526E1">
        <w:rPr>
          <w:lang w:val="fr-CA"/>
        </w:rPr>
        <w:t xml:space="preserve"> passent dans</w:t>
      </w:r>
      <w:r w:rsidR="00EC1E4D" w:rsidRPr="00B526E1">
        <w:rPr>
          <w:lang w:val="fr-CA"/>
        </w:rPr>
        <w:t xml:space="preserve"> un compte de </w:t>
      </w:r>
      <w:r w:rsidR="00660D0E" w:rsidRPr="00B526E1">
        <w:rPr>
          <w:lang w:val="fr-CA"/>
        </w:rPr>
        <w:t>l’état de la situation financière</w:t>
      </w:r>
      <w:r w:rsidR="00056DAD">
        <w:rPr>
          <w:lang w:val="fr-CA"/>
        </w:rPr>
        <w:t xml:space="preserve"> et à l’état des résultats</w:t>
      </w:r>
      <w:r w:rsidR="00EC1E4D" w:rsidRPr="00B526E1">
        <w:rPr>
          <w:lang w:val="fr-CA"/>
        </w:rPr>
        <w:t xml:space="preserve">. </w:t>
      </w:r>
      <w:r w:rsidR="00F416CE" w:rsidRPr="00B526E1">
        <w:rPr>
          <w:lang w:val="fr-CA"/>
        </w:rPr>
        <w:t xml:space="preserve">Pour simplifier la chose, </w:t>
      </w:r>
      <w:r w:rsidR="00DD3754">
        <w:rPr>
          <w:lang w:val="fr-CA"/>
        </w:rPr>
        <w:t>prenons</w:t>
      </w:r>
      <w:r w:rsidR="00F416CE" w:rsidRPr="00B526E1">
        <w:rPr>
          <w:lang w:val="fr-CA"/>
        </w:rPr>
        <w:t xml:space="preserve"> le compte d</w:t>
      </w:r>
      <w:r w:rsidR="00EC1E4D" w:rsidRPr="00B526E1">
        <w:rPr>
          <w:lang w:val="fr-CA"/>
        </w:rPr>
        <w:t>es immobil</w:t>
      </w:r>
      <w:r w:rsidR="00BD53F9" w:rsidRPr="00B526E1">
        <w:rPr>
          <w:lang w:val="fr-CA"/>
        </w:rPr>
        <w:t>isations</w:t>
      </w:r>
      <w:r w:rsidR="00F416CE" w:rsidRPr="00B526E1">
        <w:rPr>
          <w:lang w:val="fr-CA"/>
        </w:rPr>
        <w:t xml:space="preserve"> corporelles</w:t>
      </w:r>
      <w:r w:rsidR="00EC1E4D" w:rsidRPr="00B526E1">
        <w:rPr>
          <w:lang w:val="fr-CA"/>
        </w:rPr>
        <w:t xml:space="preserve">. En apparence, </w:t>
      </w:r>
      <w:r w:rsidR="00F416CE" w:rsidRPr="00B526E1">
        <w:rPr>
          <w:lang w:val="fr-CA"/>
        </w:rPr>
        <w:t xml:space="preserve">ce compte paraît </w:t>
      </w:r>
      <w:r w:rsidR="00EC1E4D" w:rsidRPr="00B526E1">
        <w:rPr>
          <w:lang w:val="fr-CA"/>
        </w:rPr>
        <w:t>simple. Le solde final</w:t>
      </w:r>
      <w:r w:rsidR="00F416CE" w:rsidRPr="00B526E1">
        <w:rPr>
          <w:lang w:val="fr-CA"/>
        </w:rPr>
        <w:t xml:space="preserve"> </w:t>
      </w:r>
      <w:r w:rsidR="00E07424" w:rsidRPr="00B526E1">
        <w:rPr>
          <w:lang w:val="fr-CA"/>
        </w:rPr>
        <w:t>est constitué de</w:t>
      </w:r>
      <w:r w:rsidR="00F416CE" w:rsidRPr="00B526E1">
        <w:rPr>
          <w:lang w:val="fr-CA"/>
        </w:rPr>
        <w:t xml:space="preserve"> l’addition du </w:t>
      </w:r>
      <w:r w:rsidR="00EC1E4D" w:rsidRPr="00B526E1">
        <w:rPr>
          <w:lang w:val="fr-CA"/>
        </w:rPr>
        <w:t xml:space="preserve">solde d’ouverture </w:t>
      </w:r>
      <w:r w:rsidR="00F416CE" w:rsidRPr="00B526E1">
        <w:rPr>
          <w:lang w:val="fr-CA"/>
        </w:rPr>
        <w:t>et d</w:t>
      </w:r>
      <w:r w:rsidR="00EC1E4D" w:rsidRPr="00B526E1">
        <w:rPr>
          <w:lang w:val="fr-CA"/>
        </w:rPr>
        <w:t xml:space="preserve">es </w:t>
      </w:r>
      <w:r w:rsidR="00BD53F9" w:rsidRPr="00B526E1">
        <w:rPr>
          <w:lang w:val="fr-CA"/>
        </w:rPr>
        <w:t>acquisitions</w:t>
      </w:r>
      <w:r w:rsidR="00F416CE" w:rsidRPr="00B526E1">
        <w:rPr>
          <w:lang w:val="fr-CA"/>
        </w:rPr>
        <w:t xml:space="preserve"> et</w:t>
      </w:r>
      <w:r w:rsidR="00E07424" w:rsidRPr="00B526E1">
        <w:rPr>
          <w:lang w:val="fr-CA"/>
        </w:rPr>
        <w:t xml:space="preserve"> de</w:t>
      </w:r>
      <w:r w:rsidR="00F416CE" w:rsidRPr="00B526E1">
        <w:rPr>
          <w:lang w:val="fr-CA"/>
        </w:rPr>
        <w:t xml:space="preserve"> la soustraction de l’</w:t>
      </w:r>
      <w:r w:rsidR="00EC1E4D" w:rsidRPr="00B526E1">
        <w:rPr>
          <w:lang w:val="fr-CA"/>
        </w:rPr>
        <w:t>amortissement</w:t>
      </w:r>
      <w:r w:rsidR="00F416CE" w:rsidRPr="00B526E1">
        <w:rPr>
          <w:lang w:val="fr-CA"/>
        </w:rPr>
        <w:t xml:space="preserve"> et des cessions</w:t>
      </w:r>
      <w:r w:rsidR="00EC1E4D" w:rsidRPr="00B526E1">
        <w:rPr>
          <w:lang w:val="fr-CA"/>
        </w:rPr>
        <w:t xml:space="preserve">. Les </w:t>
      </w:r>
      <w:r w:rsidR="00BD53F9" w:rsidRPr="00B526E1">
        <w:rPr>
          <w:lang w:val="fr-CA"/>
        </w:rPr>
        <w:t xml:space="preserve">acquisitions </w:t>
      </w:r>
      <w:r w:rsidR="00EC1E4D" w:rsidRPr="00B526E1">
        <w:rPr>
          <w:lang w:val="fr-CA"/>
        </w:rPr>
        <w:t xml:space="preserve">seront </w:t>
      </w:r>
      <w:r w:rsidR="00F416CE" w:rsidRPr="00B526E1">
        <w:rPr>
          <w:lang w:val="fr-CA"/>
        </w:rPr>
        <w:t xml:space="preserve">réglées </w:t>
      </w:r>
      <w:r w:rsidR="00EC1E4D" w:rsidRPr="00B526E1">
        <w:rPr>
          <w:lang w:val="fr-CA"/>
        </w:rPr>
        <w:t>en argent et le</w:t>
      </w:r>
      <w:r w:rsidR="007B2AD6" w:rsidRPr="00B526E1">
        <w:rPr>
          <w:lang w:val="fr-CA"/>
        </w:rPr>
        <w:t xml:space="preserve"> produit de</w:t>
      </w:r>
      <w:r w:rsidR="00EC1E4D" w:rsidRPr="00B526E1">
        <w:rPr>
          <w:lang w:val="fr-CA"/>
        </w:rPr>
        <w:t xml:space="preserve">s </w:t>
      </w:r>
      <w:r w:rsidR="00F416CE" w:rsidRPr="00B526E1">
        <w:rPr>
          <w:lang w:val="fr-CA"/>
        </w:rPr>
        <w:t xml:space="preserve">cessions </w:t>
      </w:r>
      <w:r w:rsidR="00EC1E4D" w:rsidRPr="00B526E1">
        <w:rPr>
          <w:lang w:val="fr-CA"/>
        </w:rPr>
        <w:t>ser</w:t>
      </w:r>
      <w:r w:rsidR="007B2AD6" w:rsidRPr="00B526E1">
        <w:rPr>
          <w:lang w:val="fr-CA"/>
        </w:rPr>
        <w:t xml:space="preserve">a reçu en </w:t>
      </w:r>
      <w:r w:rsidR="00EC1E4D" w:rsidRPr="00B526E1">
        <w:rPr>
          <w:lang w:val="fr-CA"/>
        </w:rPr>
        <w:t>argent</w:t>
      </w:r>
      <w:r w:rsidR="007B2AD6" w:rsidRPr="00B526E1">
        <w:rPr>
          <w:lang w:val="fr-CA"/>
        </w:rPr>
        <w:t xml:space="preserve">, alors la seule chose qui reste, </w:t>
      </w:r>
      <w:r w:rsidR="00EC1E4D" w:rsidRPr="00B526E1">
        <w:rPr>
          <w:lang w:val="fr-CA"/>
        </w:rPr>
        <w:t>nous</w:t>
      </w:r>
      <w:r w:rsidR="007B2AD6" w:rsidRPr="00B526E1">
        <w:rPr>
          <w:lang w:val="fr-CA"/>
        </w:rPr>
        <w:t xml:space="preserve"> en</w:t>
      </w:r>
      <w:r w:rsidR="00EC1E4D" w:rsidRPr="00B526E1">
        <w:rPr>
          <w:lang w:val="fr-CA"/>
        </w:rPr>
        <w:t xml:space="preserve"> avons déjà parlé</w:t>
      </w:r>
      <w:r w:rsidR="00DD3754">
        <w:rPr>
          <w:lang w:val="fr-CA"/>
        </w:rPr>
        <w:t>!</w:t>
      </w:r>
      <w:r w:rsidR="00EC1E4D" w:rsidRPr="00B526E1">
        <w:rPr>
          <w:lang w:val="fr-CA"/>
        </w:rPr>
        <w:t xml:space="preserve"> </w:t>
      </w:r>
      <w:r w:rsidR="00AC4B27" w:rsidRPr="00B526E1">
        <w:rPr>
          <w:lang w:val="fr-CA"/>
        </w:rPr>
        <w:t>Mais</w:t>
      </w:r>
      <w:r w:rsidR="00871C5F">
        <w:rPr>
          <w:lang w:val="fr-CA"/>
        </w:rPr>
        <w:t>…</w:t>
      </w:r>
      <w:r w:rsidR="00AC4B27" w:rsidRPr="00B526E1">
        <w:rPr>
          <w:lang w:val="fr-CA"/>
        </w:rPr>
        <w:t xml:space="preserve"> n</w:t>
      </w:r>
      <w:r w:rsidR="00E07424" w:rsidRPr="00B526E1">
        <w:rPr>
          <w:lang w:val="fr-CA"/>
        </w:rPr>
        <w:t xml:space="preserve">e vous arrêtez </w:t>
      </w:r>
      <w:r w:rsidR="00EC1E4D" w:rsidRPr="00B526E1">
        <w:rPr>
          <w:lang w:val="fr-CA"/>
        </w:rPr>
        <w:t>pas</w:t>
      </w:r>
      <w:r w:rsidR="007B2AD6" w:rsidRPr="00B526E1">
        <w:rPr>
          <w:lang w:val="fr-CA"/>
        </w:rPr>
        <w:t xml:space="preserve"> ici</w:t>
      </w:r>
      <w:r w:rsidR="00EC1E4D" w:rsidRPr="00B526E1">
        <w:rPr>
          <w:lang w:val="fr-CA"/>
        </w:rPr>
        <w:t xml:space="preserve">! </w:t>
      </w:r>
      <w:r w:rsidR="007B2AD6" w:rsidRPr="00B526E1">
        <w:rPr>
          <w:lang w:val="fr-CA"/>
        </w:rPr>
        <w:t>Pensez à</w:t>
      </w:r>
      <w:r w:rsidR="00EC1E4D" w:rsidRPr="00B526E1">
        <w:rPr>
          <w:lang w:val="fr-CA"/>
        </w:rPr>
        <w:t xml:space="preserve"> une entité qui </w:t>
      </w:r>
      <w:r w:rsidR="007B2AD6" w:rsidRPr="00B526E1">
        <w:rPr>
          <w:lang w:val="fr-CA"/>
        </w:rPr>
        <w:t>prend de l’expansion et qui a</w:t>
      </w:r>
      <w:r w:rsidR="00EC1E4D" w:rsidRPr="00B526E1">
        <w:rPr>
          <w:lang w:val="fr-CA"/>
        </w:rPr>
        <w:t xml:space="preserve"> pa</w:t>
      </w:r>
      <w:r w:rsidR="007B2AD6" w:rsidRPr="00B526E1">
        <w:rPr>
          <w:lang w:val="fr-CA"/>
        </w:rPr>
        <w:t>yé</w:t>
      </w:r>
      <w:r w:rsidR="00EC1E4D" w:rsidRPr="00B526E1">
        <w:rPr>
          <w:lang w:val="fr-CA"/>
        </w:rPr>
        <w:t xml:space="preserve"> un entrepreneur pour </w:t>
      </w:r>
      <w:r w:rsidR="007B2AD6" w:rsidRPr="00B526E1">
        <w:rPr>
          <w:lang w:val="fr-CA"/>
        </w:rPr>
        <w:t xml:space="preserve">qu’il </w:t>
      </w:r>
      <w:r w:rsidR="00EC1E4D" w:rsidRPr="00B526E1">
        <w:rPr>
          <w:lang w:val="fr-CA"/>
        </w:rPr>
        <w:t>construi</w:t>
      </w:r>
      <w:r w:rsidR="007B2AD6" w:rsidRPr="00B526E1">
        <w:rPr>
          <w:lang w:val="fr-CA"/>
        </w:rPr>
        <w:t>s</w:t>
      </w:r>
      <w:r w:rsidR="00DD3754">
        <w:rPr>
          <w:lang w:val="fr-CA"/>
        </w:rPr>
        <w:t xml:space="preserve">e et installe du nouvel </w:t>
      </w:r>
      <w:r w:rsidR="00EC1E4D" w:rsidRPr="00B526E1">
        <w:rPr>
          <w:lang w:val="fr-CA"/>
        </w:rPr>
        <w:t xml:space="preserve">équipement. Il est </w:t>
      </w:r>
      <w:r w:rsidR="007B2AD6" w:rsidRPr="00B526E1">
        <w:rPr>
          <w:lang w:val="fr-CA"/>
        </w:rPr>
        <w:t>tout à fait</w:t>
      </w:r>
      <w:r w:rsidR="00EC1E4D" w:rsidRPr="00B526E1">
        <w:rPr>
          <w:lang w:val="fr-CA"/>
        </w:rPr>
        <w:t xml:space="preserve"> possible qu’à la fin de l’</w:t>
      </w:r>
      <w:r w:rsidR="007B2AD6" w:rsidRPr="00B526E1">
        <w:rPr>
          <w:lang w:val="fr-CA"/>
        </w:rPr>
        <w:t>exercice l’</w:t>
      </w:r>
      <w:r w:rsidR="00EC1E4D" w:rsidRPr="00B526E1">
        <w:rPr>
          <w:lang w:val="fr-CA"/>
        </w:rPr>
        <w:t xml:space="preserve">entité aura reçu une quantité </w:t>
      </w:r>
      <w:r w:rsidR="00AC4B27" w:rsidRPr="00B526E1">
        <w:rPr>
          <w:lang w:val="fr-CA"/>
        </w:rPr>
        <w:t xml:space="preserve">importante </w:t>
      </w:r>
      <w:r w:rsidR="007B2AD6" w:rsidRPr="00B526E1">
        <w:rPr>
          <w:lang w:val="fr-CA"/>
        </w:rPr>
        <w:t>de biens à inscrire en</w:t>
      </w:r>
      <w:r w:rsidR="00EC1E4D" w:rsidRPr="00B526E1">
        <w:rPr>
          <w:lang w:val="fr-CA"/>
        </w:rPr>
        <w:t xml:space="preserve"> </w:t>
      </w:r>
      <w:r w:rsidR="00BD53F9" w:rsidRPr="00B526E1">
        <w:rPr>
          <w:lang w:val="fr-CA"/>
        </w:rPr>
        <w:t>immobilisation</w:t>
      </w:r>
      <w:r w:rsidR="00EC1E4D" w:rsidRPr="00B526E1">
        <w:rPr>
          <w:lang w:val="fr-CA"/>
        </w:rPr>
        <w:t xml:space="preserve"> </w:t>
      </w:r>
      <w:r w:rsidR="007B2AD6" w:rsidRPr="00B526E1">
        <w:rPr>
          <w:lang w:val="fr-CA"/>
        </w:rPr>
        <w:t>qu’</w:t>
      </w:r>
      <w:r w:rsidR="00B71D0E" w:rsidRPr="00B526E1">
        <w:rPr>
          <w:lang w:val="fr-CA"/>
        </w:rPr>
        <w:t>elle n’a pas encore payé</w:t>
      </w:r>
      <w:r w:rsidR="007B2AD6" w:rsidRPr="00B526E1">
        <w:rPr>
          <w:lang w:val="fr-CA"/>
        </w:rPr>
        <w:t>s</w:t>
      </w:r>
      <w:r w:rsidR="00B71D0E" w:rsidRPr="00B526E1">
        <w:rPr>
          <w:lang w:val="fr-CA"/>
        </w:rPr>
        <w:t xml:space="preserve"> (</w:t>
      </w:r>
      <w:r w:rsidR="007B2AD6" w:rsidRPr="00B526E1">
        <w:rPr>
          <w:lang w:val="fr-CA"/>
        </w:rPr>
        <w:t xml:space="preserve">par </w:t>
      </w:r>
      <w:r w:rsidR="00B71D0E" w:rsidRPr="00B526E1">
        <w:rPr>
          <w:lang w:val="fr-CA"/>
        </w:rPr>
        <w:t>ex</w:t>
      </w:r>
      <w:r w:rsidR="007B2AD6" w:rsidRPr="00B526E1">
        <w:rPr>
          <w:lang w:val="fr-CA"/>
        </w:rPr>
        <w:t>emple</w:t>
      </w:r>
      <w:r w:rsidR="00871C5F">
        <w:rPr>
          <w:lang w:val="fr-CA"/>
        </w:rPr>
        <w:t>,</w:t>
      </w:r>
      <w:r w:rsidR="00B71D0E" w:rsidRPr="00B526E1">
        <w:rPr>
          <w:lang w:val="fr-CA"/>
        </w:rPr>
        <w:t xml:space="preserve"> de l’équipement reçu mais </w:t>
      </w:r>
      <w:r w:rsidR="007B2AD6" w:rsidRPr="00B526E1">
        <w:rPr>
          <w:lang w:val="fr-CA"/>
        </w:rPr>
        <w:t>non encore</w:t>
      </w:r>
      <w:r w:rsidR="00B71D0E" w:rsidRPr="00B526E1">
        <w:rPr>
          <w:lang w:val="fr-CA"/>
        </w:rPr>
        <w:t xml:space="preserve"> facturé). Si l’équipement</w:t>
      </w:r>
      <w:r w:rsidR="00DD3754">
        <w:rPr>
          <w:lang w:val="fr-CA"/>
        </w:rPr>
        <w:t xml:space="preserve"> qui n’a pas e</w:t>
      </w:r>
      <w:r w:rsidR="007B2AD6" w:rsidRPr="00B526E1">
        <w:rPr>
          <w:lang w:val="fr-CA"/>
        </w:rPr>
        <w:t>ncore payé</w:t>
      </w:r>
      <w:r w:rsidR="00B71D0E" w:rsidRPr="00B526E1">
        <w:rPr>
          <w:lang w:val="fr-CA"/>
        </w:rPr>
        <w:t xml:space="preserve"> est </w:t>
      </w:r>
      <w:r w:rsidR="00FB4F9B" w:rsidRPr="00B526E1">
        <w:rPr>
          <w:lang w:val="fr-CA"/>
        </w:rPr>
        <w:t>inclu</w:t>
      </w:r>
      <w:r w:rsidR="00BD53F9" w:rsidRPr="00B526E1">
        <w:rPr>
          <w:lang w:val="fr-CA"/>
        </w:rPr>
        <w:t>s</w:t>
      </w:r>
      <w:r w:rsidR="00B71D0E" w:rsidRPr="00B526E1">
        <w:rPr>
          <w:lang w:val="fr-CA"/>
        </w:rPr>
        <w:t xml:space="preserve"> </w:t>
      </w:r>
      <w:r w:rsidR="00BD53F9" w:rsidRPr="00B526E1">
        <w:rPr>
          <w:lang w:val="fr-CA"/>
        </w:rPr>
        <w:t>à l’état de la situation financière</w:t>
      </w:r>
      <w:r w:rsidR="00B71D0E" w:rsidRPr="00B526E1">
        <w:rPr>
          <w:lang w:val="fr-CA"/>
        </w:rPr>
        <w:t>, c’est un élément hors trésorerie (aucun</w:t>
      </w:r>
      <w:r w:rsidR="00DD3754">
        <w:rPr>
          <w:lang w:val="fr-CA"/>
        </w:rPr>
        <w:t>e trésorerie n’a changée de mains</w:t>
      </w:r>
      <w:r w:rsidR="00B71D0E" w:rsidRPr="00B526E1">
        <w:rPr>
          <w:lang w:val="fr-CA"/>
        </w:rPr>
        <w:t xml:space="preserve">) </w:t>
      </w:r>
      <w:r w:rsidR="007B2AD6" w:rsidRPr="00B526E1">
        <w:rPr>
          <w:lang w:val="fr-CA"/>
        </w:rPr>
        <w:t>qui ne</w:t>
      </w:r>
      <w:r w:rsidR="00B71D0E" w:rsidRPr="00B526E1">
        <w:rPr>
          <w:lang w:val="fr-CA"/>
        </w:rPr>
        <w:t xml:space="preserve"> devrait pas être inclus </w:t>
      </w:r>
      <w:r w:rsidR="00C101D7">
        <w:rPr>
          <w:lang w:val="fr-CA"/>
        </w:rPr>
        <w:t>à l’état</w:t>
      </w:r>
      <w:r w:rsidR="007B2AD6" w:rsidRPr="00B526E1">
        <w:rPr>
          <w:lang w:val="fr-CA"/>
        </w:rPr>
        <w:t xml:space="preserve"> des</w:t>
      </w:r>
      <w:r w:rsidR="00B71D0E" w:rsidRPr="00B526E1">
        <w:rPr>
          <w:lang w:val="fr-CA"/>
        </w:rPr>
        <w:t xml:space="preserve"> flux de trésorerie</w:t>
      </w:r>
      <w:r w:rsidR="00056DAD">
        <w:rPr>
          <w:lang w:val="fr-CA"/>
        </w:rPr>
        <w:t xml:space="preserve"> dans la section</w:t>
      </w:r>
      <w:r w:rsidR="00DD3754">
        <w:rPr>
          <w:lang w:val="fr-CA"/>
        </w:rPr>
        <w:t xml:space="preserve"> des activités d’investissement</w:t>
      </w:r>
      <w:r w:rsidR="00B71D0E" w:rsidRPr="00B526E1">
        <w:rPr>
          <w:lang w:val="fr-CA"/>
        </w:rPr>
        <w:t>. Comme vous le constate</w:t>
      </w:r>
      <w:r w:rsidR="007B2AD6" w:rsidRPr="00B526E1">
        <w:rPr>
          <w:lang w:val="fr-CA"/>
        </w:rPr>
        <w:t>z</w:t>
      </w:r>
      <w:r w:rsidR="00B71D0E" w:rsidRPr="00B526E1">
        <w:rPr>
          <w:lang w:val="fr-CA"/>
        </w:rPr>
        <w:t xml:space="preserve">, il n’y a pas de formule magique pour </w:t>
      </w:r>
      <w:r w:rsidR="007B2AD6" w:rsidRPr="00B526E1">
        <w:rPr>
          <w:lang w:val="fr-CA"/>
        </w:rPr>
        <w:t>chaque</w:t>
      </w:r>
      <w:r w:rsidR="00B71D0E" w:rsidRPr="00B526E1">
        <w:rPr>
          <w:lang w:val="fr-CA"/>
        </w:rPr>
        <w:t xml:space="preserve"> compte. Il faut bien connaitre l’entité et les </w:t>
      </w:r>
      <w:r w:rsidR="00FF13D7">
        <w:rPr>
          <w:lang w:val="fr-CA"/>
        </w:rPr>
        <w:t>opérations</w:t>
      </w:r>
      <w:r w:rsidR="00B71D0E" w:rsidRPr="00B526E1">
        <w:rPr>
          <w:lang w:val="fr-CA"/>
        </w:rPr>
        <w:t xml:space="preserve"> </w:t>
      </w:r>
      <w:r w:rsidR="007B2AD6" w:rsidRPr="00B526E1">
        <w:rPr>
          <w:lang w:val="fr-CA"/>
        </w:rPr>
        <w:t>à l’origine</w:t>
      </w:r>
      <w:r w:rsidR="00B71D0E" w:rsidRPr="00B526E1">
        <w:rPr>
          <w:lang w:val="fr-CA"/>
        </w:rPr>
        <w:t xml:space="preserve"> afin de bien </w:t>
      </w:r>
      <w:r w:rsidR="007B2AD6" w:rsidRPr="00B526E1">
        <w:rPr>
          <w:lang w:val="fr-CA"/>
        </w:rPr>
        <w:t>repérer les</w:t>
      </w:r>
      <w:r w:rsidR="00B71D0E" w:rsidRPr="00B526E1">
        <w:rPr>
          <w:lang w:val="fr-CA"/>
        </w:rPr>
        <w:t xml:space="preserve"> ajustements </w:t>
      </w:r>
      <w:r w:rsidR="007B2AD6" w:rsidRPr="00B526E1">
        <w:rPr>
          <w:lang w:val="fr-CA"/>
        </w:rPr>
        <w:t xml:space="preserve">qui </w:t>
      </w:r>
      <w:r w:rsidR="00B71D0E" w:rsidRPr="00B526E1">
        <w:rPr>
          <w:lang w:val="fr-CA"/>
        </w:rPr>
        <w:t xml:space="preserve">sont nécessaires pour aboutir </w:t>
      </w:r>
      <w:r w:rsidR="00056DAD">
        <w:rPr>
          <w:lang w:val="fr-CA"/>
        </w:rPr>
        <w:t>aux bons montants à</w:t>
      </w:r>
      <w:r w:rsidR="00C101D7">
        <w:rPr>
          <w:lang w:val="fr-CA"/>
        </w:rPr>
        <w:t xml:space="preserve"> l’état</w:t>
      </w:r>
      <w:r w:rsidR="007B2AD6" w:rsidRPr="00B526E1">
        <w:rPr>
          <w:lang w:val="fr-CA"/>
        </w:rPr>
        <w:t xml:space="preserve"> des</w:t>
      </w:r>
      <w:r w:rsidR="00B71D0E" w:rsidRPr="00B526E1">
        <w:rPr>
          <w:lang w:val="fr-CA"/>
        </w:rPr>
        <w:t xml:space="preserve"> flux de trésore</w:t>
      </w:r>
      <w:r w:rsidR="0014060D">
        <w:rPr>
          <w:lang w:val="fr-CA"/>
        </w:rPr>
        <w:t>rie.</w:t>
      </w:r>
    </w:p>
    <w:p w14:paraId="0684CF45" w14:textId="2ED1E01C" w:rsidR="00CA06AC" w:rsidRPr="00B526E1" w:rsidRDefault="00B71D0E" w:rsidP="00144144">
      <w:pPr>
        <w:rPr>
          <w:lang w:val="fr-CA"/>
        </w:rPr>
      </w:pPr>
      <w:r w:rsidRPr="00B526E1">
        <w:rPr>
          <w:lang w:val="fr-CA"/>
        </w:rPr>
        <w:t xml:space="preserve">Pour vous aider dans votre parcours, </w:t>
      </w:r>
      <w:r w:rsidR="0014060D">
        <w:rPr>
          <w:lang w:val="fr-CA"/>
        </w:rPr>
        <w:t>l’annexe </w:t>
      </w:r>
      <w:r w:rsidR="00692DCD">
        <w:rPr>
          <w:lang w:val="fr-CA"/>
        </w:rPr>
        <w:t>A contient</w:t>
      </w:r>
      <w:r w:rsidRPr="00B526E1">
        <w:rPr>
          <w:lang w:val="fr-CA"/>
        </w:rPr>
        <w:t xml:space="preserve"> quelques exemples de </w:t>
      </w:r>
      <w:r w:rsidR="007B2AD6" w:rsidRPr="00B526E1">
        <w:rPr>
          <w:lang w:val="fr-CA"/>
        </w:rPr>
        <w:t xml:space="preserve">points </w:t>
      </w:r>
      <w:r w:rsidRPr="00B526E1">
        <w:rPr>
          <w:lang w:val="fr-CA"/>
        </w:rPr>
        <w:t xml:space="preserve">à </w:t>
      </w:r>
      <w:r w:rsidR="00D531AD">
        <w:rPr>
          <w:lang w:val="fr-CA"/>
        </w:rPr>
        <w:t>considére</w:t>
      </w:r>
      <w:r w:rsidR="007B2AD6" w:rsidRPr="00B526E1">
        <w:rPr>
          <w:lang w:val="fr-CA"/>
        </w:rPr>
        <w:t>r</w:t>
      </w:r>
      <w:r w:rsidRPr="00B526E1">
        <w:rPr>
          <w:lang w:val="fr-CA"/>
        </w:rPr>
        <w:t xml:space="preserve"> (cette liste n’est pas exhaustive).</w:t>
      </w:r>
    </w:p>
    <w:p w14:paraId="3AA140AE" w14:textId="69C7C23F" w:rsidR="00056DAD" w:rsidRPr="003D57ED" w:rsidRDefault="00056DAD" w:rsidP="00056DAD">
      <w:pPr>
        <w:pStyle w:val="Heading3"/>
        <w:rPr>
          <w:lang w:val="fr-CA"/>
        </w:rPr>
      </w:pPr>
      <w:r>
        <w:rPr>
          <w:lang w:val="fr-CA"/>
        </w:rPr>
        <w:t>Erreurs fréquentes</w:t>
      </w:r>
    </w:p>
    <w:p w14:paraId="573B1CDD" w14:textId="4C242CCA" w:rsidR="00056DAD" w:rsidRPr="00B526E1" w:rsidRDefault="00056DAD" w:rsidP="00056DAD">
      <w:pPr>
        <w:rPr>
          <w:lang w:val="fr-CA"/>
        </w:rPr>
      </w:pPr>
      <w:r>
        <w:rPr>
          <w:lang w:val="fr-CA"/>
        </w:rPr>
        <w:t xml:space="preserve">Une liste d’erreurs </w:t>
      </w:r>
      <w:r w:rsidR="0014060D">
        <w:rPr>
          <w:lang w:val="fr-CA"/>
        </w:rPr>
        <w:t>fréquentes se trouve à l’annexe </w:t>
      </w:r>
      <w:r>
        <w:rPr>
          <w:lang w:val="fr-CA"/>
        </w:rPr>
        <w:t>B.</w:t>
      </w:r>
    </w:p>
    <w:p w14:paraId="2ED0B500" w14:textId="29589A31" w:rsidR="00671B17" w:rsidRPr="003D57ED" w:rsidRDefault="00671B17" w:rsidP="00144144">
      <w:pPr>
        <w:pStyle w:val="Heading3"/>
        <w:rPr>
          <w:lang w:val="fr-CA"/>
        </w:rPr>
      </w:pPr>
      <w:r w:rsidRPr="00B526E1">
        <w:rPr>
          <w:lang w:val="fr-CA"/>
        </w:rPr>
        <w:t>Pratique</w:t>
      </w:r>
      <w:r w:rsidR="00692DCD">
        <w:rPr>
          <w:lang w:val="fr-CA"/>
        </w:rPr>
        <w:t>s</w:t>
      </w:r>
      <w:r w:rsidRPr="00B526E1">
        <w:rPr>
          <w:lang w:val="fr-CA"/>
        </w:rPr>
        <w:t xml:space="preserve"> exemplaire</w:t>
      </w:r>
      <w:r w:rsidR="00692DCD">
        <w:rPr>
          <w:lang w:val="fr-CA"/>
        </w:rPr>
        <w:t>s</w:t>
      </w:r>
    </w:p>
    <w:p w14:paraId="368A9E70" w14:textId="311C8CCD" w:rsidR="00671B17" w:rsidRPr="00B526E1" w:rsidRDefault="00692DCD" w:rsidP="00144144">
      <w:pPr>
        <w:rPr>
          <w:lang w:val="fr-CA"/>
        </w:rPr>
      </w:pPr>
      <w:r>
        <w:rPr>
          <w:lang w:val="fr-CA"/>
        </w:rPr>
        <w:t>Une liste de pratiques e</w:t>
      </w:r>
      <w:r w:rsidR="0014060D">
        <w:rPr>
          <w:lang w:val="fr-CA"/>
        </w:rPr>
        <w:t>xemplaires se trouve à l’annexe </w:t>
      </w:r>
      <w:r>
        <w:rPr>
          <w:lang w:val="fr-CA"/>
        </w:rPr>
        <w:t>C.</w:t>
      </w:r>
    </w:p>
    <w:p w14:paraId="4959B3A4" w14:textId="67EB8FBE" w:rsidR="00E12300" w:rsidRPr="00FF13D7" w:rsidRDefault="00E12300" w:rsidP="00144144">
      <w:pPr>
        <w:pStyle w:val="Heading3"/>
        <w:rPr>
          <w:lang w:val="fr-CA"/>
        </w:rPr>
      </w:pPr>
      <w:r w:rsidRPr="00FF13D7">
        <w:rPr>
          <w:lang w:val="fr-CA"/>
        </w:rPr>
        <w:t>Conclusion</w:t>
      </w:r>
    </w:p>
    <w:p w14:paraId="27BACA57" w14:textId="556C18C5" w:rsidR="00C135F6" w:rsidRPr="00C135F6" w:rsidRDefault="00C135F6" w:rsidP="0065666C">
      <w:pPr>
        <w:rPr>
          <w:lang w:val="fr-CA"/>
        </w:rPr>
      </w:pPr>
      <w:r w:rsidRPr="00C135F6">
        <w:rPr>
          <w:lang w:val="fr-CA"/>
        </w:rPr>
        <w:t>L’état des flux de trésorerie est aussi important que l’état de la situation financière et l’état des résultats. Lorsqu’une erreur est identifiée</w:t>
      </w:r>
      <w:r w:rsidR="00056DAD">
        <w:rPr>
          <w:lang w:val="fr-CA"/>
        </w:rPr>
        <w:t xml:space="preserve"> à</w:t>
      </w:r>
      <w:r w:rsidR="00056DAD" w:rsidRPr="00056DAD">
        <w:rPr>
          <w:lang w:val="fr-CA"/>
        </w:rPr>
        <w:t xml:space="preserve"> </w:t>
      </w:r>
      <w:r w:rsidR="00056DAD" w:rsidRPr="00C135F6">
        <w:rPr>
          <w:lang w:val="fr-CA"/>
        </w:rPr>
        <w:t xml:space="preserve">l’état de la situation financière </w:t>
      </w:r>
      <w:r w:rsidR="00056DAD">
        <w:rPr>
          <w:lang w:val="fr-CA"/>
        </w:rPr>
        <w:t>ou à</w:t>
      </w:r>
      <w:r w:rsidR="00056DAD" w:rsidRPr="00C135F6">
        <w:rPr>
          <w:lang w:val="fr-CA"/>
        </w:rPr>
        <w:t xml:space="preserve"> l’état des résultats</w:t>
      </w:r>
      <w:r w:rsidRPr="00C135F6">
        <w:rPr>
          <w:lang w:val="fr-CA"/>
        </w:rPr>
        <w:t>, il faut également évaluer l</w:t>
      </w:r>
      <w:r w:rsidR="00C81131">
        <w:rPr>
          <w:lang w:val="fr-CA"/>
        </w:rPr>
        <w:t>es répercussions</w:t>
      </w:r>
      <w:r w:rsidR="00056DAD">
        <w:rPr>
          <w:lang w:val="fr-CA"/>
        </w:rPr>
        <w:t xml:space="preserve"> possibles</w:t>
      </w:r>
      <w:r w:rsidRPr="00C135F6">
        <w:rPr>
          <w:lang w:val="fr-CA"/>
        </w:rPr>
        <w:t xml:space="preserve"> sur l’état des flux de trésorerie. Si votre entité décide de ne pas corriger l’erreur, l’évaluation de l’équipe d’audit ne devrait pas uniquement se concentrer sur l’état de la situation financière o</w:t>
      </w:r>
      <w:r w:rsidR="00D531AD">
        <w:rPr>
          <w:lang w:val="fr-CA"/>
        </w:rPr>
        <w:t>u</w:t>
      </w:r>
      <w:r w:rsidRPr="00C135F6">
        <w:rPr>
          <w:lang w:val="fr-CA"/>
        </w:rPr>
        <w:t xml:space="preserve"> l’état des résultats; elle devrait </w:t>
      </w:r>
      <w:r w:rsidR="00056DAD">
        <w:rPr>
          <w:lang w:val="fr-CA"/>
        </w:rPr>
        <w:t>également considérer</w:t>
      </w:r>
      <w:r w:rsidRPr="00C135F6">
        <w:rPr>
          <w:lang w:val="fr-CA"/>
        </w:rPr>
        <w:t xml:space="preserve"> l’état des flux de trésorerie.</w:t>
      </w:r>
    </w:p>
    <w:p w14:paraId="697CB6E0" w14:textId="2F5274D5" w:rsidR="00144144" w:rsidRDefault="00F317C9" w:rsidP="00BE18F4">
      <w:pPr>
        <w:rPr>
          <w:lang w:val="fr-CA"/>
        </w:rPr>
      </w:pPr>
      <w:r w:rsidRPr="00C135F6">
        <w:rPr>
          <w:lang w:val="fr-CA"/>
        </w:rPr>
        <w:t>Tel que mentionné précédemment, la meilleure façon de s’assurer que l’état des flux de trésorerie de l’entité audité</w:t>
      </w:r>
      <w:r w:rsidR="00D531AD">
        <w:rPr>
          <w:lang w:val="fr-CA"/>
        </w:rPr>
        <w:t>e</w:t>
      </w:r>
      <w:r w:rsidRPr="00C135F6">
        <w:rPr>
          <w:lang w:val="fr-CA"/>
        </w:rPr>
        <w:t xml:space="preserve"> présente correctement les </w:t>
      </w:r>
      <w:r w:rsidR="00C135F6" w:rsidRPr="00C135F6">
        <w:rPr>
          <w:lang w:val="fr-CA"/>
        </w:rPr>
        <w:t xml:space="preserve">entrées et sorties de trésorerie est de bien comprendre votre entité, ses </w:t>
      </w:r>
      <w:r w:rsidR="00FF13D7">
        <w:rPr>
          <w:lang w:val="fr-CA"/>
        </w:rPr>
        <w:t>opérations</w:t>
      </w:r>
      <w:r w:rsidR="00C135F6" w:rsidRPr="00C135F6">
        <w:rPr>
          <w:lang w:val="fr-CA"/>
        </w:rPr>
        <w:t>, la composition des postes et le processus suivi par l’entité pour préparer l’état des flux de trésorerie.</w:t>
      </w:r>
      <w:r w:rsidR="00E12300" w:rsidRPr="00C135F6">
        <w:rPr>
          <w:lang w:val="fr-CA"/>
        </w:rPr>
        <w:t xml:space="preserve"> Ne présumez jamais que </w:t>
      </w:r>
      <w:r w:rsidR="002A5341">
        <w:rPr>
          <w:lang w:val="fr-CA"/>
        </w:rPr>
        <w:t>de retracer</w:t>
      </w:r>
      <w:r w:rsidR="00E12300" w:rsidRPr="00C135F6">
        <w:rPr>
          <w:lang w:val="fr-CA"/>
        </w:rPr>
        <w:t xml:space="preserve"> </w:t>
      </w:r>
      <w:r w:rsidR="00C101D7">
        <w:rPr>
          <w:lang w:val="fr-CA"/>
        </w:rPr>
        <w:t>à l’état</w:t>
      </w:r>
      <w:r w:rsidR="0065064F" w:rsidRPr="00C135F6">
        <w:rPr>
          <w:lang w:val="fr-CA"/>
        </w:rPr>
        <w:t xml:space="preserve"> des flux de trésorerie </w:t>
      </w:r>
      <w:r w:rsidR="00E12300" w:rsidRPr="00C135F6">
        <w:rPr>
          <w:lang w:val="fr-CA"/>
        </w:rPr>
        <w:t>un poste qui se retrouve à l’état de la situation financière et à l’état des résultats</w:t>
      </w:r>
      <w:r w:rsidR="0065064F" w:rsidRPr="00C135F6">
        <w:rPr>
          <w:lang w:val="fr-CA"/>
        </w:rPr>
        <w:t xml:space="preserve"> est la manière appropriée de valider les flux de trésorerie. Pensez aux </w:t>
      </w:r>
      <w:r w:rsidR="00FF13D7">
        <w:rPr>
          <w:lang w:val="fr-CA"/>
        </w:rPr>
        <w:t>opérations</w:t>
      </w:r>
      <w:r w:rsidR="0065064F" w:rsidRPr="00C135F6">
        <w:rPr>
          <w:lang w:val="fr-CA"/>
        </w:rPr>
        <w:t xml:space="preserve"> qui </w:t>
      </w:r>
      <w:r w:rsidR="00D531AD">
        <w:rPr>
          <w:lang w:val="fr-CA"/>
        </w:rPr>
        <w:t>sont comptabilisées</w:t>
      </w:r>
      <w:r w:rsidR="0065064F" w:rsidRPr="00C135F6">
        <w:rPr>
          <w:lang w:val="fr-CA"/>
        </w:rPr>
        <w:t xml:space="preserve"> dans chaque poste et demandez-vous si vous pouvez les retracer au relevé bancaire!</w:t>
      </w:r>
    </w:p>
    <w:p w14:paraId="0B618124" w14:textId="3C16235F" w:rsidR="00BE18F4" w:rsidRDefault="00BE18F4">
      <w:pPr>
        <w:spacing w:before="0" w:after="200" w:line="276" w:lineRule="auto"/>
        <w:rPr>
          <w:lang w:val="fr-CA"/>
        </w:rPr>
      </w:pPr>
      <w:r>
        <w:rPr>
          <w:lang w:val="fr-CA"/>
        </w:rPr>
        <w:br w:type="page"/>
      </w:r>
    </w:p>
    <w:p w14:paraId="6C7DFBFE" w14:textId="1FABBF1E" w:rsidR="0065064F" w:rsidRPr="001C5F2E" w:rsidRDefault="0014060D" w:rsidP="00144144">
      <w:pPr>
        <w:pStyle w:val="Heading1"/>
        <w:rPr>
          <w:lang w:val="fr-CA"/>
        </w:rPr>
      </w:pPr>
      <w:r>
        <w:rPr>
          <w:lang w:val="fr-CA"/>
        </w:rPr>
        <w:t>Annexe </w:t>
      </w:r>
      <w:r w:rsidR="0065064F" w:rsidRPr="00B526E1">
        <w:rPr>
          <w:lang w:val="fr-CA"/>
        </w:rPr>
        <w:t>A</w:t>
      </w:r>
      <w:r w:rsidR="0065064F" w:rsidRPr="001C5F2E">
        <w:rPr>
          <w:lang w:val="fr-CA"/>
        </w:rPr>
        <w:t xml:space="preserve"> </w:t>
      </w:r>
      <w:r w:rsidR="00636CFC">
        <w:rPr>
          <w:lang w:val="fr-CA"/>
        </w:rPr>
        <w:t>—</w:t>
      </w:r>
      <w:r w:rsidR="0065064F" w:rsidRPr="001C5F2E">
        <w:rPr>
          <w:lang w:val="fr-CA"/>
        </w:rPr>
        <w:t xml:space="preserve"> </w:t>
      </w:r>
      <w:r w:rsidR="00692DCD" w:rsidRPr="00692DCD">
        <w:rPr>
          <w:lang w:val="fr-CA"/>
        </w:rPr>
        <w:t>Li</w:t>
      </w:r>
      <w:r>
        <w:rPr>
          <w:lang w:val="fr-CA"/>
        </w:rPr>
        <w:t>ste non exhaustive des points à </w:t>
      </w:r>
      <w:r w:rsidR="00692DCD" w:rsidRPr="00692DCD">
        <w:rPr>
          <w:lang w:val="fr-CA"/>
        </w:rPr>
        <w:t>considérer</w:t>
      </w:r>
    </w:p>
    <w:p w14:paraId="6A5255E8" w14:textId="36D59154" w:rsidR="00692DCD" w:rsidRPr="00B526E1" w:rsidRDefault="00692DCD" w:rsidP="00692DCD">
      <w:pPr>
        <w:pStyle w:val="ListParagraph"/>
        <w:numPr>
          <w:ilvl w:val="0"/>
          <w:numId w:val="4"/>
        </w:numPr>
        <w:spacing w:after="240"/>
        <w:rPr>
          <w:lang w:val="fr-CA"/>
        </w:rPr>
      </w:pPr>
      <w:r w:rsidRPr="00B526E1">
        <w:rPr>
          <w:lang w:val="fr-CA"/>
        </w:rPr>
        <w:t xml:space="preserve">Les transactions </w:t>
      </w:r>
      <w:r w:rsidR="00F52BCA">
        <w:rPr>
          <w:lang w:val="fr-CA"/>
        </w:rPr>
        <w:t>au brut ou au net</w:t>
      </w:r>
    </w:p>
    <w:p w14:paraId="73B694CF" w14:textId="10F0E8D6" w:rsidR="00692DCD" w:rsidRPr="005A351D" w:rsidRDefault="00692DCD" w:rsidP="00692DCD">
      <w:pPr>
        <w:pStyle w:val="ListParagraph"/>
        <w:numPr>
          <w:ilvl w:val="1"/>
          <w:numId w:val="4"/>
        </w:numPr>
        <w:spacing w:after="240"/>
        <w:rPr>
          <w:lang w:val="fr-CA"/>
        </w:rPr>
      </w:pPr>
      <w:r w:rsidRPr="00B526E1">
        <w:rPr>
          <w:lang w:val="fr-CA"/>
        </w:rPr>
        <w:t>Pensez à une entité qui règle ses transactions avec une tierce partie à leur montant net. À la fin de chaque mois, le commis fait le total des crédits et des débits de chaque compte. Si le solde net du compte est au débit, le commis préparera une lettre à envoyer à la tierce partie pour l’informer du montant net à régler. À la fin de l’exercice, le commis prépare l</w:t>
      </w:r>
      <w:r w:rsidR="00C101D7">
        <w:rPr>
          <w:lang w:val="fr-CA"/>
        </w:rPr>
        <w:t>’état</w:t>
      </w:r>
      <w:r w:rsidRPr="00B526E1">
        <w:rPr>
          <w:lang w:val="fr-CA"/>
        </w:rPr>
        <w:t xml:space="preserve"> des flux de trésorerie en utilisant la méthode directe en totalisant tous les crédits et les débits. Il inscrit le total des crédits comme « sortie de trésorerie - fournisseurs », puis le total des débits comme « entrée de trésorerie - client ». Si l’auditeur ne connaît pas l’arrangement du règlement au montant net, il n’aura aucune faç</w:t>
      </w:r>
      <w:r w:rsidR="00D26EBE">
        <w:rPr>
          <w:lang w:val="fr-CA"/>
        </w:rPr>
        <w:t>on de découvrir les vraies transactions monétaires</w:t>
      </w:r>
      <w:r w:rsidR="00C101D7">
        <w:rPr>
          <w:lang w:val="fr-CA"/>
        </w:rPr>
        <w:t xml:space="preserve"> parce que l’état </w:t>
      </w:r>
      <w:r w:rsidRPr="00B526E1">
        <w:rPr>
          <w:lang w:val="fr-CA"/>
        </w:rPr>
        <w:t xml:space="preserve">des flux de trésorerie sera en équilibre. </w:t>
      </w:r>
      <w:r w:rsidR="00F52BCA">
        <w:rPr>
          <w:lang w:val="fr-CA"/>
        </w:rPr>
        <w:t>Malheureusement</w:t>
      </w:r>
      <w:r w:rsidRPr="00B526E1">
        <w:rPr>
          <w:lang w:val="fr-CA"/>
        </w:rPr>
        <w:t>, l</w:t>
      </w:r>
      <w:r w:rsidR="00C101D7">
        <w:rPr>
          <w:lang w:val="fr-CA"/>
        </w:rPr>
        <w:t>’état</w:t>
      </w:r>
      <w:r w:rsidRPr="00B526E1">
        <w:rPr>
          <w:lang w:val="fr-CA"/>
        </w:rPr>
        <w:t xml:space="preserve"> </w:t>
      </w:r>
      <w:r w:rsidR="00F52BCA">
        <w:rPr>
          <w:lang w:val="fr-CA"/>
        </w:rPr>
        <w:t xml:space="preserve">des flux de trésorerie </w:t>
      </w:r>
      <w:r w:rsidRPr="00B526E1">
        <w:rPr>
          <w:lang w:val="fr-CA"/>
        </w:rPr>
        <w:t xml:space="preserve">serait présenté au brut plutôt que </w:t>
      </w:r>
      <w:r w:rsidRPr="005A351D">
        <w:rPr>
          <w:lang w:val="fr-CA"/>
        </w:rPr>
        <w:t>de montrer le véritable montant de</w:t>
      </w:r>
      <w:r w:rsidR="00D531AD">
        <w:rPr>
          <w:lang w:val="fr-CA"/>
        </w:rPr>
        <w:t>s entrées ou des sorties de</w:t>
      </w:r>
      <w:r w:rsidRPr="005A351D">
        <w:rPr>
          <w:lang w:val="fr-CA"/>
        </w:rPr>
        <w:t xml:space="preserve"> trésorerie durant l’exercice. </w:t>
      </w:r>
    </w:p>
    <w:p w14:paraId="18909699" w14:textId="3625289A" w:rsidR="00692DCD" w:rsidRPr="005A351D" w:rsidRDefault="005A351D" w:rsidP="00692DCD">
      <w:pPr>
        <w:pStyle w:val="ListParagraph"/>
        <w:numPr>
          <w:ilvl w:val="0"/>
          <w:numId w:val="4"/>
        </w:numPr>
        <w:spacing w:before="120"/>
        <w:rPr>
          <w:lang w:val="fr-CA"/>
        </w:rPr>
      </w:pPr>
      <w:r w:rsidRPr="005A351D">
        <w:rPr>
          <w:lang w:val="fr-CA"/>
        </w:rPr>
        <w:t xml:space="preserve">Présenter le montant net </w:t>
      </w:r>
      <w:r w:rsidR="00E855B0">
        <w:rPr>
          <w:lang w:val="fr-CA"/>
        </w:rPr>
        <w:t>n’</w:t>
      </w:r>
      <w:r w:rsidRPr="005A351D">
        <w:rPr>
          <w:lang w:val="fr-CA"/>
        </w:rPr>
        <w:t>est permis</w:t>
      </w:r>
      <w:r w:rsidR="00E855B0">
        <w:rPr>
          <w:lang w:val="fr-CA"/>
        </w:rPr>
        <w:t xml:space="preserve"> seulement que</w:t>
      </w:r>
      <w:r w:rsidRPr="005A351D">
        <w:rPr>
          <w:lang w:val="fr-CA"/>
        </w:rPr>
        <w:t xml:space="preserve"> dans certaines circonstances précises</w:t>
      </w:r>
    </w:p>
    <w:p w14:paraId="1D474712" w14:textId="15F05D8E" w:rsidR="005A351D" w:rsidRPr="005A351D" w:rsidRDefault="0014060D" w:rsidP="00692DCD">
      <w:pPr>
        <w:pStyle w:val="ListParagraph"/>
        <w:numPr>
          <w:ilvl w:val="1"/>
          <w:numId w:val="4"/>
        </w:numPr>
        <w:spacing w:before="120"/>
        <w:rPr>
          <w:lang w:val="fr-CA"/>
        </w:rPr>
      </w:pPr>
      <w:r>
        <w:rPr>
          <w:lang w:val="fr-CA"/>
        </w:rPr>
        <w:t>SP </w:t>
      </w:r>
      <w:r w:rsidR="00692DCD" w:rsidRPr="005A351D">
        <w:rPr>
          <w:lang w:val="fr-CA"/>
        </w:rPr>
        <w:t xml:space="preserve">1201.120 </w:t>
      </w:r>
      <w:r w:rsidR="005A351D" w:rsidRPr="005A351D">
        <w:rPr>
          <w:lang w:val="fr-CA"/>
        </w:rPr>
        <w:t>et</w:t>
      </w:r>
      <w:r>
        <w:rPr>
          <w:lang w:val="fr-CA"/>
        </w:rPr>
        <w:t xml:space="preserve"> IAS </w:t>
      </w:r>
      <w:r w:rsidR="00692DCD" w:rsidRPr="005A351D">
        <w:rPr>
          <w:lang w:val="fr-CA"/>
        </w:rPr>
        <w:t xml:space="preserve">7.22 </w:t>
      </w:r>
      <w:r w:rsidR="00287599">
        <w:rPr>
          <w:lang w:val="fr-CA"/>
        </w:rPr>
        <w:t xml:space="preserve">fournissent les lignes directrices pour </w:t>
      </w:r>
      <w:r w:rsidR="005A351D" w:rsidRPr="005A351D">
        <w:rPr>
          <w:lang w:val="fr-CA"/>
        </w:rPr>
        <w:t>les seul</w:t>
      </w:r>
      <w:r w:rsidR="00D531AD">
        <w:rPr>
          <w:lang w:val="fr-CA"/>
        </w:rPr>
        <w:t>e</w:t>
      </w:r>
      <w:r w:rsidR="005A351D" w:rsidRPr="005A351D">
        <w:rPr>
          <w:lang w:val="fr-CA"/>
        </w:rPr>
        <w:t xml:space="preserve">s circonstances </w:t>
      </w:r>
      <w:r w:rsidR="00DF46E6" w:rsidRPr="005A351D">
        <w:rPr>
          <w:lang w:val="fr-CA"/>
        </w:rPr>
        <w:t>lorsqu’une</w:t>
      </w:r>
      <w:r w:rsidR="005A351D" w:rsidRPr="005A351D">
        <w:rPr>
          <w:lang w:val="fr-CA"/>
        </w:rPr>
        <w:t xml:space="preserve"> entrée et une sortie de trésorerie peuvent être présentées au montant net.</w:t>
      </w:r>
    </w:p>
    <w:p w14:paraId="20341F14" w14:textId="69513451" w:rsidR="00692DCD" w:rsidRPr="00C81131" w:rsidRDefault="00FF13D7" w:rsidP="00692DCD">
      <w:pPr>
        <w:pStyle w:val="ListParagraph"/>
        <w:numPr>
          <w:ilvl w:val="0"/>
          <w:numId w:val="4"/>
        </w:numPr>
        <w:spacing w:before="120"/>
        <w:rPr>
          <w:lang w:val="fr-CA"/>
        </w:rPr>
      </w:pPr>
      <w:r>
        <w:rPr>
          <w:lang w:val="fr-CA"/>
        </w:rPr>
        <w:t>Nouveau type d’opérations</w:t>
      </w:r>
      <w:r w:rsidR="00692DCD" w:rsidRPr="00C81131">
        <w:rPr>
          <w:lang w:val="fr-CA"/>
        </w:rPr>
        <w:t xml:space="preserve"> </w:t>
      </w:r>
    </w:p>
    <w:p w14:paraId="56C5755A" w14:textId="337BD1AF" w:rsidR="00C81131" w:rsidRPr="00C81131" w:rsidRDefault="00C81131" w:rsidP="00692DCD">
      <w:pPr>
        <w:pStyle w:val="ListParagraph"/>
        <w:numPr>
          <w:ilvl w:val="1"/>
          <w:numId w:val="4"/>
        </w:numPr>
        <w:spacing w:before="120"/>
        <w:rPr>
          <w:lang w:val="fr-CA"/>
        </w:rPr>
      </w:pPr>
      <w:r w:rsidRPr="00C81131">
        <w:rPr>
          <w:lang w:val="fr-CA"/>
        </w:rPr>
        <w:t>Lorsque l’entité</w:t>
      </w:r>
      <w:r w:rsidR="00DF46E6">
        <w:rPr>
          <w:lang w:val="fr-CA"/>
        </w:rPr>
        <w:t xml:space="preserve"> entreprend </w:t>
      </w:r>
      <w:r w:rsidRPr="00C81131">
        <w:rPr>
          <w:lang w:val="fr-CA"/>
        </w:rPr>
        <w:t>un nouveau type d</w:t>
      </w:r>
      <w:r w:rsidR="00FF13D7">
        <w:rPr>
          <w:lang w:val="fr-CA"/>
        </w:rPr>
        <w:t>’</w:t>
      </w:r>
      <w:r w:rsidR="00DF46E6">
        <w:rPr>
          <w:lang w:val="fr-CA"/>
        </w:rPr>
        <w:t>opérations</w:t>
      </w:r>
      <w:r w:rsidRPr="00C81131">
        <w:rPr>
          <w:lang w:val="fr-CA"/>
        </w:rPr>
        <w:t xml:space="preserve">, elle devrait évaluer si les flux de trésorerie devraient être </w:t>
      </w:r>
      <w:r w:rsidR="00DF46E6" w:rsidRPr="00C81131">
        <w:rPr>
          <w:lang w:val="fr-CA"/>
        </w:rPr>
        <w:t>classés</w:t>
      </w:r>
      <w:r w:rsidRPr="00C81131">
        <w:rPr>
          <w:lang w:val="fr-CA"/>
        </w:rPr>
        <w:t xml:space="preserve"> en tant qu’activité</w:t>
      </w:r>
      <w:r w:rsidR="00D531AD">
        <w:rPr>
          <w:lang w:val="fr-CA"/>
        </w:rPr>
        <w:t>s</w:t>
      </w:r>
      <w:r w:rsidRPr="00C81131">
        <w:rPr>
          <w:lang w:val="fr-CA"/>
        </w:rPr>
        <w:t xml:space="preserve"> de fonctionnement, d’investissements</w:t>
      </w:r>
      <w:r w:rsidR="00D531AD">
        <w:rPr>
          <w:lang w:val="fr-CA"/>
        </w:rPr>
        <w:t xml:space="preserve"> ou</w:t>
      </w:r>
      <w:r w:rsidRPr="00C81131">
        <w:rPr>
          <w:lang w:val="fr-CA"/>
        </w:rPr>
        <w:t xml:space="preserve"> de financement. Selon la nature de </w:t>
      </w:r>
      <w:r w:rsidR="00D531AD">
        <w:rPr>
          <w:lang w:val="fr-CA"/>
        </w:rPr>
        <w:t>l’opération</w:t>
      </w:r>
      <w:r w:rsidRPr="00C81131">
        <w:rPr>
          <w:lang w:val="fr-CA"/>
        </w:rPr>
        <w:t>, il est possible que la même transaction puisse avoir des répercussions sur plus d’une section.</w:t>
      </w:r>
    </w:p>
    <w:p w14:paraId="39C7AAA3" w14:textId="77777777" w:rsidR="00692DCD" w:rsidRPr="00B526E1" w:rsidRDefault="00692DCD" w:rsidP="00692DCD">
      <w:pPr>
        <w:pStyle w:val="ListParagraph"/>
        <w:numPr>
          <w:ilvl w:val="0"/>
          <w:numId w:val="4"/>
        </w:numPr>
        <w:spacing w:after="240"/>
        <w:rPr>
          <w:lang w:val="fr-CA"/>
        </w:rPr>
      </w:pPr>
      <w:r w:rsidRPr="00B526E1">
        <w:rPr>
          <w:lang w:val="fr-CA"/>
        </w:rPr>
        <w:t>Les débiteurs et les créditeurs inhabituels à la fin de l’exercice</w:t>
      </w:r>
    </w:p>
    <w:p w14:paraId="3BE9F0A1" w14:textId="20AB1DE7" w:rsidR="00692DCD" w:rsidRPr="0075630F" w:rsidRDefault="00692DCD" w:rsidP="00692DCD">
      <w:pPr>
        <w:pStyle w:val="ListParagraph"/>
        <w:numPr>
          <w:ilvl w:val="1"/>
          <w:numId w:val="4"/>
        </w:numPr>
        <w:spacing w:after="240"/>
        <w:rPr>
          <w:lang w:val="fr-CA"/>
        </w:rPr>
      </w:pPr>
      <w:r w:rsidRPr="00B526E1">
        <w:rPr>
          <w:lang w:val="fr-CA"/>
        </w:rPr>
        <w:t>Ce genre d</w:t>
      </w:r>
      <w:r w:rsidR="00D531AD">
        <w:rPr>
          <w:lang w:val="fr-CA"/>
        </w:rPr>
        <w:t>’opérations</w:t>
      </w:r>
      <w:r w:rsidRPr="00B526E1">
        <w:rPr>
          <w:lang w:val="fr-CA"/>
        </w:rPr>
        <w:t xml:space="preserve"> pourrait poser problème quelle que soit la méthode de préparation </w:t>
      </w:r>
      <w:r w:rsidR="00C101D7">
        <w:rPr>
          <w:lang w:val="fr-CA"/>
        </w:rPr>
        <w:t>de l’état</w:t>
      </w:r>
      <w:r w:rsidRPr="00B526E1">
        <w:rPr>
          <w:lang w:val="fr-CA"/>
        </w:rPr>
        <w:t xml:space="preserve"> des flux de trésorerie</w:t>
      </w:r>
      <w:r w:rsidR="00E855B0">
        <w:rPr>
          <w:lang w:val="fr-CA"/>
        </w:rPr>
        <w:t xml:space="preserve"> (directe ou indirecte)</w:t>
      </w:r>
      <w:r w:rsidRPr="00B526E1">
        <w:rPr>
          <w:lang w:val="fr-CA"/>
        </w:rPr>
        <w:t xml:space="preserve">. Avec la méthode indirecte, il est important de saisir la nature du débiteur ou du créditeur pour pouvoir l’ajuster dans la bonne section </w:t>
      </w:r>
      <w:r w:rsidR="00C101D7">
        <w:rPr>
          <w:lang w:val="fr-CA"/>
        </w:rPr>
        <w:t>de l’état</w:t>
      </w:r>
      <w:r w:rsidRPr="00B526E1">
        <w:rPr>
          <w:lang w:val="fr-CA"/>
        </w:rPr>
        <w:t xml:space="preserve"> des flux de trésorerie (par exemple, un débiteur </w:t>
      </w:r>
      <w:r w:rsidR="00E855B0">
        <w:rPr>
          <w:lang w:val="fr-CA"/>
        </w:rPr>
        <w:t xml:space="preserve">ou un créditeur </w:t>
      </w:r>
      <w:r w:rsidRPr="00B526E1">
        <w:rPr>
          <w:lang w:val="fr-CA"/>
        </w:rPr>
        <w:t xml:space="preserve">associé à une activité d’investissement devrait être ajusté dans la section des activités </w:t>
      </w:r>
      <w:r w:rsidR="00F52BCA">
        <w:rPr>
          <w:lang w:val="fr-CA"/>
        </w:rPr>
        <w:t>d’investissement</w:t>
      </w:r>
      <w:r w:rsidRPr="00B526E1">
        <w:rPr>
          <w:lang w:val="fr-CA"/>
        </w:rPr>
        <w:t xml:space="preserve">). Si l’entité utilise la méthode directe, il </w:t>
      </w:r>
      <w:r w:rsidR="00D71C8C">
        <w:rPr>
          <w:lang w:val="fr-CA"/>
        </w:rPr>
        <w:t>serait facile pour l’entité d’accidentellement oublier d’éliminer un</w:t>
      </w:r>
      <w:r w:rsidRPr="00B526E1">
        <w:rPr>
          <w:lang w:val="fr-CA"/>
        </w:rPr>
        <w:t xml:space="preserve"> débiteur</w:t>
      </w:r>
      <w:r w:rsidR="00D71C8C">
        <w:rPr>
          <w:lang w:val="fr-CA"/>
        </w:rPr>
        <w:t xml:space="preserve"> ou créditeur</w:t>
      </w:r>
      <w:r w:rsidRPr="00B526E1">
        <w:rPr>
          <w:lang w:val="fr-CA"/>
        </w:rPr>
        <w:t xml:space="preserve"> inhabituel </w:t>
      </w:r>
      <w:r w:rsidR="00D71C8C">
        <w:rPr>
          <w:lang w:val="fr-CA"/>
        </w:rPr>
        <w:t>s’il ne fait pas</w:t>
      </w:r>
      <w:r w:rsidRPr="00B526E1">
        <w:rPr>
          <w:lang w:val="fr-CA"/>
        </w:rPr>
        <w:t xml:space="preserve"> parti des débiteurs </w:t>
      </w:r>
      <w:r w:rsidR="00D71C8C">
        <w:rPr>
          <w:lang w:val="fr-CA"/>
        </w:rPr>
        <w:t xml:space="preserve">ou créditeurs </w:t>
      </w:r>
      <w:r w:rsidR="00F52BCA">
        <w:rPr>
          <w:lang w:val="fr-CA"/>
        </w:rPr>
        <w:t>habituellement</w:t>
      </w:r>
      <w:r w:rsidRPr="00B526E1">
        <w:rPr>
          <w:lang w:val="fr-CA"/>
        </w:rPr>
        <w:t xml:space="preserve"> retirés du solde. Donc, gardez l’œil ouvert pour les débiteurs</w:t>
      </w:r>
      <w:r w:rsidR="00F52BCA">
        <w:rPr>
          <w:lang w:val="fr-CA"/>
        </w:rPr>
        <w:t xml:space="preserve"> ou créditeurs</w:t>
      </w:r>
      <w:r w:rsidRPr="00B526E1">
        <w:rPr>
          <w:lang w:val="fr-CA"/>
        </w:rPr>
        <w:t xml:space="preserve"> inhabituels à la fin de l’exercice. De plus, vérifiez la liste des créditeurs pour repérer tout compte qui aurait été enregistré dans les créditeurs et qui est lié aux produits (par exemple : une note de crédit à payer à un client) ou enregistré dans les débiteurs et qui est lié aux charges (par exemple : le remboursement d’une charge payée)</w:t>
      </w:r>
      <w:r w:rsidR="00E855B0">
        <w:rPr>
          <w:lang w:val="fr-CA"/>
        </w:rPr>
        <w:t xml:space="preserve"> et assurez-vous qu’ils soient reflétés dans l’état des flux de trésorerie</w:t>
      </w:r>
      <w:r w:rsidRPr="00B526E1">
        <w:rPr>
          <w:lang w:val="fr-CA"/>
        </w:rPr>
        <w:t>. Vu la façon de préparer l</w:t>
      </w:r>
      <w:r w:rsidR="00C101D7">
        <w:rPr>
          <w:lang w:val="fr-CA"/>
        </w:rPr>
        <w:t>’état</w:t>
      </w:r>
      <w:r w:rsidRPr="00B526E1">
        <w:rPr>
          <w:lang w:val="fr-CA"/>
        </w:rPr>
        <w:t xml:space="preserve"> des flux de trésorerie avec la méthode directe, ces </w:t>
      </w:r>
      <w:r w:rsidR="00D71C8C">
        <w:rPr>
          <w:lang w:val="fr-CA"/>
        </w:rPr>
        <w:t>éléments</w:t>
      </w:r>
      <w:r w:rsidRPr="00B526E1">
        <w:rPr>
          <w:lang w:val="fr-CA"/>
        </w:rPr>
        <w:t xml:space="preserve"> </w:t>
      </w:r>
      <w:r w:rsidRPr="0075630F">
        <w:rPr>
          <w:lang w:val="fr-CA"/>
        </w:rPr>
        <w:t xml:space="preserve">pourraient </w:t>
      </w:r>
      <w:r w:rsidR="00D71C8C">
        <w:rPr>
          <w:lang w:val="fr-CA"/>
        </w:rPr>
        <w:t xml:space="preserve">facilement </w:t>
      </w:r>
      <w:r w:rsidRPr="0075630F">
        <w:rPr>
          <w:lang w:val="fr-CA"/>
        </w:rPr>
        <w:t>être inclus dans l</w:t>
      </w:r>
      <w:r w:rsidR="00D71C8C">
        <w:rPr>
          <w:lang w:val="fr-CA"/>
        </w:rPr>
        <w:t>a mauvais</w:t>
      </w:r>
      <w:r w:rsidR="009D66B2">
        <w:rPr>
          <w:lang w:val="fr-CA"/>
        </w:rPr>
        <w:t>e section de l’état des flux de</w:t>
      </w:r>
      <w:r w:rsidR="00D71C8C">
        <w:rPr>
          <w:lang w:val="fr-CA"/>
        </w:rPr>
        <w:t xml:space="preserve"> trésorerie.</w:t>
      </w:r>
    </w:p>
    <w:p w14:paraId="442E36C6" w14:textId="232E5729" w:rsidR="00692DCD" w:rsidRPr="0075630F" w:rsidRDefault="00D531AD" w:rsidP="00692DCD">
      <w:pPr>
        <w:pStyle w:val="ListParagraph"/>
        <w:numPr>
          <w:ilvl w:val="0"/>
          <w:numId w:val="4"/>
        </w:numPr>
        <w:spacing w:before="120"/>
        <w:rPr>
          <w:lang w:val="fr-CA"/>
        </w:rPr>
      </w:pPr>
      <w:r>
        <w:rPr>
          <w:lang w:val="fr-CA"/>
        </w:rPr>
        <w:t>Opération</w:t>
      </w:r>
      <w:r w:rsidR="00692DCD" w:rsidRPr="0075630F">
        <w:rPr>
          <w:lang w:val="fr-CA"/>
        </w:rPr>
        <w:t>s</w:t>
      </w:r>
      <w:r w:rsidR="00C81131" w:rsidRPr="0075630F">
        <w:rPr>
          <w:lang w:val="fr-CA"/>
        </w:rPr>
        <w:t xml:space="preserve"> n’ayant aucune répercussion sur </w:t>
      </w:r>
      <w:r w:rsidR="00E855B0">
        <w:rPr>
          <w:lang w:val="fr-CA"/>
        </w:rPr>
        <w:t>l</w:t>
      </w:r>
      <w:r w:rsidR="00C81131" w:rsidRPr="0075630F">
        <w:rPr>
          <w:lang w:val="fr-CA"/>
        </w:rPr>
        <w:t>’état de la situation financière</w:t>
      </w:r>
    </w:p>
    <w:p w14:paraId="1D5D80CA" w14:textId="2F5C19EA" w:rsidR="00C81131" w:rsidRPr="0075630F" w:rsidRDefault="0075630F" w:rsidP="00692DCD">
      <w:pPr>
        <w:pStyle w:val="ListParagraph"/>
        <w:numPr>
          <w:ilvl w:val="1"/>
          <w:numId w:val="4"/>
        </w:numPr>
        <w:spacing w:before="120"/>
        <w:rPr>
          <w:lang w:val="fr-CA"/>
        </w:rPr>
      </w:pPr>
      <w:r w:rsidRPr="0075630F">
        <w:rPr>
          <w:lang w:val="fr-CA"/>
        </w:rPr>
        <w:t>Il est possible que l’état des flux de trésorerie soit affecté</w:t>
      </w:r>
      <w:r w:rsidR="00D531AD">
        <w:rPr>
          <w:lang w:val="fr-CA"/>
        </w:rPr>
        <w:t xml:space="preserve"> par une opération</w:t>
      </w:r>
      <w:r w:rsidRPr="0075630F">
        <w:rPr>
          <w:lang w:val="fr-CA"/>
        </w:rPr>
        <w:t xml:space="preserve"> même s’il n’y a aucun poste </w:t>
      </w:r>
      <w:r w:rsidR="00D531AD">
        <w:rPr>
          <w:lang w:val="fr-CA"/>
        </w:rPr>
        <w:t>relié à celle-ci à</w:t>
      </w:r>
      <w:r w:rsidRPr="0075630F">
        <w:rPr>
          <w:lang w:val="fr-CA"/>
        </w:rPr>
        <w:t xml:space="preserve"> l’état de la situation financière. Par exemple, une entité pourrait émettre de la dette au début de l’année et repayer cette</w:t>
      </w:r>
      <w:r w:rsidR="00D531AD">
        <w:rPr>
          <w:lang w:val="fr-CA"/>
        </w:rPr>
        <w:t xml:space="preserve"> même</w:t>
      </w:r>
      <w:r w:rsidRPr="0075630F">
        <w:rPr>
          <w:lang w:val="fr-CA"/>
        </w:rPr>
        <w:t xml:space="preserve"> dette à la fin de l’année. Même s’il n’y aurait aucun</w:t>
      </w:r>
      <w:r w:rsidR="00D531AD">
        <w:rPr>
          <w:lang w:val="fr-CA"/>
        </w:rPr>
        <w:t xml:space="preserve">e </w:t>
      </w:r>
      <w:r w:rsidR="00D71C8C">
        <w:rPr>
          <w:lang w:val="fr-CA"/>
        </w:rPr>
        <w:t xml:space="preserve">dette présentée </w:t>
      </w:r>
      <w:r w:rsidRPr="0075630F">
        <w:rPr>
          <w:lang w:val="fr-CA"/>
        </w:rPr>
        <w:t>à l’état de la situation financière</w:t>
      </w:r>
      <w:r w:rsidR="00D71C8C">
        <w:rPr>
          <w:lang w:val="fr-CA"/>
        </w:rPr>
        <w:t xml:space="preserve"> en début ou en fin de période</w:t>
      </w:r>
      <w:r w:rsidRPr="0075630F">
        <w:rPr>
          <w:lang w:val="fr-CA"/>
        </w:rPr>
        <w:t>, il pourrait y avoir des entrées et des sorties de trésorerie significatives</w:t>
      </w:r>
      <w:r w:rsidR="00D71C8C">
        <w:rPr>
          <w:lang w:val="fr-CA"/>
        </w:rPr>
        <w:t xml:space="preserve"> durant l’année</w:t>
      </w:r>
      <w:r w:rsidRPr="0075630F">
        <w:rPr>
          <w:lang w:val="fr-CA"/>
        </w:rPr>
        <w:t xml:space="preserve"> qui </w:t>
      </w:r>
      <w:r w:rsidR="00D531AD">
        <w:rPr>
          <w:lang w:val="fr-CA"/>
        </w:rPr>
        <w:t>devraient</w:t>
      </w:r>
      <w:r w:rsidRPr="0075630F">
        <w:rPr>
          <w:lang w:val="fr-CA"/>
        </w:rPr>
        <w:t xml:space="preserve"> être présentées </w:t>
      </w:r>
      <w:r w:rsidR="00D531AD">
        <w:rPr>
          <w:lang w:val="fr-CA"/>
        </w:rPr>
        <w:t>à</w:t>
      </w:r>
      <w:r w:rsidRPr="0075630F">
        <w:rPr>
          <w:lang w:val="fr-CA"/>
        </w:rPr>
        <w:t xml:space="preserve"> l’état des flux de trésorerie.</w:t>
      </w:r>
    </w:p>
    <w:p w14:paraId="656FA423" w14:textId="790BF7B5" w:rsidR="00692DCD" w:rsidRPr="00B526E1" w:rsidRDefault="00F52BCA" w:rsidP="00692DCD">
      <w:pPr>
        <w:pStyle w:val="ListParagraph"/>
        <w:numPr>
          <w:ilvl w:val="0"/>
          <w:numId w:val="4"/>
        </w:numPr>
        <w:spacing w:after="240"/>
        <w:rPr>
          <w:lang w:val="fr-CA"/>
        </w:rPr>
      </w:pPr>
      <w:r>
        <w:rPr>
          <w:lang w:val="fr-CA"/>
        </w:rPr>
        <w:t>I</w:t>
      </w:r>
      <w:r w:rsidR="00692DCD" w:rsidRPr="00B526E1">
        <w:rPr>
          <w:lang w:val="fr-CA"/>
        </w:rPr>
        <w:t>mmobilisations corporelles reçues mais non payées</w:t>
      </w:r>
    </w:p>
    <w:p w14:paraId="06F8AD88" w14:textId="03CF521A" w:rsidR="00692DCD" w:rsidRDefault="00692DCD" w:rsidP="00692DCD">
      <w:pPr>
        <w:pStyle w:val="ListParagraph"/>
        <w:numPr>
          <w:ilvl w:val="1"/>
          <w:numId w:val="4"/>
        </w:numPr>
        <w:spacing w:after="240"/>
        <w:rPr>
          <w:lang w:val="fr-CA"/>
        </w:rPr>
      </w:pPr>
      <w:r>
        <w:rPr>
          <w:lang w:val="fr-CA"/>
        </w:rPr>
        <w:t>Si</w:t>
      </w:r>
      <w:r w:rsidRPr="00B526E1">
        <w:rPr>
          <w:lang w:val="fr-CA"/>
        </w:rPr>
        <w:t xml:space="preserve"> l’entité a reçu un bien d’immobilisations corporelles q</w:t>
      </w:r>
      <w:r w:rsidR="00D71C8C">
        <w:rPr>
          <w:lang w:val="fr-CA"/>
        </w:rPr>
        <w:t>ui a été comptabilisé en tant qu’actif mais qui n’a pas encore été payé, il n’y aurait aucun flux monétaire et donc cette transaction ne devrait pas être présentée dans l’état des flux de trésorerie (par contre, elle pourrait être sujette aux ex</w:t>
      </w:r>
      <w:r w:rsidR="00A87435">
        <w:rPr>
          <w:lang w:val="fr-CA"/>
        </w:rPr>
        <w:t xml:space="preserve">igences d’informations à fournir </w:t>
      </w:r>
      <w:r w:rsidR="00F52BCA">
        <w:rPr>
          <w:lang w:val="fr-CA"/>
        </w:rPr>
        <w:t>selon</w:t>
      </w:r>
      <w:r w:rsidR="0014060D">
        <w:rPr>
          <w:lang w:val="fr-CA"/>
        </w:rPr>
        <w:t xml:space="preserve"> PS 1201.124 ou IAS </w:t>
      </w:r>
      <w:r w:rsidR="00A87435">
        <w:rPr>
          <w:lang w:val="fr-CA"/>
        </w:rPr>
        <w:t>7.43</w:t>
      </w:r>
      <w:r w:rsidR="00D71C8C">
        <w:rPr>
          <w:lang w:val="fr-CA"/>
        </w:rPr>
        <w:t>)</w:t>
      </w:r>
      <w:r w:rsidRPr="00B526E1">
        <w:rPr>
          <w:lang w:val="fr-CA"/>
        </w:rPr>
        <w:t>.</w:t>
      </w:r>
    </w:p>
    <w:p w14:paraId="7423041E" w14:textId="70AE9B19" w:rsidR="00692DCD" w:rsidRDefault="00692DCD" w:rsidP="00692DCD">
      <w:pPr>
        <w:pStyle w:val="ListParagraph"/>
        <w:numPr>
          <w:ilvl w:val="0"/>
          <w:numId w:val="4"/>
        </w:numPr>
        <w:rPr>
          <w:lang w:val="fr-CA"/>
        </w:rPr>
      </w:pPr>
      <w:r>
        <w:rPr>
          <w:lang w:val="fr-CA"/>
        </w:rPr>
        <w:t xml:space="preserve">Soldes d’ouverture des </w:t>
      </w:r>
      <w:r w:rsidR="009D66B2">
        <w:rPr>
          <w:lang w:val="fr-CA"/>
        </w:rPr>
        <w:t>courus</w:t>
      </w:r>
    </w:p>
    <w:p w14:paraId="7E61EF33" w14:textId="4E6E7CE4" w:rsidR="00692DCD" w:rsidRPr="00485D4B" w:rsidRDefault="00692DCD" w:rsidP="00692DCD">
      <w:pPr>
        <w:pStyle w:val="ListParagraph"/>
        <w:numPr>
          <w:ilvl w:val="1"/>
          <w:numId w:val="4"/>
        </w:numPr>
        <w:rPr>
          <w:lang w:val="fr-CA"/>
        </w:rPr>
      </w:pPr>
      <w:r>
        <w:rPr>
          <w:lang w:val="fr-CA"/>
        </w:rPr>
        <w:t xml:space="preserve">Vous souvenez-vous du scénario mentionné précédemment, celui des immobilisations corporelles reçues mais non payées? Si ce scénario a eu lieu pour cette fin d’année, il a aussi probablement eu lieu pour la fin de l’année précédente.  </w:t>
      </w:r>
      <w:r>
        <w:rPr>
          <w:rFonts w:cs="Arial"/>
          <w:color w:val="222222"/>
          <w:lang w:val="fr-FR"/>
        </w:rPr>
        <w:t>Alors, soyez à l'affût des comptes créditeurs et des charges à payer importants pour les acquisitions des immobilisations corporelles de l’année précédente qui étaient inclus dans vos soldes d’ouverture de l’état de la situation financière et qui ont ensuite été payé</w:t>
      </w:r>
      <w:r w:rsidR="00D531AD">
        <w:rPr>
          <w:rFonts w:cs="Arial"/>
          <w:color w:val="222222"/>
          <w:lang w:val="fr-FR"/>
        </w:rPr>
        <w:t>s</w:t>
      </w:r>
      <w:r>
        <w:rPr>
          <w:rFonts w:cs="Arial"/>
          <w:color w:val="222222"/>
          <w:lang w:val="fr-FR"/>
        </w:rPr>
        <w:t xml:space="preserve"> par l'entité au cours de l'année. Ce paiement dans l'année en cours est un flux de trésorerie pour l'acquisition d’immobilisations corporelles (c’est à-dire qu'il est une activité d'investissemen</w:t>
      </w:r>
      <w:r w:rsidR="00D531AD">
        <w:rPr>
          <w:rFonts w:cs="Arial"/>
          <w:color w:val="222222"/>
          <w:lang w:val="fr-FR"/>
        </w:rPr>
        <w:t>t</w:t>
      </w:r>
      <w:r>
        <w:rPr>
          <w:rFonts w:cs="Arial"/>
          <w:color w:val="222222"/>
          <w:lang w:val="fr-FR"/>
        </w:rPr>
        <w:t xml:space="preserve">). Une erreur courante en suivant la méthode indirecte est de le présenter dans les activités </w:t>
      </w:r>
      <w:r w:rsidR="00DD3754">
        <w:rPr>
          <w:rFonts w:cs="Arial"/>
          <w:color w:val="222222"/>
          <w:lang w:val="fr-FR"/>
        </w:rPr>
        <w:t>de fonctionnement</w:t>
      </w:r>
      <w:r w:rsidR="00E06BEF">
        <w:rPr>
          <w:rFonts w:cs="Arial"/>
          <w:color w:val="222222"/>
          <w:lang w:val="fr-FR"/>
        </w:rPr>
        <w:t xml:space="preserve"> dans </w:t>
      </w:r>
      <w:r>
        <w:rPr>
          <w:rFonts w:cs="Arial"/>
          <w:color w:val="222222"/>
          <w:lang w:val="fr-FR"/>
        </w:rPr>
        <w:t xml:space="preserve">l'augmentation </w:t>
      </w:r>
      <w:r w:rsidR="00D531AD">
        <w:rPr>
          <w:rFonts w:cs="Arial"/>
          <w:color w:val="222222"/>
          <w:lang w:val="fr-FR"/>
        </w:rPr>
        <w:t>ou de la</w:t>
      </w:r>
      <w:r>
        <w:rPr>
          <w:rFonts w:cs="Arial"/>
          <w:color w:val="222222"/>
          <w:lang w:val="fr-FR"/>
        </w:rPr>
        <w:t xml:space="preserve"> diminution des comptes créditeurs et charges à payer.</w:t>
      </w:r>
      <w:r>
        <w:rPr>
          <w:lang w:val="fr-CA"/>
        </w:rPr>
        <w:t xml:space="preserve"> </w:t>
      </w:r>
      <w:r w:rsidR="00A87435">
        <w:rPr>
          <w:lang w:val="fr-CA"/>
        </w:rPr>
        <w:t xml:space="preserve">Ceci serait également vrai pour n’importe </w:t>
      </w:r>
      <w:r w:rsidR="00E06BEF">
        <w:rPr>
          <w:lang w:val="fr-CA"/>
        </w:rPr>
        <w:t>quels autres créditeurs ou débiteurs</w:t>
      </w:r>
      <w:r w:rsidR="00A87435">
        <w:rPr>
          <w:lang w:val="fr-CA"/>
        </w:rPr>
        <w:t xml:space="preserve"> reliés aux activités d’investissement ou de financement.</w:t>
      </w:r>
    </w:p>
    <w:p w14:paraId="0271AD81" w14:textId="77777777" w:rsidR="001524F7" w:rsidRPr="00B526E1" w:rsidRDefault="001524F7" w:rsidP="001524F7">
      <w:pPr>
        <w:pStyle w:val="ListParagraph"/>
        <w:keepNext/>
        <w:keepLines/>
        <w:numPr>
          <w:ilvl w:val="0"/>
          <w:numId w:val="5"/>
        </w:numPr>
        <w:spacing w:after="240"/>
        <w:rPr>
          <w:lang w:val="fr-CA"/>
        </w:rPr>
      </w:pPr>
      <w:r w:rsidRPr="00B526E1">
        <w:rPr>
          <w:lang w:val="fr-CA"/>
        </w:rPr>
        <w:t>Achat ou vente de placements</w:t>
      </w:r>
    </w:p>
    <w:p w14:paraId="5E19D5E0" w14:textId="38F8A073" w:rsidR="001524F7" w:rsidRPr="00B526E1" w:rsidRDefault="00E06BEF" w:rsidP="001524F7">
      <w:pPr>
        <w:pStyle w:val="ListParagraph"/>
        <w:numPr>
          <w:ilvl w:val="1"/>
          <w:numId w:val="5"/>
        </w:numPr>
        <w:spacing w:after="240"/>
        <w:rPr>
          <w:lang w:val="fr-CA"/>
        </w:rPr>
      </w:pPr>
      <w:r>
        <w:rPr>
          <w:lang w:val="fr-CA"/>
        </w:rPr>
        <w:t>Similaire à l’</w:t>
      </w:r>
      <w:r w:rsidR="001524F7" w:rsidRPr="00B526E1">
        <w:rPr>
          <w:lang w:val="fr-CA"/>
        </w:rPr>
        <w:t xml:space="preserve">approche </w:t>
      </w:r>
      <w:r w:rsidR="00E855B0">
        <w:rPr>
          <w:lang w:val="fr-CA"/>
        </w:rPr>
        <w:t>des</w:t>
      </w:r>
      <w:r w:rsidR="001524F7" w:rsidRPr="00B526E1">
        <w:rPr>
          <w:lang w:val="fr-CA"/>
        </w:rPr>
        <w:t xml:space="preserve"> transactions </w:t>
      </w:r>
      <w:r>
        <w:rPr>
          <w:lang w:val="fr-CA"/>
        </w:rPr>
        <w:t>au brut ou au net,</w:t>
      </w:r>
      <w:r w:rsidR="001524F7" w:rsidRPr="00B526E1">
        <w:rPr>
          <w:lang w:val="fr-CA"/>
        </w:rPr>
        <w:t xml:space="preserve"> si l’entité totalise les débits et les crédits dans son compte de placements et inscrit </w:t>
      </w:r>
      <w:r w:rsidR="00DD3754">
        <w:rPr>
          <w:lang w:val="fr-CA"/>
        </w:rPr>
        <w:t>à l’état</w:t>
      </w:r>
      <w:r w:rsidR="001524F7" w:rsidRPr="00B526E1">
        <w:rPr>
          <w:lang w:val="fr-CA"/>
        </w:rPr>
        <w:t xml:space="preserve"> des flux de trésorerie le solde au débit du compte sous les activités d’investissement comme « sortie de trésorerie pour l’achat de placements » et le solde au crédit du compte comme « entrée de trésorerie p</w:t>
      </w:r>
      <w:r w:rsidR="00D531AD">
        <w:rPr>
          <w:lang w:val="fr-CA"/>
        </w:rPr>
        <w:t>rovenant</w:t>
      </w:r>
      <w:r w:rsidR="001524F7" w:rsidRPr="00B526E1">
        <w:rPr>
          <w:lang w:val="fr-CA"/>
        </w:rPr>
        <w:t xml:space="preserve"> la vente de placements », </w:t>
      </w:r>
      <w:r w:rsidR="00E855B0">
        <w:rPr>
          <w:lang w:val="fr-CA"/>
        </w:rPr>
        <w:t xml:space="preserve">cette approche ne prend pas en considération </w:t>
      </w:r>
      <w:r w:rsidR="001524F7" w:rsidRPr="00B526E1">
        <w:rPr>
          <w:lang w:val="fr-CA"/>
        </w:rPr>
        <w:t xml:space="preserve">les opérations faites pour amortir la prime ou l’escompte qui sont des éléments hors trésorerie ne seront pas </w:t>
      </w:r>
      <w:r>
        <w:rPr>
          <w:lang w:val="fr-CA"/>
        </w:rPr>
        <w:t>considérés</w:t>
      </w:r>
      <w:r w:rsidR="001524F7" w:rsidRPr="00B526E1">
        <w:rPr>
          <w:lang w:val="fr-CA"/>
        </w:rPr>
        <w:t>.</w:t>
      </w:r>
      <w:r w:rsidR="00A87435">
        <w:rPr>
          <w:lang w:val="fr-CA"/>
        </w:rPr>
        <w:t xml:space="preserve"> </w:t>
      </w:r>
      <w:r w:rsidR="00E855B0">
        <w:rPr>
          <w:lang w:val="fr-CA"/>
        </w:rPr>
        <w:t>Cette approche pourrait</w:t>
      </w:r>
      <w:r w:rsidR="00A87435">
        <w:rPr>
          <w:lang w:val="fr-CA"/>
        </w:rPr>
        <w:t xml:space="preserve"> également faire en sorte que des transactions non-monétaires (dividendes en action</w:t>
      </w:r>
      <w:r>
        <w:rPr>
          <w:lang w:val="fr-CA"/>
        </w:rPr>
        <w:t>s</w:t>
      </w:r>
      <w:r w:rsidR="00A87435">
        <w:rPr>
          <w:lang w:val="fr-CA"/>
        </w:rPr>
        <w:t>, nouvelles actions émises à la suite d’une fusion ou d’un spin-off, etc.) soient incorrectement présentées en tant que transactions monétaires.</w:t>
      </w:r>
    </w:p>
    <w:p w14:paraId="113F98B4" w14:textId="5CE639E4" w:rsidR="001524F7" w:rsidRPr="00B526E1" w:rsidRDefault="001524F7" w:rsidP="001524F7">
      <w:pPr>
        <w:pStyle w:val="ListParagraph"/>
        <w:keepNext/>
        <w:keepLines/>
        <w:numPr>
          <w:ilvl w:val="0"/>
          <w:numId w:val="5"/>
        </w:numPr>
        <w:spacing w:after="240"/>
        <w:rPr>
          <w:lang w:val="fr-CA"/>
        </w:rPr>
      </w:pPr>
      <w:r>
        <w:rPr>
          <w:lang w:val="fr-CA"/>
        </w:rPr>
        <w:t>Retenues</w:t>
      </w:r>
    </w:p>
    <w:p w14:paraId="7DDF7610" w14:textId="1CC88ADE" w:rsidR="00692DCD" w:rsidRPr="003040CF" w:rsidRDefault="00E06BEF" w:rsidP="001524F7">
      <w:pPr>
        <w:pStyle w:val="Heading3"/>
        <w:numPr>
          <w:ilvl w:val="1"/>
          <w:numId w:val="5"/>
        </w:numPr>
        <w:rPr>
          <w:lang w:val="fr-CA"/>
        </w:rPr>
      </w:pPr>
      <w:r>
        <w:rPr>
          <w:rFonts w:eastAsiaTheme="minorHAnsi" w:cstheme="minorBidi"/>
          <w:b w:val="0"/>
          <w:bCs w:val="0"/>
          <w:sz w:val="22"/>
          <w:lang w:val="fr-CA"/>
        </w:rPr>
        <w:t xml:space="preserve">Les retenues </w:t>
      </w:r>
      <w:r w:rsidR="001524F7" w:rsidRPr="001524F7">
        <w:rPr>
          <w:rFonts w:eastAsiaTheme="minorHAnsi" w:cstheme="minorBidi"/>
          <w:b w:val="0"/>
          <w:bCs w:val="0"/>
          <w:sz w:val="22"/>
          <w:lang w:val="fr-CA"/>
        </w:rPr>
        <w:t>sont des montants qu’un client retient au moment de régler sa facture à un entrepreneur. Par exemple, si un client règle une facture de 100 $ mais retient un montant de 5 $ jusqu’à l’acceptation finale des travaux, la sortie de trésorerie sera d</w:t>
      </w:r>
      <w:r>
        <w:rPr>
          <w:rFonts w:eastAsiaTheme="minorHAnsi" w:cstheme="minorBidi"/>
          <w:b w:val="0"/>
          <w:bCs w:val="0"/>
          <w:sz w:val="22"/>
          <w:lang w:val="fr-CA"/>
        </w:rPr>
        <w:t xml:space="preserve">e 95 $. Le client présentera ce </w:t>
      </w:r>
      <w:r w:rsidR="001524F7" w:rsidRPr="001524F7">
        <w:rPr>
          <w:rFonts w:eastAsiaTheme="minorHAnsi" w:cstheme="minorBidi"/>
          <w:b w:val="0"/>
          <w:bCs w:val="0"/>
          <w:sz w:val="22"/>
          <w:lang w:val="fr-CA"/>
        </w:rPr>
        <w:t xml:space="preserve">montant </w:t>
      </w:r>
      <w:r>
        <w:rPr>
          <w:rFonts w:eastAsiaTheme="minorHAnsi" w:cstheme="minorBidi"/>
          <w:b w:val="0"/>
          <w:bCs w:val="0"/>
          <w:sz w:val="22"/>
          <w:lang w:val="fr-CA"/>
        </w:rPr>
        <w:t xml:space="preserve">de 95 $ </w:t>
      </w:r>
      <w:r w:rsidR="00DD3754">
        <w:rPr>
          <w:rFonts w:eastAsiaTheme="minorHAnsi" w:cstheme="minorBidi"/>
          <w:b w:val="0"/>
          <w:bCs w:val="0"/>
          <w:sz w:val="22"/>
          <w:lang w:val="fr-CA"/>
        </w:rPr>
        <w:t xml:space="preserve">à l’état </w:t>
      </w:r>
      <w:r w:rsidR="001524F7" w:rsidRPr="001524F7">
        <w:rPr>
          <w:rFonts w:eastAsiaTheme="minorHAnsi" w:cstheme="minorBidi"/>
          <w:b w:val="0"/>
          <w:bCs w:val="0"/>
          <w:sz w:val="22"/>
          <w:lang w:val="fr-CA"/>
        </w:rPr>
        <w:t>des flux de trésorerie comme une acquisition d’immobilisations. Le solde de 5 $ sera présenté seulement lorsqu’il sera payé.</w:t>
      </w:r>
      <w:r w:rsidR="001524F7">
        <w:rPr>
          <w:rFonts w:eastAsiaTheme="minorHAnsi" w:cstheme="minorBidi"/>
          <w:b w:val="0"/>
          <w:bCs w:val="0"/>
          <w:sz w:val="22"/>
          <w:lang w:val="fr-CA"/>
        </w:rPr>
        <w:t xml:space="preserve"> </w:t>
      </w:r>
      <w:r w:rsidR="001524F7" w:rsidRPr="001524F7">
        <w:rPr>
          <w:rFonts w:eastAsiaTheme="minorHAnsi" w:cstheme="minorBidi"/>
          <w:b w:val="0"/>
          <w:bCs w:val="0"/>
          <w:sz w:val="22"/>
          <w:lang w:val="fr-CA"/>
        </w:rPr>
        <w:t xml:space="preserve">De même, si la retenue de 5 $ est présentée dans un compte distinct à l’état de la situation financière, le solde de ce compte </w:t>
      </w:r>
      <w:r>
        <w:rPr>
          <w:rFonts w:eastAsiaTheme="minorHAnsi" w:cstheme="minorBidi"/>
          <w:b w:val="0"/>
          <w:bCs w:val="0"/>
          <w:sz w:val="22"/>
          <w:lang w:val="fr-CA"/>
        </w:rPr>
        <w:t>pourrait faire</w:t>
      </w:r>
      <w:r w:rsidR="001524F7" w:rsidRPr="001524F7">
        <w:rPr>
          <w:rFonts w:eastAsiaTheme="minorHAnsi" w:cstheme="minorBidi"/>
          <w:b w:val="0"/>
          <w:bCs w:val="0"/>
          <w:sz w:val="22"/>
          <w:lang w:val="fr-CA"/>
        </w:rPr>
        <w:t xml:space="preserve"> </w:t>
      </w:r>
      <w:r w:rsidR="001524F7" w:rsidRPr="003040CF">
        <w:rPr>
          <w:rFonts w:eastAsiaTheme="minorHAnsi" w:cstheme="minorBidi"/>
          <w:b w:val="0"/>
          <w:bCs w:val="0"/>
          <w:sz w:val="22"/>
          <w:lang w:val="fr-CA"/>
        </w:rPr>
        <w:t>partie de la trésorerie à la fin de l’exercice.</w:t>
      </w:r>
    </w:p>
    <w:p w14:paraId="1094A06E" w14:textId="4C08E698" w:rsidR="00192A27" w:rsidRPr="003040CF" w:rsidRDefault="00D531AD" w:rsidP="001524F7">
      <w:pPr>
        <w:pStyle w:val="ListParagraph"/>
        <w:keepNext/>
        <w:keepLines/>
        <w:numPr>
          <w:ilvl w:val="0"/>
          <w:numId w:val="5"/>
        </w:numPr>
        <w:spacing w:after="240"/>
        <w:rPr>
          <w:lang w:val="fr-CA"/>
        </w:rPr>
      </w:pPr>
      <w:r w:rsidRPr="003040CF">
        <w:rPr>
          <w:lang w:val="fr-CA"/>
        </w:rPr>
        <w:t>Trésorerie</w:t>
      </w:r>
      <w:r w:rsidR="00192A27" w:rsidRPr="003040CF">
        <w:rPr>
          <w:lang w:val="fr-CA"/>
        </w:rPr>
        <w:t xml:space="preserve"> détenu en devises</w:t>
      </w:r>
      <w:r w:rsidR="0065064F" w:rsidRPr="003040CF">
        <w:rPr>
          <w:lang w:val="fr-CA"/>
        </w:rPr>
        <w:t xml:space="preserve"> </w:t>
      </w:r>
    </w:p>
    <w:p w14:paraId="50B5FF4E" w14:textId="046A9FE1" w:rsidR="00192A27" w:rsidRPr="003040CF" w:rsidRDefault="00E06BEF" w:rsidP="001524F7">
      <w:pPr>
        <w:pStyle w:val="Heading3"/>
        <w:numPr>
          <w:ilvl w:val="1"/>
          <w:numId w:val="5"/>
        </w:numPr>
        <w:rPr>
          <w:rFonts w:eastAsiaTheme="minorHAnsi" w:cstheme="minorBidi"/>
          <w:b w:val="0"/>
          <w:bCs w:val="0"/>
          <w:sz w:val="22"/>
          <w:lang w:val="fr-CA"/>
        </w:rPr>
      </w:pPr>
      <w:r>
        <w:rPr>
          <w:rFonts w:eastAsiaTheme="minorHAnsi" w:cstheme="minorBidi"/>
          <w:b w:val="0"/>
          <w:bCs w:val="0"/>
          <w:sz w:val="22"/>
          <w:lang w:val="fr-CA"/>
        </w:rPr>
        <w:t>Les gains et les pertes non-réalisés dus</w:t>
      </w:r>
      <w:r w:rsidR="00D531AD" w:rsidRPr="003040CF">
        <w:rPr>
          <w:rFonts w:eastAsiaTheme="minorHAnsi" w:cstheme="minorBidi"/>
          <w:b w:val="0"/>
          <w:bCs w:val="0"/>
          <w:sz w:val="22"/>
          <w:lang w:val="fr-CA"/>
        </w:rPr>
        <w:t xml:space="preserve"> à la variation des taux de change </w:t>
      </w:r>
      <w:r w:rsidR="00DE6D02" w:rsidRPr="003040CF">
        <w:rPr>
          <w:rFonts w:eastAsiaTheme="minorHAnsi" w:cstheme="minorBidi"/>
          <w:b w:val="0"/>
          <w:bCs w:val="0"/>
          <w:sz w:val="22"/>
          <w:lang w:val="fr-CA"/>
        </w:rPr>
        <w:t>n’est pas un flux monétaire. L’impact net de la variation devrait</w:t>
      </w:r>
      <w:r w:rsidR="00192A27" w:rsidRPr="003040CF">
        <w:rPr>
          <w:rFonts w:eastAsiaTheme="minorHAnsi" w:cstheme="minorBidi"/>
          <w:b w:val="0"/>
          <w:bCs w:val="0"/>
          <w:sz w:val="22"/>
          <w:lang w:val="fr-CA"/>
        </w:rPr>
        <w:t xml:space="preserve"> être </w:t>
      </w:r>
      <w:r w:rsidR="00DE6D02" w:rsidRPr="003040CF">
        <w:rPr>
          <w:rFonts w:eastAsiaTheme="minorHAnsi" w:cstheme="minorBidi"/>
          <w:b w:val="0"/>
          <w:bCs w:val="0"/>
          <w:sz w:val="22"/>
          <w:lang w:val="fr-CA"/>
        </w:rPr>
        <w:t>présenté</w:t>
      </w:r>
      <w:r w:rsidR="00192A27" w:rsidRPr="003040CF">
        <w:rPr>
          <w:rFonts w:eastAsiaTheme="minorHAnsi" w:cstheme="minorBidi"/>
          <w:b w:val="0"/>
          <w:bCs w:val="0"/>
          <w:sz w:val="22"/>
          <w:lang w:val="fr-CA"/>
        </w:rPr>
        <w:t xml:space="preserve"> dans un poste distinct </w:t>
      </w:r>
      <w:r w:rsidR="00C73F33" w:rsidRPr="003040CF">
        <w:rPr>
          <w:rFonts w:eastAsiaTheme="minorHAnsi" w:cstheme="minorBidi"/>
          <w:b w:val="0"/>
          <w:bCs w:val="0"/>
          <w:sz w:val="22"/>
          <w:lang w:val="fr-CA"/>
        </w:rPr>
        <w:t xml:space="preserve">qui ne fait pas partie </w:t>
      </w:r>
      <w:r w:rsidR="00192A27" w:rsidRPr="003040CF">
        <w:rPr>
          <w:rFonts w:eastAsiaTheme="minorHAnsi" w:cstheme="minorBidi"/>
          <w:b w:val="0"/>
          <w:bCs w:val="0"/>
          <w:sz w:val="22"/>
          <w:lang w:val="fr-CA"/>
        </w:rPr>
        <w:t>des activités de fonctionnement, de financement et d’investissement</w:t>
      </w:r>
      <w:r w:rsidR="003040CF" w:rsidRPr="003040CF">
        <w:rPr>
          <w:rFonts w:eastAsiaTheme="minorHAnsi" w:cstheme="minorBidi"/>
          <w:b w:val="0"/>
          <w:bCs w:val="0"/>
          <w:sz w:val="22"/>
          <w:lang w:val="fr-CA"/>
        </w:rPr>
        <w:t>, et qui est généralement inclus dans la conciliation du solde de clôture de la trésorerie et équivalents de trésorerie présenté</w:t>
      </w:r>
      <w:r>
        <w:rPr>
          <w:rFonts w:eastAsiaTheme="minorHAnsi" w:cstheme="minorBidi"/>
          <w:b w:val="0"/>
          <w:bCs w:val="0"/>
          <w:sz w:val="22"/>
          <w:lang w:val="fr-CA"/>
        </w:rPr>
        <w:t>e</w:t>
      </w:r>
      <w:r w:rsidR="003040CF" w:rsidRPr="003040CF">
        <w:rPr>
          <w:rFonts w:eastAsiaTheme="minorHAnsi" w:cstheme="minorBidi"/>
          <w:b w:val="0"/>
          <w:bCs w:val="0"/>
          <w:sz w:val="22"/>
          <w:lang w:val="fr-CA"/>
        </w:rPr>
        <w:t xml:space="preserve"> au bas de l’état des flux de trésorerie</w:t>
      </w:r>
      <w:r w:rsidR="00192A27" w:rsidRPr="003040CF">
        <w:rPr>
          <w:rFonts w:eastAsiaTheme="minorHAnsi" w:cstheme="minorBidi"/>
          <w:b w:val="0"/>
          <w:bCs w:val="0"/>
          <w:sz w:val="22"/>
          <w:lang w:val="fr-CA"/>
        </w:rPr>
        <w:t>. Avec la méthode indirecte, les activités de fonctionnement d</w:t>
      </w:r>
      <w:r w:rsidR="003040CF" w:rsidRPr="003040CF">
        <w:rPr>
          <w:rFonts w:eastAsiaTheme="minorHAnsi" w:cstheme="minorBidi"/>
          <w:b w:val="0"/>
          <w:bCs w:val="0"/>
          <w:sz w:val="22"/>
          <w:lang w:val="fr-CA"/>
        </w:rPr>
        <w:t>evraient</w:t>
      </w:r>
      <w:r w:rsidR="00192A27" w:rsidRPr="003040CF">
        <w:rPr>
          <w:rFonts w:eastAsiaTheme="minorHAnsi" w:cstheme="minorBidi"/>
          <w:b w:val="0"/>
          <w:bCs w:val="0"/>
          <w:sz w:val="22"/>
          <w:lang w:val="fr-CA"/>
        </w:rPr>
        <w:t xml:space="preserve"> être ajustées d’un montant équivalent.</w:t>
      </w:r>
    </w:p>
    <w:p w14:paraId="5D198F7F" w14:textId="4D49781D" w:rsidR="001524F7" w:rsidRPr="0075630F" w:rsidRDefault="0075630F" w:rsidP="001524F7">
      <w:pPr>
        <w:pStyle w:val="ListParagraph"/>
        <w:numPr>
          <w:ilvl w:val="0"/>
          <w:numId w:val="5"/>
        </w:numPr>
        <w:spacing w:before="120"/>
        <w:rPr>
          <w:lang w:val="fr-CA"/>
        </w:rPr>
      </w:pPr>
      <w:r w:rsidRPr="0075630F">
        <w:rPr>
          <w:lang w:val="fr-CA"/>
        </w:rPr>
        <w:t>Paiements et encaissements en devises étrangères</w:t>
      </w:r>
    </w:p>
    <w:p w14:paraId="40FCBF9A" w14:textId="507FA0E4" w:rsidR="0075630F" w:rsidRPr="0075630F" w:rsidRDefault="0075630F" w:rsidP="0075630F">
      <w:pPr>
        <w:pStyle w:val="ListParagraph"/>
        <w:numPr>
          <w:ilvl w:val="1"/>
          <w:numId w:val="5"/>
        </w:numPr>
        <w:spacing w:before="120"/>
        <w:rPr>
          <w:lang w:val="fr-CA"/>
        </w:rPr>
      </w:pPr>
      <w:r w:rsidRPr="0075630F">
        <w:rPr>
          <w:lang w:val="fr-CA"/>
        </w:rPr>
        <w:t xml:space="preserve">Les paiements et encaissements faits en devises étrangères </w:t>
      </w:r>
      <w:r w:rsidR="00A87435">
        <w:rPr>
          <w:lang w:val="fr-CA"/>
        </w:rPr>
        <w:t>devraient</w:t>
      </w:r>
      <w:r w:rsidRPr="0075630F">
        <w:rPr>
          <w:lang w:val="fr-CA"/>
        </w:rPr>
        <w:t xml:space="preserve"> être convertis dans la monnaie fonctionnelle en utilisant le taux de change en vigueur à la date du flux de trésorerie, et non celui en vigueur à la date où le débiteur ou créditeur a été </w:t>
      </w:r>
      <w:r w:rsidR="00D531AD">
        <w:rPr>
          <w:lang w:val="fr-CA"/>
        </w:rPr>
        <w:t xml:space="preserve">initialement </w:t>
      </w:r>
      <w:r w:rsidRPr="0075630F">
        <w:rPr>
          <w:lang w:val="fr-CA"/>
        </w:rPr>
        <w:t>comptabilisé.</w:t>
      </w:r>
    </w:p>
    <w:p w14:paraId="71D5F472" w14:textId="1D8E5B4A" w:rsidR="00192A27" w:rsidRPr="00B526E1" w:rsidRDefault="001524F7" w:rsidP="001524F7">
      <w:pPr>
        <w:pStyle w:val="ListParagraph"/>
        <w:keepNext/>
        <w:keepLines/>
        <w:numPr>
          <w:ilvl w:val="0"/>
          <w:numId w:val="5"/>
        </w:numPr>
        <w:spacing w:after="240"/>
        <w:rPr>
          <w:lang w:val="fr-CA"/>
        </w:rPr>
      </w:pPr>
      <w:r>
        <w:rPr>
          <w:lang w:val="fr-CA"/>
        </w:rPr>
        <w:t>Produits d’i</w:t>
      </w:r>
      <w:r w:rsidR="00192A27" w:rsidRPr="00B526E1">
        <w:rPr>
          <w:lang w:val="fr-CA"/>
        </w:rPr>
        <w:t>ntérêts</w:t>
      </w:r>
    </w:p>
    <w:p w14:paraId="44ADEB44" w14:textId="3F903C82" w:rsidR="00192A27" w:rsidRPr="00532619" w:rsidRDefault="00A87435" w:rsidP="001524F7">
      <w:pPr>
        <w:pStyle w:val="ListParagraph"/>
        <w:numPr>
          <w:ilvl w:val="1"/>
          <w:numId w:val="5"/>
        </w:numPr>
        <w:spacing w:before="120"/>
        <w:rPr>
          <w:lang w:val="fr-CA"/>
        </w:rPr>
      </w:pPr>
      <w:r>
        <w:rPr>
          <w:lang w:val="fr-CA"/>
        </w:rPr>
        <w:t xml:space="preserve">Selon les IFRS, les </w:t>
      </w:r>
      <w:r w:rsidR="00192A27" w:rsidRPr="0065666C">
        <w:rPr>
          <w:lang w:val="fr-CA"/>
        </w:rPr>
        <w:t>entité</w:t>
      </w:r>
      <w:r>
        <w:rPr>
          <w:lang w:val="fr-CA"/>
        </w:rPr>
        <w:t>s</w:t>
      </w:r>
      <w:r w:rsidR="00E855B0">
        <w:rPr>
          <w:lang w:val="fr-CA"/>
        </w:rPr>
        <w:t xml:space="preserve"> ont</w:t>
      </w:r>
      <w:r w:rsidR="00192A27" w:rsidRPr="0065666C">
        <w:rPr>
          <w:lang w:val="fr-CA"/>
        </w:rPr>
        <w:t xml:space="preserve"> le choix de présenter les intérêts reçus dans les activités de fonctionnement ou d’investissement. Si elle choisit de les présenter dans les activités d’investissement, elle devra ajuster les activités de fonctionnement d’un mon</w:t>
      </w:r>
      <w:r w:rsidR="0095245E" w:rsidRPr="0065666C">
        <w:rPr>
          <w:lang w:val="fr-CA"/>
        </w:rPr>
        <w:t>tant équivalent si elle prépare</w:t>
      </w:r>
      <w:r w:rsidR="00192A27" w:rsidRPr="0065666C">
        <w:rPr>
          <w:lang w:val="fr-CA"/>
        </w:rPr>
        <w:t xml:space="preserve"> </w:t>
      </w:r>
      <w:r w:rsidR="00DD3754">
        <w:rPr>
          <w:lang w:val="fr-CA"/>
        </w:rPr>
        <w:t>l’état</w:t>
      </w:r>
      <w:r w:rsidR="00192A27" w:rsidRPr="0065666C">
        <w:rPr>
          <w:lang w:val="fr-CA"/>
        </w:rPr>
        <w:t xml:space="preserve"> des flux de trésorerie selon la méthode </w:t>
      </w:r>
      <w:r w:rsidR="00192A27" w:rsidRPr="00532619">
        <w:rPr>
          <w:lang w:val="fr-CA"/>
        </w:rPr>
        <w:t>indirecte.</w:t>
      </w:r>
      <w:r w:rsidR="00D26EBE">
        <w:rPr>
          <w:lang w:val="fr-CA"/>
        </w:rPr>
        <w:t xml:space="preserve"> Cet ajustement devrait aussi considérer la variation des produits d’intérêts courus afin de bien refléter l’entrée de trésorerie </w:t>
      </w:r>
      <w:r w:rsidR="00E855B0">
        <w:rPr>
          <w:lang w:val="fr-CA"/>
        </w:rPr>
        <w:t>durant</w:t>
      </w:r>
      <w:r w:rsidR="00D26EBE">
        <w:rPr>
          <w:lang w:val="fr-CA"/>
        </w:rPr>
        <w:t xml:space="preserve"> l’année. </w:t>
      </w:r>
    </w:p>
    <w:p w14:paraId="6E533FA7" w14:textId="6DA77107" w:rsidR="001524F7" w:rsidRPr="00532619" w:rsidRDefault="00D531AD" w:rsidP="001524F7">
      <w:pPr>
        <w:pStyle w:val="ListParagraph"/>
        <w:numPr>
          <w:ilvl w:val="0"/>
          <w:numId w:val="5"/>
        </w:numPr>
        <w:spacing w:before="120"/>
        <w:rPr>
          <w:lang w:val="fr-CA"/>
        </w:rPr>
      </w:pPr>
      <w:r>
        <w:rPr>
          <w:lang w:val="fr-CA"/>
        </w:rPr>
        <w:t>Projet d’i</w:t>
      </w:r>
      <w:r w:rsidR="00532619" w:rsidRPr="00532619">
        <w:rPr>
          <w:lang w:val="fr-CA"/>
        </w:rPr>
        <w:t>nvestissements en capital pluriannuel</w:t>
      </w:r>
      <w:r>
        <w:rPr>
          <w:lang w:val="fr-CA"/>
        </w:rPr>
        <w:t xml:space="preserve"> et significatif</w:t>
      </w:r>
      <w:r w:rsidR="00532619" w:rsidRPr="00532619">
        <w:rPr>
          <w:lang w:val="fr-CA"/>
        </w:rPr>
        <w:t xml:space="preserve"> </w:t>
      </w:r>
    </w:p>
    <w:p w14:paraId="7C99BDB2" w14:textId="70D1E891" w:rsidR="00532619" w:rsidRPr="00532619" w:rsidRDefault="00532619" w:rsidP="001524F7">
      <w:pPr>
        <w:pStyle w:val="ListParagraph"/>
        <w:numPr>
          <w:ilvl w:val="1"/>
          <w:numId w:val="5"/>
        </w:numPr>
        <w:spacing w:before="120"/>
        <w:rPr>
          <w:lang w:val="fr-CA"/>
        </w:rPr>
      </w:pPr>
      <w:r w:rsidRPr="00532619">
        <w:rPr>
          <w:lang w:val="fr-CA"/>
        </w:rPr>
        <w:t xml:space="preserve">Il est important de bien comprendre le financement du projet. Il est possible que certains éléments, tel que les frais </w:t>
      </w:r>
      <w:r w:rsidR="00D531AD">
        <w:rPr>
          <w:lang w:val="fr-CA"/>
        </w:rPr>
        <w:t>d’émission d’</w:t>
      </w:r>
      <w:r w:rsidRPr="00532619">
        <w:rPr>
          <w:lang w:val="fr-CA"/>
        </w:rPr>
        <w:t>obligations soient capitalisés</w:t>
      </w:r>
      <w:r w:rsidR="00D531AD">
        <w:rPr>
          <w:lang w:val="fr-CA"/>
        </w:rPr>
        <w:t>,</w:t>
      </w:r>
      <w:r w:rsidRPr="00532619">
        <w:rPr>
          <w:lang w:val="fr-CA"/>
        </w:rPr>
        <w:t xml:space="preserve"> mais qu</w:t>
      </w:r>
      <w:r w:rsidR="00D531AD">
        <w:rPr>
          <w:lang w:val="fr-CA"/>
        </w:rPr>
        <w:t>e ceux-ci</w:t>
      </w:r>
      <w:r w:rsidRPr="00532619">
        <w:rPr>
          <w:lang w:val="fr-CA"/>
        </w:rPr>
        <w:t xml:space="preserve"> devraient être considérés comme des activités de financement et non d’investissement.</w:t>
      </w:r>
    </w:p>
    <w:p w14:paraId="2BCB7E35" w14:textId="4AA0EFB7" w:rsidR="00532619" w:rsidRPr="00DE6D02" w:rsidRDefault="00532619" w:rsidP="001524F7">
      <w:pPr>
        <w:pStyle w:val="ListParagraph"/>
        <w:numPr>
          <w:ilvl w:val="0"/>
          <w:numId w:val="5"/>
        </w:numPr>
        <w:spacing w:before="120"/>
        <w:rPr>
          <w:lang w:val="fr-CA"/>
        </w:rPr>
      </w:pPr>
      <w:r w:rsidRPr="00DE6D02">
        <w:rPr>
          <w:lang w:val="fr-CA"/>
        </w:rPr>
        <w:t>Charges ou gains liés à une réévaluation, une perte de valeur, une mauvaise créance ou une provision</w:t>
      </w:r>
    </w:p>
    <w:p w14:paraId="2AB0999D" w14:textId="23903375" w:rsidR="00532619" w:rsidRPr="00DE6D02" w:rsidRDefault="00532619" w:rsidP="001524F7">
      <w:pPr>
        <w:pStyle w:val="ListParagraph"/>
        <w:numPr>
          <w:ilvl w:val="1"/>
          <w:numId w:val="5"/>
        </w:numPr>
        <w:spacing w:before="120"/>
        <w:rPr>
          <w:lang w:val="fr-CA"/>
        </w:rPr>
      </w:pPr>
      <w:r w:rsidRPr="00DE6D02">
        <w:rPr>
          <w:lang w:val="fr-CA"/>
        </w:rPr>
        <w:t>Ceux-ci sont des types d</w:t>
      </w:r>
      <w:r w:rsidR="00FF13D7" w:rsidRPr="00DE6D02">
        <w:rPr>
          <w:lang w:val="fr-CA"/>
        </w:rPr>
        <w:t xml:space="preserve">’opérations </w:t>
      </w:r>
      <w:r w:rsidRPr="00DE6D02">
        <w:rPr>
          <w:lang w:val="fr-CA"/>
        </w:rPr>
        <w:t>non-monétaires qui peuvent ne pas survenir souvent. Selon la méthode utilisée par l’entité pour présenter ses flux de trésorerie provenant des activités de fo</w:t>
      </w:r>
      <w:r w:rsidR="00D531AD" w:rsidRPr="00DE6D02">
        <w:rPr>
          <w:lang w:val="fr-CA"/>
        </w:rPr>
        <w:t>nctionnement, des ajustements pourraient</w:t>
      </w:r>
      <w:r w:rsidRPr="00DE6D02">
        <w:rPr>
          <w:lang w:val="fr-CA"/>
        </w:rPr>
        <w:t xml:space="preserve"> être nécessaires. </w:t>
      </w:r>
      <w:r w:rsidR="00DE6D02" w:rsidRPr="00DE6D02">
        <w:rPr>
          <w:lang w:val="fr-CA"/>
        </w:rPr>
        <w:t>Pour les entités utilisant les NCSP, i</w:t>
      </w:r>
      <w:r w:rsidRPr="00DE6D02">
        <w:rPr>
          <w:lang w:val="fr-CA"/>
        </w:rPr>
        <w:t xml:space="preserve">l faudrait également considérer les activités d’investissement si ces opérations sont en lien avec les immobilisations afin de s’assurer qu’aucun de </w:t>
      </w:r>
      <w:r w:rsidR="00D531AD" w:rsidRPr="00DE6D02">
        <w:rPr>
          <w:lang w:val="fr-CA"/>
        </w:rPr>
        <w:t>c</w:t>
      </w:r>
      <w:r w:rsidRPr="00DE6D02">
        <w:rPr>
          <w:lang w:val="fr-CA"/>
        </w:rPr>
        <w:t xml:space="preserve">es éléments n’ait des répercussions sur les montants présentés en tant </w:t>
      </w:r>
      <w:r w:rsidR="00D531AD" w:rsidRPr="00DE6D02">
        <w:rPr>
          <w:lang w:val="fr-CA"/>
        </w:rPr>
        <w:t>qu</w:t>
      </w:r>
      <w:r w:rsidRPr="00DE6D02">
        <w:rPr>
          <w:lang w:val="fr-CA"/>
        </w:rPr>
        <w:t>’activité</w:t>
      </w:r>
      <w:r w:rsidR="00D531AD" w:rsidRPr="00DE6D02">
        <w:rPr>
          <w:lang w:val="fr-CA"/>
        </w:rPr>
        <w:t>s</w:t>
      </w:r>
      <w:r w:rsidRPr="00DE6D02">
        <w:rPr>
          <w:lang w:val="fr-CA"/>
        </w:rPr>
        <w:t xml:space="preserve"> d’investissement.</w:t>
      </w:r>
    </w:p>
    <w:p w14:paraId="6F14CEC4" w14:textId="0EE2BCE9" w:rsidR="001524F7" w:rsidRPr="00FF13D7" w:rsidRDefault="00FF13D7" w:rsidP="001524F7">
      <w:pPr>
        <w:pStyle w:val="ListParagraph"/>
        <w:numPr>
          <w:ilvl w:val="0"/>
          <w:numId w:val="5"/>
        </w:numPr>
        <w:spacing w:before="120"/>
        <w:rPr>
          <w:lang w:val="fr-CA"/>
        </w:rPr>
      </w:pPr>
      <w:r w:rsidRPr="00FF13D7">
        <w:rPr>
          <w:lang w:val="fr-CA"/>
        </w:rPr>
        <w:t>Opérations en nature, troc et apports</w:t>
      </w:r>
    </w:p>
    <w:p w14:paraId="3ACA6AEF" w14:textId="098433D6" w:rsidR="00FF13D7" w:rsidRPr="005D1188" w:rsidRDefault="00FF13D7" w:rsidP="001524F7">
      <w:pPr>
        <w:pStyle w:val="ListParagraph"/>
        <w:numPr>
          <w:ilvl w:val="1"/>
          <w:numId w:val="5"/>
        </w:numPr>
        <w:spacing w:before="120"/>
        <w:rPr>
          <w:lang w:val="fr-CA"/>
        </w:rPr>
      </w:pPr>
      <w:r w:rsidRPr="00FF13D7">
        <w:rPr>
          <w:lang w:val="fr-CA"/>
        </w:rPr>
        <w:t>Ces types d’opérations sont non-monétaires et n’ont aucune incidence sur l’état de</w:t>
      </w:r>
      <w:r w:rsidR="00E06BEF">
        <w:rPr>
          <w:lang w:val="fr-CA"/>
        </w:rPr>
        <w:t>s</w:t>
      </w:r>
      <w:r w:rsidRPr="00FF13D7">
        <w:rPr>
          <w:lang w:val="fr-CA"/>
        </w:rPr>
        <w:t xml:space="preserve"> flux de trésorerie. De plus, si la méthode indirecte est utilisée et que l’opération en </w:t>
      </w:r>
      <w:r w:rsidRPr="005D1188">
        <w:rPr>
          <w:lang w:val="fr-CA"/>
        </w:rPr>
        <w:t>nature est liée à une immobilisation, un ajustement aux activités de fonctionnement p</w:t>
      </w:r>
      <w:r w:rsidR="00D531AD">
        <w:rPr>
          <w:lang w:val="fr-CA"/>
        </w:rPr>
        <w:t>ourrait</w:t>
      </w:r>
      <w:r w:rsidRPr="005D1188">
        <w:rPr>
          <w:lang w:val="fr-CA"/>
        </w:rPr>
        <w:t xml:space="preserve"> être nécessaire.</w:t>
      </w:r>
    </w:p>
    <w:p w14:paraId="0D2C7295" w14:textId="24904D97" w:rsidR="001524F7" w:rsidRPr="005D1188" w:rsidRDefault="001524F7" w:rsidP="001524F7">
      <w:pPr>
        <w:pStyle w:val="ListParagraph"/>
        <w:numPr>
          <w:ilvl w:val="0"/>
          <w:numId w:val="5"/>
        </w:numPr>
        <w:spacing w:before="120"/>
        <w:rPr>
          <w:lang w:val="fr-CA"/>
        </w:rPr>
      </w:pPr>
      <w:r w:rsidRPr="005D1188">
        <w:rPr>
          <w:lang w:val="fr-CA"/>
        </w:rPr>
        <w:t xml:space="preserve">Acquisition </w:t>
      </w:r>
      <w:r w:rsidR="00D531AD" w:rsidRPr="005D1188">
        <w:rPr>
          <w:lang w:val="fr-CA"/>
        </w:rPr>
        <w:t>d’immobilisation</w:t>
      </w:r>
      <w:r w:rsidR="00671080" w:rsidRPr="005D1188">
        <w:rPr>
          <w:lang w:val="fr-CA"/>
        </w:rPr>
        <w:t xml:space="preserve"> par l’entremise d’un </w:t>
      </w:r>
      <w:r w:rsidR="00D531AD" w:rsidRPr="005D1188">
        <w:rPr>
          <w:lang w:val="fr-CA"/>
        </w:rPr>
        <w:t>contrat</w:t>
      </w:r>
      <w:r w:rsidR="00671080" w:rsidRPr="005D1188">
        <w:rPr>
          <w:lang w:val="fr-CA"/>
        </w:rPr>
        <w:t xml:space="preserve"> de location</w:t>
      </w:r>
      <w:r w:rsidR="005D1188" w:rsidRPr="005D1188">
        <w:rPr>
          <w:lang w:val="fr-CA"/>
        </w:rPr>
        <w:t>-financement</w:t>
      </w:r>
    </w:p>
    <w:p w14:paraId="0CAE952C" w14:textId="5A9890BF" w:rsidR="00671080" w:rsidRPr="005D1188" w:rsidRDefault="00671080" w:rsidP="005D1188">
      <w:pPr>
        <w:pStyle w:val="ListParagraph"/>
        <w:numPr>
          <w:ilvl w:val="1"/>
          <w:numId w:val="5"/>
        </w:numPr>
        <w:spacing w:before="120"/>
        <w:rPr>
          <w:lang w:val="fr-CA"/>
        </w:rPr>
      </w:pPr>
      <w:r w:rsidRPr="005D1188">
        <w:rPr>
          <w:lang w:val="fr-CA"/>
        </w:rPr>
        <w:t>À l’état de la situation financière, ceci aurait une répercussion sur le poste des immobilisations</w:t>
      </w:r>
      <w:r w:rsidR="005D1188" w:rsidRPr="005D1188">
        <w:rPr>
          <w:lang w:val="fr-CA"/>
        </w:rPr>
        <w:t xml:space="preserve"> et des obligations liés à des contrats de location-financement, mais cette opération n’aurait aucun flux de trésorerie</w:t>
      </w:r>
      <w:r w:rsidR="00D531AD">
        <w:rPr>
          <w:lang w:val="fr-CA"/>
        </w:rPr>
        <w:t xml:space="preserve"> au départ</w:t>
      </w:r>
      <w:r w:rsidR="005D1188" w:rsidRPr="005D1188">
        <w:rPr>
          <w:lang w:val="fr-CA"/>
        </w:rPr>
        <w:t xml:space="preserve">. Les paiements des obligations liés à des contrats de location-financement seraient </w:t>
      </w:r>
      <w:r w:rsidR="00D531AD">
        <w:rPr>
          <w:lang w:val="fr-CA"/>
        </w:rPr>
        <w:t>d</w:t>
      </w:r>
      <w:r w:rsidR="005D1188" w:rsidRPr="005D1188">
        <w:rPr>
          <w:lang w:val="fr-CA"/>
        </w:rPr>
        <w:t xml:space="preserve">es sorties </w:t>
      </w:r>
      <w:r w:rsidR="00D531AD">
        <w:rPr>
          <w:lang w:val="fr-CA"/>
        </w:rPr>
        <w:t xml:space="preserve">subséquentes </w:t>
      </w:r>
      <w:r w:rsidR="005D1188" w:rsidRPr="005D1188">
        <w:rPr>
          <w:lang w:val="fr-CA"/>
        </w:rPr>
        <w:t xml:space="preserve">de trésorerie et incluraient un remboursement de capital </w:t>
      </w:r>
      <w:r w:rsidR="00A87435">
        <w:rPr>
          <w:lang w:val="fr-CA"/>
        </w:rPr>
        <w:t xml:space="preserve">(qui serait une activité de financement) </w:t>
      </w:r>
      <w:r w:rsidR="005D1188" w:rsidRPr="005D1188">
        <w:rPr>
          <w:lang w:val="fr-CA"/>
        </w:rPr>
        <w:t xml:space="preserve">et </w:t>
      </w:r>
      <w:r w:rsidR="00D531AD">
        <w:rPr>
          <w:lang w:val="fr-CA"/>
        </w:rPr>
        <w:t xml:space="preserve">un remboursement </w:t>
      </w:r>
      <w:r w:rsidR="005D1188" w:rsidRPr="005D1188">
        <w:rPr>
          <w:lang w:val="fr-CA"/>
        </w:rPr>
        <w:t>d’intérêts</w:t>
      </w:r>
      <w:r w:rsidR="00A87435">
        <w:rPr>
          <w:lang w:val="fr-CA"/>
        </w:rPr>
        <w:t xml:space="preserve"> (qui serait soit une activité de fonctionnement ou de financement, selon le choix que l’entité a fait pour présenter les paiements d’intérêts)</w:t>
      </w:r>
      <w:r w:rsidR="005D1188" w:rsidRPr="005D1188">
        <w:rPr>
          <w:lang w:val="fr-CA"/>
        </w:rPr>
        <w:t>.</w:t>
      </w:r>
    </w:p>
    <w:p w14:paraId="4CEF7BDB" w14:textId="0C62AB87" w:rsidR="00A56C14" w:rsidRPr="00A56C14" w:rsidRDefault="00A56C14" w:rsidP="001524F7">
      <w:pPr>
        <w:pStyle w:val="ListParagraph"/>
        <w:numPr>
          <w:ilvl w:val="0"/>
          <w:numId w:val="5"/>
        </w:numPr>
        <w:spacing w:before="120"/>
        <w:rPr>
          <w:lang w:val="fr-CA"/>
        </w:rPr>
      </w:pPr>
      <w:r w:rsidRPr="00A56C14">
        <w:rPr>
          <w:lang w:val="fr-CA"/>
        </w:rPr>
        <w:t>Entité utilisant la méthode indirecte et ayant des montants dans les résultats étendus</w:t>
      </w:r>
    </w:p>
    <w:p w14:paraId="69055389" w14:textId="541C77D3" w:rsidR="00A56C14" w:rsidRPr="00A56C14" w:rsidRDefault="00A56C14" w:rsidP="00A56C14">
      <w:pPr>
        <w:pStyle w:val="ListParagraph"/>
        <w:numPr>
          <w:ilvl w:val="1"/>
          <w:numId w:val="5"/>
        </w:numPr>
        <w:spacing w:before="120"/>
        <w:rPr>
          <w:lang w:val="fr-CA"/>
        </w:rPr>
      </w:pPr>
      <w:r w:rsidRPr="00A56C14">
        <w:rPr>
          <w:lang w:val="fr-CA"/>
        </w:rPr>
        <w:t>Si la méthode indirecte est utilisée et que l’entité commence avec le « résultat net », il faut s’assurer que les montants classés sous le</w:t>
      </w:r>
      <w:r w:rsidR="00D531AD">
        <w:rPr>
          <w:lang w:val="fr-CA"/>
        </w:rPr>
        <w:t>s éléments du résultat étendu</w:t>
      </w:r>
      <w:r w:rsidRPr="00A56C14">
        <w:rPr>
          <w:lang w:val="fr-CA"/>
        </w:rPr>
        <w:t xml:space="preserve"> soient correctement enlevés de la conciliation des activités de fonctionnement</w:t>
      </w:r>
      <w:r w:rsidR="00D531AD">
        <w:rPr>
          <w:lang w:val="fr-CA"/>
        </w:rPr>
        <w:t>.</w:t>
      </w:r>
      <w:r w:rsidRPr="00A56C14">
        <w:rPr>
          <w:lang w:val="fr-CA"/>
        </w:rPr>
        <w:t xml:space="preserve"> Par exemple, si votre entité commence avec le « résultat net » et possède des passifs liés aux avantages postérieurs à l’emploi, seul les éléments </w:t>
      </w:r>
      <w:r w:rsidR="00D531AD">
        <w:rPr>
          <w:lang w:val="fr-CA"/>
        </w:rPr>
        <w:t>qui ne sont pas</w:t>
      </w:r>
      <w:r w:rsidRPr="00A56C14">
        <w:rPr>
          <w:lang w:val="fr-CA"/>
        </w:rPr>
        <w:t xml:space="preserve"> classé</w:t>
      </w:r>
      <w:r w:rsidR="00D531AD">
        <w:rPr>
          <w:lang w:val="fr-CA"/>
        </w:rPr>
        <w:t>s</w:t>
      </w:r>
      <w:r w:rsidRPr="00A56C14">
        <w:rPr>
          <w:lang w:val="fr-CA"/>
        </w:rPr>
        <w:t xml:space="preserve"> sous les résultats étendus devraient être présentés dans la variation du poste lié au passif d’avantages postérieur à l’emploi.</w:t>
      </w:r>
      <w:r>
        <w:rPr>
          <w:lang w:val="fr-CA"/>
        </w:rPr>
        <w:t xml:space="preserve"> Une autre option serait que l’entité présente les paiements effectués et les charges au titre d’avantages postérieur à l’emploi comptabilisé au résultat net pour présenter les flux </w:t>
      </w:r>
      <w:r w:rsidR="00D531AD">
        <w:rPr>
          <w:lang w:val="fr-CA"/>
        </w:rPr>
        <w:t xml:space="preserve">de trésorerie </w:t>
      </w:r>
      <w:r>
        <w:rPr>
          <w:lang w:val="fr-CA"/>
        </w:rPr>
        <w:t xml:space="preserve">reliés au </w:t>
      </w:r>
      <w:r w:rsidRPr="00A56C14">
        <w:rPr>
          <w:lang w:val="fr-CA"/>
        </w:rPr>
        <w:t>passif d’avantages postérieur à l’emploi</w:t>
      </w:r>
      <w:r>
        <w:rPr>
          <w:lang w:val="fr-CA"/>
        </w:rPr>
        <w:t xml:space="preserve">. Les deux méthodes devraient donner le même </w:t>
      </w:r>
      <w:r w:rsidR="00E855B0">
        <w:rPr>
          <w:lang w:val="fr-CA"/>
        </w:rPr>
        <w:t>résultat</w:t>
      </w:r>
      <w:r w:rsidR="00E06BEF">
        <w:rPr>
          <w:lang w:val="fr-CA"/>
        </w:rPr>
        <w:t>.</w:t>
      </w:r>
    </w:p>
    <w:p w14:paraId="04D25924" w14:textId="77777777" w:rsidR="00192A27" w:rsidRPr="001C5F2E" w:rsidRDefault="00192A27" w:rsidP="00144144">
      <w:pPr>
        <w:rPr>
          <w:sz w:val="24"/>
          <w:szCs w:val="24"/>
          <w:lang w:val="fr-CA"/>
        </w:rPr>
      </w:pPr>
      <w:r w:rsidRPr="001C5F2E">
        <w:rPr>
          <w:sz w:val="24"/>
          <w:szCs w:val="24"/>
          <w:lang w:val="fr-CA"/>
        </w:rPr>
        <w:br w:type="page"/>
      </w:r>
    </w:p>
    <w:p w14:paraId="3928B15F" w14:textId="226665EB" w:rsidR="00192A27" w:rsidRPr="00B526E1" w:rsidRDefault="00192A27" w:rsidP="00144144">
      <w:pPr>
        <w:pStyle w:val="Heading1"/>
        <w:rPr>
          <w:lang w:val="fr-CA" w:eastAsia="en-CA"/>
        </w:rPr>
      </w:pPr>
      <w:r w:rsidRPr="00B526E1">
        <w:rPr>
          <w:lang w:val="fr-CA" w:eastAsia="en-CA"/>
        </w:rPr>
        <w:t>Annexe</w:t>
      </w:r>
      <w:r w:rsidR="0014060D">
        <w:rPr>
          <w:lang w:val="fr-CA" w:eastAsia="en-CA"/>
        </w:rPr>
        <w:t> </w:t>
      </w:r>
      <w:r w:rsidRPr="00B526E1">
        <w:rPr>
          <w:lang w:val="fr-CA" w:eastAsia="en-CA"/>
        </w:rPr>
        <w:t xml:space="preserve">B </w:t>
      </w:r>
      <w:r w:rsidR="00636CFC">
        <w:rPr>
          <w:lang w:val="fr-CA" w:eastAsia="en-CA"/>
        </w:rPr>
        <w:t>—</w:t>
      </w:r>
      <w:r w:rsidRPr="00B526E1">
        <w:rPr>
          <w:lang w:val="fr-CA" w:eastAsia="en-CA"/>
        </w:rPr>
        <w:t xml:space="preserve"> Erreurs courantes</w:t>
      </w:r>
    </w:p>
    <w:p w14:paraId="73CF859F" w14:textId="170E05AF" w:rsidR="00192A27" w:rsidRPr="00B526E1" w:rsidRDefault="00192A27" w:rsidP="00144144">
      <w:pPr>
        <w:rPr>
          <w:rFonts w:eastAsia="Times New Roman" w:cs="Arial"/>
          <w:b/>
          <w:color w:val="000000"/>
          <w:lang w:val="fr-CA" w:eastAsia="en-CA"/>
        </w:rPr>
      </w:pPr>
      <w:r w:rsidRPr="00B526E1">
        <w:rPr>
          <w:rFonts w:eastAsia="Times New Roman" w:cs="Arial"/>
          <w:color w:val="000000"/>
          <w:lang w:val="fr-CA" w:eastAsia="en-CA"/>
        </w:rPr>
        <w:t xml:space="preserve">Pour éviter les erreurs suivantes, inclure des procédures d’audit </w:t>
      </w:r>
      <w:r w:rsidR="000D2EAF" w:rsidRPr="00B526E1">
        <w:rPr>
          <w:rFonts w:eastAsia="Times New Roman" w:cs="Arial"/>
          <w:color w:val="000000"/>
          <w:lang w:val="fr-CA" w:eastAsia="en-CA"/>
        </w:rPr>
        <w:t>dans les programmes d’audit des postes d’états financiers correspondants afin de contrer le risque</w:t>
      </w:r>
      <w:r w:rsidRPr="00B526E1">
        <w:rPr>
          <w:rFonts w:eastAsia="Times New Roman" w:cs="Arial"/>
          <w:color w:val="000000"/>
          <w:lang w:val="fr-CA" w:eastAsia="en-CA"/>
        </w:rPr>
        <w:t>.</w:t>
      </w:r>
    </w:p>
    <w:p w14:paraId="4E2FDC07" w14:textId="0EC8FFB0" w:rsidR="00192A27" w:rsidRPr="00B526E1" w:rsidRDefault="00445C50" w:rsidP="00636CFC">
      <w:pPr>
        <w:shd w:val="clear" w:color="auto" w:fill="FFFFFF"/>
        <w:ind w:left="1008" w:hanging="360"/>
        <w:rPr>
          <w:rFonts w:eastAsia="Times New Roman" w:cs="Arial"/>
          <w:color w:val="000000"/>
          <w:lang w:val="fr-CA" w:eastAsia="en-CA"/>
        </w:rPr>
      </w:pPr>
      <w:sdt>
        <w:sdtPr>
          <w:rPr>
            <w:rFonts w:cs="Arial"/>
            <w:b/>
            <w:color w:val="000000"/>
            <w:lang w:val="fr-CA"/>
          </w:rPr>
          <w:id w:val="1852141425"/>
          <w14:checkbox>
            <w14:checked w14:val="0"/>
            <w14:checkedState w14:val="2612" w14:font="MS Gothic"/>
            <w14:uncheckedState w14:val="2610" w14:font="MS Gothic"/>
          </w14:checkbox>
        </w:sdtPr>
        <w:sdtEndPr/>
        <w:sdtContent>
          <w:r w:rsidR="00636CFC">
            <w:rPr>
              <w:rFonts w:ascii="MS Gothic" w:eastAsia="MS Gothic" w:hAnsi="MS Gothic" w:cs="Arial" w:hint="eastAsia"/>
              <w:b/>
              <w:color w:val="000000"/>
              <w:lang w:val="fr-CA"/>
            </w:rPr>
            <w:t>☐</w:t>
          </w:r>
        </w:sdtContent>
      </w:sdt>
      <w:r w:rsidR="00636CFC">
        <w:rPr>
          <w:rFonts w:cs="Arial"/>
          <w:b/>
          <w:color w:val="000000"/>
          <w:lang w:val="fr-CA"/>
        </w:rPr>
        <w:tab/>
      </w:r>
      <w:r w:rsidR="000D2EAF" w:rsidRPr="00B526E1">
        <w:rPr>
          <w:rFonts w:cs="Arial"/>
          <w:color w:val="000000"/>
          <w:lang w:val="fr-CA"/>
        </w:rPr>
        <w:t>Postes significatifs non ventilés ou présentés séparément</w:t>
      </w:r>
      <w:r w:rsidR="0014060D">
        <w:rPr>
          <w:rFonts w:eastAsia="Times New Roman" w:cs="Arial"/>
          <w:color w:val="000000"/>
          <w:lang w:val="fr-CA" w:eastAsia="en-CA"/>
        </w:rPr>
        <w:t xml:space="preserve"> (IAS </w:t>
      </w:r>
      <w:r w:rsidR="00192A27" w:rsidRPr="00B526E1">
        <w:rPr>
          <w:rFonts w:eastAsia="Times New Roman" w:cs="Arial"/>
          <w:color w:val="000000"/>
          <w:lang w:val="fr-CA" w:eastAsia="en-CA"/>
        </w:rPr>
        <w:t>1.30)</w:t>
      </w:r>
    </w:p>
    <w:p w14:paraId="1D18D262" w14:textId="0716E7F7" w:rsidR="00192A27" w:rsidRPr="00B526E1" w:rsidRDefault="00445C50" w:rsidP="00636CFC">
      <w:pPr>
        <w:shd w:val="clear" w:color="auto" w:fill="FFFFFF"/>
        <w:ind w:left="1008" w:hanging="360"/>
        <w:rPr>
          <w:rFonts w:eastAsia="Times New Roman" w:cs="Arial"/>
          <w:color w:val="000000"/>
          <w:lang w:val="fr-CA" w:eastAsia="en-CA"/>
        </w:rPr>
      </w:pPr>
      <w:sdt>
        <w:sdtPr>
          <w:rPr>
            <w:rFonts w:cs="Arial"/>
            <w:b/>
            <w:color w:val="000000"/>
            <w:lang w:val="fr-CA"/>
          </w:rPr>
          <w:id w:val="1544566342"/>
          <w14:checkbox>
            <w14:checked w14:val="0"/>
            <w14:checkedState w14:val="2612" w14:font="MS Gothic"/>
            <w14:uncheckedState w14:val="2610" w14:font="MS Gothic"/>
          </w14:checkbox>
        </w:sdtPr>
        <w:sdtEndPr/>
        <w:sdtContent>
          <w:r w:rsidR="00192A27" w:rsidRPr="00B526E1">
            <w:rPr>
              <w:rFonts w:ascii="MS Gothic" w:eastAsia="MS Gothic" w:hAnsi="MS Gothic" w:cs="MS Gothic"/>
              <w:b/>
              <w:color w:val="000000"/>
              <w:lang w:val="fr-CA"/>
            </w:rPr>
            <w:t>☐</w:t>
          </w:r>
        </w:sdtContent>
      </w:sdt>
      <w:r w:rsidR="00636CFC">
        <w:rPr>
          <w:rFonts w:cs="Arial"/>
          <w:b/>
          <w:color w:val="000000"/>
          <w:lang w:val="fr-CA"/>
        </w:rPr>
        <w:tab/>
      </w:r>
      <w:r w:rsidR="000D2EAF" w:rsidRPr="00B526E1">
        <w:rPr>
          <w:rFonts w:cs="Arial"/>
          <w:color w:val="000000"/>
          <w:lang w:val="fr-CA"/>
        </w:rPr>
        <w:t>Méthode adoptée par l’entité pour déterminer la composition de la trésorerie et des équivalents de trésorerie non indiquée</w:t>
      </w:r>
      <w:r w:rsidR="0014060D">
        <w:rPr>
          <w:rFonts w:eastAsia="Times New Roman" w:cs="Arial"/>
          <w:color w:val="000000"/>
          <w:lang w:val="fr-CA" w:eastAsia="en-CA"/>
        </w:rPr>
        <w:t xml:space="preserve"> (IAS </w:t>
      </w:r>
      <w:r w:rsidR="00192A27" w:rsidRPr="00B526E1">
        <w:rPr>
          <w:rFonts w:eastAsia="Times New Roman" w:cs="Arial"/>
          <w:color w:val="000000"/>
          <w:lang w:val="fr-CA" w:eastAsia="en-CA"/>
        </w:rPr>
        <w:t>7.46)</w:t>
      </w:r>
    </w:p>
    <w:p w14:paraId="5C4BCB46" w14:textId="7158564E" w:rsidR="00192A27" w:rsidRPr="00B526E1" w:rsidRDefault="00445C50" w:rsidP="00636CFC">
      <w:pPr>
        <w:shd w:val="clear" w:color="auto" w:fill="FFFFFF"/>
        <w:ind w:left="1008" w:hanging="360"/>
        <w:rPr>
          <w:rFonts w:eastAsia="Times New Roman" w:cs="Arial"/>
          <w:color w:val="000000"/>
          <w:lang w:val="fr-CA" w:eastAsia="en-CA"/>
        </w:rPr>
      </w:pPr>
      <w:sdt>
        <w:sdtPr>
          <w:rPr>
            <w:rFonts w:cs="Arial"/>
            <w:b/>
            <w:color w:val="000000"/>
            <w:lang w:val="fr-CA"/>
          </w:rPr>
          <w:id w:val="1531993490"/>
          <w14:checkbox>
            <w14:checked w14:val="0"/>
            <w14:checkedState w14:val="2612" w14:font="MS Gothic"/>
            <w14:uncheckedState w14:val="2610" w14:font="MS Gothic"/>
          </w14:checkbox>
        </w:sdtPr>
        <w:sdtEndPr/>
        <w:sdtContent>
          <w:r w:rsidR="00192A27" w:rsidRPr="00B526E1">
            <w:rPr>
              <w:rFonts w:ascii="MS Gothic" w:eastAsia="MS Gothic" w:hAnsi="MS Gothic" w:cs="MS Gothic"/>
              <w:b/>
              <w:color w:val="000000"/>
              <w:lang w:val="fr-CA"/>
            </w:rPr>
            <w:t>☐</w:t>
          </w:r>
        </w:sdtContent>
      </w:sdt>
      <w:r w:rsidR="00636CFC">
        <w:rPr>
          <w:rFonts w:cs="Arial"/>
          <w:b/>
          <w:color w:val="000000"/>
          <w:lang w:val="fr-CA"/>
        </w:rPr>
        <w:tab/>
      </w:r>
      <w:r w:rsidR="000D2EAF" w:rsidRPr="00B526E1">
        <w:rPr>
          <w:rFonts w:cs="Arial"/>
          <w:color w:val="000000"/>
          <w:lang w:val="fr-CA"/>
        </w:rPr>
        <w:t xml:space="preserve">Les montants des flux de trésorerie des activités d’investissement </w:t>
      </w:r>
      <w:r w:rsidR="00612770">
        <w:rPr>
          <w:rFonts w:cs="Arial"/>
          <w:color w:val="000000"/>
          <w:lang w:val="fr-CA"/>
        </w:rPr>
        <w:t>ne sont pas présentés</w:t>
      </w:r>
      <w:r w:rsidR="000D2EAF" w:rsidRPr="00B526E1">
        <w:rPr>
          <w:rFonts w:cs="Arial"/>
          <w:color w:val="000000"/>
          <w:lang w:val="fr-CA"/>
        </w:rPr>
        <w:t xml:space="preserve"> à leur montant brut</w:t>
      </w:r>
      <w:r w:rsidR="00192A27" w:rsidRPr="00B526E1">
        <w:rPr>
          <w:rFonts w:eastAsia="Times New Roman" w:cs="Arial"/>
          <w:color w:val="000000"/>
          <w:lang w:val="fr-CA" w:eastAsia="en-CA"/>
        </w:rPr>
        <w:t xml:space="preserve"> (IAS</w:t>
      </w:r>
      <w:r w:rsidR="0095245E" w:rsidRPr="00B526E1">
        <w:rPr>
          <w:rFonts w:eastAsia="Times New Roman" w:cs="Arial"/>
          <w:color w:val="000000"/>
          <w:lang w:val="fr-CA" w:eastAsia="en-CA"/>
        </w:rPr>
        <w:t> </w:t>
      </w:r>
      <w:r w:rsidR="00192A27" w:rsidRPr="00B526E1">
        <w:rPr>
          <w:rFonts w:eastAsia="Times New Roman" w:cs="Arial"/>
          <w:color w:val="000000"/>
          <w:lang w:val="fr-CA" w:eastAsia="en-CA"/>
        </w:rPr>
        <w:t>7.21)</w:t>
      </w:r>
    </w:p>
    <w:p w14:paraId="62C215D1" w14:textId="32B75BB1" w:rsidR="00192A27" w:rsidRPr="00B526E1" w:rsidRDefault="00445C50" w:rsidP="00636CFC">
      <w:pPr>
        <w:shd w:val="clear" w:color="auto" w:fill="FFFFFF"/>
        <w:ind w:left="1008" w:hanging="360"/>
        <w:rPr>
          <w:rFonts w:eastAsia="Times New Roman" w:cs="Arial"/>
          <w:color w:val="000000"/>
          <w:lang w:val="fr-CA" w:eastAsia="en-CA"/>
        </w:rPr>
      </w:pPr>
      <w:sdt>
        <w:sdtPr>
          <w:rPr>
            <w:rFonts w:cs="Arial"/>
            <w:b/>
            <w:color w:val="000000"/>
            <w:lang w:val="fr-CA"/>
          </w:rPr>
          <w:id w:val="1819144561"/>
          <w14:checkbox>
            <w14:checked w14:val="0"/>
            <w14:checkedState w14:val="2612" w14:font="MS Gothic"/>
            <w14:uncheckedState w14:val="2610" w14:font="MS Gothic"/>
          </w14:checkbox>
        </w:sdtPr>
        <w:sdtEndPr/>
        <w:sdtContent>
          <w:r w:rsidR="00192A27" w:rsidRPr="00B526E1">
            <w:rPr>
              <w:rFonts w:ascii="MS Gothic" w:eastAsia="MS Gothic" w:hAnsi="MS Gothic" w:cs="MS Gothic"/>
              <w:b/>
              <w:color w:val="000000"/>
              <w:lang w:val="fr-CA"/>
            </w:rPr>
            <w:t>☐</w:t>
          </w:r>
        </w:sdtContent>
      </w:sdt>
      <w:r w:rsidR="00636CFC">
        <w:rPr>
          <w:rFonts w:cs="Arial"/>
          <w:b/>
          <w:color w:val="000000"/>
          <w:lang w:val="fr-CA"/>
        </w:rPr>
        <w:tab/>
      </w:r>
      <w:r w:rsidR="001C5F2E" w:rsidRPr="00B526E1">
        <w:rPr>
          <w:rFonts w:cs="Arial"/>
          <w:color w:val="000000"/>
          <w:lang w:val="fr-CA"/>
        </w:rPr>
        <w:t>La n</w:t>
      </w:r>
      <w:r w:rsidR="00192A27" w:rsidRPr="00B526E1">
        <w:rPr>
          <w:rFonts w:eastAsia="Times New Roman" w:cs="Arial"/>
          <w:color w:val="000000"/>
          <w:lang w:val="fr-CA" w:eastAsia="en-CA"/>
        </w:rPr>
        <w:t xml:space="preserve">ature </w:t>
      </w:r>
      <w:r w:rsidR="000D2EAF" w:rsidRPr="00B526E1">
        <w:rPr>
          <w:rFonts w:eastAsia="Times New Roman" w:cs="Arial"/>
          <w:color w:val="000000"/>
          <w:lang w:val="fr-CA" w:eastAsia="en-CA"/>
        </w:rPr>
        <w:t>des</w:t>
      </w:r>
      <w:r w:rsidR="001C5F2E" w:rsidRPr="00B526E1">
        <w:rPr>
          <w:rFonts w:eastAsia="Times New Roman" w:cs="Arial"/>
          <w:color w:val="000000"/>
          <w:lang w:val="fr-CA" w:eastAsia="en-CA"/>
        </w:rPr>
        <w:t xml:space="preserve"> restrictions auxquelles les soldes de trésorerie</w:t>
      </w:r>
      <w:r w:rsidR="0095245E" w:rsidRPr="00B526E1">
        <w:rPr>
          <w:rFonts w:eastAsia="Times New Roman" w:cs="Arial"/>
          <w:color w:val="000000"/>
          <w:lang w:val="fr-CA" w:eastAsia="en-CA"/>
        </w:rPr>
        <w:t xml:space="preserve"> sont</w:t>
      </w:r>
      <w:r w:rsidR="001C5F2E" w:rsidRPr="00B526E1">
        <w:rPr>
          <w:rFonts w:eastAsia="Times New Roman" w:cs="Arial"/>
          <w:color w:val="000000"/>
          <w:lang w:val="fr-CA" w:eastAsia="en-CA"/>
        </w:rPr>
        <w:t xml:space="preserve"> soumis</w:t>
      </w:r>
      <w:r w:rsidR="000D2EAF" w:rsidRPr="00B526E1">
        <w:rPr>
          <w:rFonts w:eastAsia="Times New Roman" w:cs="Arial"/>
          <w:color w:val="000000"/>
          <w:lang w:val="fr-CA" w:eastAsia="en-CA"/>
        </w:rPr>
        <w:t xml:space="preserve"> </w:t>
      </w:r>
      <w:r w:rsidR="001C5F2E" w:rsidRPr="00B526E1">
        <w:rPr>
          <w:rFonts w:eastAsia="Times New Roman" w:cs="Arial"/>
          <w:color w:val="000000"/>
          <w:lang w:val="fr-CA" w:eastAsia="en-CA"/>
        </w:rPr>
        <w:t>n</w:t>
      </w:r>
      <w:r w:rsidR="0095245E" w:rsidRPr="00B526E1">
        <w:rPr>
          <w:rFonts w:eastAsia="Times New Roman" w:cs="Arial"/>
          <w:color w:val="000000"/>
          <w:lang w:val="fr-CA" w:eastAsia="en-CA"/>
        </w:rPr>
        <w:t>on</w:t>
      </w:r>
      <w:r w:rsidR="001C5F2E" w:rsidRPr="00B526E1">
        <w:rPr>
          <w:rFonts w:eastAsia="Times New Roman" w:cs="Arial"/>
          <w:color w:val="000000"/>
          <w:lang w:val="fr-CA" w:eastAsia="en-CA"/>
        </w:rPr>
        <w:t xml:space="preserve"> mentionnée</w:t>
      </w:r>
      <w:r w:rsidR="0014060D">
        <w:rPr>
          <w:rFonts w:eastAsia="Times New Roman" w:cs="Arial"/>
          <w:color w:val="000000"/>
          <w:lang w:val="fr-CA" w:eastAsia="en-CA"/>
        </w:rPr>
        <w:t xml:space="preserve"> (IPSAS </w:t>
      </w:r>
      <w:r w:rsidR="00192A27" w:rsidRPr="00B526E1">
        <w:rPr>
          <w:rFonts w:eastAsia="Times New Roman" w:cs="Arial"/>
          <w:color w:val="000000"/>
          <w:lang w:val="fr-CA" w:eastAsia="en-CA"/>
        </w:rPr>
        <w:t>2.59)</w:t>
      </w:r>
    </w:p>
    <w:p w14:paraId="4ACBE784" w14:textId="623652BF" w:rsidR="00192A27" w:rsidRPr="00B526E1" w:rsidRDefault="00445C50" w:rsidP="00636CFC">
      <w:pPr>
        <w:shd w:val="clear" w:color="auto" w:fill="FFFFFF"/>
        <w:ind w:left="1008" w:hanging="360"/>
        <w:rPr>
          <w:rFonts w:eastAsia="Times New Roman" w:cs="Arial"/>
          <w:color w:val="000000"/>
          <w:lang w:val="fr-CA" w:eastAsia="en-CA"/>
        </w:rPr>
      </w:pPr>
      <w:sdt>
        <w:sdtPr>
          <w:rPr>
            <w:rFonts w:cs="Arial"/>
            <w:b/>
            <w:color w:val="000000"/>
            <w:lang w:val="fr-CA"/>
          </w:rPr>
          <w:id w:val="1219322210"/>
          <w14:checkbox>
            <w14:checked w14:val="0"/>
            <w14:checkedState w14:val="2612" w14:font="MS Gothic"/>
            <w14:uncheckedState w14:val="2610" w14:font="MS Gothic"/>
          </w14:checkbox>
        </w:sdtPr>
        <w:sdtEndPr/>
        <w:sdtContent>
          <w:r w:rsidR="008F7B9D" w:rsidRPr="00B526E1">
            <w:rPr>
              <w:rFonts w:ascii="MS Gothic" w:eastAsia="MS Gothic" w:hAnsi="MS Gothic" w:cs="Arial"/>
              <w:b/>
              <w:color w:val="000000"/>
              <w:lang w:val="fr-CA"/>
            </w:rPr>
            <w:t>☐</w:t>
          </w:r>
        </w:sdtContent>
      </w:sdt>
      <w:r w:rsidR="00636CFC">
        <w:rPr>
          <w:rFonts w:cs="Arial"/>
          <w:b/>
          <w:color w:val="000000"/>
          <w:lang w:val="fr-CA"/>
        </w:rPr>
        <w:tab/>
      </w:r>
      <w:r w:rsidR="001C5F2E" w:rsidRPr="00B526E1">
        <w:rPr>
          <w:rFonts w:cs="Arial"/>
          <w:color w:val="000000"/>
          <w:lang w:val="fr-CA"/>
        </w:rPr>
        <w:t>Investissements présentés à tort comme éléments de trésorerie et d’équivalents de trésorerie</w:t>
      </w:r>
      <w:r w:rsidR="00192A27" w:rsidRPr="00B526E1">
        <w:rPr>
          <w:rFonts w:eastAsia="Times New Roman" w:cs="Arial"/>
          <w:color w:val="000000"/>
          <w:lang w:val="fr-CA" w:eastAsia="en-CA"/>
        </w:rPr>
        <w:t xml:space="preserve"> (</w:t>
      </w:r>
      <w:r w:rsidR="001C5F2E" w:rsidRPr="00B526E1">
        <w:rPr>
          <w:rFonts w:eastAsia="Times New Roman" w:cs="Arial"/>
          <w:color w:val="000000"/>
          <w:lang w:val="fr-CA" w:eastAsia="en-CA"/>
        </w:rPr>
        <w:t>SP</w:t>
      </w:r>
      <w:r w:rsidR="0014060D">
        <w:rPr>
          <w:rFonts w:eastAsia="Times New Roman" w:cs="Arial"/>
          <w:color w:val="000000"/>
          <w:lang w:val="fr-CA" w:eastAsia="en-CA"/>
        </w:rPr>
        <w:t> </w:t>
      </w:r>
      <w:r w:rsidR="00192A27" w:rsidRPr="00B526E1">
        <w:rPr>
          <w:rFonts w:eastAsia="Times New Roman" w:cs="Arial"/>
          <w:color w:val="000000"/>
          <w:lang w:val="fr-CA" w:eastAsia="en-CA"/>
        </w:rPr>
        <w:t>1200.05)</w:t>
      </w:r>
    </w:p>
    <w:p w14:paraId="0B7D7EB6" w14:textId="05F0A0BC"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1033081262"/>
          <w14:checkbox>
            <w14:checked w14:val="0"/>
            <w14:checkedState w14:val="2612" w14:font="MS Gothic"/>
            <w14:uncheckedState w14:val="2610" w14:font="MS Gothic"/>
          </w14:checkbox>
        </w:sdtPr>
        <w:sdtEndPr/>
        <w:sdtContent>
          <w:r w:rsidR="008F7B9D" w:rsidRPr="00B526E1">
            <w:rPr>
              <w:rFonts w:ascii="MS Gothic" w:eastAsia="MS Gothic" w:hAnsi="MS Gothic" w:cs="Arial"/>
              <w:color w:val="000000"/>
              <w:lang w:val="fr-CA"/>
            </w:rPr>
            <w:t>☐</w:t>
          </w:r>
        </w:sdtContent>
      </w:sdt>
      <w:r w:rsidR="00636CFC">
        <w:rPr>
          <w:rFonts w:cs="Arial"/>
          <w:color w:val="000000"/>
          <w:lang w:val="fr-CA"/>
        </w:rPr>
        <w:tab/>
      </w:r>
      <w:r w:rsidR="001C5F2E" w:rsidRPr="00B526E1">
        <w:rPr>
          <w:rFonts w:cs="Arial"/>
          <w:color w:val="000000"/>
          <w:lang w:val="fr-CA"/>
        </w:rPr>
        <w:t xml:space="preserve">Entrées de </w:t>
      </w:r>
      <w:r w:rsidR="0095245E" w:rsidRPr="00B526E1">
        <w:rPr>
          <w:rFonts w:cs="Arial"/>
          <w:color w:val="000000"/>
          <w:lang w:val="fr-CA"/>
        </w:rPr>
        <w:t>trésorerie</w:t>
      </w:r>
      <w:r w:rsidR="001C5F2E" w:rsidRPr="00B526E1">
        <w:rPr>
          <w:rFonts w:cs="Arial"/>
          <w:color w:val="000000"/>
          <w:lang w:val="fr-CA"/>
        </w:rPr>
        <w:t xml:space="preserve"> présentées comme sorties de </w:t>
      </w:r>
      <w:r w:rsidR="0095245E" w:rsidRPr="00B526E1">
        <w:rPr>
          <w:rFonts w:cs="Arial"/>
          <w:color w:val="000000"/>
          <w:lang w:val="fr-CA"/>
        </w:rPr>
        <w:t>trésorerie</w:t>
      </w:r>
      <w:r w:rsidR="001C5F2E" w:rsidRPr="00B526E1">
        <w:rPr>
          <w:rFonts w:cs="Arial"/>
          <w:color w:val="000000"/>
          <w:lang w:val="fr-CA"/>
        </w:rPr>
        <w:t xml:space="preserve"> et vice vers</w:t>
      </w:r>
      <w:r w:rsidR="00192A27" w:rsidRPr="00B526E1">
        <w:rPr>
          <w:rFonts w:eastAsia="Times New Roman" w:cs="Arial"/>
          <w:color w:val="000000"/>
          <w:lang w:val="fr-CA" w:eastAsia="en-CA"/>
        </w:rPr>
        <w:t>a</w:t>
      </w:r>
    </w:p>
    <w:p w14:paraId="6872B1BB" w14:textId="3A4ABF2E"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424071480"/>
          <w14:checkbox>
            <w14:checked w14:val="0"/>
            <w14:checkedState w14:val="2612" w14:font="MS Gothic"/>
            <w14:uncheckedState w14:val="2610" w14:font="MS Gothic"/>
          </w14:checkbox>
        </w:sdtPr>
        <w:sdtEndPr/>
        <w:sdtContent>
          <w:r w:rsidR="008F7B9D" w:rsidRPr="00B526E1">
            <w:rPr>
              <w:rFonts w:ascii="MS Gothic" w:eastAsia="MS Gothic" w:hAnsi="MS Gothic" w:cs="Arial"/>
              <w:color w:val="000000"/>
              <w:lang w:val="fr-CA"/>
            </w:rPr>
            <w:t>☐</w:t>
          </w:r>
        </w:sdtContent>
      </w:sdt>
      <w:r w:rsidR="00636CFC">
        <w:rPr>
          <w:rFonts w:cs="Arial"/>
          <w:color w:val="000000"/>
          <w:lang w:val="fr-CA"/>
        </w:rPr>
        <w:tab/>
      </w:r>
      <w:r w:rsidR="001C5F2E" w:rsidRPr="00B526E1">
        <w:rPr>
          <w:rFonts w:cs="Arial"/>
          <w:color w:val="000000"/>
          <w:lang w:val="fr-CA"/>
        </w:rPr>
        <w:t>Les flux de trésorerie comprennent des transactions sans effet sur la trésorerie</w:t>
      </w:r>
      <w:r w:rsidR="00192A27" w:rsidRPr="00B526E1">
        <w:rPr>
          <w:rFonts w:eastAsia="Times New Roman" w:cs="Arial"/>
          <w:color w:val="000000"/>
          <w:lang w:val="fr-CA" w:eastAsia="en-CA"/>
        </w:rPr>
        <w:t xml:space="preserve"> (IAS</w:t>
      </w:r>
      <w:r w:rsidR="00AC4B27" w:rsidRPr="00B526E1">
        <w:rPr>
          <w:rFonts w:eastAsia="Times New Roman" w:cs="Arial"/>
          <w:color w:val="000000"/>
          <w:lang w:val="fr-CA" w:eastAsia="en-CA"/>
        </w:rPr>
        <w:t xml:space="preserve"> 7.43, </w:t>
      </w:r>
      <w:r w:rsidR="00DD3EE0">
        <w:rPr>
          <w:rFonts w:eastAsia="Times New Roman" w:cs="Arial"/>
          <w:color w:val="000000"/>
          <w:lang w:val="fr-CA" w:eastAsia="en-CA"/>
        </w:rPr>
        <w:t>SP</w:t>
      </w:r>
      <w:r w:rsidR="00AC4B27" w:rsidRPr="00B526E1">
        <w:rPr>
          <w:rFonts w:eastAsia="Times New Roman" w:cs="Arial"/>
          <w:color w:val="000000"/>
          <w:lang w:val="fr-CA" w:eastAsia="en-CA"/>
        </w:rPr>
        <w:t xml:space="preserve"> 4200.52, </w:t>
      </w:r>
      <w:r w:rsidR="00DD3EE0">
        <w:rPr>
          <w:rFonts w:eastAsia="Times New Roman" w:cs="Arial"/>
          <w:color w:val="000000"/>
          <w:lang w:val="fr-CA" w:eastAsia="en-CA"/>
        </w:rPr>
        <w:t>SP</w:t>
      </w:r>
      <w:r w:rsidR="00AC4B27" w:rsidRPr="00B526E1">
        <w:rPr>
          <w:rFonts w:eastAsia="Times New Roman" w:cs="Arial"/>
          <w:color w:val="000000"/>
          <w:lang w:val="fr-CA" w:eastAsia="en-CA"/>
        </w:rPr>
        <w:t> 1201.125)</w:t>
      </w:r>
    </w:p>
    <w:p w14:paraId="131933D2" w14:textId="531B3C91"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1104417533"/>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1C5F2E" w:rsidRPr="00B526E1">
        <w:rPr>
          <w:rFonts w:cs="Arial"/>
          <w:color w:val="000000"/>
          <w:lang w:val="fr-CA"/>
        </w:rPr>
        <w:t>Le remboursement des obligations découlant d’un contrat de location-acquisition</w:t>
      </w:r>
      <w:r w:rsidR="002D45AA" w:rsidRPr="00B526E1">
        <w:rPr>
          <w:rFonts w:cs="Arial"/>
          <w:color w:val="000000"/>
          <w:lang w:val="fr-CA"/>
        </w:rPr>
        <w:t xml:space="preserve"> présenté comme activité d’investissement en immobilisations plutôt que comme activité de financement</w:t>
      </w:r>
      <w:r w:rsidR="002D45AA" w:rsidRPr="00B526E1">
        <w:rPr>
          <w:rFonts w:eastAsia="Times New Roman" w:cs="Arial"/>
          <w:color w:val="000000"/>
          <w:lang w:val="fr-CA" w:eastAsia="en-CA"/>
        </w:rPr>
        <w:t xml:space="preserve"> (</w:t>
      </w:r>
      <w:r w:rsidR="00192A27" w:rsidRPr="00B526E1">
        <w:rPr>
          <w:rFonts w:eastAsia="Times New Roman" w:cs="Arial"/>
          <w:color w:val="000000"/>
          <w:lang w:val="fr-CA" w:eastAsia="en-CA"/>
        </w:rPr>
        <w:t>S</w:t>
      </w:r>
      <w:r w:rsidR="002D45AA" w:rsidRPr="00B526E1">
        <w:rPr>
          <w:rFonts w:eastAsia="Times New Roman" w:cs="Arial"/>
          <w:color w:val="000000"/>
          <w:lang w:val="fr-CA" w:eastAsia="en-CA"/>
        </w:rPr>
        <w:t>P</w:t>
      </w:r>
      <w:r w:rsidR="00AC4B27" w:rsidRPr="00B526E1">
        <w:rPr>
          <w:rFonts w:eastAsia="Times New Roman" w:cs="Arial"/>
          <w:color w:val="000000"/>
          <w:lang w:val="fr-CA" w:eastAsia="en-CA"/>
        </w:rPr>
        <w:t> 4200.52)</w:t>
      </w:r>
    </w:p>
    <w:p w14:paraId="48E5AD72" w14:textId="3B4D577C"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31238435"/>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2D45AA" w:rsidRPr="00B526E1">
        <w:rPr>
          <w:rFonts w:cs="Arial"/>
          <w:color w:val="000000"/>
          <w:lang w:val="fr-CA"/>
        </w:rPr>
        <w:t>Radiation d’immobilisations corporelles présentée dans les activités d’investissement en immobilisations pour le montant net plutôt que comme un ajustement hors trésorerie dans les activités de fonctionnement</w:t>
      </w:r>
      <w:r w:rsidR="00AC4B27" w:rsidRPr="00B526E1">
        <w:rPr>
          <w:rFonts w:eastAsia="Times New Roman" w:cs="Arial"/>
          <w:color w:val="000000"/>
          <w:lang w:val="fr-CA" w:eastAsia="en-CA"/>
        </w:rPr>
        <w:t xml:space="preserve"> (</w:t>
      </w:r>
      <w:r w:rsidR="00612770">
        <w:rPr>
          <w:rFonts w:eastAsia="Times New Roman" w:cs="Arial"/>
          <w:color w:val="000000"/>
          <w:lang w:val="fr-CA" w:eastAsia="en-CA"/>
        </w:rPr>
        <w:t>SP</w:t>
      </w:r>
      <w:r w:rsidR="00AC4B27" w:rsidRPr="00B526E1">
        <w:rPr>
          <w:rFonts w:eastAsia="Times New Roman" w:cs="Arial"/>
          <w:color w:val="000000"/>
          <w:lang w:val="fr-CA" w:eastAsia="en-CA"/>
        </w:rPr>
        <w:t> 4200.52)</w:t>
      </w:r>
    </w:p>
    <w:p w14:paraId="2E3BC40F" w14:textId="447D22B4"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1209876829"/>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5F2B94">
        <w:rPr>
          <w:rFonts w:cs="Arial"/>
          <w:color w:val="000000"/>
          <w:lang w:val="fr-CA"/>
        </w:rPr>
        <w:t>Pour u</w:t>
      </w:r>
      <w:r w:rsidR="00A87435">
        <w:rPr>
          <w:rFonts w:cs="Arial"/>
          <w:color w:val="000000"/>
          <w:lang w:val="fr-CA"/>
        </w:rPr>
        <w:t xml:space="preserve">n organisme sans but lucratif, </w:t>
      </w:r>
      <w:r w:rsidR="002D45AA" w:rsidRPr="00B526E1">
        <w:rPr>
          <w:rFonts w:cs="Arial"/>
          <w:color w:val="000000"/>
          <w:lang w:val="fr-CA"/>
        </w:rPr>
        <w:t xml:space="preserve">classement incorrect </w:t>
      </w:r>
      <w:r w:rsidR="008F7B9D">
        <w:rPr>
          <w:rFonts w:cs="Arial"/>
          <w:color w:val="000000"/>
          <w:lang w:val="fr-CA"/>
        </w:rPr>
        <w:t xml:space="preserve">de fonds </w:t>
      </w:r>
      <w:r w:rsidR="005F2B94">
        <w:rPr>
          <w:rFonts w:cs="Arial"/>
          <w:color w:val="000000"/>
          <w:lang w:val="fr-CA"/>
        </w:rPr>
        <w:t xml:space="preserve">soumis à restrictions et </w:t>
      </w:r>
      <w:r w:rsidR="008F7B9D">
        <w:rPr>
          <w:rFonts w:cs="Arial"/>
          <w:color w:val="000000"/>
          <w:lang w:val="fr-CA"/>
        </w:rPr>
        <w:t>reçu</w:t>
      </w:r>
      <w:r w:rsidR="005F2B94">
        <w:rPr>
          <w:rFonts w:cs="Arial"/>
          <w:color w:val="000000"/>
          <w:lang w:val="fr-CA"/>
        </w:rPr>
        <w:t>s</w:t>
      </w:r>
      <w:r w:rsidR="008F7B9D">
        <w:rPr>
          <w:rFonts w:cs="Arial"/>
          <w:color w:val="000000"/>
          <w:lang w:val="fr-CA"/>
        </w:rPr>
        <w:t xml:space="preserve"> pour </w:t>
      </w:r>
      <w:r w:rsidR="005F2B94">
        <w:rPr>
          <w:rFonts w:cs="Arial"/>
          <w:color w:val="000000"/>
          <w:lang w:val="fr-CA"/>
        </w:rPr>
        <w:t>faire l’acquisition</w:t>
      </w:r>
      <w:r w:rsidR="008F7B9D">
        <w:rPr>
          <w:rFonts w:cs="Arial"/>
          <w:color w:val="000000"/>
          <w:lang w:val="fr-CA"/>
        </w:rPr>
        <w:t xml:space="preserve"> d’immobilisations</w:t>
      </w:r>
      <w:r w:rsidR="00A87435">
        <w:rPr>
          <w:rFonts w:cs="Arial"/>
          <w:color w:val="000000"/>
          <w:lang w:val="fr-CA"/>
        </w:rPr>
        <w:t xml:space="preserve"> en tant </w:t>
      </w:r>
      <w:r w:rsidR="0058256F">
        <w:rPr>
          <w:rFonts w:cs="Arial"/>
          <w:color w:val="000000"/>
          <w:lang w:val="fr-CA"/>
        </w:rPr>
        <w:t>qu</w:t>
      </w:r>
      <w:r w:rsidR="00DE6D02">
        <w:rPr>
          <w:rFonts w:cs="Arial"/>
          <w:color w:val="000000"/>
          <w:lang w:val="fr-CA"/>
        </w:rPr>
        <w:t>’</w:t>
      </w:r>
      <w:r w:rsidR="009D66B2">
        <w:rPr>
          <w:rFonts w:cs="Arial"/>
          <w:color w:val="000000"/>
          <w:lang w:val="fr-CA"/>
        </w:rPr>
        <w:t>activité</w:t>
      </w:r>
      <w:r w:rsidR="00DE6D02">
        <w:rPr>
          <w:rFonts w:cs="Arial"/>
          <w:color w:val="000000"/>
          <w:lang w:val="fr-CA"/>
        </w:rPr>
        <w:t xml:space="preserve"> d’investissement en immobilisations </w:t>
      </w:r>
      <w:r w:rsidR="0058256F">
        <w:rPr>
          <w:rFonts w:cs="Arial"/>
          <w:color w:val="000000"/>
          <w:lang w:val="fr-CA"/>
        </w:rPr>
        <w:t>au lieu d’activité de financement</w:t>
      </w:r>
      <w:r w:rsidR="008F7B9D">
        <w:rPr>
          <w:rFonts w:cs="Arial"/>
          <w:color w:val="000000"/>
          <w:lang w:val="fr-CA"/>
        </w:rPr>
        <w:t xml:space="preserve"> </w:t>
      </w:r>
      <w:r w:rsidR="0095245E" w:rsidRPr="00B526E1">
        <w:rPr>
          <w:rFonts w:eastAsia="Times New Roman" w:cs="Arial"/>
          <w:color w:val="000000"/>
          <w:lang w:val="fr-CA" w:eastAsia="en-CA"/>
        </w:rPr>
        <w:t>(</w:t>
      </w:r>
      <w:r w:rsidR="00192A27" w:rsidRPr="00B526E1">
        <w:rPr>
          <w:rFonts w:eastAsia="Times New Roman" w:cs="Arial"/>
          <w:color w:val="000000"/>
          <w:lang w:val="fr-CA" w:eastAsia="en-CA"/>
        </w:rPr>
        <w:t>S</w:t>
      </w:r>
      <w:r w:rsidR="0095245E" w:rsidRPr="00B526E1">
        <w:rPr>
          <w:rFonts w:eastAsia="Times New Roman" w:cs="Arial"/>
          <w:color w:val="000000"/>
          <w:lang w:val="fr-CA" w:eastAsia="en-CA"/>
        </w:rPr>
        <w:t>P</w:t>
      </w:r>
      <w:r w:rsidR="00AC4B27" w:rsidRPr="00B526E1">
        <w:rPr>
          <w:rFonts w:eastAsia="Times New Roman" w:cs="Arial"/>
          <w:color w:val="000000"/>
          <w:lang w:val="fr-CA" w:eastAsia="en-CA"/>
        </w:rPr>
        <w:t> 4200.52)</w:t>
      </w:r>
    </w:p>
    <w:p w14:paraId="45DD3E87" w14:textId="6B063E81"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2132927880"/>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2D45AA" w:rsidRPr="00B526E1">
        <w:rPr>
          <w:rFonts w:cs="Arial"/>
          <w:color w:val="000000"/>
          <w:lang w:val="fr-CA"/>
        </w:rPr>
        <w:t>Fonds soumis à restrictions mal classés</w:t>
      </w:r>
      <w:r w:rsidR="002D45AA" w:rsidRPr="00B526E1">
        <w:rPr>
          <w:rFonts w:eastAsia="Times New Roman" w:cs="Arial"/>
          <w:color w:val="000000"/>
          <w:lang w:val="fr-CA" w:eastAsia="en-CA"/>
        </w:rPr>
        <w:t xml:space="preserve"> (</w:t>
      </w:r>
      <w:r w:rsidR="00192A27" w:rsidRPr="00B526E1">
        <w:rPr>
          <w:rFonts w:eastAsia="Times New Roman" w:cs="Arial"/>
          <w:color w:val="000000"/>
          <w:lang w:val="fr-CA" w:eastAsia="en-CA"/>
        </w:rPr>
        <w:t>S</w:t>
      </w:r>
      <w:r w:rsidR="002D45AA" w:rsidRPr="00B526E1">
        <w:rPr>
          <w:rFonts w:eastAsia="Times New Roman" w:cs="Arial"/>
          <w:color w:val="000000"/>
          <w:lang w:val="fr-CA" w:eastAsia="en-CA"/>
        </w:rPr>
        <w:t>P</w:t>
      </w:r>
      <w:r w:rsidR="00AC4B27" w:rsidRPr="00B526E1">
        <w:rPr>
          <w:rFonts w:eastAsia="Times New Roman" w:cs="Arial"/>
          <w:color w:val="000000"/>
          <w:lang w:val="fr-CA" w:eastAsia="en-CA"/>
        </w:rPr>
        <w:t> 4200.52)</w:t>
      </w:r>
    </w:p>
    <w:p w14:paraId="53B49B08" w14:textId="28862803"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1053533679"/>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2D45AA" w:rsidRPr="00B526E1">
        <w:rPr>
          <w:rFonts w:eastAsia="Times New Roman" w:cs="Arial"/>
          <w:color w:val="000000"/>
          <w:lang w:val="fr-CA" w:eastAsia="en-CA"/>
        </w:rPr>
        <w:t>Avec la méthode directe, ne pas mentionner séparément les paiement</w:t>
      </w:r>
      <w:r w:rsidR="00B5053A" w:rsidRPr="00B526E1">
        <w:rPr>
          <w:rFonts w:eastAsia="Times New Roman" w:cs="Arial"/>
          <w:color w:val="000000"/>
          <w:lang w:val="fr-CA" w:eastAsia="en-CA"/>
        </w:rPr>
        <w:t>s</w:t>
      </w:r>
      <w:r w:rsidR="002D45AA" w:rsidRPr="00B526E1">
        <w:rPr>
          <w:rFonts w:eastAsia="Times New Roman" w:cs="Arial"/>
          <w:color w:val="000000"/>
          <w:lang w:val="fr-CA" w:eastAsia="en-CA"/>
        </w:rPr>
        <w:t xml:space="preserve"> de transfert importants faits ou reçus (</w:t>
      </w:r>
      <w:r w:rsidR="00192A27" w:rsidRPr="00B526E1">
        <w:rPr>
          <w:rFonts w:eastAsia="Times New Roman" w:cs="Arial"/>
          <w:color w:val="000000"/>
          <w:lang w:val="fr-CA" w:eastAsia="en-CA"/>
        </w:rPr>
        <w:t>S</w:t>
      </w:r>
      <w:r w:rsidR="002D45AA" w:rsidRPr="00B526E1">
        <w:rPr>
          <w:rFonts w:eastAsia="Times New Roman" w:cs="Arial"/>
          <w:color w:val="000000"/>
          <w:lang w:val="fr-CA" w:eastAsia="en-CA"/>
        </w:rPr>
        <w:t>P</w:t>
      </w:r>
      <w:r w:rsidR="00AC4B27" w:rsidRPr="00B526E1">
        <w:rPr>
          <w:rFonts w:eastAsia="Times New Roman" w:cs="Arial"/>
          <w:color w:val="000000"/>
          <w:lang w:val="fr-CA" w:eastAsia="en-CA"/>
        </w:rPr>
        <w:t> 1201.112)</w:t>
      </w:r>
    </w:p>
    <w:p w14:paraId="52AC6184" w14:textId="17EC1C88"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2116127294"/>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2D45AA" w:rsidRPr="00B526E1">
        <w:rPr>
          <w:rFonts w:cs="Arial"/>
          <w:color w:val="000000"/>
          <w:lang w:val="fr-CA"/>
        </w:rPr>
        <w:t>Intérêts payés non mentionnés ou</w:t>
      </w:r>
      <w:r w:rsidR="0095245E" w:rsidRPr="00B526E1">
        <w:rPr>
          <w:rFonts w:cs="Arial"/>
          <w:color w:val="000000"/>
          <w:lang w:val="fr-CA"/>
        </w:rPr>
        <w:t xml:space="preserve"> alors</w:t>
      </w:r>
      <w:r w:rsidR="002D45AA" w:rsidRPr="00B526E1">
        <w:rPr>
          <w:rFonts w:cs="Arial"/>
          <w:color w:val="000000"/>
          <w:lang w:val="fr-CA"/>
        </w:rPr>
        <w:t xml:space="preserve"> inclus dans les activités de financement plutôt que dans les activités de fonctionnement</w:t>
      </w:r>
      <w:r w:rsidR="002D45AA" w:rsidRPr="00B526E1">
        <w:rPr>
          <w:rFonts w:eastAsia="Times New Roman" w:cs="Arial"/>
          <w:color w:val="000000"/>
          <w:lang w:val="fr-CA" w:eastAsia="en-CA"/>
        </w:rPr>
        <w:t xml:space="preserve"> (</w:t>
      </w:r>
      <w:r w:rsidR="00192A27" w:rsidRPr="00B526E1">
        <w:rPr>
          <w:rFonts w:eastAsia="Times New Roman" w:cs="Arial"/>
          <w:color w:val="000000"/>
          <w:lang w:val="fr-CA" w:eastAsia="en-CA"/>
        </w:rPr>
        <w:t>S</w:t>
      </w:r>
      <w:r w:rsidR="002D45AA" w:rsidRPr="00B526E1">
        <w:rPr>
          <w:rFonts w:eastAsia="Times New Roman" w:cs="Arial"/>
          <w:color w:val="000000"/>
          <w:lang w:val="fr-CA" w:eastAsia="en-CA"/>
        </w:rPr>
        <w:t>P</w:t>
      </w:r>
      <w:r w:rsidR="00AC4B27" w:rsidRPr="00B526E1">
        <w:rPr>
          <w:rFonts w:eastAsia="Times New Roman" w:cs="Arial"/>
          <w:color w:val="000000"/>
          <w:lang w:val="fr-CA" w:eastAsia="en-CA"/>
        </w:rPr>
        <w:t> 1201.114)</w:t>
      </w:r>
    </w:p>
    <w:p w14:paraId="3A25D61A" w14:textId="64D6F9CE" w:rsidR="00192A27" w:rsidRPr="00B526E1" w:rsidRDefault="00445C50" w:rsidP="00636CFC">
      <w:pPr>
        <w:shd w:val="clear" w:color="auto" w:fill="FFFFFF"/>
        <w:ind w:left="1008" w:hanging="360"/>
        <w:rPr>
          <w:rFonts w:eastAsia="Times New Roman" w:cs="Arial"/>
          <w:color w:val="000000"/>
          <w:lang w:val="fr-CA" w:eastAsia="en-CA"/>
        </w:rPr>
      </w:pPr>
      <w:sdt>
        <w:sdtPr>
          <w:rPr>
            <w:rFonts w:cs="Arial"/>
            <w:color w:val="000000"/>
            <w:lang w:val="fr-CA"/>
          </w:rPr>
          <w:id w:val="-502580650"/>
          <w14:checkbox>
            <w14:checked w14:val="0"/>
            <w14:checkedState w14:val="2612" w14:font="MS Gothic"/>
            <w14:uncheckedState w14:val="2610" w14:font="MS Gothic"/>
          </w14:checkbox>
        </w:sdtPr>
        <w:sdtEndPr/>
        <w:sdtContent>
          <w:r w:rsidR="00192A27" w:rsidRPr="00B526E1">
            <w:rPr>
              <w:rFonts w:ascii="MS Gothic" w:eastAsia="MS Gothic" w:hAnsi="MS Gothic" w:cs="MS Gothic"/>
              <w:color w:val="000000"/>
              <w:lang w:val="fr-CA"/>
            </w:rPr>
            <w:t>☐</w:t>
          </w:r>
        </w:sdtContent>
      </w:sdt>
      <w:r w:rsidR="00636CFC">
        <w:rPr>
          <w:rFonts w:cs="Arial"/>
          <w:color w:val="000000"/>
          <w:lang w:val="fr-CA"/>
        </w:rPr>
        <w:tab/>
      </w:r>
      <w:r w:rsidR="002D45AA" w:rsidRPr="00B526E1">
        <w:rPr>
          <w:rFonts w:cs="Arial"/>
          <w:color w:val="000000"/>
          <w:lang w:val="fr-CA"/>
        </w:rPr>
        <w:t xml:space="preserve">Des flux de trésorerie importants bruts </w:t>
      </w:r>
      <w:r w:rsidR="00B5053A" w:rsidRPr="00B526E1">
        <w:rPr>
          <w:rFonts w:cs="Arial"/>
          <w:color w:val="000000"/>
          <w:lang w:val="fr-CA"/>
        </w:rPr>
        <w:t xml:space="preserve">ne répondant pas aux conditions pour être présentés </w:t>
      </w:r>
      <w:r w:rsidR="00E855B0">
        <w:rPr>
          <w:rFonts w:cs="Arial"/>
          <w:color w:val="000000"/>
          <w:lang w:val="fr-CA"/>
        </w:rPr>
        <w:t>au</w:t>
      </w:r>
      <w:r w:rsidR="00B5053A" w:rsidRPr="00B526E1">
        <w:rPr>
          <w:rFonts w:cs="Arial"/>
          <w:color w:val="000000"/>
          <w:lang w:val="fr-CA"/>
        </w:rPr>
        <w:t xml:space="preserve"> net </w:t>
      </w:r>
      <w:r w:rsidR="00B5053A" w:rsidRPr="00B526E1">
        <w:rPr>
          <w:rFonts w:eastAsia="Times New Roman" w:cs="Arial"/>
          <w:color w:val="000000"/>
          <w:lang w:val="fr-CA" w:eastAsia="en-CA"/>
        </w:rPr>
        <w:t>(</w:t>
      </w:r>
      <w:r w:rsidR="00192A27" w:rsidRPr="00B526E1">
        <w:rPr>
          <w:rFonts w:eastAsia="Times New Roman" w:cs="Arial"/>
          <w:color w:val="000000"/>
          <w:lang w:val="fr-CA" w:eastAsia="en-CA"/>
        </w:rPr>
        <w:t>S</w:t>
      </w:r>
      <w:r w:rsidR="00B5053A" w:rsidRPr="00B526E1">
        <w:rPr>
          <w:rFonts w:eastAsia="Times New Roman" w:cs="Arial"/>
          <w:color w:val="000000"/>
          <w:lang w:val="fr-CA" w:eastAsia="en-CA"/>
        </w:rPr>
        <w:t>P</w:t>
      </w:r>
      <w:r w:rsidR="00192A27" w:rsidRPr="00B526E1">
        <w:rPr>
          <w:rFonts w:eastAsia="Times New Roman" w:cs="Arial"/>
          <w:color w:val="000000"/>
          <w:lang w:val="fr-CA" w:eastAsia="en-CA"/>
        </w:rPr>
        <w:t> 1201.119).</w:t>
      </w:r>
    </w:p>
    <w:p w14:paraId="1C39A6AF" w14:textId="70F89143" w:rsidR="00692DCD" w:rsidRDefault="00144144" w:rsidP="00144144">
      <w:pPr>
        <w:rPr>
          <w:rFonts w:cs="Arial"/>
          <w:lang w:val="fr-CA"/>
        </w:rPr>
      </w:pPr>
      <w:r>
        <w:rPr>
          <w:rFonts w:cs="Arial"/>
          <w:lang w:val="fr-CA"/>
        </w:rPr>
        <w:t xml:space="preserve"> </w:t>
      </w:r>
    </w:p>
    <w:p w14:paraId="0AE99E99" w14:textId="77777777" w:rsidR="00692DCD" w:rsidRDefault="00692DCD">
      <w:pPr>
        <w:spacing w:before="0" w:after="200" w:line="276" w:lineRule="auto"/>
        <w:rPr>
          <w:rFonts w:cs="Arial"/>
          <w:lang w:val="fr-CA"/>
        </w:rPr>
      </w:pPr>
      <w:r>
        <w:rPr>
          <w:rFonts w:cs="Arial"/>
          <w:lang w:val="fr-CA"/>
        </w:rPr>
        <w:br w:type="page"/>
      </w:r>
    </w:p>
    <w:p w14:paraId="2BAF3681" w14:textId="06893708" w:rsidR="00692DCD" w:rsidRPr="00EF03D8" w:rsidRDefault="0014060D" w:rsidP="00692DCD">
      <w:pPr>
        <w:pStyle w:val="Heading1"/>
        <w:rPr>
          <w:lang w:val="fr-CA" w:eastAsia="en-CA"/>
        </w:rPr>
      </w:pPr>
      <w:r>
        <w:rPr>
          <w:lang w:val="fr-CA" w:eastAsia="en-CA"/>
        </w:rPr>
        <w:t>Annexe </w:t>
      </w:r>
      <w:r w:rsidR="00692DCD" w:rsidRPr="00EF03D8">
        <w:rPr>
          <w:lang w:val="fr-CA" w:eastAsia="en-CA"/>
        </w:rPr>
        <w:t>C — Pratiques exemplaires</w:t>
      </w:r>
    </w:p>
    <w:p w14:paraId="3B3ED287" w14:textId="196855CB" w:rsidR="001178BA" w:rsidRPr="009D03B9" w:rsidRDefault="001178BA" w:rsidP="00692DCD">
      <w:pPr>
        <w:pStyle w:val="ListParagraph"/>
        <w:numPr>
          <w:ilvl w:val="0"/>
          <w:numId w:val="8"/>
        </w:numPr>
        <w:rPr>
          <w:rFonts w:cs="Arial"/>
          <w:lang w:val="fr-CA"/>
        </w:rPr>
      </w:pPr>
      <w:r w:rsidRPr="00EF03D8">
        <w:rPr>
          <w:rFonts w:cs="Arial"/>
          <w:lang w:val="fr-CA"/>
        </w:rPr>
        <w:t xml:space="preserve">Lorsque vous obtenez une </w:t>
      </w:r>
      <w:r w:rsidR="00EF03D8" w:rsidRPr="00EF03D8">
        <w:rPr>
          <w:rFonts w:cs="Arial"/>
          <w:lang w:val="fr-CA"/>
        </w:rPr>
        <w:t>compréhension</w:t>
      </w:r>
      <w:r w:rsidRPr="00EF03D8">
        <w:rPr>
          <w:rFonts w:cs="Arial"/>
          <w:lang w:val="fr-CA"/>
        </w:rPr>
        <w:t xml:space="preserve"> des flux</w:t>
      </w:r>
      <w:r w:rsidR="00EF03D8" w:rsidRPr="00EF03D8">
        <w:rPr>
          <w:rFonts w:cs="Arial"/>
          <w:lang w:val="fr-CA"/>
        </w:rPr>
        <w:t xml:space="preserve"> des opérations des différents cycles, </w:t>
      </w:r>
      <w:r w:rsidR="00D531AD">
        <w:rPr>
          <w:rFonts w:cs="Arial"/>
          <w:lang w:val="fr-CA"/>
        </w:rPr>
        <w:t>vous pourriez</w:t>
      </w:r>
      <w:r w:rsidR="00EF03D8" w:rsidRPr="00EF03D8">
        <w:rPr>
          <w:rFonts w:cs="Arial"/>
          <w:lang w:val="fr-CA"/>
        </w:rPr>
        <w:t xml:space="preserve"> également considérer d’obtenir une compréhension des opérations jusqu’à l’entrée ou à la sortie de trésorerie, incluant également comment le tout est comptabilisé </w:t>
      </w:r>
      <w:r w:rsidR="00EF03D8" w:rsidRPr="009D03B9">
        <w:rPr>
          <w:rFonts w:cs="Arial"/>
          <w:lang w:val="fr-CA"/>
        </w:rPr>
        <w:t>par l’entité et déterminer s’il y a des conséquences sur l’état des flux de trésorerie.</w:t>
      </w:r>
    </w:p>
    <w:p w14:paraId="263FC757" w14:textId="22C16F1C" w:rsidR="00EF03D8" w:rsidRPr="009D03B9" w:rsidRDefault="00EF03D8" w:rsidP="00692DCD">
      <w:pPr>
        <w:pStyle w:val="ListParagraph"/>
        <w:numPr>
          <w:ilvl w:val="0"/>
          <w:numId w:val="8"/>
        </w:numPr>
        <w:rPr>
          <w:rFonts w:cs="Arial"/>
          <w:lang w:val="fr-CA"/>
        </w:rPr>
      </w:pPr>
      <w:r w:rsidRPr="009D03B9">
        <w:rPr>
          <w:rFonts w:cs="Arial"/>
          <w:lang w:val="fr-CA"/>
        </w:rPr>
        <w:t>L’état des flux de trésorerie pourrait être révisé par l’équipe lors de la planification de l’audit ou lors de l’intérimaire.</w:t>
      </w:r>
      <w:r w:rsidR="009D03B9" w:rsidRPr="009D03B9">
        <w:rPr>
          <w:rFonts w:cs="Arial"/>
          <w:lang w:val="fr-CA"/>
        </w:rPr>
        <w:t xml:space="preserve"> Par exemple, si l’entité publie des états financiers trimestrielles, un membre de l’équipe pourrait rencontrer les dirigeants afin de discuter </w:t>
      </w:r>
      <w:r w:rsidR="00D531AD">
        <w:rPr>
          <w:rFonts w:cs="Arial"/>
          <w:lang w:val="fr-CA"/>
        </w:rPr>
        <w:t>de la méthode</w:t>
      </w:r>
      <w:r w:rsidR="009D03B9" w:rsidRPr="009D03B9">
        <w:rPr>
          <w:rFonts w:cs="Arial"/>
          <w:lang w:val="fr-CA"/>
        </w:rPr>
        <w:t xml:space="preserve"> suivi</w:t>
      </w:r>
      <w:r w:rsidR="00D531AD">
        <w:rPr>
          <w:rFonts w:cs="Arial"/>
          <w:lang w:val="fr-CA"/>
        </w:rPr>
        <w:t>e</w:t>
      </w:r>
      <w:r w:rsidR="009D03B9" w:rsidRPr="009D03B9">
        <w:rPr>
          <w:rFonts w:cs="Arial"/>
          <w:lang w:val="fr-CA"/>
        </w:rPr>
        <w:t xml:space="preserve"> par l’entité pour préparer le dernier état des </w:t>
      </w:r>
      <w:r w:rsidR="00D531AD">
        <w:rPr>
          <w:rFonts w:cs="Arial"/>
          <w:lang w:val="fr-CA"/>
        </w:rPr>
        <w:t>flux de trésorerie trimestriel</w:t>
      </w:r>
      <w:r w:rsidR="009D03B9" w:rsidRPr="009D03B9">
        <w:rPr>
          <w:rFonts w:cs="Arial"/>
          <w:lang w:val="fr-CA"/>
        </w:rPr>
        <w:t xml:space="preserve"> ainsi que des contrôles pertinents</w:t>
      </w:r>
      <w:r w:rsidR="00D531AD">
        <w:rPr>
          <w:rFonts w:cs="Arial"/>
          <w:lang w:val="fr-CA"/>
        </w:rPr>
        <w:t>,</w:t>
      </w:r>
      <w:r w:rsidR="009D03B9" w:rsidRPr="009D03B9">
        <w:rPr>
          <w:rFonts w:cs="Arial"/>
          <w:lang w:val="fr-CA"/>
        </w:rPr>
        <w:t xml:space="preserve"> s’il a été déterminé que le même processus est suivi pour préparer les états financiers annuels.</w:t>
      </w:r>
    </w:p>
    <w:p w14:paraId="38CD211A" w14:textId="20043B42" w:rsidR="00692DCD" w:rsidRPr="009D03B9" w:rsidRDefault="009D03B9" w:rsidP="00692DCD">
      <w:pPr>
        <w:pStyle w:val="ListParagraph"/>
        <w:numPr>
          <w:ilvl w:val="0"/>
          <w:numId w:val="8"/>
        </w:numPr>
        <w:rPr>
          <w:rFonts w:cs="Arial"/>
          <w:lang w:val="fr-CA"/>
        </w:rPr>
      </w:pPr>
      <w:r w:rsidRPr="009D03B9">
        <w:rPr>
          <w:rFonts w:cs="Arial"/>
          <w:lang w:val="fr-CA"/>
        </w:rPr>
        <w:t xml:space="preserve">Dans les programmes d’audit, considérez inclure une procédure en lien avec l’audit des flux de trésorerie afin </w:t>
      </w:r>
      <w:r w:rsidR="00D531AD">
        <w:rPr>
          <w:rFonts w:cs="Arial"/>
          <w:lang w:val="fr-CA"/>
        </w:rPr>
        <w:t>d’inciter l</w:t>
      </w:r>
      <w:r w:rsidRPr="009D03B9">
        <w:rPr>
          <w:rFonts w:cs="Arial"/>
          <w:lang w:val="fr-CA"/>
        </w:rPr>
        <w:t xml:space="preserve">’auditeur qui fait le travail </w:t>
      </w:r>
      <w:r w:rsidR="00D531AD">
        <w:rPr>
          <w:rFonts w:cs="Arial"/>
          <w:lang w:val="fr-CA"/>
        </w:rPr>
        <w:t xml:space="preserve">à obtenir </w:t>
      </w:r>
      <w:r w:rsidRPr="009D03B9">
        <w:rPr>
          <w:rFonts w:cs="Arial"/>
          <w:lang w:val="fr-CA"/>
        </w:rPr>
        <w:t xml:space="preserve">la compréhension nécessaire des opérations afin de s’assurer de la présentation fidèle </w:t>
      </w:r>
      <w:r w:rsidR="00D531AD">
        <w:rPr>
          <w:rFonts w:cs="Arial"/>
          <w:lang w:val="fr-CA"/>
        </w:rPr>
        <w:t>de la présentation</w:t>
      </w:r>
      <w:r w:rsidRPr="009D03B9">
        <w:rPr>
          <w:rFonts w:cs="Arial"/>
          <w:lang w:val="fr-CA"/>
        </w:rPr>
        <w:t xml:space="preserve"> et des notes afférent</w:t>
      </w:r>
      <w:r w:rsidR="00D531AD">
        <w:rPr>
          <w:rFonts w:cs="Arial"/>
          <w:lang w:val="fr-CA"/>
        </w:rPr>
        <w:t>e</w:t>
      </w:r>
      <w:r w:rsidRPr="009D03B9">
        <w:rPr>
          <w:rFonts w:cs="Arial"/>
          <w:lang w:val="fr-CA"/>
        </w:rPr>
        <w:t>s.</w:t>
      </w:r>
    </w:p>
    <w:p w14:paraId="307BB385" w14:textId="5D620673" w:rsidR="00692DCD" w:rsidRPr="009D03B9" w:rsidRDefault="009D03B9" w:rsidP="00692DCD">
      <w:pPr>
        <w:pStyle w:val="ListParagraph"/>
        <w:numPr>
          <w:ilvl w:val="0"/>
          <w:numId w:val="8"/>
        </w:numPr>
        <w:rPr>
          <w:rFonts w:cs="Arial"/>
          <w:lang w:val="fr-CA"/>
        </w:rPr>
      </w:pPr>
      <w:r w:rsidRPr="009D03B9">
        <w:rPr>
          <w:rFonts w:cs="Arial"/>
          <w:lang w:val="fr-CA"/>
        </w:rPr>
        <w:t>Considérez faire en sorte</w:t>
      </w:r>
      <w:r w:rsidR="00D531AD">
        <w:rPr>
          <w:rFonts w:cs="Arial"/>
          <w:lang w:val="fr-CA"/>
        </w:rPr>
        <w:t xml:space="preserve"> que</w:t>
      </w:r>
      <w:r w:rsidRPr="009D03B9">
        <w:rPr>
          <w:rFonts w:cs="Arial"/>
          <w:lang w:val="fr-CA"/>
        </w:rPr>
        <w:t xml:space="preserve"> les postes à l’état des flux de trésorerie soient révisés par le membre de l’équipe ayant les connaissances détaillées de ce poste. Chacun des postes pourrait être audité à travers les différentes sections et un auditeur pourrait être responsable de la vue d’ensemble de l’état des flux de trésorerie.</w:t>
      </w:r>
    </w:p>
    <w:p w14:paraId="4245E1FC" w14:textId="4A2358E6" w:rsidR="00692DCD" w:rsidRPr="00C101D7" w:rsidRDefault="009D03B9" w:rsidP="00692DCD">
      <w:pPr>
        <w:pStyle w:val="ListParagraph"/>
        <w:numPr>
          <w:ilvl w:val="0"/>
          <w:numId w:val="8"/>
        </w:numPr>
        <w:rPr>
          <w:rFonts w:cs="Arial"/>
          <w:lang w:val="fr-CA"/>
        </w:rPr>
      </w:pPr>
      <w:r w:rsidRPr="009D03B9">
        <w:rPr>
          <w:rFonts w:cs="Arial"/>
          <w:lang w:val="fr-CA"/>
        </w:rPr>
        <w:t xml:space="preserve">Considérez soulever l’importance de l’état des flux de trésorerie lors des réunions de planification d’équipe. </w:t>
      </w:r>
    </w:p>
    <w:p w14:paraId="5F7F8450" w14:textId="261DDFCC" w:rsidR="00575B89" w:rsidRPr="00575B89" w:rsidRDefault="00575B89" w:rsidP="00692DCD">
      <w:pPr>
        <w:pStyle w:val="ListParagraph"/>
        <w:numPr>
          <w:ilvl w:val="0"/>
          <w:numId w:val="8"/>
        </w:numPr>
        <w:rPr>
          <w:rFonts w:cs="Arial"/>
          <w:lang w:val="fr-CA"/>
        </w:rPr>
      </w:pPr>
      <w:r>
        <w:rPr>
          <w:rFonts w:cs="Arial"/>
          <w:lang w:val="fr-CA"/>
        </w:rPr>
        <w:t>Dans certaines situations, l’état des flux de trésorerie peut être reçu vers la fin de l’audit. Considérez souligner à la direction l’importance de fournir l’état des flux de trésorerie ainsi que toutes les pièces justificatives au même moment que le</w:t>
      </w:r>
      <w:r w:rsidR="00D531AD">
        <w:rPr>
          <w:rFonts w:cs="Arial"/>
          <w:lang w:val="fr-CA"/>
        </w:rPr>
        <w:t xml:space="preserve"> reste</w:t>
      </w:r>
      <w:r>
        <w:rPr>
          <w:rFonts w:cs="Arial"/>
          <w:lang w:val="fr-CA"/>
        </w:rPr>
        <w:t xml:space="preserve"> des états financiers. De plus, l’équipe d’audit ne devrait pas attendre vers la fin </w:t>
      </w:r>
      <w:r w:rsidR="008105AC">
        <w:rPr>
          <w:rFonts w:cs="Arial"/>
          <w:lang w:val="fr-CA"/>
        </w:rPr>
        <w:t>du mandat</w:t>
      </w:r>
      <w:r>
        <w:rPr>
          <w:rFonts w:cs="Arial"/>
          <w:lang w:val="fr-CA"/>
        </w:rPr>
        <w:t xml:space="preserve"> </w:t>
      </w:r>
      <w:r w:rsidRPr="00575B89">
        <w:rPr>
          <w:rFonts w:cs="Arial"/>
          <w:lang w:val="fr-CA"/>
        </w:rPr>
        <w:t xml:space="preserve">avant de commencer à auditer l’état des flux de trésorerie. </w:t>
      </w:r>
    </w:p>
    <w:p w14:paraId="0DFB494E" w14:textId="6554A233" w:rsidR="00692DCD" w:rsidRPr="00575B89" w:rsidRDefault="00575B89" w:rsidP="00692DCD">
      <w:pPr>
        <w:pStyle w:val="ListParagraph"/>
        <w:numPr>
          <w:ilvl w:val="0"/>
          <w:numId w:val="8"/>
        </w:numPr>
        <w:rPr>
          <w:rFonts w:cs="Arial"/>
          <w:lang w:val="fr-CA"/>
        </w:rPr>
      </w:pPr>
      <w:r w:rsidRPr="00575B89">
        <w:rPr>
          <w:rFonts w:cs="Arial"/>
          <w:lang w:val="fr-CA"/>
        </w:rPr>
        <w:t xml:space="preserve">Considérez compiler une liste d’opérations non-monétaires que vous </w:t>
      </w:r>
      <w:r w:rsidR="008105AC">
        <w:rPr>
          <w:rFonts w:cs="Arial"/>
          <w:lang w:val="fr-CA"/>
        </w:rPr>
        <w:t>identifiez</w:t>
      </w:r>
      <w:r w:rsidRPr="00575B89">
        <w:rPr>
          <w:rFonts w:cs="Arial"/>
          <w:lang w:val="fr-CA"/>
        </w:rPr>
        <w:t xml:space="preserve"> lors de l’audit afin de s’assurer de l’exhaustivité des ajustements lorsque vous auditerez l’état des flux de trésorerie.</w:t>
      </w:r>
    </w:p>
    <w:p w14:paraId="2A3100C8" w14:textId="5922CA08" w:rsidR="00575B89" w:rsidRPr="00D6258B" w:rsidRDefault="00575B89" w:rsidP="00692DCD">
      <w:pPr>
        <w:pStyle w:val="ListParagraph"/>
        <w:numPr>
          <w:ilvl w:val="0"/>
          <w:numId w:val="8"/>
        </w:numPr>
        <w:rPr>
          <w:rFonts w:cs="Arial"/>
          <w:lang w:val="fr-CA"/>
        </w:rPr>
      </w:pPr>
      <w:r w:rsidRPr="00D6258B">
        <w:rPr>
          <w:rFonts w:cs="Arial"/>
          <w:lang w:val="fr-CA"/>
        </w:rPr>
        <w:t xml:space="preserve">Lorsque </w:t>
      </w:r>
      <w:r w:rsidR="008105AC">
        <w:rPr>
          <w:rFonts w:cs="Arial"/>
          <w:lang w:val="fr-CA"/>
        </w:rPr>
        <w:t>vous révisez</w:t>
      </w:r>
      <w:r w:rsidRPr="00D6258B">
        <w:rPr>
          <w:rFonts w:cs="Arial"/>
          <w:lang w:val="fr-CA"/>
        </w:rPr>
        <w:t xml:space="preserve"> </w:t>
      </w:r>
      <w:r w:rsidR="00D6258B" w:rsidRPr="00D6258B">
        <w:rPr>
          <w:rFonts w:cs="Arial"/>
          <w:lang w:val="fr-CA"/>
        </w:rPr>
        <w:t>un document supportant un</w:t>
      </w:r>
      <w:r w:rsidRPr="00D6258B">
        <w:rPr>
          <w:rFonts w:cs="Arial"/>
          <w:lang w:val="fr-CA"/>
        </w:rPr>
        <w:t xml:space="preserve"> prise de position comptable (par exemple, une adoption d’une nouvelle norme, un changement </w:t>
      </w:r>
      <w:r w:rsidR="008105AC">
        <w:rPr>
          <w:rFonts w:cs="Arial"/>
          <w:lang w:val="fr-CA"/>
        </w:rPr>
        <w:t>de politique comptable, etc.), vous devriez</w:t>
      </w:r>
      <w:r w:rsidRPr="00D6258B">
        <w:rPr>
          <w:rFonts w:cs="Arial"/>
          <w:lang w:val="fr-CA"/>
        </w:rPr>
        <w:t xml:space="preserve"> considére</w:t>
      </w:r>
      <w:r w:rsidR="008105AC">
        <w:rPr>
          <w:rFonts w:cs="Arial"/>
          <w:lang w:val="fr-CA"/>
        </w:rPr>
        <w:t>r</w:t>
      </w:r>
      <w:r w:rsidRPr="00D6258B">
        <w:rPr>
          <w:rFonts w:cs="Arial"/>
          <w:lang w:val="fr-CA"/>
        </w:rPr>
        <w:t xml:space="preserve"> s’i</w:t>
      </w:r>
      <w:r w:rsidR="00D6258B" w:rsidRPr="00D6258B">
        <w:rPr>
          <w:rFonts w:cs="Arial"/>
          <w:lang w:val="fr-CA"/>
        </w:rPr>
        <w:t xml:space="preserve">l devrait y avoir une section qui traite spécifiquement de l’état des flux de trésorerie. </w:t>
      </w:r>
    </w:p>
    <w:p w14:paraId="0A104C89" w14:textId="16BEDABA" w:rsidR="00692DCD" w:rsidRPr="0094126F" w:rsidRDefault="00D6258B" w:rsidP="00692DCD">
      <w:pPr>
        <w:pStyle w:val="ListParagraph"/>
        <w:numPr>
          <w:ilvl w:val="0"/>
          <w:numId w:val="8"/>
        </w:numPr>
        <w:rPr>
          <w:rFonts w:cs="Arial"/>
          <w:lang w:val="fr-CA"/>
        </w:rPr>
      </w:pPr>
      <w:r w:rsidRPr="00D6258B">
        <w:rPr>
          <w:rFonts w:cs="Arial"/>
          <w:lang w:val="fr-CA"/>
        </w:rPr>
        <w:t>Lorsqu’il y a un changement de syst</w:t>
      </w:r>
      <w:r>
        <w:rPr>
          <w:rFonts w:cs="Arial"/>
          <w:lang w:val="fr-CA"/>
        </w:rPr>
        <w:t xml:space="preserve">ème comptable ou un changement à la charte des comptes, l’équipe d’audit devrait considérer si le changement peut avoir une </w:t>
      </w:r>
      <w:r w:rsidRPr="0094126F">
        <w:rPr>
          <w:rFonts w:cs="Arial"/>
          <w:lang w:val="fr-CA"/>
        </w:rPr>
        <w:t>répercussion sur l’état des flux de trésorerie.</w:t>
      </w:r>
    </w:p>
    <w:p w14:paraId="2E54E961" w14:textId="547D22F9" w:rsidR="00692DCD" w:rsidRPr="0094126F" w:rsidRDefault="00526464" w:rsidP="00692DCD">
      <w:pPr>
        <w:pStyle w:val="ListParagraph"/>
        <w:numPr>
          <w:ilvl w:val="0"/>
          <w:numId w:val="8"/>
        </w:numPr>
        <w:rPr>
          <w:rFonts w:cs="Arial"/>
          <w:lang w:val="fr-CA"/>
        </w:rPr>
      </w:pPr>
      <w:r w:rsidRPr="0094126F">
        <w:rPr>
          <w:rFonts w:cs="Arial"/>
          <w:lang w:val="fr-CA"/>
        </w:rPr>
        <w:t xml:space="preserve">Adaptez </w:t>
      </w:r>
      <w:r w:rsidR="00D6258B" w:rsidRPr="0094126F">
        <w:rPr>
          <w:rFonts w:cs="Arial"/>
          <w:lang w:val="fr-CA"/>
        </w:rPr>
        <w:t xml:space="preserve">les </w:t>
      </w:r>
      <w:r w:rsidRPr="0094126F">
        <w:rPr>
          <w:rFonts w:cs="Arial"/>
          <w:lang w:val="fr-CA"/>
        </w:rPr>
        <w:t>programmes</w:t>
      </w:r>
      <w:r w:rsidR="00D6258B" w:rsidRPr="0094126F">
        <w:rPr>
          <w:rFonts w:cs="Arial"/>
          <w:lang w:val="fr-CA"/>
        </w:rPr>
        <w:t xml:space="preserve"> d’audit selon les </w:t>
      </w:r>
      <w:r w:rsidRPr="0094126F">
        <w:rPr>
          <w:rFonts w:cs="Arial"/>
          <w:lang w:val="fr-CA"/>
        </w:rPr>
        <w:t>spécificités</w:t>
      </w:r>
      <w:r w:rsidR="00D6258B" w:rsidRPr="0094126F">
        <w:rPr>
          <w:rFonts w:cs="Arial"/>
          <w:lang w:val="fr-CA"/>
        </w:rPr>
        <w:t xml:space="preserve"> de votre entité et selon la liste des points à considérer </w:t>
      </w:r>
      <w:r w:rsidRPr="0094126F">
        <w:rPr>
          <w:rFonts w:cs="Arial"/>
          <w:lang w:val="fr-CA"/>
        </w:rPr>
        <w:t xml:space="preserve">dans l’annexe A et des erreurs courantes </w:t>
      </w:r>
      <w:r w:rsidR="0058256F">
        <w:rPr>
          <w:rFonts w:cs="Arial"/>
          <w:lang w:val="fr-CA"/>
        </w:rPr>
        <w:t xml:space="preserve">présentées </w:t>
      </w:r>
      <w:r w:rsidRPr="0094126F">
        <w:rPr>
          <w:rFonts w:cs="Arial"/>
          <w:lang w:val="fr-CA"/>
        </w:rPr>
        <w:t>à l’annexe B.</w:t>
      </w:r>
    </w:p>
    <w:p w14:paraId="0A89FE44" w14:textId="0F554347" w:rsidR="00692DCD" w:rsidRPr="0094126F" w:rsidRDefault="0094126F" w:rsidP="00692DCD">
      <w:pPr>
        <w:pStyle w:val="ListParagraph"/>
        <w:numPr>
          <w:ilvl w:val="0"/>
          <w:numId w:val="8"/>
        </w:numPr>
        <w:rPr>
          <w:rFonts w:cs="Arial"/>
          <w:lang w:val="fr-CA"/>
        </w:rPr>
      </w:pPr>
      <w:r w:rsidRPr="0094126F">
        <w:rPr>
          <w:rFonts w:cs="Arial"/>
          <w:lang w:val="fr-CA"/>
        </w:rPr>
        <w:t>Lorsque votre entité détient des investissements, révisez le détail de ces investissements afin de déterminer si elle détient des titres à court terme et qui sont très liquide</w:t>
      </w:r>
      <w:r w:rsidR="00E06BEF">
        <w:rPr>
          <w:rFonts w:cs="Arial"/>
          <w:lang w:val="fr-CA"/>
        </w:rPr>
        <w:t>s</w:t>
      </w:r>
      <w:r w:rsidRPr="0094126F">
        <w:rPr>
          <w:rFonts w:cs="Arial"/>
          <w:lang w:val="fr-CA"/>
        </w:rPr>
        <w:t>. Si c’est le cas, évaluez si ces titres rencontrent la définition d’un équivalent de trésorerie et évaluer les répercussions possibles sur l’état des flux de trésorerie.</w:t>
      </w:r>
    </w:p>
    <w:p w14:paraId="6AEC29E0" w14:textId="7D679BD2" w:rsidR="00692DCD" w:rsidRPr="00DF46E6" w:rsidRDefault="0094126F" w:rsidP="00692DCD">
      <w:pPr>
        <w:pStyle w:val="ListParagraph"/>
        <w:numPr>
          <w:ilvl w:val="0"/>
          <w:numId w:val="8"/>
        </w:numPr>
        <w:rPr>
          <w:rFonts w:cs="Arial"/>
          <w:lang w:val="fr-CA"/>
        </w:rPr>
      </w:pPr>
      <w:r w:rsidRPr="0094126F">
        <w:rPr>
          <w:rFonts w:cs="Arial"/>
          <w:lang w:val="fr-CA"/>
        </w:rPr>
        <w:t xml:space="preserve">Révisez les annexes A et B et préparez une liste de questions détaillées pour l’entité auditée selon ce qui est pertinent pour votre audit. Demandez à l’entité de ne pas seulement expliquer le « quoi » (par exemple, dans quel poste les opérations de couvertures sont ajustées), mais aussi le « comment « (comment ces opérations sont </w:t>
      </w:r>
      <w:r w:rsidRPr="00DF46E6">
        <w:rPr>
          <w:rFonts w:cs="Arial"/>
          <w:lang w:val="fr-CA"/>
        </w:rPr>
        <w:t>comptabilisées par l’entité et comment elle s’assure que le montant de l’ajustement est approprié).</w:t>
      </w:r>
    </w:p>
    <w:p w14:paraId="010F78E7" w14:textId="7DD59FD5" w:rsidR="00692DCD" w:rsidRPr="00DF46E6" w:rsidRDefault="0094126F" w:rsidP="0014060D">
      <w:pPr>
        <w:pStyle w:val="ListParagraph"/>
        <w:keepNext/>
        <w:keepLines/>
        <w:numPr>
          <w:ilvl w:val="0"/>
          <w:numId w:val="8"/>
        </w:numPr>
        <w:rPr>
          <w:rFonts w:cs="Arial"/>
          <w:lang w:val="fr-CA"/>
        </w:rPr>
      </w:pPr>
      <w:r w:rsidRPr="00DF46E6">
        <w:rPr>
          <w:rFonts w:cs="Arial"/>
          <w:lang w:val="fr-CA"/>
        </w:rPr>
        <w:t xml:space="preserve">Dans certaines situations, il est possible de concilier </w:t>
      </w:r>
      <w:r w:rsidR="00DF46E6" w:rsidRPr="00DF46E6">
        <w:rPr>
          <w:rFonts w:cs="Arial"/>
          <w:lang w:val="fr-CA"/>
        </w:rPr>
        <w:t>certains montants présentés</w:t>
      </w:r>
      <w:r w:rsidRPr="00DF46E6">
        <w:rPr>
          <w:rFonts w:cs="Arial"/>
          <w:lang w:val="fr-CA"/>
        </w:rPr>
        <w:t xml:space="preserve"> à l’état des flux de trésorerie de plus d’une façon.</w:t>
      </w:r>
      <w:r w:rsidR="00DF46E6" w:rsidRPr="00DF46E6">
        <w:rPr>
          <w:rFonts w:cs="Arial"/>
          <w:lang w:val="fr-CA"/>
        </w:rPr>
        <w:t xml:space="preserve"> Demandez à l’entité d’identifier ces situations et de vous démontrer l’exactitude des montants présent</w:t>
      </w:r>
      <w:r w:rsidR="008105AC">
        <w:rPr>
          <w:rFonts w:cs="Arial"/>
          <w:lang w:val="fr-CA"/>
        </w:rPr>
        <w:t>é</w:t>
      </w:r>
      <w:r w:rsidR="00DF46E6" w:rsidRPr="00DF46E6">
        <w:rPr>
          <w:rFonts w:cs="Arial"/>
          <w:lang w:val="fr-CA"/>
        </w:rPr>
        <w:t xml:space="preserve">s dans l’état des flux de trésorerie en vous montrant le résultat obtenus des deux façons. Ceci pourrait vous donner l’assurance </w:t>
      </w:r>
      <w:r w:rsidR="008105AC">
        <w:rPr>
          <w:rFonts w:cs="Arial"/>
          <w:lang w:val="fr-CA"/>
        </w:rPr>
        <w:t xml:space="preserve">qu’aucun ajustement n’ait </w:t>
      </w:r>
      <w:r w:rsidR="00DF46E6" w:rsidRPr="00DF46E6">
        <w:rPr>
          <w:rFonts w:cs="Arial"/>
          <w:lang w:val="fr-CA"/>
        </w:rPr>
        <w:t>été omis.</w:t>
      </w:r>
    </w:p>
    <w:p w14:paraId="0109D337" w14:textId="77777777" w:rsidR="006F7349" w:rsidRPr="00C101D7" w:rsidRDefault="006F7349" w:rsidP="00144144">
      <w:pPr>
        <w:rPr>
          <w:rFonts w:cs="Arial"/>
          <w:b/>
          <w:lang w:val="fr-CA"/>
        </w:rPr>
      </w:pPr>
    </w:p>
    <w:sectPr w:rsidR="006F7349" w:rsidRPr="00C101D7" w:rsidSect="00144144">
      <w:footerReference w:type="default" r:id="rId8"/>
      <w:headerReference w:type="first" r:id="rId9"/>
      <w:footerReference w:type="first" r:id="rId10"/>
      <w:pgSz w:w="12240" w:h="20160"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97EFC" w14:textId="77777777" w:rsidR="00692DCD" w:rsidRDefault="00692DCD" w:rsidP="00F87AE1">
      <w:pPr>
        <w:spacing w:before="0" w:after="0"/>
      </w:pPr>
      <w:r>
        <w:separator/>
      </w:r>
    </w:p>
  </w:endnote>
  <w:endnote w:type="continuationSeparator" w:id="0">
    <w:p w14:paraId="07AE49BF" w14:textId="77777777" w:rsidR="00692DCD" w:rsidRDefault="00692DCD" w:rsidP="00F87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D146762A-E23E-496D-9032-B6FAFAD1681E}"/>
    <w:embedBold r:id="rId2" w:subsetted="1" w:fontKey="{2B840FF3-5539-422C-A59E-6118CD618C6F}"/>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1C9C" w14:textId="6CFE8FBC" w:rsidR="00692DCD" w:rsidRDefault="00692DCD" w:rsidP="00BE18F4">
    <w:pPr>
      <w:pStyle w:val="Footer"/>
      <w:jc w:val="right"/>
    </w:pPr>
    <w:r>
      <w:fldChar w:fldCharType="begin"/>
    </w:r>
    <w:r>
      <w:instrText xml:space="preserve"> PAGE   \* MERGEFORMAT </w:instrText>
    </w:r>
    <w:r>
      <w:fldChar w:fldCharType="separate"/>
    </w:r>
    <w:r w:rsidR="00445C5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EDBD" w14:textId="1E827BFF" w:rsidR="00692DCD" w:rsidRPr="00144144" w:rsidRDefault="00D713EE">
    <w:pPr>
      <w:pStyle w:val="Footer"/>
      <w:rPr>
        <w:sz w:val="16"/>
        <w:szCs w:val="16"/>
        <w:lang w:val="fr-CA"/>
      </w:rPr>
    </w:pPr>
    <w:r w:rsidRPr="00992E13">
      <w:rPr>
        <w:sz w:val="16"/>
        <w:szCs w:val="16"/>
        <w:lang w:val="fr-CA"/>
      </w:rPr>
      <w:t>oct</w:t>
    </w:r>
    <w:r w:rsidR="00692DCD" w:rsidRPr="00992E13">
      <w:rPr>
        <w:sz w:val="16"/>
        <w:szCs w:val="16"/>
        <w:lang w:val="fr-CA"/>
      </w:rPr>
      <w:t>.-201</w:t>
    </w:r>
    <w:r w:rsidRPr="00992E13">
      <w:rPr>
        <w:sz w:val="16"/>
        <w:szCs w:val="16"/>
        <w:lang w:val="fr-CA"/>
      </w:rPr>
      <w:t>8</w:t>
    </w:r>
  </w:p>
  <w:p w14:paraId="623E4ECA" w14:textId="34E12292" w:rsidR="00692DCD" w:rsidRPr="00144144" w:rsidRDefault="00692DCD" w:rsidP="00144144">
    <w:pPr>
      <w:pStyle w:val="Footer"/>
      <w:tabs>
        <w:tab w:val="clear" w:pos="4680"/>
      </w:tabs>
      <w:rPr>
        <w:lang w:val="fr-CA"/>
      </w:rPr>
    </w:pPr>
    <w:r w:rsidRPr="00144144">
      <w:rPr>
        <w:sz w:val="16"/>
        <w:szCs w:val="16"/>
        <w:lang w:val="fr-CA"/>
      </w:rPr>
      <w:t xml:space="preserve">Propriétaire du modèle : </w:t>
    </w:r>
    <w:r w:rsidR="00445C50">
      <w:rPr>
        <w:sz w:val="16"/>
        <w:szCs w:val="16"/>
        <w:lang w:val="fr-CA"/>
      </w:rPr>
      <w:t>Services d’audit</w:t>
    </w:r>
    <w:r>
      <w:rPr>
        <w:lang w:val="fr-CA"/>
      </w:rPr>
      <w:tab/>
    </w:r>
    <w:r w:rsidRPr="00144144">
      <w:rPr>
        <w:lang w:val="fr-CA"/>
      </w:rPr>
      <w:fldChar w:fldCharType="begin"/>
    </w:r>
    <w:r w:rsidRPr="00144144">
      <w:rPr>
        <w:lang w:val="fr-CA"/>
      </w:rPr>
      <w:instrText xml:space="preserve"> PAGE   \* MERGEFORMAT </w:instrText>
    </w:r>
    <w:r w:rsidRPr="00144144">
      <w:rPr>
        <w:lang w:val="fr-CA"/>
      </w:rPr>
      <w:fldChar w:fldCharType="separate"/>
    </w:r>
    <w:r w:rsidR="00445C50">
      <w:rPr>
        <w:noProof/>
        <w:lang w:val="fr-CA"/>
      </w:rPr>
      <w:t>1</w:t>
    </w:r>
    <w:r w:rsidRPr="00144144">
      <w:rPr>
        <w:noProof/>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0F49" w14:textId="77777777" w:rsidR="00692DCD" w:rsidRDefault="00692DCD" w:rsidP="00F87AE1">
      <w:pPr>
        <w:spacing w:before="0" w:after="0"/>
      </w:pPr>
      <w:r>
        <w:separator/>
      </w:r>
    </w:p>
  </w:footnote>
  <w:footnote w:type="continuationSeparator" w:id="0">
    <w:p w14:paraId="7409F6C9" w14:textId="77777777" w:rsidR="00692DCD" w:rsidRDefault="00692DCD" w:rsidP="00F87A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4E391" w14:textId="6C0FC87F" w:rsidR="00692DCD" w:rsidRPr="00944063" w:rsidRDefault="00445C50" w:rsidP="00944063">
    <w:pPr>
      <w:jc w:val="right"/>
      <w:rPr>
        <w:lang w:val="fr-CA"/>
      </w:rPr>
    </w:pPr>
    <w:sdt>
      <w:sdtPr>
        <w:rPr>
          <w:rFonts w:cs="Arial"/>
          <w:b/>
          <w:lang w:val="fr-CA"/>
        </w:rPr>
        <w:alias w:val="Étiquette de sécurité"/>
        <w:tag w:val="OAG-BVG-Classification"/>
        <w:id w:val="2052195265"/>
        <w:placeholder>
          <w:docPart w:val="CC8C0FF20675471784A2AAD5E665A02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4060D">
          <w:rPr>
            <w:rFonts w:cs="Arial"/>
            <w:b/>
            <w:lang w:val="fr-CA"/>
          </w:rPr>
          <w:t>NON CLASSIFIÉ</w:t>
        </w:r>
      </w:sdtContent>
    </w:sdt>
  </w:p>
  <w:p w14:paraId="5FB50FD2" w14:textId="691A2315" w:rsidR="00692DCD" w:rsidRPr="00944063" w:rsidRDefault="00692DCD" w:rsidP="00944063">
    <w:pPr>
      <w:pStyle w:val="Header"/>
      <w:spacing w:before="240" w:after="480"/>
      <w:jc w:val="center"/>
      <w:rPr>
        <w:sz w:val="36"/>
        <w:szCs w:val="36"/>
        <w:lang w:val="fr-CA"/>
      </w:rPr>
    </w:pPr>
    <w:r w:rsidRPr="00944063">
      <w:rPr>
        <w:b/>
        <w:sz w:val="36"/>
        <w:szCs w:val="36"/>
        <w:lang w:val="fr-CA"/>
      </w:rPr>
      <w:t>Flux de trésorerie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5380"/>
    <w:multiLevelType w:val="hybridMultilevel"/>
    <w:tmpl w:val="D8A85A3C"/>
    <w:lvl w:ilvl="0" w:tplc="09BCB1FA">
      <w:numFmt w:val="bullet"/>
      <w:lvlText w:val="-"/>
      <w:lvlJc w:val="left"/>
      <w:pPr>
        <w:ind w:left="360" w:hanging="360"/>
      </w:pPr>
      <w:rPr>
        <w:rFonts w:ascii="Arial" w:eastAsiaTheme="minorHAnsi" w:hAnsi="Arial" w:cs="Aria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4BBE7763"/>
    <w:multiLevelType w:val="hybridMultilevel"/>
    <w:tmpl w:val="16508332"/>
    <w:lvl w:ilvl="0" w:tplc="96D88C4C">
      <w:start w:val="1"/>
      <w:numFmt w:val="bullet"/>
      <w:lvlText w:val=""/>
      <w:lvlJc w:val="left"/>
      <w:pPr>
        <w:ind w:left="720" w:hanging="360"/>
      </w:pPr>
      <w:rPr>
        <w:rFonts w:ascii="Symbol" w:hAnsi="Symbol" w:hint="default"/>
        <w:lang w:val="fr-CA"/>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9B66A7"/>
    <w:multiLevelType w:val="hybridMultilevel"/>
    <w:tmpl w:val="BD7CF448"/>
    <w:lvl w:ilvl="0" w:tplc="B6F2EC82">
      <w:start w:val="18"/>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DF0D28"/>
    <w:multiLevelType w:val="hybridMultilevel"/>
    <w:tmpl w:val="3A86745E"/>
    <w:lvl w:ilvl="0" w:tplc="429E07A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5890CE5"/>
    <w:multiLevelType w:val="hybridMultilevel"/>
    <w:tmpl w:val="530C754A"/>
    <w:lvl w:ilvl="0" w:tplc="09BCB1FA">
      <w:numFmt w:val="bullet"/>
      <w:lvlText w:val="-"/>
      <w:lvlJc w:val="left"/>
      <w:pPr>
        <w:ind w:left="360" w:hanging="360"/>
      </w:pPr>
      <w:rPr>
        <w:rFonts w:ascii="Arial" w:eastAsiaTheme="minorHAnsi"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B2A770B"/>
    <w:multiLevelType w:val="hybridMultilevel"/>
    <w:tmpl w:val="7AD0DDDE"/>
    <w:lvl w:ilvl="0" w:tplc="09BCB1FA">
      <w:numFmt w:val="bullet"/>
      <w:lvlText w:val="-"/>
      <w:lvlJc w:val="left"/>
      <w:pPr>
        <w:ind w:left="360" w:hanging="360"/>
      </w:pPr>
      <w:rPr>
        <w:rFonts w:ascii="Arial" w:eastAsiaTheme="minorHAnsi" w:hAnsi="Arial" w:cs="Aria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E266C02"/>
    <w:multiLevelType w:val="hybridMultilevel"/>
    <w:tmpl w:val="C3EE29FC"/>
    <w:lvl w:ilvl="0" w:tplc="8BB88C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0E30EC"/>
    <w:multiLevelType w:val="hybridMultilevel"/>
    <w:tmpl w:val="FD22C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1A"/>
    <w:rsid w:val="0001297A"/>
    <w:rsid w:val="000355B4"/>
    <w:rsid w:val="00037F45"/>
    <w:rsid w:val="00056DAD"/>
    <w:rsid w:val="000A2E43"/>
    <w:rsid w:val="000D2EAF"/>
    <w:rsid w:val="000F1D83"/>
    <w:rsid w:val="001178BA"/>
    <w:rsid w:val="0014060D"/>
    <w:rsid w:val="00144144"/>
    <w:rsid w:val="001524F7"/>
    <w:rsid w:val="00156629"/>
    <w:rsid w:val="00186459"/>
    <w:rsid w:val="00192A27"/>
    <w:rsid w:val="001C5F2E"/>
    <w:rsid w:val="00255D08"/>
    <w:rsid w:val="00287599"/>
    <w:rsid w:val="002928AF"/>
    <w:rsid w:val="00292F5A"/>
    <w:rsid w:val="002A5341"/>
    <w:rsid w:val="002B6083"/>
    <w:rsid w:val="002D45AA"/>
    <w:rsid w:val="003040CF"/>
    <w:rsid w:val="00312172"/>
    <w:rsid w:val="003869E0"/>
    <w:rsid w:val="00391C88"/>
    <w:rsid w:val="003C7BC5"/>
    <w:rsid w:val="003D22E8"/>
    <w:rsid w:val="003D4419"/>
    <w:rsid w:val="003D57ED"/>
    <w:rsid w:val="003E7BE4"/>
    <w:rsid w:val="00445C50"/>
    <w:rsid w:val="00474A66"/>
    <w:rsid w:val="004774C0"/>
    <w:rsid w:val="00485D4B"/>
    <w:rsid w:val="004B0052"/>
    <w:rsid w:val="004E6631"/>
    <w:rsid w:val="00501C3F"/>
    <w:rsid w:val="00514364"/>
    <w:rsid w:val="00522223"/>
    <w:rsid w:val="00526464"/>
    <w:rsid w:val="00532619"/>
    <w:rsid w:val="00534A61"/>
    <w:rsid w:val="005379C6"/>
    <w:rsid w:val="00575B89"/>
    <w:rsid w:val="0058256F"/>
    <w:rsid w:val="005A351D"/>
    <w:rsid w:val="005B210E"/>
    <w:rsid w:val="005C0A37"/>
    <w:rsid w:val="005D1188"/>
    <w:rsid w:val="005D520A"/>
    <w:rsid w:val="005F2B94"/>
    <w:rsid w:val="005F34CA"/>
    <w:rsid w:val="00607447"/>
    <w:rsid w:val="00612770"/>
    <w:rsid w:val="0063201B"/>
    <w:rsid w:val="006364E8"/>
    <w:rsid w:val="00636CFC"/>
    <w:rsid w:val="0065064F"/>
    <w:rsid w:val="0065666C"/>
    <w:rsid w:val="00660D0E"/>
    <w:rsid w:val="00671080"/>
    <w:rsid w:val="00671B17"/>
    <w:rsid w:val="00692DCD"/>
    <w:rsid w:val="00692E1D"/>
    <w:rsid w:val="006E1F9B"/>
    <w:rsid w:val="006F7349"/>
    <w:rsid w:val="00747462"/>
    <w:rsid w:val="0075630F"/>
    <w:rsid w:val="0076746B"/>
    <w:rsid w:val="007873F2"/>
    <w:rsid w:val="007B2AD6"/>
    <w:rsid w:val="00800CEA"/>
    <w:rsid w:val="008053C2"/>
    <w:rsid w:val="008105AC"/>
    <w:rsid w:val="00811345"/>
    <w:rsid w:val="008466E6"/>
    <w:rsid w:val="00871C5F"/>
    <w:rsid w:val="008F070A"/>
    <w:rsid w:val="008F28B5"/>
    <w:rsid w:val="008F7B9D"/>
    <w:rsid w:val="00907BEA"/>
    <w:rsid w:val="00927DDA"/>
    <w:rsid w:val="00933818"/>
    <w:rsid w:val="0094126F"/>
    <w:rsid w:val="00941AE5"/>
    <w:rsid w:val="00944063"/>
    <w:rsid w:val="0095245E"/>
    <w:rsid w:val="00964311"/>
    <w:rsid w:val="0096478C"/>
    <w:rsid w:val="00992E13"/>
    <w:rsid w:val="00996BAD"/>
    <w:rsid w:val="009A2913"/>
    <w:rsid w:val="009D03B9"/>
    <w:rsid w:val="009D66B2"/>
    <w:rsid w:val="009E7E26"/>
    <w:rsid w:val="009F7526"/>
    <w:rsid w:val="00A1037C"/>
    <w:rsid w:val="00A1308A"/>
    <w:rsid w:val="00A31259"/>
    <w:rsid w:val="00A54124"/>
    <w:rsid w:val="00A56C14"/>
    <w:rsid w:val="00A87435"/>
    <w:rsid w:val="00A9021A"/>
    <w:rsid w:val="00AA38E4"/>
    <w:rsid w:val="00AC4B27"/>
    <w:rsid w:val="00AC6146"/>
    <w:rsid w:val="00AF077E"/>
    <w:rsid w:val="00B05B09"/>
    <w:rsid w:val="00B5053A"/>
    <w:rsid w:val="00B526E1"/>
    <w:rsid w:val="00B61C71"/>
    <w:rsid w:val="00B65A0D"/>
    <w:rsid w:val="00B71D0E"/>
    <w:rsid w:val="00B75A61"/>
    <w:rsid w:val="00B8032D"/>
    <w:rsid w:val="00B83830"/>
    <w:rsid w:val="00B87056"/>
    <w:rsid w:val="00BD48AB"/>
    <w:rsid w:val="00BD53F9"/>
    <w:rsid w:val="00BE18F4"/>
    <w:rsid w:val="00BE5A46"/>
    <w:rsid w:val="00C00EB3"/>
    <w:rsid w:val="00C101D7"/>
    <w:rsid w:val="00C135F6"/>
    <w:rsid w:val="00C73F33"/>
    <w:rsid w:val="00C759A0"/>
    <w:rsid w:val="00C81131"/>
    <w:rsid w:val="00CA06AC"/>
    <w:rsid w:val="00CA5510"/>
    <w:rsid w:val="00CB5F7E"/>
    <w:rsid w:val="00CF272C"/>
    <w:rsid w:val="00D1537C"/>
    <w:rsid w:val="00D26EBE"/>
    <w:rsid w:val="00D531AD"/>
    <w:rsid w:val="00D6258B"/>
    <w:rsid w:val="00D713EE"/>
    <w:rsid w:val="00D71C8C"/>
    <w:rsid w:val="00D92175"/>
    <w:rsid w:val="00DB5EF7"/>
    <w:rsid w:val="00DD3754"/>
    <w:rsid w:val="00DD3EE0"/>
    <w:rsid w:val="00DE051D"/>
    <w:rsid w:val="00DE6D02"/>
    <w:rsid w:val="00DF46E6"/>
    <w:rsid w:val="00E057A7"/>
    <w:rsid w:val="00E0624A"/>
    <w:rsid w:val="00E06BEF"/>
    <w:rsid w:val="00E07424"/>
    <w:rsid w:val="00E12300"/>
    <w:rsid w:val="00E262BA"/>
    <w:rsid w:val="00E40562"/>
    <w:rsid w:val="00E8228E"/>
    <w:rsid w:val="00E846FB"/>
    <w:rsid w:val="00E855B0"/>
    <w:rsid w:val="00E903F7"/>
    <w:rsid w:val="00E9185D"/>
    <w:rsid w:val="00EA4A4A"/>
    <w:rsid w:val="00EC1E4D"/>
    <w:rsid w:val="00EE719A"/>
    <w:rsid w:val="00EF03D8"/>
    <w:rsid w:val="00F2086F"/>
    <w:rsid w:val="00F30CC9"/>
    <w:rsid w:val="00F317C9"/>
    <w:rsid w:val="00F35E31"/>
    <w:rsid w:val="00F416CE"/>
    <w:rsid w:val="00F52BCA"/>
    <w:rsid w:val="00F84E1A"/>
    <w:rsid w:val="00F8689D"/>
    <w:rsid w:val="00F87AE1"/>
    <w:rsid w:val="00FB4F9B"/>
    <w:rsid w:val="00FF13D7"/>
    <w:rsid w:val="00FF3DD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5CF06F3"/>
  <w15:docId w15:val="{28B440C0-7D55-47C2-AE8C-CC242246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83"/>
    <w:pPr>
      <w:spacing w:before="240" w:after="240" w:line="240" w:lineRule="auto"/>
    </w:pPr>
    <w:rPr>
      <w:rFonts w:ascii="Arial" w:hAnsi="Arial"/>
    </w:rPr>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B210E"/>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semiHidden/>
    <w:qFormat/>
    <w:rsid w:val="005B210E"/>
    <w:rPr>
      <w:b/>
      <w:bCs/>
      <w:i/>
      <w:iCs/>
      <w:color w:val="auto"/>
    </w:rPr>
  </w:style>
  <w:style w:type="paragraph" w:styleId="IntenseQuote">
    <w:name w:val="Intense Quote"/>
    <w:basedOn w:val="Normal"/>
    <w:next w:val="Normal"/>
    <w:link w:val="IntenseQuoteChar"/>
    <w:uiPriority w:val="30"/>
    <w:semiHidden/>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1297A"/>
    <w:rPr>
      <w:rFonts w:ascii="Arial" w:hAnsi="Arial"/>
      <w:b/>
      <w:bCs/>
      <w:i/>
      <w:iCs/>
    </w:rPr>
  </w:style>
  <w:style w:type="character" w:styleId="SubtleReference">
    <w:name w:val="Subtle Reference"/>
    <w:basedOn w:val="DefaultParagraphFont"/>
    <w:uiPriority w:val="31"/>
    <w:semiHidden/>
    <w:qFormat/>
    <w:rsid w:val="005B210E"/>
    <w:rPr>
      <w:smallCaps/>
      <w:color w:val="auto"/>
      <w:u w:val="single"/>
    </w:rPr>
  </w:style>
  <w:style w:type="character" w:styleId="IntenseReference">
    <w:name w:val="Intense Reference"/>
    <w:basedOn w:val="DefaultParagraphFont"/>
    <w:uiPriority w:val="32"/>
    <w:semiHidden/>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uiPriority w:val="99"/>
    <w:rsid w:val="00F87AE1"/>
    <w:pPr>
      <w:tabs>
        <w:tab w:val="center" w:pos="4680"/>
        <w:tab w:val="right" w:pos="9360"/>
      </w:tabs>
      <w:spacing w:before="0" w:after="0"/>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uiPriority w:val="99"/>
    <w:rsid w:val="00F87AE1"/>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F87AE1"/>
    <w:rPr>
      <w:rFonts w:ascii="Arial" w:hAnsi="Arial"/>
      <w:sz w:val="20"/>
    </w:rPr>
  </w:style>
  <w:style w:type="paragraph" w:styleId="FootnoteText">
    <w:name w:val="footnote text"/>
    <w:basedOn w:val="Normal"/>
    <w:link w:val="FootnoteTextChar"/>
    <w:uiPriority w:val="99"/>
    <w:rsid w:val="00F87AE1"/>
    <w:pPr>
      <w:spacing w:before="0" w:after="0"/>
    </w:pPr>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paragraph" w:styleId="BalloonText">
    <w:name w:val="Balloon Text"/>
    <w:basedOn w:val="Normal"/>
    <w:link w:val="BalloonTextChar"/>
    <w:uiPriority w:val="99"/>
    <w:semiHidden/>
    <w:unhideWhenUsed/>
    <w:rsid w:val="00B05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B09"/>
    <w:rPr>
      <w:rFonts w:ascii="Tahoma" w:hAnsi="Tahoma" w:cs="Tahoma"/>
      <w:sz w:val="16"/>
      <w:szCs w:val="16"/>
    </w:rPr>
  </w:style>
  <w:style w:type="character" w:styleId="CommentReference">
    <w:name w:val="annotation reference"/>
    <w:basedOn w:val="DefaultParagraphFont"/>
    <w:uiPriority w:val="99"/>
    <w:semiHidden/>
    <w:unhideWhenUsed/>
    <w:rsid w:val="00BD53F9"/>
    <w:rPr>
      <w:sz w:val="16"/>
      <w:szCs w:val="16"/>
    </w:rPr>
  </w:style>
  <w:style w:type="paragraph" w:styleId="CommentText">
    <w:name w:val="annotation text"/>
    <w:basedOn w:val="Normal"/>
    <w:link w:val="CommentTextChar"/>
    <w:uiPriority w:val="99"/>
    <w:semiHidden/>
    <w:unhideWhenUsed/>
    <w:rsid w:val="00BD53F9"/>
    <w:rPr>
      <w:sz w:val="20"/>
      <w:szCs w:val="20"/>
    </w:rPr>
  </w:style>
  <w:style w:type="character" w:customStyle="1" w:styleId="CommentTextChar">
    <w:name w:val="Comment Text Char"/>
    <w:basedOn w:val="DefaultParagraphFont"/>
    <w:link w:val="CommentText"/>
    <w:uiPriority w:val="99"/>
    <w:semiHidden/>
    <w:rsid w:val="00BD53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D53F9"/>
    <w:rPr>
      <w:b/>
      <w:bCs/>
    </w:rPr>
  </w:style>
  <w:style w:type="character" w:customStyle="1" w:styleId="CommentSubjectChar">
    <w:name w:val="Comment Subject Char"/>
    <w:basedOn w:val="CommentTextChar"/>
    <w:link w:val="CommentSubject"/>
    <w:uiPriority w:val="99"/>
    <w:semiHidden/>
    <w:rsid w:val="00BD53F9"/>
    <w:rPr>
      <w:rFonts w:ascii="Arial" w:hAnsi="Arial"/>
      <w:b/>
      <w:bCs/>
      <w:sz w:val="20"/>
      <w:szCs w:val="20"/>
    </w:rPr>
  </w:style>
  <w:style w:type="paragraph" w:styleId="Revision">
    <w:name w:val="Revision"/>
    <w:hidden/>
    <w:uiPriority w:val="99"/>
    <w:semiHidden/>
    <w:rsid w:val="00BD53F9"/>
    <w:pPr>
      <w:spacing w:after="0" w:line="240" w:lineRule="auto"/>
    </w:pPr>
    <w:rPr>
      <w:rFonts w:ascii="Arial" w:hAnsi="Arial"/>
    </w:rPr>
  </w:style>
  <w:style w:type="table" w:styleId="TableGrid">
    <w:name w:val="Table Grid"/>
    <w:basedOn w:val="TableNormal"/>
    <w:uiPriority w:val="59"/>
    <w:rsid w:val="0069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0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8C0FF20675471784A2AAD5E665A025"/>
        <w:category>
          <w:name w:val="General"/>
          <w:gallery w:val="placeholder"/>
        </w:category>
        <w:types>
          <w:type w:val="bbPlcHdr"/>
        </w:types>
        <w:behaviors>
          <w:behavior w:val="content"/>
        </w:behaviors>
        <w:guid w:val="{47EC44AF-F886-43F1-9EE8-AE5F5A44295A}"/>
      </w:docPartPr>
      <w:docPartBody>
        <w:p w:rsidR="005F46B5" w:rsidRDefault="00FA33A4" w:rsidP="00FA33A4">
          <w:pPr>
            <w:pStyle w:val="CC8C0FF20675471784A2AAD5E665A02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13"/>
    <w:rsid w:val="003A2D49"/>
    <w:rsid w:val="005F46B5"/>
    <w:rsid w:val="00780D91"/>
    <w:rsid w:val="00A97813"/>
    <w:rsid w:val="00FA33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3A4"/>
    <w:rPr>
      <w:color w:val="808080"/>
    </w:rPr>
  </w:style>
  <w:style w:type="paragraph" w:customStyle="1" w:styleId="2149015CFEAC4437B206E1128C49D89F">
    <w:name w:val="2149015CFEAC4437B206E1128C49D89F"/>
    <w:rsid w:val="00A97813"/>
  </w:style>
  <w:style w:type="paragraph" w:customStyle="1" w:styleId="124C8845A7FB4A17B4A4FB19ADCA455F">
    <w:name w:val="124C8845A7FB4A17B4A4FB19ADCA455F"/>
    <w:rsid w:val="00A97813"/>
  </w:style>
  <w:style w:type="paragraph" w:customStyle="1" w:styleId="CC8C0FF20675471784A2AAD5E665A025">
    <w:name w:val="CC8C0FF20675471784A2AAD5E665A025"/>
    <w:rsid w:val="00FA3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71C5-F0E7-49B5-ADDF-FEAF6624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4528</Words>
  <Characters>25813</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Flux de trésorerie 101</vt:lpstr>
      <vt:lpstr>Flux de trésorerie 101</vt:lpstr>
    </vt:vector>
  </TitlesOfParts>
  <Company>OAG-BVG</Company>
  <LinksUpToDate>false</LinksUpToDate>
  <CharactersWithSpaces>30281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 de trésorerie 101</dc:title>
  <dc:subject>Flux de trésorerie 101</dc:subject>
  <dc:creator>OAG-BVG</dc:creator>
  <cp:lastModifiedBy>Lepage, Roxanne</cp:lastModifiedBy>
  <cp:revision>4</cp:revision>
  <cp:lastPrinted>2018-08-01T18:20:00Z</cp:lastPrinted>
  <dcterms:created xsi:type="dcterms:W3CDTF">2018-09-21T16:07:00Z</dcterms:created>
  <dcterms:modified xsi:type="dcterms:W3CDTF">2020-05-29T19:50:00Z</dcterms:modified>
  <cp:category>Template</cp:category>
  <cp:contentStatus>16135</cp:contentStatus>
</cp:coreProperties>
</file>