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B6" w:rsidRPr="003617C9" w:rsidRDefault="00EA3A0C" w:rsidP="003617C9">
      <w:pPr>
        <w:rPr>
          <w:b/>
          <w:sz w:val="28"/>
          <w:szCs w:val="28"/>
        </w:rPr>
      </w:pPr>
      <w:bookmarkStart w:id="0" w:name="_GoBack"/>
      <w:bookmarkEnd w:id="0"/>
      <w:r w:rsidRPr="003617C9">
        <w:rPr>
          <w:b/>
          <w:sz w:val="28"/>
          <w:szCs w:val="28"/>
        </w:rPr>
        <w:t>Calendrier</w:t>
      </w:r>
      <w:r w:rsidR="00003805" w:rsidRPr="003617C9">
        <w:rPr>
          <w:b/>
          <w:sz w:val="28"/>
          <w:szCs w:val="28"/>
        </w:rPr>
        <w:t xml:space="preserve"> de l’audit</w:t>
      </w:r>
    </w:p>
    <w:p w:rsidR="00B77FB6" w:rsidRPr="003617C9" w:rsidRDefault="00EA3A0C" w:rsidP="003617C9">
      <w:pPr>
        <w:tabs>
          <w:tab w:val="left" w:pos="1800"/>
        </w:tabs>
        <w:spacing w:before="240"/>
        <w:rPr>
          <w:sz w:val="22"/>
          <w:szCs w:val="22"/>
        </w:rPr>
      </w:pPr>
      <w:r w:rsidRPr="003617C9">
        <w:rPr>
          <w:sz w:val="22"/>
          <w:szCs w:val="22"/>
        </w:rPr>
        <w:t>Nom de l</w:t>
      </w:r>
      <w:r w:rsidR="00453103" w:rsidRPr="003617C9">
        <w:rPr>
          <w:sz w:val="22"/>
          <w:szCs w:val="22"/>
        </w:rPr>
        <w:t>’entité</w:t>
      </w:r>
      <w:r w:rsidRPr="003617C9">
        <w:rPr>
          <w:sz w:val="22"/>
          <w:szCs w:val="22"/>
        </w:rPr>
        <w:t>:</w:t>
      </w:r>
      <w:r w:rsidR="003617C9">
        <w:rPr>
          <w:sz w:val="22"/>
          <w:szCs w:val="22"/>
        </w:rPr>
        <w:tab/>
      </w:r>
    </w:p>
    <w:p w:rsidR="00B77FB6" w:rsidRPr="003617C9" w:rsidRDefault="00EA3A0C" w:rsidP="003617C9">
      <w:pPr>
        <w:tabs>
          <w:tab w:val="left" w:pos="1800"/>
        </w:tabs>
        <w:rPr>
          <w:sz w:val="22"/>
          <w:szCs w:val="22"/>
        </w:rPr>
      </w:pPr>
      <w:r w:rsidRPr="003617C9">
        <w:rPr>
          <w:sz w:val="22"/>
          <w:szCs w:val="22"/>
        </w:rPr>
        <w:t>Planifié par:</w:t>
      </w:r>
      <w:r w:rsidR="003617C9">
        <w:rPr>
          <w:sz w:val="22"/>
          <w:szCs w:val="22"/>
        </w:rPr>
        <w:tab/>
      </w:r>
    </w:p>
    <w:p w:rsidR="00B77FB6" w:rsidRPr="003617C9" w:rsidRDefault="00453103" w:rsidP="003617C9">
      <w:pPr>
        <w:tabs>
          <w:tab w:val="left" w:pos="1800"/>
        </w:tabs>
        <w:spacing w:after="120"/>
        <w:rPr>
          <w:sz w:val="22"/>
          <w:szCs w:val="22"/>
        </w:rPr>
      </w:pPr>
      <w:r w:rsidRPr="003617C9">
        <w:rPr>
          <w:sz w:val="22"/>
          <w:szCs w:val="22"/>
        </w:rPr>
        <w:t>Date:</w:t>
      </w:r>
      <w:r w:rsidR="003617C9">
        <w:rPr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243"/>
        <w:gridCol w:w="1700"/>
        <w:gridCol w:w="2887"/>
      </w:tblGrid>
      <w:tr w:rsidR="006B52C6" w:rsidRPr="003617C9" w:rsidTr="003617C9">
        <w:trPr>
          <w:tblHeader/>
        </w:trPr>
        <w:tc>
          <w:tcPr>
            <w:tcW w:w="522" w:type="dxa"/>
            <w:shd w:val="clear" w:color="auto" w:fill="CCCCCC"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  <w:shd w:val="clear" w:color="auto" w:fill="CCCCCC"/>
          </w:tcPr>
          <w:p w:rsidR="00B77FB6" w:rsidRPr="003617C9" w:rsidRDefault="00453103" w:rsidP="003617C9">
            <w:pPr>
              <w:spacing w:before="20" w:after="20"/>
              <w:jc w:val="center"/>
              <w:rPr>
                <w:b/>
              </w:rPr>
            </w:pPr>
            <w:r w:rsidRPr="003617C9">
              <w:rPr>
                <w:b/>
              </w:rPr>
              <w:t>Étape</w:t>
            </w:r>
          </w:p>
        </w:tc>
        <w:tc>
          <w:tcPr>
            <w:tcW w:w="1700" w:type="dxa"/>
            <w:shd w:val="clear" w:color="auto" w:fill="CCCCCC"/>
          </w:tcPr>
          <w:p w:rsidR="00B77FB6" w:rsidRPr="003617C9" w:rsidRDefault="00453103" w:rsidP="003617C9">
            <w:pPr>
              <w:spacing w:before="20" w:after="20"/>
              <w:jc w:val="center"/>
              <w:rPr>
                <w:b/>
              </w:rPr>
            </w:pPr>
            <w:r w:rsidRPr="003617C9">
              <w:rPr>
                <w:b/>
              </w:rPr>
              <w:t>Date</w:t>
            </w:r>
          </w:p>
        </w:tc>
        <w:tc>
          <w:tcPr>
            <w:tcW w:w="2887" w:type="dxa"/>
            <w:shd w:val="clear" w:color="auto" w:fill="CCCCCC"/>
          </w:tcPr>
          <w:p w:rsidR="00B77FB6" w:rsidRPr="003617C9" w:rsidRDefault="00453103" w:rsidP="003617C9">
            <w:pPr>
              <w:spacing w:before="20" w:after="20"/>
              <w:jc w:val="center"/>
              <w:rPr>
                <w:b/>
              </w:rPr>
            </w:pPr>
            <w:r w:rsidRPr="003617C9">
              <w:rPr>
                <w:b/>
              </w:rPr>
              <w:t>Commentaires</w:t>
            </w: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 w:val="restart"/>
            <w:textDirection w:val="btLr"/>
          </w:tcPr>
          <w:p w:rsidR="00C21555" w:rsidRPr="003617C9" w:rsidRDefault="00453103" w:rsidP="003617C9">
            <w:pPr>
              <w:spacing w:before="20" w:after="20"/>
              <w:ind w:left="113" w:right="113"/>
              <w:jc w:val="center"/>
              <w:rPr>
                <w:b/>
              </w:rPr>
            </w:pPr>
            <w:r w:rsidRPr="003617C9">
              <w:rPr>
                <w:b/>
              </w:rPr>
              <w:t>Planification</w:t>
            </w: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Début de l’étape de la planification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rPr>
                <w:color w:val="000000"/>
                <w:sz w:val="22"/>
                <w:szCs w:val="22"/>
              </w:rPr>
              <w:t>Envoi de la lettre de mission et de la lettre sur le secret professionnel de l’avocat</w:t>
            </w:r>
            <w:r w:rsidRPr="003617C9">
              <w:t xml:space="preserve"> 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 xml:space="preserve">Obtention de l’accès aux bureaux de l’entité 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Réunion avec la haute direction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 xml:space="preserve">Contrat attribué à un spécialiste </w:t>
            </w:r>
            <w:r w:rsidR="003617C9" w:rsidRPr="003617C9">
              <w:br/>
            </w:r>
            <w:r w:rsidRPr="003617C9">
              <w:t>(s’il y a lieu)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 xml:space="preserve">Consultation </w:t>
            </w:r>
            <w:r w:rsidR="001D0155" w:rsidRPr="003617C9">
              <w:t>d’un spécialiste en audit</w:t>
            </w:r>
            <w:r w:rsidR="00154938" w:rsidRPr="003617C9">
              <w:t xml:space="preserve"> informatique</w:t>
            </w:r>
            <w:r w:rsidR="001D0155" w:rsidRPr="003617C9">
              <w:t xml:space="preserve"> 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Consultation d</w:t>
            </w:r>
            <w:r w:rsidR="001D0155" w:rsidRPr="003617C9">
              <w:t>’</w:t>
            </w:r>
            <w:r w:rsidRPr="003617C9">
              <w:t>u</w:t>
            </w:r>
            <w:r w:rsidR="001D0155" w:rsidRPr="003617C9">
              <w:t>n</w:t>
            </w:r>
            <w:r w:rsidRPr="003617C9">
              <w:t xml:space="preserve"> </w:t>
            </w:r>
            <w:r w:rsidRPr="003617C9">
              <w:rPr>
                <w:color w:val="000000"/>
              </w:rPr>
              <w:t xml:space="preserve">spécialiste </w:t>
            </w:r>
            <w:r w:rsidR="001D0155" w:rsidRPr="003617C9">
              <w:rPr>
                <w:color w:val="000000"/>
              </w:rPr>
              <w:t xml:space="preserve">de l’assurance </w:t>
            </w:r>
            <w:r w:rsidRPr="003617C9">
              <w:rPr>
                <w:color w:val="000000"/>
              </w:rPr>
              <w:t>des contrôles</w:t>
            </w:r>
            <w:r w:rsidR="00453103" w:rsidRPr="003617C9">
              <w:t xml:space="preserve"> 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 xml:space="preserve">Réunion de </w:t>
            </w:r>
            <w:r w:rsidR="00984548" w:rsidRPr="003617C9">
              <w:t xml:space="preserve">planification de l’équipe </w:t>
            </w:r>
            <w:r w:rsidR="00453103" w:rsidRPr="003617C9">
              <w:t>obligatoire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 xml:space="preserve">Remise de </w:t>
            </w:r>
            <w:r w:rsidRPr="003617C9">
              <w:rPr>
                <w:color w:val="000000"/>
              </w:rPr>
              <w:t>l</w:t>
            </w:r>
            <w:r w:rsidR="00C6778D" w:rsidRPr="003617C9">
              <w:rPr>
                <w:color w:val="000000"/>
              </w:rPr>
              <w:t>’</w:t>
            </w:r>
            <w:r w:rsidRPr="003617C9">
              <w:rPr>
                <w:color w:val="000000"/>
              </w:rPr>
              <w:t xml:space="preserve">ébauche du plan d’audit </w:t>
            </w:r>
            <w:r w:rsidRPr="003617C9">
              <w:t>au r</w:t>
            </w:r>
            <w:r w:rsidRPr="003617C9">
              <w:rPr>
                <w:color w:val="000000"/>
              </w:rPr>
              <w:t>esponsable de la mission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DD69DA">
            <w:pPr>
              <w:spacing w:before="20" w:after="20" w:line="290" w:lineRule="exact"/>
            </w:pPr>
            <w:r w:rsidRPr="003617C9">
              <w:t xml:space="preserve">Remise de </w:t>
            </w:r>
            <w:r w:rsidRPr="003617C9">
              <w:rPr>
                <w:color w:val="000000"/>
              </w:rPr>
              <w:t>l</w:t>
            </w:r>
            <w:r w:rsidR="00C6778D" w:rsidRPr="003617C9">
              <w:rPr>
                <w:color w:val="000000"/>
              </w:rPr>
              <w:t>’</w:t>
            </w:r>
            <w:r w:rsidRPr="003617C9">
              <w:rPr>
                <w:color w:val="000000"/>
              </w:rPr>
              <w:t xml:space="preserve">ébauche du </w:t>
            </w:r>
            <w:r w:rsidRPr="003617C9">
              <w:t>plan d’audit au r</w:t>
            </w:r>
            <w:r w:rsidRPr="003617C9">
              <w:rPr>
                <w:color w:val="000000"/>
              </w:rPr>
              <w:t>esponsable d</w:t>
            </w:r>
            <w:r w:rsidR="00DD69DA">
              <w:rPr>
                <w:color w:val="000000"/>
              </w:rPr>
              <w:t>e la revue de la</w:t>
            </w:r>
            <w:r w:rsidRPr="003617C9">
              <w:rPr>
                <w:color w:val="000000"/>
              </w:rPr>
              <w:t xml:space="preserve"> qualité et au VGA</w:t>
            </w:r>
            <w:r w:rsidRPr="003617C9">
              <w:t xml:space="preserve"> 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Remise de l’ébauche du plan d’audit à la haute direction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Envoi du plan d’audit au comité de vérification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Présentation du plan d’audit au comité de vérification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Planification – Approbation par écrit du responsable de la mission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DD69DA">
            <w:pPr>
              <w:spacing w:before="20" w:after="20" w:line="290" w:lineRule="exact"/>
            </w:pPr>
            <w:r w:rsidRPr="003617C9">
              <w:t xml:space="preserve">Planification </w:t>
            </w:r>
            <w:r w:rsidR="00C6778D" w:rsidRPr="003617C9">
              <w:t>–</w:t>
            </w:r>
            <w:r w:rsidRPr="003617C9">
              <w:t xml:space="preserve"> Approbation par écrit du responsable d</w:t>
            </w:r>
            <w:r w:rsidR="00DD69DA">
              <w:t>e la revue de la</w:t>
            </w:r>
            <w:r w:rsidRPr="003617C9">
              <w:t xml:space="preserve"> qualité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 xml:space="preserve">Planification </w:t>
            </w:r>
            <w:r w:rsidR="00C6778D" w:rsidRPr="003617C9">
              <w:t>–</w:t>
            </w:r>
            <w:r w:rsidRPr="003617C9">
              <w:t xml:space="preserve"> Approbation par écrit du VGA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 w:val="restart"/>
            <w:textDirection w:val="btLr"/>
          </w:tcPr>
          <w:p w:rsidR="00C21555" w:rsidRPr="003617C9" w:rsidRDefault="00453103" w:rsidP="003617C9">
            <w:pPr>
              <w:keepNext/>
              <w:keepLines/>
              <w:spacing w:before="20" w:after="20"/>
              <w:ind w:left="113" w:right="113"/>
              <w:jc w:val="center"/>
              <w:rPr>
                <w:b/>
              </w:rPr>
            </w:pPr>
            <w:r w:rsidRPr="003617C9">
              <w:rPr>
                <w:b/>
              </w:rPr>
              <w:lastRenderedPageBreak/>
              <w:t>Réalisation</w:t>
            </w:r>
          </w:p>
        </w:tc>
        <w:tc>
          <w:tcPr>
            <w:tcW w:w="4243" w:type="dxa"/>
          </w:tcPr>
          <w:p w:rsidR="00C21555" w:rsidRPr="003617C9" w:rsidRDefault="00EA3A0C" w:rsidP="003617C9">
            <w:pPr>
              <w:keepNext/>
              <w:keepLines/>
              <w:spacing w:before="20" w:after="20" w:line="290" w:lineRule="exact"/>
            </w:pPr>
            <w:r w:rsidRPr="003617C9">
              <w:t>Envoi de la liste préliminaire des documents à recevoir de l’entité pendant l’audit intermédiaire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keepNext/>
              <w:keepLines/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keepNext/>
              <w:keepLines/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  <w:textDirection w:val="btLr"/>
          </w:tcPr>
          <w:p w:rsidR="00B77FB6" w:rsidRPr="003617C9" w:rsidRDefault="00B77FB6" w:rsidP="003617C9">
            <w:pPr>
              <w:keepNext/>
              <w:keepLines/>
              <w:spacing w:before="20" w:after="20"/>
              <w:ind w:left="113" w:right="113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keepNext/>
              <w:keepLines/>
              <w:spacing w:before="20" w:after="20" w:line="290" w:lineRule="exact"/>
            </w:pPr>
            <w:r w:rsidRPr="003617C9">
              <w:t>Visite en région (s’il y a lieu)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keepNext/>
              <w:keepLines/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keepNext/>
              <w:keepLines/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keepNext/>
              <w:keepLines/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keepNext/>
              <w:keepLines/>
              <w:spacing w:before="20" w:after="20" w:line="290" w:lineRule="exact"/>
            </w:pPr>
            <w:r w:rsidRPr="003617C9">
              <w:t>Visite générale (s’il y a lieu)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keepNext/>
              <w:keepLines/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keepNext/>
              <w:keepLines/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keepNext/>
              <w:keepLines/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keepNext/>
              <w:keepLines/>
              <w:spacing w:before="20" w:after="20" w:line="290" w:lineRule="exact"/>
            </w:pPr>
            <w:r w:rsidRPr="003617C9">
              <w:t>Début des travaux d’audit intermédiaire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keepNext/>
              <w:keepLines/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keepNext/>
              <w:keepLines/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Fin des travaux d’audit intermédiaire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 xml:space="preserve">Rétrospective </w:t>
            </w:r>
            <w:r w:rsidR="003D424D" w:rsidRPr="003617C9">
              <w:t>sur les</w:t>
            </w:r>
            <w:r w:rsidRPr="003617C9">
              <w:t xml:space="preserve"> travaux d’audit intermédiaire avec les membres de l’équipe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 xml:space="preserve">Rétrospective </w:t>
            </w:r>
            <w:r w:rsidR="003D424D" w:rsidRPr="003617C9">
              <w:t xml:space="preserve">sur les </w:t>
            </w:r>
            <w:r w:rsidRPr="003617C9">
              <w:t>travaux d’audit intermédiaire avec les représentants de l’entité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 xml:space="preserve">Envoi de la liste préliminaire des documents à recevoir de l’entité en vue </w:t>
            </w:r>
            <w:r w:rsidR="00453103" w:rsidRPr="003617C9">
              <w:t>des travaux de fin d’exercice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C21555" w:rsidRPr="003617C9" w:rsidRDefault="00EA3A0C" w:rsidP="00A43DA4">
            <w:pPr>
              <w:spacing w:before="20" w:after="20" w:line="290" w:lineRule="exact"/>
            </w:pPr>
            <w:r w:rsidRPr="003617C9">
              <w:t>Remise des éta</w:t>
            </w:r>
            <w:r w:rsidR="00105388">
              <w:t xml:space="preserve">ts financiers pro forma à </w:t>
            </w:r>
            <w:r w:rsidR="00A43DA4">
              <w:t>l’AMA</w:t>
            </w:r>
            <w:r w:rsidRPr="003617C9">
              <w:t xml:space="preserve"> pour commentaires</w:t>
            </w:r>
            <w:r w:rsidR="00453103" w:rsidRPr="003617C9">
              <w:t xml:space="preserve"> (s’il y a lieu)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rPr>
                <w:color w:val="000000"/>
              </w:rPr>
              <w:t>Fermeture des livres de l</w:t>
            </w:r>
            <w:r w:rsidR="00C6778D" w:rsidRPr="003617C9">
              <w:rPr>
                <w:color w:val="000000"/>
              </w:rPr>
              <w:t>’</w:t>
            </w:r>
            <w:r w:rsidRPr="003617C9">
              <w:rPr>
                <w:color w:val="000000"/>
              </w:rPr>
              <w:t>entité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Décompte d’inventaire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Début des travaux de fin d’exercice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rPr>
                <w:color w:val="000000"/>
              </w:rPr>
              <w:t xml:space="preserve">Envoi des confirmations bancaires et </w:t>
            </w:r>
            <w:r w:rsidR="003D424D" w:rsidRPr="003617C9">
              <w:rPr>
                <w:color w:val="000000"/>
              </w:rPr>
              <w:t xml:space="preserve">aux </w:t>
            </w:r>
            <w:r w:rsidRPr="003617C9">
              <w:rPr>
                <w:color w:val="000000"/>
              </w:rPr>
              <w:t>actuai</w:t>
            </w:r>
            <w:r w:rsidR="003617C9">
              <w:rPr>
                <w:color w:val="000000"/>
              </w:rPr>
              <w:t>r</w:t>
            </w:r>
            <w:r w:rsidRPr="003617C9">
              <w:rPr>
                <w:color w:val="000000"/>
              </w:rPr>
              <w:t>es</w:t>
            </w:r>
            <w:r w:rsidRPr="003617C9">
              <w:t xml:space="preserve">, de créances et autres </w:t>
            </w:r>
            <w:r w:rsidRPr="003617C9">
              <w:rPr>
                <w:color w:val="000000"/>
              </w:rPr>
              <w:t xml:space="preserve">confirmations externes 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  <w:trHeight w:val="1448"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Fixer la date du rapport de l’auditeur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EA3A0C" w:rsidP="003617C9">
            <w:pPr>
              <w:spacing w:before="20" w:after="20"/>
              <w:rPr>
                <w:sz w:val="16"/>
                <w:szCs w:val="16"/>
              </w:rPr>
            </w:pPr>
            <w:r w:rsidRPr="003617C9">
              <w:rPr>
                <w:sz w:val="16"/>
                <w:szCs w:val="16"/>
              </w:rPr>
              <w:t>Note : La date du rapport de l’auditeur ne peut être antérieure à la date à laquelle il a obtenu les éléments probants suffisants et appropriés sur lesquels fonder son opinion sur les états financiers, y compris des éléments probants confirmant que tous les éléments qui composent les états financiers, y compris les notes</w:t>
            </w:r>
            <w:r w:rsidR="003D424D" w:rsidRPr="003617C9">
              <w:rPr>
                <w:sz w:val="16"/>
                <w:szCs w:val="16"/>
              </w:rPr>
              <w:t xml:space="preserve"> et</w:t>
            </w:r>
            <w:r w:rsidRPr="003617C9">
              <w:rPr>
                <w:sz w:val="16"/>
                <w:szCs w:val="16"/>
              </w:rPr>
              <w:t xml:space="preserve"> annexes, ont été préparés et que les personnes habilitées à le faire ont déclaré qu’elles en assumaient la responsabilité.</w:t>
            </w: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Envoi de la lettre au cabinet d’avocat</w:t>
            </w:r>
            <w:r w:rsidR="00453103" w:rsidRPr="003617C9">
              <w:t>s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C21555" w:rsidRPr="003617C9" w:rsidRDefault="00EA3A0C" w:rsidP="003617C9">
            <w:pPr>
              <w:spacing w:before="20" w:after="20"/>
              <w:rPr>
                <w:sz w:val="16"/>
                <w:szCs w:val="16"/>
              </w:rPr>
            </w:pPr>
            <w:r w:rsidRPr="003617C9">
              <w:rPr>
                <w:sz w:val="16"/>
                <w:szCs w:val="16"/>
              </w:rPr>
              <w:t>Note : Normalement, la date de la réponse de l’avocat et la date de la réponse demandée à cette lettre sont le plus proche possible de la date du rapport de l’auditeur,.</w:t>
            </w: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 xml:space="preserve">Envoyer le formulaire de lettre de déclaration de la direction 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C21555" w:rsidRPr="003617C9" w:rsidRDefault="00EA3A0C" w:rsidP="003617C9">
            <w:pPr>
              <w:spacing w:before="20" w:after="20"/>
              <w:rPr>
                <w:sz w:val="16"/>
                <w:szCs w:val="16"/>
              </w:rPr>
            </w:pPr>
            <w:r w:rsidRPr="003617C9">
              <w:rPr>
                <w:sz w:val="16"/>
                <w:szCs w:val="16"/>
              </w:rPr>
              <w:t xml:space="preserve">Note : S’assurer que la date de la lettre de déclaration de la direction est le plus proche possible de la date du rapport de l’auditeur, mais </w:t>
            </w:r>
            <w:r w:rsidRPr="003617C9">
              <w:rPr>
                <w:b/>
                <w:i/>
                <w:sz w:val="16"/>
                <w:szCs w:val="16"/>
              </w:rPr>
              <w:t>sans dépasser</w:t>
            </w:r>
            <w:r w:rsidRPr="003617C9">
              <w:rPr>
                <w:sz w:val="16"/>
                <w:szCs w:val="16"/>
              </w:rPr>
              <w:t xml:space="preserve"> cette date.</w:t>
            </w: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  <w:textDirection w:val="btLr"/>
          </w:tcPr>
          <w:p w:rsidR="00B77FB6" w:rsidRPr="003617C9" w:rsidRDefault="00B77FB6" w:rsidP="003617C9">
            <w:pPr>
              <w:spacing w:before="20" w:after="20"/>
              <w:ind w:left="113" w:right="113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Obtenir la lettre préliminaire ou la lettre finale au cabinet d’avocat</w:t>
            </w:r>
            <w:r w:rsidR="00453103" w:rsidRPr="003617C9">
              <w:t>s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  <w:textDirection w:val="btLr"/>
          </w:tcPr>
          <w:p w:rsidR="00B77FB6" w:rsidRPr="003617C9" w:rsidRDefault="00B77FB6" w:rsidP="003617C9">
            <w:pPr>
              <w:spacing w:before="20" w:after="20"/>
              <w:ind w:left="113" w:right="113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Obtenir une ébauche de lettre de déclaration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  <w:textDirection w:val="btLr"/>
          </w:tcPr>
          <w:p w:rsidR="00B77FB6" w:rsidRPr="003617C9" w:rsidRDefault="00B77FB6" w:rsidP="003617C9">
            <w:pPr>
              <w:spacing w:before="20" w:after="20"/>
              <w:ind w:left="113" w:right="113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C21555" w:rsidRPr="003617C9" w:rsidRDefault="00EA3A0C" w:rsidP="00A43DA4">
            <w:pPr>
              <w:spacing w:before="20" w:after="20" w:line="290" w:lineRule="exact"/>
            </w:pPr>
            <w:r w:rsidRPr="003617C9">
              <w:t>Remettre les état</w:t>
            </w:r>
            <w:r w:rsidR="00105388">
              <w:t>s financiers définitifs à l’</w:t>
            </w:r>
            <w:r w:rsidR="00A43DA4">
              <w:t>AMA</w:t>
            </w:r>
            <w:r w:rsidR="00453103" w:rsidRPr="003617C9">
              <w:t xml:space="preserve"> à des fins de commentaires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  <w:textDirection w:val="btLr"/>
          </w:tcPr>
          <w:p w:rsidR="00B77FB6" w:rsidRPr="003617C9" w:rsidRDefault="00B77FB6" w:rsidP="003617C9">
            <w:pPr>
              <w:spacing w:before="20" w:after="20"/>
              <w:ind w:left="113" w:right="113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Fin des travaux sur place (date d’achèvement à mi-mandat)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  <w:textDirection w:val="btLr"/>
          </w:tcPr>
          <w:p w:rsidR="00B77FB6" w:rsidRPr="003617C9" w:rsidRDefault="00B77FB6" w:rsidP="003617C9">
            <w:pPr>
              <w:spacing w:before="20" w:after="20"/>
              <w:ind w:left="113" w:right="113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Obtenir la lettre définitive de déclaration de la direction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  <w:textDirection w:val="btLr"/>
          </w:tcPr>
          <w:p w:rsidR="00B77FB6" w:rsidRPr="003617C9" w:rsidRDefault="00B77FB6" w:rsidP="003617C9">
            <w:pPr>
              <w:spacing w:before="20" w:after="20"/>
              <w:ind w:left="113" w:right="113"/>
              <w:jc w:val="center"/>
              <w:rPr>
                <w:b/>
              </w:rPr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Obtenir la lettre au cabinet d’avocats révisée, s’il y a lieu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 w:val="restart"/>
            <w:textDirection w:val="btLr"/>
          </w:tcPr>
          <w:p w:rsidR="00B77FB6" w:rsidRPr="003617C9" w:rsidRDefault="00453103" w:rsidP="003617C9">
            <w:pPr>
              <w:spacing w:before="20" w:after="20"/>
              <w:ind w:left="113" w:right="113"/>
              <w:jc w:val="center"/>
              <w:rPr>
                <w:b/>
              </w:rPr>
            </w:pPr>
            <w:r w:rsidRPr="003617C9">
              <w:rPr>
                <w:b/>
              </w:rPr>
              <w:t>Report</w:t>
            </w:r>
          </w:p>
        </w:tc>
        <w:tc>
          <w:tcPr>
            <w:tcW w:w="4243" w:type="dxa"/>
          </w:tcPr>
          <w:p w:rsidR="00C21555" w:rsidRPr="003617C9" w:rsidRDefault="00EA3A0C" w:rsidP="00DD69DA">
            <w:pPr>
              <w:spacing w:before="20" w:after="20" w:line="290" w:lineRule="exact"/>
            </w:pPr>
            <w:r w:rsidRPr="003617C9">
              <w:t xml:space="preserve">Réunion – </w:t>
            </w:r>
            <w:r w:rsidR="00887DFB" w:rsidRPr="003617C9">
              <w:rPr>
                <w:color w:val="000000"/>
              </w:rPr>
              <w:t>gestionnaire d’équipe</w:t>
            </w:r>
            <w:r w:rsidRPr="003617C9">
              <w:t xml:space="preserve">, </w:t>
            </w:r>
            <w:r w:rsidRPr="003617C9">
              <w:rPr>
                <w:color w:val="000000"/>
              </w:rPr>
              <w:t xml:space="preserve">responsable de la mission </w:t>
            </w:r>
            <w:r w:rsidRPr="003617C9">
              <w:t xml:space="preserve">et </w:t>
            </w:r>
            <w:r w:rsidRPr="003617C9">
              <w:rPr>
                <w:color w:val="000000"/>
              </w:rPr>
              <w:t>responsable d</w:t>
            </w:r>
            <w:r w:rsidR="00DD69DA">
              <w:rPr>
                <w:color w:val="000000"/>
              </w:rPr>
              <w:t>e la revue de la</w:t>
            </w:r>
            <w:r w:rsidRPr="003617C9">
              <w:rPr>
                <w:color w:val="000000"/>
              </w:rPr>
              <w:t xml:space="preserve"> qualité</w:t>
            </w:r>
            <w:r w:rsidRPr="003617C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3617C9">
              <w:t>(approbation</w:t>
            </w:r>
            <w:r w:rsidR="00453103" w:rsidRPr="003617C9">
              <w:t>)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  <w:textDirection w:val="btLr"/>
          </w:tcPr>
          <w:p w:rsidR="00B77FB6" w:rsidRPr="003617C9" w:rsidRDefault="00B77FB6" w:rsidP="003617C9">
            <w:pPr>
              <w:spacing w:before="20" w:after="20"/>
              <w:ind w:left="113" w:right="113"/>
              <w:rPr>
                <w:b/>
              </w:rPr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Réunion avec le VGA (approbation par écrit)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rPr>
                <w:color w:val="000000"/>
              </w:rPr>
              <w:t>Envoi des documents</w:t>
            </w:r>
            <w:r w:rsidRPr="003617C9">
              <w:t xml:space="preserve"> aux signataires des états financiers avant la réunion 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Réunion avec le signataire des états financiers pour approbation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Envoi du rapport de l’auditeur à l’imprimerie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Rédiger la lettre de recommandations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 xml:space="preserve">Remise de l’ébauche du </w:t>
            </w:r>
            <w:r w:rsidR="003D424D" w:rsidRPr="003617C9">
              <w:t xml:space="preserve">« Rapport au Comité de vérification </w:t>
            </w:r>
            <w:r w:rsidR="003617C9" w:rsidRPr="003617C9">
              <w:t>–</w:t>
            </w:r>
            <w:r w:rsidR="003D424D" w:rsidRPr="003617C9">
              <w:t xml:space="preserve"> Résultats de l’audit annuel »</w:t>
            </w:r>
            <w:r w:rsidRPr="003617C9">
              <w:rPr>
                <w:color w:val="000000"/>
              </w:rPr>
              <w:t xml:space="preserve"> au responsable de la mission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C21555" w:rsidRPr="003617C9" w:rsidRDefault="00EA3A0C" w:rsidP="00FE30B7">
            <w:pPr>
              <w:spacing w:before="20" w:after="20" w:line="290" w:lineRule="exact"/>
            </w:pPr>
            <w:r w:rsidRPr="003617C9">
              <w:t xml:space="preserve">Remise de l’ébauche du </w:t>
            </w:r>
            <w:r w:rsidR="003D424D" w:rsidRPr="003617C9">
              <w:t xml:space="preserve">« Rapport au Comité de vérification </w:t>
            </w:r>
            <w:r w:rsidR="003617C9" w:rsidRPr="003617C9">
              <w:t>–</w:t>
            </w:r>
            <w:r w:rsidR="003D424D" w:rsidRPr="003617C9">
              <w:t xml:space="preserve"> Résultats de l’audit annuel »</w:t>
            </w:r>
            <w:r w:rsidRPr="003617C9">
              <w:rPr>
                <w:color w:val="000000"/>
              </w:rPr>
              <w:t xml:space="preserve"> au responsable </w:t>
            </w:r>
            <w:r w:rsidR="00FE30B7">
              <w:rPr>
                <w:color w:val="000000"/>
              </w:rPr>
              <w:t>de la revue de la</w:t>
            </w:r>
            <w:r w:rsidRPr="003617C9">
              <w:rPr>
                <w:color w:val="000000"/>
              </w:rPr>
              <w:t xml:space="preserve"> qualité</w:t>
            </w:r>
            <w:r w:rsidRPr="003617C9">
              <w:t xml:space="preserve"> et au VGA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3905DC" w:rsidRPr="003617C9" w:rsidTr="003617C9">
        <w:trPr>
          <w:cantSplit/>
        </w:trPr>
        <w:tc>
          <w:tcPr>
            <w:tcW w:w="522" w:type="dxa"/>
            <w:vMerge/>
          </w:tcPr>
          <w:p w:rsidR="003905DC" w:rsidRPr="003617C9" w:rsidRDefault="003905DC" w:rsidP="003617C9">
            <w:pPr>
              <w:spacing w:before="20" w:after="20"/>
            </w:pPr>
          </w:p>
        </w:tc>
        <w:tc>
          <w:tcPr>
            <w:tcW w:w="4243" w:type="dxa"/>
          </w:tcPr>
          <w:p w:rsidR="003905DC" w:rsidRPr="003617C9" w:rsidRDefault="00EA3A0C" w:rsidP="003617C9">
            <w:pPr>
              <w:spacing w:before="20" w:after="20" w:line="290" w:lineRule="exact"/>
            </w:pPr>
            <w:r w:rsidRPr="003617C9">
              <w:t>Remise de l’ébauche d</w:t>
            </w:r>
            <w:r w:rsidR="003D424D" w:rsidRPr="003617C9">
              <w:t>u</w:t>
            </w:r>
            <w:r w:rsidRPr="003617C9">
              <w:t xml:space="preserve"> </w:t>
            </w:r>
            <w:r w:rsidR="003D424D" w:rsidRPr="003617C9">
              <w:t xml:space="preserve"> « Rapport au Comité de vérification </w:t>
            </w:r>
            <w:r w:rsidR="003617C9" w:rsidRPr="003617C9">
              <w:t>–</w:t>
            </w:r>
            <w:r w:rsidR="003D424D" w:rsidRPr="003617C9">
              <w:t xml:space="preserve"> Résultats de l’audit annuel »</w:t>
            </w:r>
            <w:r w:rsidRPr="003617C9">
              <w:rPr>
                <w:color w:val="000000"/>
              </w:rPr>
              <w:t xml:space="preserve"> à la haute direction</w:t>
            </w:r>
          </w:p>
        </w:tc>
        <w:tc>
          <w:tcPr>
            <w:tcW w:w="1700" w:type="dxa"/>
          </w:tcPr>
          <w:p w:rsidR="003905DC" w:rsidRPr="003617C9" w:rsidRDefault="003905DC" w:rsidP="003617C9">
            <w:pPr>
              <w:spacing w:before="20" w:after="20"/>
            </w:pPr>
          </w:p>
        </w:tc>
        <w:tc>
          <w:tcPr>
            <w:tcW w:w="2887" w:type="dxa"/>
          </w:tcPr>
          <w:p w:rsidR="003905DC" w:rsidRPr="003617C9" w:rsidRDefault="003905DC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 xml:space="preserve">Envoi du </w:t>
            </w:r>
            <w:r w:rsidR="003D424D" w:rsidRPr="003617C9">
              <w:t>« Rapport au Comité de vérification — Résultats de l’audit annuel »</w:t>
            </w:r>
            <w:r w:rsidRPr="003617C9">
              <w:t>au comité de vérification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>Réunion avec le président du comité de vérification de l’entité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C21555" w:rsidRPr="003617C9" w:rsidRDefault="00EA3A0C" w:rsidP="003617C9">
            <w:pPr>
              <w:spacing w:before="20" w:after="20" w:line="290" w:lineRule="exact"/>
            </w:pPr>
            <w:r w:rsidRPr="003617C9">
              <w:t xml:space="preserve">Présentation du </w:t>
            </w:r>
            <w:r w:rsidR="003D424D" w:rsidRPr="003617C9">
              <w:t>« Rap</w:t>
            </w:r>
            <w:r w:rsidR="003617C9" w:rsidRPr="003617C9">
              <w:t>port au Comité de vérification –</w:t>
            </w:r>
            <w:r w:rsidR="003D424D" w:rsidRPr="003617C9">
              <w:t xml:space="preserve"> Résultats de l’audit annuel »</w:t>
            </w:r>
            <w:r w:rsidRPr="003617C9">
              <w:t xml:space="preserve"> au comité de vérification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6B52C6" w:rsidRPr="003617C9" w:rsidTr="003617C9">
        <w:trPr>
          <w:cantSplit/>
        </w:trPr>
        <w:tc>
          <w:tcPr>
            <w:tcW w:w="522" w:type="dxa"/>
            <w:vMerge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4243" w:type="dxa"/>
          </w:tcPr>
          <w:p w:rsidR="00B77FB6" w:rsidRPr="003617C9" w:rsidRDefault="00EA3A0C" w:rsidP="003617C9">
            <w:pPr>
              <w:spacing w:before="20" w:after="20" w:line="290" w:lineRule="exact"/>
            </w:pPr>
            <w:r w:rsidRPr="003617C9">
              <w:t>Rétrospective de l’audit avec l’équipe</w:t>
            </w:r>
          </w:p>
        </w:tc>
        <w:tc>
          <w:tcPr>
            <w:tcW w:w="1700" w:type="dxa"/>
          </w:tcPr>
          <w:p w:rsidR="00B77FB6" w:rsidRPr="003617C9" w:rsidRDefault="00B77FB6" w:rsidP="003617C9">
            <w:pPr>
              <w:spacing w:before="20" w:after="20"/>
            </w:pPr>
          </w:p>
        </w:tc>
        <w:tc>
          <w:tcPr>
            <w:tcW w:w="2887" w:type="dxa"/>
          </w:tcPr>
          <w:p w:rsidR="00B77FB6" w:rsidRPr="003617C9" w:rsidRDefault="00B77FB6" w:rsidP="003617C9">
            <w:pPr>
              <w:spacing w:before="20" w:after="20"/>
            </w:pPr>
          </w:p>
        </w:tc>
      </w:tr>
      <w:tr w:rsidR="003617C9" w:rsidRPr="003617C9" w:rsidTr="003617C9">
        <w:trPr>
          <w:cantSplit/>
          <w:trHeight w:val="642"/>
        </w:trPr>
        <w:tc>
          <w:tcPr>
            <w:tcW w:w="522" w:type="dxa"/>
            <w:vMerge/>
          </w:tcPr>
          <w:p w:rsidR="003617C9" w:rsidRPr="003617C9" w:rsidRDefault="003617C9" w:rsidP="003617C9">
            <w:pPr>
              <w:spacing w:before="20" w:after="20"/>
            </w:pPr>
          </w:p>
        </w:tc>
        <w:tc>
          <w:tcPr>
            <w:tcW w:w="4243" w:type="dxa"/>
          </w:tcPr>
          <w:p w:rsidR="003617C9" w:rsidRPr="003617C9" w:rsidRDefault="003617C9" w:rsidP="003617C9">
            <w:pPr>
              <w:spacing w:before="20" w:after="20" w:line="290" w:lineRule="exact"/>
            </w:pPr>
            <w:r w:rsidRPr="003617C9">
              <w:t>Rétrospective de l’audit avec les représentants de l’entité</w:t>
            </w:r>
          </w:p>
        </w:tc>
        <w:tc>
          <w:tcPr>
            <w:tcW w:w="1700" w:type="dxa"/>
          </w:tcPr>
          <w:p w:rsidR="003617C9" w:rsidRPr="003617C9" w:rsidRDefault="003617C9" w:rsidP="003617C9">
            <w:pPr>
              <w:spacing w:before="20" w:after="20"/>
            </w:pPr>
          </w:p>
        </w:tc>
        <w:tc>
          <w:tcPr>
            <w:tcW w:w="2887" w:type="dxa"/>
          </w:tcPr>
          <w:p w:rsidR="003617C9" w:rsidRPr="003617C9" w:rsidRDefault="003617C9" w:rsidP="003617C9">
            <w:pPr>
              <w:spacing w:before="20" w:after="20"/>
            </w:pPr>
          </w:p>
        </w:tc>
      </w:tr>
    </w:tbl>
    <w:p w:rsidR="00B77FB6" w:rsidRPr="003617C9" w:rsidRDefault="00B77FB6" w:rsidP="00B77FB6"/>
    <w:sectPr w:rsidR="00B77FB6" w:rsidRPr="003617C9" w:rsidSect="003617C9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2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86" w:rsidRDefault="00A91286" w:rsidP="006B52C6">
      <w:r>
        <w:separator/>
      </w:r>
    </w:p>
  </w:endnote>
  <w:endnote w:type="continuationSeparator" w:id="0">
    <w:p w:rsidR="00A91286" w:rsidRDefault="00A91286" w:rsidP="006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9352"/>
    </w:tblGrid>
    <w:tr w:rsidR="003617C9" w:rsidTr="003617C9">
      <w:tc>
        <w:tcPr>
          <w:tcW w:w="9355" w:type="dxa"/>
        </w:tcPr>
        <w:p w:rsidR="003617C9" w:rsidRDefault="003617C9" w:rsidP="003617C9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  <w:r w:rsidRPr="00EA3A0C">
            <w:rPr>
              <w:rFonts w:ascii="Arial" w:hAnsi="Arial" w:cs="Arial"/>
              <w:i/>
              <w:sz w:val="16"/>
              <w:szCs w:val="16"/>
            </w:rPr>
            <w:t xml:space="preserve">Séquence recommandée des événements – les </w:t>
          </w:r>
          <w:r>
            <w:rPr>
              <w:rFonts w:ascii="Arial" w:hAnsi="Arial" w:cs="Arial"/>
              <w:i/>
              <w:sz w:val="16"/>
              <w:szCs w:val="16"/>
            </w:rPr>
            <w:t>é</w:t>
          </w:r>
          <w:r w:rsidRPr="00EA3A0C">
            <w:rPr>
              <w:rFonts w:ascii="Arial" w:hAnsi="Arial" w:cs="Arial"/>
              <w:i/>
              <w:sz w:val="16"/>
              <w:szCs w:val="16"/>
            </w:rPr>
            <w:t>quip</w:t>
          </w:r>
          <w:r>
            <w:rPr>
              <w:rFonts w:ascii="Arial" w:hAnsi="Arial" w:cs="Arial"/>
              <w:i/>
              <w:sz w:val="16"/>
              <w:szCs w:val="16"/>
            </w:rPr>
            <w:t>e</w:t>
          </w:r>
          <w:r w:rsidRPr="00EA3A0C">
            <w:rPr>
              <w:rFonts w:ascii="Arial" w:hAnsi="Arial" w:cs="Arial"/>
              <w:i/>
              <w:sz w:val="16"/>
              <w:szCs w:val="16"/>
            </w:rPr>
            <w:t>s peuvent modifier cette s</w:t>
          </w:r>
          <w:r>
            <w:rPr>
              <w:rFonts w:ascii="Arial" w:hAnsi="Arial" w:cs="Arial"/>
              <w:i/>
              <w:sz w:val="16"/>
              <w:szCs w:val="16"/>
            </w:rPr>
            <w:t>é</w:t>
          </w:r>
          <w:r w:rsidRPr="00EA3A0C">
            <w:rPr>
              <w:rFonts w:ascii="Arial" w:hAnsi="Arial" w:cs="Arial"/>
              <w:i/>
              <w:sz w:val="16"/>
              <w:szCs w:val="16"/>
            </w:rPr>
            <w:t>quence selon les besoins</w:t>
          </w:r>
          <w:r>
            <w:rPr>
              <w:rFonts w:ascii="Arial" w:hAnsi="Arial" w:cs="Arial"/>
              <w:i/>
              <w:sz w:val="16"/>
              <w:szCs w:val="16"/>
            </w:rPr>
            <w:t>.</w:t>
          </w:r>
        </w:p>
      </w:tc>
    </w:tr>
  </w:tbl>
  <w:p w:rsidR="006219ED" w:rsidRPr="009D5DCF" w:rsidRDefault="009D5DCF" w:rsidP="003617C9">
    <w:pPr>
      <w:pStyle w:val="Footer"/>
      <w:spacing w:before="120"/>
      <w:jc w:val="right"/>
      <w:rPr>
        <w:rFonts w:ascii="Arial" w:hAnsi="Arial" w:cs="Arial"/>
        <w:sz w:val="20"/>
        <w:szCs w:val="20"/>
        <w:lang w:val="en-CA"/>
      </w:rPr>
    </w:pPr>
    <w:r w:rsidRPr="009D5DCF">
      <w:rPr>
        <w:rFonts w:ascii="Arial" w:hAnsi="Arial" w:cs="Arial"/>
        <w:sz w:val="20"/>
        <w:szCs w:val="20"/>
        <w:lang w:val="en-CA"/>
      </w:rPr>
      <w:fldChar w:fldCharType="begin"/>
    </w:r>
    <w:r w:rsidRPr="009D5DCF">
      <w:rPr>
        <w:rFonts w:ascii="Arial" w:hAnsi="Arial" w:cs="Arial"/>
        <w:sz w:val="20"/>
        <w:szCs w:val="20"/>
        <w:lang w:val="en-CA"/>
      </w:rPr>
      <w:instrText xml:space="preserve"> PAGE   \* MERGEFORMAT </w:instrText>
    </w:r>
    <w:r w:rsidRPr="009D5DCF">
      <w:rPr>
        <w:rFonts w:ascii="Arial" w:hAnsi="Arial" w:cs="Arial"/>
        <w:sz w:val="20"/>
        <w:szCs w:val="20"/>
        <w:lang w:val="en-CA"/>
      </w:rPr>
      <w:fldChar w:fldCharType="separate"/>
    </w:r>
    <w:r w:rsidR="00642BEA">
      <w:rPr>
        <w:rFonts w:ascii="Arial" w:hAnsi="Arial" w:cs="Arial"/>
        <w:noProof/>
        <w:sz w:val="20"/>
        <w:szCs w:val="20"/>
        <w:lang w:val="en-CA"/>
      </w:rPr>
      <w:t>2</w:t>
    </w:r>
    <w:r w:rsidRPr="009D5DCF">
      <w:rPr>
        <w:rFonts w:ascii="Arial" w:hAnsi="Arial" w:cs="Arial"/>
        <w:noProof/>
        <w:sz w:val="20"/>
        <w:szCs w:val="20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55" w:rsidRPr="00CE445E" w:rsidRDefault="00150600" w:rsidP="003617C9">
    <w:pPr>
      <w:pStyle w:val="Footer"/>
      <w:tabs>
        <w:tab w:val="clear" w:pos="4320"/>
      </w:tabs>
      <w:rPr>
        <w:rFonts w:ascii="Arial" w:hAnsi="Arial" w:cs="Arial"/>
        <w:noProof/>
        <w:sz w:val="16"/>
        <w:szCs w:val="16"/>
      </w:rPr>
    </w:pPr>
    <w:r w:rsidRPr="00CE445E">
      <w:rPr>
        <w:rFonts w:ascii="Arial" w:hAnsi="Arial" w:cs="Arial"/>
        <w:noProof/>
        <w:sz w:val="16"/>
        <w:szCs w:val="16"/>
      </w:rPr>
      <w:t>sept.-2014</w:t>
    </w:r>
  </w:p>
  <w:p w:rsidR="003617C9" w:rsidRPr="00CE445E" w:rsidRDefault="00CE445E" w:rsidP="003617C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CE445E">
      <w:rPr>
        <w:rFonts w:ascii="Arial" w:hAnsi="Arial" w:cs="Arial"/>
        <w:noProof/>
        <w:sz w:val="16"/>
        <w:szCs w:val="16"/>
      </w:rPr>
      <w:t>Propriétaire du modèle : Services d’audit</w:t>
    </w:r>
    <w:r w:rsidR="003617C9" w:rsidRPr="00CE445E">
      <w:rPr>
        <w:rFonts w:ascii="Arial" w:hAnsi="Arial" w:cs="Arial"/>
        <w:noProof/>
        <w:sz w:val="20"/>
        <w:szCs w:val="20"/>
      </w:rPr>
      <w:tab/>
    </w:r>
    <w:r w:rsidR="003617C9" w:rsidRPr="009D5DCF">
      <w:rPr>
        <w:rFonts w:ascii="Arial" w:hAnsi="Arial" w:cs="Arial"/>
        <w:sz w:val="20"/>
        <w:szCs w:val="20"/>
        <w:lang w:val="en-CA"/>
      </w:rPr>
      <w:fldChar w:fldCharType="begin"/>
    </w:r>
    <w:r w:rsidR="003617C9" w:rsidRPr="00CE445E">
      <w:rPr>
        <w:rFonts w:ascii="Arial" w:hAnsi="Arial" w:cs="Arial"/>
        <w:sz w:val="20"/>
        <w:szCs w:val="20"/>
      </w:rPr>
      <w:instrText xml:space="preserve"> PAGE   \* MERGEFORMAT </w:instrText>
    </w:r>
    <w:r w:rsidR="003617C9" w:rsidRPr="009D5DCF">
      <w:rPr>
        <w:rFonts w:ascii="Arial" w:hAnsi="Arial" w:cs="Arial"/>
        <w:sz w:val="20"/>
        <w:szCs w:val="20"/>
        <w:lang w:val="en-CA"/>
      </w:rPr>
      <w:fldChar w:fldCharType="separate"/>
    </w:r>
    <w:r w:rsidR="00642BEA">
      <w:rPr>
        <w:rFonts w:ascii="Arial" w:hAnsi="Arial" w:cs="Arial"/>
        <w:noProof/>
        <w:sz w:val="20"/>
        <w:szCs w:val="20"/>
      </w:rPr>
      <w:t>1</w:t>
    </w:r>
    <w:r w:rsidR="003617C9" w:rsidRPr="009D5DCF">
      <w:rPr>
        <w:rFonts w:ascii="Arial" w:hAnsi="Arial" w:cs="Arial"/>
        <w:noProof/>
        <w:sz w:val="20"/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86" w:rsidRDefault="00A91286" w:rsidP="006B52C6">
      <w:r>
        <w:separator/>
      </w:r>
    </w:p>
  </w:footnote>
  <w:footnote w:type="continuationSeparator" w:id="0">
    <w:p w:rsidR="00A91286" w:rsidRDefault="00A91286" w:rsidP="006B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26" w:rsidRPr="000C1F26" w:rsidRDefault="000C1F26" w:rsidP="001C1929">
    <w:pPr>
      <w:tabs>
        <w:tab w:val="center" w:pos="4513"/>
        <w:tab w:val="right" w:pos="9026"/>
      </w:tabs>
      <w:rPr>
        <w:rFonts w:ascii="Arial" w:eastAsia="Arial Unicode MS" w:hAnsi="Arial" w:cs="Arial Unicode MS"/>
        <w:sz w:val="22"/>
        <w:lang w:val="en-GB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26" w:rsidRPr="001C1929" w:rsidRDefault="00642BEA" w:rsidP="001C1929">
    <w:pPr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D113F0354D604DF0877A57D936BA1115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1C1929" w:rsidRPr="001C1929">
          <w:rPr>
            <w:rFonts w:ascii="Arial" w:hAnsi="Arial" w:cs="Arial"/>
            <w:b/>
            <w:sz w:val="22"/>
            <w:szCs w:val="22"/>
          </w:rPr>
          <w:t>PROTÉGÉ A (lorsque rempli)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C6"/>
    <w:rsid w:val="00003805"/>
    <w:rsid w:val="000C1F26"/>
    <w:rsid w:val="000D21C2"/>
    <w:rsid w:val="00105388"/>
    <w:rsid w:val="00150600"/>
    <w:rsid w:val="00154938"/>
    <w:rsid w:val="001C1929"/>
    <w:rsid w:val="001D0155"/>
    <w:rsid w:val="001E52A6"/>
    <w:rsid w:val="002C1AEC"/>
    <w:rsid w:val="002F62BA"/>
    <w:rsid w:val="003617C9"/>
    <w:rsid w:val="003905DC"/>
    <w:rsid w:val="003A1649"/>
    <w:rsid w:val="003C1BF5"/>
    <w:rsid w:val="003D424D"/>
    <w:rsid w:val="00425426"/>
    <w:rsid w:val="004476D7"/>
    <w:rsid w:val="00453103"/>
    <w:rsid w:val="004F0DBD"/>
    <w:rsid w:val="0052516E"/>
    <w:rsid w:val="005447CE"/>
    <w:rsid w:val="00547A16"/>
    <w:rsid w:val="00603919"/>
    <w:rsid w:val="006219ED"/>
    <w:rsid w:val="00642BEA"/>
    <w:rsid w:val="006B52C6"/>
    <w:rsid w:val="006D5088"/>
    <w:rsid w:val="00707841"/>
    <w:rsid w:val="0071389E"/>
    <w:rsid w:val="00733441"/>
    <w:rsid w:val="00743A07"/>
    <w:rsid w:val="00773B58"/>
    <w:rsid w:val="007E192D"/>
    <w:rsid w:val="007E26A4"/>
    <w:rsid w:val="00882C56"/>
    <w:rsid w:val="00887DFB"/>
    <w:rsid w:val="00984548"/>
    <w:rsid w:val="009D5DCF"/>
    <w:rsid w:val="00A43DA4"/>
    <w:rsid w:val="00A4679E"/>
    <w:rsid w:val="00A91286"/>
    <w:rsid w:val="00B20694"/>
    <w:rsid w:val="00B47321"/>
    <w:rsid w:val="00B54D96"/>
    <w:rsid w:val="00B77FB6"/>
    <w:rsid w:val="00BB4658"/>
    <w:rsid w:val="00C21555"/>
    <w:rsid w:val="00C6778D"/>
    <w:rsid w:val="00CE445E"/>
    <w:rsid w:val="00D22234"/>
    <w:rsid w:val="00DD69DA"/>
    <w:rsid w:val="00EA3A0C"/>
    <w:rsid w:val="00F12E99"/>
    <w:rsid w:val="00F51711"/>
    <w:rsid w:val="00F753A1"/>
    <w:rsid w:val="00FA3D4A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D65B838-6A46-416E-981C-938D6767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2A7"/>
    <w:rPr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5C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835C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2DF"/>
    <w:rPr>
      <w:sz w:val="24"/>
      <w:szCs w:val="24"/>
      <w:lang w:val="fr-CA" w:eastAsia="fr-CA"/>
    </w:rPr>
  </w:style>
  <w:style w:type="paragraph" w:styleId="BalloonText">
    <w:name w:val="Balloon Text"/>
    <w:basedOn w:val="Normal"/>
    <w:link w:val="BalloonTextChar"/>
    <w:rsid w:val="007B2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C24"/>
    <w:rPr>
      <w:rFonts w:ascii="Tahoma" w:hAnsi="Tahoma" w:cs="Tahoma"/>
      <w:sz w:val="16"/>
      <w:szCs w:val="16"/>
      <w:lang w:val="fr-CA" w:eastAsia="fr-CA"/>
    </w:rPr>
  </w:style>
  <w:style w:type="character" w:styleId="CommentReference">
    <w:name w:val="annotation reference"/>
    <w:basedOn w:val="DefaultParagraphFont"/>
    <w:rsid w:val="00887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DFB"/>
    <w:rPr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rsid w:val="00887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7DFB"/>
    <w:rPr>
      <w:b/>
      <w:bCs/>
      <w:lang w:val="fr-CA" w:eastAsia="fr-CA"/>
    </w:rPr>
  </w:style>
  <w:style w:type="table" w:styleId="TableGrid">
    <w:name w:val="Table Grid"/>
    <w:basedOn w:val="TableNormal"/>
    <w:rsid w:val="0036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13F0354D604DF0877A57D936BA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F642D-8A63-41A3-80A9-95A6F587DD2C}"/>
      </w:docPartPr>
      <w:docPartBody>
        <w:p w:rsidR="00FB4FBC" w:rsidRDefault="004A62AC" w:rsidP="004A62AC">
          <w:pPr>
            <w:pStyle w:val="D113F0354D604DF0877A57D936BA1115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5E"/>
    <w:rsid w:val="002F5420"/>
    <w:rsid w:val="004A62AC"/>
    <w:rsid w:val="00B1615E"/>
    <w:rsid w:val="00FB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2AC"/>
    <w:rPr>
      <w:color w:val="808080"/>
    </w:rPr>
  </w:style>
  <w:style w:type="paragraph" w:customStyle="1" w:styleId="252BC7EFFAE84DB285D063FEA6F169DD">
    <w:name w:val="252BC7EFFAE84DB285D063FEA6F169DD"/>
    <w:rsid w:val="00B1615E"/>
  </w:style>
  <w:style w:type="paragraph" w:customStyle="1" w:styleId="432F1F9531C04E5D90568EFA4D8A395A">
    <w:name w:val="432F1F9531C04E5D90568EFA4D8A395A"/>
    <w:rsid w:val="00B1615E"/>
  </w:style>
  <w:style w:type="paragraph" w:customStyle="1" w:styleId="955C5B5FC59048CFBCA10F3F4E2A44CC">
    <w:name w:val="955C5B5FC59048CFBCA10F3F4E2A44CC"/>
    <w:rsid w:val="00B1615E"/>
  </w:style>
  <w:style w:type="paragraph" w:customStyle="1" w:styleId="D113F0354D604DF0877A57D936BA1115">
    <w:name w:val="D113F0354D604DF0877A57D936BA1115"/>
    <w:rsid w:val="004A6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C98DC-8C26-4ACB-89F6-067BBAFF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Calendrier de l’audit</vt:lpstr>
      <vt:lpstr>Calendrier de vérification</vt:lpstr>
    </vt:vector>
  </TitlesOfParts>
  <Company>OAG-BVG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 l’audit</dc:title>
  <dc:subject>Calendrier de l’audit</dc:subject>
  <dc:creator>OAG-BVG</dc:creator>
  <cp:lastModifiedBy>Martin, Anne-Marie</cp:lastModifiedBy>
  <cp:revision>3</cp:revision>
  <cp:lastPrinted>2012-05-03T20:09:00Z</cp:lastPrinted>
  <dcterms:created xsi:type="dcterms:W3CDTF">2023-05-26T16:54:00Z</dcterms:created>
  <dcterms:modified xsi:type="dcterms:W3CDTF">2023-05-26T16:56:00Z</dcterms:modified>
  <cp:category>Tamplates</cp:category>
  <cp:contentStatus>15611</cp:contentStatus>
</cp:coreProperties>
</file>