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03D" w:rsidRPr="00692D3D" w:rsidRDefault="00DB1C73" w:rsidP="00A93805">
      <w:pPr>
        <w:pStyle w:val="Header"/>
        <w:spacing w:before="120" w:after="240"/>
        <w:rPr>
          <w:b/>
          <w:sz w:val="32"/>
          <w:lang w:val="fr-CA"/>
        </w:rPr>
      </w:pPr>
      <w:r>
        <w:rPr>
          <w:b/>
          <w:sz w:val="32"/>
          <w:lang w:val="fr-CA"/>
        </w:rPr>
        <w:t>MODÈLE D’</w:t>
      </w:r>
      <w:r w:rsidR="00692D3D" w:rsidRPr="00692D3D">
        <w:rPr>
          <w:b/>
          <w:sz w:val="32"/>
          <w:lang w:val="fr-CA"/>
        </w:rPr>
        <w:t>ÉVALUATION D</w:t>
      </w:r>
      <w:r w:rsidR="005F64A5">
        <w:rPr>
          <w:b/>
          <w:sz w:val="32"/>
          <w:lang w:val="fr-CA"/>
        </w:rPr>
        <w:t>ES</w:t>
      </w:r>
      <w:r w:rsidR="00692D3D" w:rsidRPr="00692D3D">
        <w:rPr>
          <w:b/>
          <w:sz w:val="32"/>
          <w:lang w:val="fr-CA"/>
        </w:rPr>
        <w:t xml:space="preserve"> RISQUE</w:t>
      </w:r>
      <w:r w:rsidR="005F64A5">
        <w:rPr>
          <w:b/>
          <w:sz w:val="32"/>
          <w:lang w:val="fr-CA"/>
        </w:rPr>
        <w:t>S</w:t>
      </w:r>
      <w:r w:rsidR="00692D3D" w:rsidRPr="00692D3D">
        <w:rPr>
          <w:b/>
          <w:sz w:val="32"/>
          <w:lang w:val="fr-CA"/>
        </w:rPr>
        <w:t xml:space="preserve"> ET DES CON</w:t>
      </w:r>
      <w:r w:rsidR="00BC614A">
        <w:rPr>
          <w:b/>
          <w:sz w:val="32"/>
          <w:lang w:val="fr-CA"/>
        </w:rPr>
        <w:t>TR</w:t>
      </w:r>
      <w:r w:rsidR="00692D3D" w:rsidRPr="00692D3D">
        <w:rPr>
          <w:b/>
          <w:sz w:val="32"/>
          <w:lang w:val="fr-CA"/>
        </w:rPr>
        <w:t>ÔLES</w:t>
      </w:r>
      <w:r w:rsidR="00D3403D" w:rsidRPr="00692D3D">
        <w:rPr>
          <w:b/>
          <w:sz w:val="32"/>
          <w:lang w:val="fr-CA"/>
        </w:rPr>
        <w:t xml:space="preserve"> (</w:t>
      </w:r>
      <w:r w:rsidR="00692D3D" w:rsidRPr="00692D3D">
        <w:rPr>
          <w:b/>
          <w:sz w:val="32"/>
          <w:lang w:val="fr-CA"/>
        </w:rPr>
        <w:t>MERC</w:t>
      </w:r>
      <w:r w:rsidR="00D3403D" w:rsidRPr="00692D3D">
        <w:rPr>
          <w:b/>
          <w:sz w:val="32"/>
          <w:lang w:val="fr-CA"/>
        </w:rPr>
        <w:t>)</w:t>
      </w:r>
    </w:p>
    <w:p w:rsidR="00D3403D" w:rsidRPr="00692D3D" w:rsidRDefault="00692D3D" w:rsidP="007626F4">
      <w:pPr>
        <w:pStyle w:val="Header"/>
        <w:pBdr>
          <w:bottom w:val="single" w:sz="4" w:space="0" w:color="auto"/>
        </w:pBdr>
        <w:spacing w:after="120"/>
        <w:rPr>
          <w:rFonts w:cs="Arial"/>
          <w:u w:val="single"/>
          <w:lang w:val="fr-CA"/>
        </w:rPr>
      </w:pPr>
      <w:r w:rsidRPr="00692D3D">
        <w:rPr>
          <w:rFonts w:cs="Arial"/>
          <w:b/>
          <w:sz w:val="24"/>
          <w:lang w:val="fr-CA"/>
        </w:rPr>
        <w:t>Titre de l’audit</w:t>
      </w:r>
      <w:r w:rsidR="00A10616">
        <w:rPr>
          <w:rFonts w:cs="Arial"/>
          <w:b/>
          <w:sz w:val="24"/>
          <w:lang w:val="fr-CA"/>
        </w:rPr>
        <w:t> </w:t>
      </w:r>
      <w:r w:rsidR="00D3403D" w:rsidRPr="00692D3D">
        <w:rPr>
          <w:rFonts w:cs="Arial"/>
          <w:sz w:val="24"/>
          <w:lang w:val="fr-CA"/>
        </w:rPr>
        <w:t>:</w:t>
      </w:r>
    </w:p>
    <w:p w:rsidR="00660AEB" w:rsidRPr="00692D3D" w:rsidRDefault="00692D3D" w:rsidP="00A93805">
      <w:pPr>
        <w:spacing w:before="360" w:after="0"/>
        <w:rPr>
          <w:rFonts w:cs="Arial"/>
          <w:b/>
          <w:sz w:val="24"/>
          <w:szCs w:val="24"/>
          <w:lang w:val="fr-CA"/>
        </w:rPr>
      </w:pPr>
      <w:r>
        <w:rPr>
          <w:rFonts w:cs="Arial"/>
          <w:b/>
          <w:sz w:val="24"/>
          <w:szCs w:val="24"/>
          <w:lang w:val="fr-CA"/>
        </w:rPr>
        <w:t>OBJET</w:t>
      </w:r>
      <w:r w:rsidR="00A10616">
        <w:rPr>
          <w:rFonts w:cs="Arial"/>
          <w:b/>
          <w:sz w:val="24"/>
          <w:szCs w:val="24"/>
          <w:lang w:val="fr-CA"/>
        </w:rPr>
        <w:t> </w:t>
      </w:r>
      <w:r w:rsidR="00DE5953" w:rsidRPr="00692D3D">
        <w:rPr>
          <w:rFonts w:cs="Arial"/>
          <w:b/>
          <w:sz w:val="24"/>
          <w:szCs w:val="24"/>
          <w:lang w:val="fr-CA"/>
        </w:rPr>
        <w:t>:</w:t>
      </w:r>
      <w:r w:rsidR="00DE5953" w:rsidRPr="00692D3D">
        <w:rPr>
          <w:rFonts w:cs="Arial"/>
          <w:sz w:val="24"/>
          <w:szCs w:val="24"/>
          <w:lang w:val="fr-CA"/>
        </w:rPr>
        <w:t xml:space="preserve"> </w:t>
      </w:r>
      <w:r w:rsidR="007626F4">
        <w:rPr>
          <w:rFonts w:cs="Arial"/>
          <w:sz w:val="24"/>
          <w:szCs w:val="24"/>
          <w:lang w:val="fr-CA"/>
        </w:rPr>
        <w:t xml:space="preserve">Ce modèle sert à documenter les risques </w:t>
      </w:r>
      <w:r w:rsidR="00053ABA">
        <w:rPr>
          <w:rFonts w:cs="Arial"/>
          <w:sz w:val="24"/>
          <w:szCs w:val="24"/>
          <w:lang w:val="fr-CA"/>
        </w:rPr>
        <w:t xml:space="preserve">recensés </w:t>
      </w:r>
      <w:r w:rsidR="007626F4">
        <w:rPr>
          <w:rFonts w:cs="Arial"/>
          <w:sz w:val="24"/>
          <w:szCs w:val="24"/>
          <w:lang w:val="fr-CA"/>
        </w:rPr>
        <w:t>et évalués par l’équipe d’audit (risques liés à l’objet considé</w:t>
      </w:r>
      <w:r w:rsidR="00DB1C73">
        <w:rPr>
          <w:rFonts w:cs="Arial"/>
          <w:sz w:val="24"/>
          <w:szCs w:val="24"/>
          <w:lang w:val="fr-CA"/>
        </w:rPr>
        <w:t>ré et risques inscrits dans le M</w:t>
      </w:r>
      <w:r w:rsidR="007626F4">
        <w:rPr>
          <w:rFonts w:cs="Arial"/>
          <w:sz w:val="24"/>
          <w:szCs w:val="24"/>
          <w:lang w:val="fr-CA"/>
        </w:rPr>
        <w:t>odèle d’identification des risques fonctionnels [MIR</w:t>
      </w:r>
      <w:r w:rsidR="00DB1C73">
        <w:rPr>
          <w:rFonts w:cs="Arial"/>
          <w:sz w:val="24"/>
          <w:szCs w:val="24"/>
          <w:lang w:val="fr-CA"/>
        </w:rPr>
        <w:t xml:space="preserve">F]) et les contrôles </w:t>
      </w:r>
      <w:r w:rsidR="00EC7AD0">
        <w:rPr>
          <w:rFonts w:cs="Arial"/>
          <w:sz w:val="24"/>
          <w:szCs w:val="24"/>
          <w:lang w:val="fr-CA"/>
        </w:rPr>
        <w:t>clés</w:t>
      </w:r>
      <w:r w:rsidR="00DB1C73">
        <w:rPr>
          <w:rFonts w:cs="Arial"/>
          <w:sz w:val="24"/>
          <w:szCs w:val="24"/>
          <w:lang w:val="fr-CA"/>
        </w:rPr>
        <w:t xml:space="preserve">, et leur </w:t>
      </w:r>
      <w:r w:rsidR="007626F4">
        <w:rPr>
          <w:rFonts w:cs="Arial"/>
          <w:sz w:val="24"/>
          <w:szCs w:val="24"/>
          <w:lang w:val="fr-CA"/>
        </w:rPr>
        <w:t>incidence sur l’étendue et la stratégie d</w:t>
      </w:r>
      <w:r w:rsidR="006B6DB9">
        <w:rPr>
          <w:rFonts w:cs="Arial"/>
          <w:sz w:val="24"/>
          <w:szCs w:val="24"/>
          <w:lang w:val="fr-CA"/>
        </w:rPr>
        <w:t>e l</w:t>
      </w:r>
      <w:r w:rsidR="007626F4">
        <w:rPr>
          <w:rFonts w:cs="Arial"/>
          <w:sz w:val="24"/>
          <w:szCs w:val="24"/>
          <w:lang w:val="fr-CA"/>
        </w:rPr>
        <w:t>’audit.</w:t>
      </w:r>
    </w:p>
    <w:p w:rsidR="00DE5953" w:rsidRPr="00692D3D" w:rsidRDefault="00692D3D" w:rsidP="00A93805">
      <w:pPr>
        <w:spacing w:after="120"/>
        <w:rPr>
          <w:rFonts w:cs="Arial"/>
          <w:sz w:val="24"/>
          <w:szCs w:val="24"/>
          <w:lang w:val="fr-CA"/>
        </w:rPr>
      </w:pPr>
      <w:r>
        <w:rPr>
          <w:rFonts w:cs="Arial"/>
          <w:b/>
          <w:sz w:val="24"/>
          <w:szCs w:val="24"/>
          <w:lang w:val="fr-CA"/>
        </w:rPr>
        <w:t>DOCUMENTS DE RÉFÉRENCE</w:t>
      </w:r>
      <w:r w:rsidR="008E40EB">
        <w:rPr>
          <w:rFonts w:cs="Arial"/>
          <w:b/>
          <w:sz w:val="24"/>
          <w:szCs w:val="24"/>
          <w:lang w:val="fr-CA"/>
        </w:rPr>
        <w:t> </w:t>
      </w:r>
      <w:r w:rsidR="00DE5953" w:rsidRPr="00692D3D">
        <w:rPr>
          <w:rFonts w:cs="Arial"/>
          <w:b/>
          <w:sz w:val="24"/>
          <w:szCs w:val="24"/>
          <w:lang w:val="fr-CA"/>
        </w:rPr>
        <w:t xml:space="preserve">: </w:t>
      </w:r>
      <w:r w:rsidRPr="00692D3D">
        <w:rPr>
          <w:rFonts w:cs="Arial"/>
          <w:sz w:val="24"/>
          <w:szCs w:val="24"/>
          <w:lang w:val="fr-CA"/>
        </w:rPr>
        <w:t xml:space="preserve">Se reporter aux documents </w:t>
      </w:r>
      <w:r w:rsidR="007626F4">
        <w:rPr>
          <w:rFonts w:cs="Arial"/>
          <w:sz w:val="24"/>
          <w:szCs w:val="24"/>
          <w:lang w:val="fr-CA"/>
        </w:rPr>
        <w:t xml:space="preserve">complémentaires </w:t>
      </w:r>
      <w:r w:rsidRPr="00692D3D">
        <w:rPr>
          <w:rFonts w:cs="Arial"/>
          <w:sz w:val="24"/>
          <w:szCs w:val="24"/>
          <w:lang w:val="fr-CA"/>
        </w:rPr>
        <w:t>ci</w:t>
      </w:r>
      <w:r w:rsidR="007626F4">
        <w:rPr>
          <w:rFonts w:cs="Arial"/>
          <w:sz w:val="24"/>
          <w:szCs w:val="24"/>
          <w:lang w:val="fr-CA"/>
        </w:rPr>
        <w:t>-</w:t>
      </w:r>
      <w:r w:rsidRPr="00692D3D">
        <w:rPr>
          <w:rFonts w:cs="Arial"/>
          <w:sz w:val="24"/>
          <w:szCs w:val="24"/>
          <w:lang w:val="fr-CA"/>
        </w:rPr>
        <w:t xml:space="preserve">après pour remplir ce modèle </w:t>
      </w:r>
      <w:r w:rsidR="007626F4">
        <w:rPr>
          <w:rFonts w:cs="Arial"/>
          <w:sz w:val="24"/>
          <w:szCs w:val="24"/>
          <w:lang w:val="fr-CA"/>
        </w:rPr>
        <w:t xml:space="preserve">en vue de </w:t>
      </w:r>
      <w:r w:rsidRPr="00692D3D">
        <w:rPr>
          <w:rFonts w:cs="Arial"/>
          <w:sz w:val="24"/>
          <w:szCs w:val="24"/>
          <w:lang w:val="fr-CA"/>
        </w:rPr>
        <w:t>documenter les principaux jugements posés par l’équipe</w:t>
      </w:r>
      <w:r w:rsidR="007626F4">
        <w:rPr>
          <w:rFonts w:cs="Arial"/>
          <w:sz w:val="24"/>
          <w:szCs w:val="24"/>
          <w:lang w:val="fr-CA"/>
        </w:rPr>
        <w:t xml:space="preserve"> d’audit</w:t>
      </w:r>
      <w:r w:rsidRPr="00692D3D">
        <w:rPr>
          <w:rFonts w:cs="Arial"/>
          <w:sz w:val="24"/>
          <w:szCs w:val="24"/>
          <w:lang w:val="fr-CA"/>
        </w:rPr>
        <w:t xml:space="preserve"> lors </w:t>
      </w:r>
      <w:r w:rsidR="000C6E7D">
        <w:rPr>
          <w:rFonts w:cs="Arial"/>
          <w:sz w:val="24"/>
          <w:szCs w:val="24"/>
          <w:lang w:val="fr-CA"/>
        </w:rPr>
        <w:t>du recensement</w:t>
      </w:r>
      <w:r w:rsidRPr="00692D3D">
        <w:rPr>
          <w:rFonts w:cs="Arial"/>
          <w:sz w:val="24"/>
          <w:szCs w:val="24"/>
          <w:lang w:val="fr-CA"/>
        </w:rPr>
        <w:t xml:space="preserve"> des risques fonctionnels </w:t>
      </w:r>
      <w:r w:rsidR="007626F4">
        <w:rPr>
          <w:rFonts w:cs="Arial"/>
          <w:sz w:val="24"/>
          <w:szCs w:val="24"/>
          <w:lang w:val="fr-CA"/>
        </w:rPr>
        <w:t>et des risques liés à l’objet considéré</w:t>
      </w:r>
      <w:r w:rsidR="002B344F">
        <w:rPr>
          <w:rFonts w:cs="Arial"/>
          <w:sz w:val="24"/>
          <w:szCs w:val="24"/>
          <w:lang w:val="fr-CA"/>
        </w:rPr>
        <w:t>.</w:t>
      </w:r>
    </w:p>
    <w:p w:rsidR="00692D3D" w:rsidRPr="002B344F" w:rsidRDefault="00E924A4" w:rsidP="002B344F">
      <w:pPr>
        <w:pStyle w:val="ListParagraph"/>
        <w:numPr>
          <w:ilvl w:val="0"/>
          <w:numId w:val="47"/>
        </w:numPr>
        <w:rPr>
          <w:rStyle w:val="Hyperlink"/>
          <w:color w:val="auto"/>
          <w:szCs w:val="24"/>
          <w:u w:val="none"/>
          <w:lang w:val="fr-CA"/>
        </w:rPr>
      </w:pPr>
      <w:hyperlink r:id="rId8" w:history="1">
        <w:r w:rsidR="00692D3D" w:rsidRPr="002B344F">
          <w:rPr>
            <w:rStyle w:val="Hyperlink"/>
            <w:szCs w:val="24"/>
            <w:lang w:val="fr-CA"/>
          </w:rPr>
          <w:t>BVG Audit 4010</w:t>
        </w:r>
      </w:hyperlink>
      <w:r w:rsidR="00E066EB">
        <w:rPr>
          <w:rStyle w:val="Hyperlink"/>
          <w:color w:val="auto"/>
          <w:szCs w:val="24"/>
          <w:u w:val="none"/>
          <w:lang w:val="fr-CA"/>
        </w:rPr>
        <w:t> </w:t>
      </w:r>
      <w:r w:rsidR="00692D3D" w:rsidRPr="002B344F">
        <w:rPr>
          <w:rStyle w:val="Hyperlink"/>
          <w:color w:val="auto"/>
          <w:szCs w:val="24"/>
          <w:u w:val="none"/>
          <w:lang w:val="fr-CA"/>
        </w:rPr>
        <w:t>— Compréhension de l’objet considéré lors de la planification de l’audit</w:t>
      </w:r>
    </w:p>
    <w:p w:rsidR="00B1311D" w:rsidRPr="002B344F" w:rsidRDefault="00E924A4" w:rsidP="002B344F">
      <w:pPr>
        <w:pStyle w:val="ListParagraph"/>
        <w:numPr>
          <w:ilvl w:val="0"/>
          <w:numId w:val="47"/>
        </w:numPr>
        <w:rPr>
          <w:sz w:val="24"/>
          <w:szCs w:val="24"/>
          <w:lang w:val="fr-CA"/>
        </w:rPr>
      </w:pPr>
      <w:hyperlink r:id="rId9" w:history="1">
        <w:r w:rsidR="007626F4" w:rsidRPr="002B344F">
          <w:rPr>
            <w:rStyle w:val="Hyperlink"/>
            <w:szCs w:val="24"/>
            <w:lang w:val="fr-CA"/>
          </w:rPr>
          <w:t>BVG Audit 4020</w:t>
        </w:r>
      </w:hyperlink>
      <w:r w:rsidR="00E066EB">
        <w:rPr>
          <w:sz w:val="24"/>
          <w:szCs w:val="24"/>
          <w:lang w:val="fr-CA"/>
        </w:rPr>
        <w:t> </w:t>
      </w:r>
      <w:r w:rsidR="007626F4" w:rsidRPr="002B344F">
        <w:rPr>
          <w:rStyle w:val="Hyperlink"/>
          <w:color w:val="auto"/>
          <w:szCs w:val="24"/>
          <w:u w:val="none"/>
          <w:lang w:val="fr-CA"/>
        </w:rPr>
        <w:t xml:space="preserve">— </w:t>
      </w:r>
      <w:r w:rsidR="007626F4" w:rsidRPr="002B344F">
        <w:rPr>
          <w:sz w:val="24"/>
          <w:szCs w:val="24"/>
          <w:lang w:val="fr-CA"/>
        </w:rPr>
        <w:t>Évaluation des risqu</w:t>
      </w:r>
      <w:r w:rsidR="00E066EB">
        <w:rPr>
          <w:sz w:val="24"/>
          <w:szCs w:val="24"/>
          <w:lang w:val="fr-CA"/>
        </w:rPr>
        <w:t>es</w:t>
      </w:r>
    </w:p>
    <w:p w:rsidR="00DE5953" w:rsidRPr="002B344F" w:rsidRDefault="00E924A4" w:rsidP="002B344F">
      <w:pPr>
        <w:pStyle w:val="ListParagraph"/>
        <w:numPr>
          <w:ilvl w:val="0"/>
          <w:numId w:val="47"/>
        </w:numPr>
        <w:rPr>
          <w:sz w:val="24"/>
          <w:szCs w:val="24"/>
        </w:rPr>
      </w:pPr>
      <w:hyperlink r:id="rId10" w:history="1">
        <w:r w:rsidR="007626F4" w:rsidRPr="00EE5833">
          <w:rPr>
            <w:rStyle w:val="Hyperlink"/>
            <w:szCs w:val="24"/>
          </w:rPr>
          <w:t>BVG Audit 4025</w:t>
        </w:r>
      </w:hyperlink>
      <w:r w:rsidR="00E066EB">
        <w:rPr>
          <w:sz w:val="24"/>
          <w:szCs w:val="24"/>
        </w:rPr>
        <w:t> </w:t>
      </w:r>
      <w:r w:rsidR="007626F4" w:rsidRPr="002B344F">
        <w:rPr>
          <w:rStyle w:val="Hyperlink"/>
          <w:color w:val="auto"/>
          <w:szCs w:val="24"/>
          <w:u w:val="none"/>
        </w:rPr>
        <w:t xml:space="preserve">— </w:t>
      </w:r>
      <w:r w:rsidR="007626F4" w:rsidRPr="002B344F">
        <w:rPr>
          <w:sz w:val="24"/>
          <w:szCs w:val="24"/>
        </w:rPr>
        <w:t>Contrôles internes</w:t>
      </w:r>
    </w:p>
    <w:p w:rsidR="00DE5953" w:rsidRPr="00EE5833" w:rsidRDefault="00E924A4" w:rsidP="002B344F">
      <w:pPr>
        <w:pStyle w:val="ListParagraph"/>
        <w:numPr>
          <w:ilvl w:val="0"/>
          <w:numId w:val="47"/>
        </w:numPr>
        <w:rPr>
          <w:sz w:val="24"/>
          <w:szCs w:val="24"/>
          <w:lang w:val="fr-CA"/>
        </w:rPr>
      </w:pPr>
      <w:hyperlink r:id="rId11" w:history="1">
        <w:r w:rsidR="00692D3D" w:rsidRPr="00EE5833">
          <w:rPr>
            <w:rStyle w:val="Hyperlink"/>
            <w:lang w:val="fr-CA"/>
          </w:rPr>
          <w:t>Guide sur la planification et la délimitation de l’étendue fondées sur le risque pour les missions d’appréciation directe</w:t>
        </w:r>
      </w:hyperlink>
      <w:r w:rsidR="00692D3D" w:rsidRPr="00EE5833">
        <w:rPr>
          <w:rStyle w:val="Hyperlink"/>
          <w:color w:val="auto"/>
          <w:szCs w:val="24"/>
          <w:u w:val="none"/>
          <w:lang w:val="fr-CA"/>
        </w:rPr>
        <w:t xml:space="preserve"> </w:t>
      </w:r>
      <w:r w:rsidR="007626F4" w:rsidRPr="00EE5833">
        <w:rPr>
          <w:sz w:val="24"/>
          <w:szCs w:val="24"/>
          <w:lang w:val="fr-CA"/>
        </w:rPr>
        <w:t xml:space="preserve">(ce guide décrit les </w:t>
      </w:r>
      <w:r w:rsidR="004F5C7A" w:rsidRPr="00EE5833">
        <w:rPr>
          <w:sz w:val="24"/>
          <w:szCs w:val="24"/>
          <w:lang w:val="fr-CA"/>
        </w:rPr>
        <w:t xml:space="preserve">grandes </w:t>
      </w:r>
      <w:r w:rsidR="007626F4" w:rsidRPr="00EE5833">
        <w:rPr>
          <w:sz w:val="24"/>
          <w:szCs w:val="24"/>
          <w:lang w:val="fr-CA"/>
        </w:rPr>
        <w:t xml:space="preserve">étapes </w:t>
      </w:r>
      <w:r w:rsidR="000C6E7D" w:rsidRPr="00EE5833">
        <w:rPr>
          <w:sz w:val="24"/>
          <w:szCs w:val="24"/>
          <w:lang w:val="fr-CA"/>
        </w:rPr>
        <w:t>à suivre</w:t>
      </w:r>
      <w:r w:rsidR="007626F4" w:rsidRPr="00EE5833">
        <w:rPr>
          <w:sz w:val="24"/>
          <w:szCs w:val="24"/>
          <w:lang w:val="fr-CA"/>
        </w:rPr>
        <w:t xml:space="preserve"> pour remplir le modèle)</w:t>
      </w:r>
    </w:p>
    <w:p w:rsidR="002D0DDE" w:rsidRPr="00692D3D" w:rsidRDefault="007626F4" w:rsidP="00A93805">
      <w:pPr>
        <w:spacing w:before="360" w:after="0"/>
        <w:rPr>
          <w:rFonts w:cs="Arial"/>
          <w:sz w:val="24"/>
          <w:szCs w:val="24"/>
          <w:lang w:val="fr-CA"/>
        </w:rPr>
      </w:pPr>
      <w:r>
        <w:rPr>
          <w:rFonts w:cs="Arial"/>
          <w:b/>
          <w:sz w:val="24"/>
          <w:szCs w:val="24"/>
          <w:lang w:val="fr-CA"/>
        </w:rPr>
        <w:t>EXAMENS SPÉCIAUX</w:t>
      </w:r>
      <w:r w:rsidR="00053ABA">
        <w:rPr>
          <w:rFonts w:cs="Arial"/>
          <w:b/>
          <w:sz w:val="24"/>
          <w:szCs w:val="24"/>
          <w:lang w:val="fr-CA"/>
        </w:rPr>
        <w:t> </w:t>
      </w:r>
      <w:r w:rsidR="00891927" w:rsidRPr="00692D3D">
        <w:rPr>
          <w:rFonts w:cs="Arial"/>
          <w:b/>
          <w:sz w:val="24"/>
          <w:szCs w:val="24"/>
          <w:lang w:val="fr-CA"/>
        </w:rPr>
        <w:t>:</w:t>
      </w:r>
      <w:r w:rsidR="00F844F8" w:rsidRPr="00692D3D">
        <w:rPr>
          <w:rFonts w:cs="Arial"/>
          <w:b/>
          <w:sz w:val="24"/>
          <w:szCs w:val="24"/>
          <w:lang w:val="fr-CA"/>
        </w:rPr>
        <w:t xml:space="preserve"> </w:t>
      </w:r>
      <w:r>
        <w:rPr>
          <w:rFonts w:cs="Arial"/>
          <w:sz w:val="24"/>
          <w:szCs w:val="24"/>
          <w:lang w:val="fr-CA"/>
        </w:rPr>
        <w:t xml:space="preserve">Comme pour toutes les missions d’appréciation directe, les équipes chargées d’un examen spécial doivent, au cours de l’étape de la planification, </w:t>
      </w:r>
      <w:r w:rsidR="00297399">
        <w:rPr>
          <w:rFonts w:eastAsia="Times New Roman" w:cs="Arial"/>
          <w:b/>
          <w:sz w:val="24"/>
          <w:szCs w:val="24"/>
          <w:lang w:val="fr-CA" w:eastAsia="en-CA"/>
        </w:rPr>
        <w:t xml:space="preserve">évaluer les risques liés à l’objet considéré </w:t>
      </w:r>
      <w:r w:rsidR="00297399">
        <w:rPr>
          <w:rFonts w:eastAsia="Times New Roman" w:cs="Arial"/>
          <w:sz w:val="24"/>
          <w:szCs w:val="24"/>
          <w:lang w:val="fr-CA" w:eastAsia="en-CA"/>
        </w:rPr>
        <w:t xml:space="preserve">qui se rattachent à la société d’État auditée et </w:t>
      </w:r>
      <w:r w:rsidR="00297399">
        <w:rPr>
          <w:rFonts w:eastAsia="Times New Roman" w:cs="Arial"/>
          <w:b/>
          <w:sz w:val="24"/>
          <w:szCs w:val="24"/>
          <w:lang w:val="fr-CA" w:eastAsia="en-CA"/>
        </w:rPr>
        <w:t>recenser les contrôles internes</w:t>
      </w:r>
      <w:r w:rsidR="004F5C7A">
        <w:rPr>
          <w:rFonts w:eastAsia="Times New Roman" w:cs="Arial"/>
          <w:b/>
          <w:sz w:val="24"/>
          <w:szCs w:val="24"/>
          <w:lang w:val="fr-CA" w:eastAsia="en-CA"/>
        </w:rPr>
        <w:t xml:space="preserve"> </w:t>
      </w:r>
      <w:r w:rsidR="00EC7AD0">
        <w:rPr>
          <w:rFonts w:eastAsia="Times New Roman" w:cs="Arial"/>
          <w:b/>
          <w:sz w:val="24"/>
          <w:szCs w:val="24"/>
          <w:lang w:val="fr-CA" w:eastAsia="en-CA"/>
        </w:rPr>
        <w:t>clés</w:t>
      </w:r>
      <w:r w:rsidR="00EC7AD0" w:rsidRPr="00692D3D">
        <w:rPr>
          <w:rFonts w:eastAsia="Times New Roman" w:cs="Arial"/>
          <w:sz w:val="24"/>
          <w:szCs w:val="24"/>
          <w:lang w:val="fr-CA" w:eastAsia="en-CA"/>
        </w:rPr>
        <w:t xml:space="preserve"> </w:t>
      </w:r>
      <w:r w:rsidR="00CE4802" w:rsidRPr="00692D3D">
        <w:rPr>
          <w:rFonts w:eastAsia="Times New Roman" w:cs="Arial"/>
          <w:sz w:val="24"/>
          <w:szCs w:val="24"/>
          <w:lang w:val="fr-CA" w:eastAsia="en-CA"/>
        </w:rPr>
        <w:t>(</w:t>
      </w:r>
      <w:r w:rsidR="00297399" w:rsidRPr="00297399">
        <w:rPr>
          <w:rFonts w:eastAsia="Times New Roman" w:cs="Arial"/>
          <w:sz w:val="24"/>
          <w:szCs w:val="24"/>
          <w:lang w:val="fr-CA" w:eastAsia="en-CA"/>
        </w:rPr>
        <w:t>c</w:t>
      </w:r>
      <w:r w:rsidR="002B2407">
        <w:rPr>
          <w:rFonts w:eastAsia="Times New Roman" w:cs="Arial"/>
          <w:sz w:val="24"/>
          <w:szCs w:val="24"/>
          <w:lang w:val="fr-CA" w:eastAsia="en-CA"/>
        </w:rPr>
        <w:t>.</w:t>
      </w:r>
      <w:r w:rsidR="00297399" w:rsidRPr="00297399">
        <w:rPr>
          <w:rFonts w:eastAsia="Times New Roman" w:cs="Arial"/>
          <w:sz w:val="24"/>
          <w:szCs w:val="24"/>
          <w:lang w:val="fr-CA" w:eastAsia="en-CA"/>
        </w:rPr>
        <w:t>-à-d</w:t>
      </w:r>
      <w:r w:rsidR="002B2407">
        <w:rPr>
          <w:rFonts w:eastAsia="Times New Roman" w:cs="Arial"/>
          <w:sz w:val="24"/>
          <w:szCs w:val="24"/>
          <w:lang w:val="fr-CA" w:eastAsia="en-CA"/>
        </w:rPr>
        <w:t>.</w:t>
      </w:r>
      <w:r w:rsidR="00297399" w:rsidRPr="00297399">
        <w:rPr>
          <w:rFonts w:eastAsia="Times New Roman" w:cs="Arial"/>
          <w:sz w:val="24"/>
          <w:szCs w:val="24"/>
          <w:lang w:val="fr-CA" w:eastAsia="en-CA"/>
        </w:rPr>
        <w:t xml:space="preserve"> les moyens et méthodes) dont se sert la société d’État pour atténuer </w:t>
      </w:r>
      <w:r w:rsidR="004F5C7A">
        <w:rPr>
          <w:rFonts w:eastAsia="Times New Roman" w:cs="Arial"/>
          <w:sz w:val="24"/>
          <w:szCs w:val="24"/>
          <w:lang w:val="fr-CA" w:eastAsia="en-CA"/>
        </w:rPr>
        <w:t>l</w:t>
      </w:r>
      <w:r w:rsidR="00297399" w:rsidRPr="00297399">
        <w:rPr>
          <w:rFonts w:eastAsia="Times New Roman" w:cs="Arial"/>
          <w:sz w:val="24"/>
          <w:szCs w:val="24"/>
          <w:lang w:val="fr-CA" w:eastAsia="en-CA"/>
        </w:rPr>
        <w:t>es risques</w:t>
      </w:r>
      <w:r w:rsidR="00CE4802" w:rsidRPr="00692D3D">
        <w:rPr>
          <w:rFonts w:eastAsia="Times New Roman" w:cs="Arial"/>
          <w:sz w:val="24"/>
          <w:szCs w:val="24"/>
          <w:lang w:val="fr-CA" w:eastAsia="en-CA"/>
        </w:rPr>
        <w:t xml:space="preserve">. </w:t>
      </w:r>
      <w:r w:rsidR="00991DB5">
        <w:rPr>
          <w:rFonts w:eastAsia="Times New Roman" w:cs="Arial"/>
          <w:sz w:val="24"/>
          <w:szCs w:val="24"/>
          <w:lang w:val="fr-CA" w:eastAsia="en-CA"/>
        </w:rPr>
        <w:t xml:space="preserve">De plus, le BVG a défini un ensemble de moyens et de méthodes essentiels </w:t>
      </w:r>
      <w:r w:rsidR="00991DB5">
        <w:rPr>
          <w:rFonts w:eastAsia="Times New Roman" w:cs="Arial"/>
          <w:b/>
          <w:sz w:val="24"/>
          <w:szCs w:val="24"/>
          <w:lang w:val="fr-CA" w:eastAsia="en-CA"/>
        </w:rPr>
        <w:t xml:space="preserve">et de critères normalisés connexes qui doivent être utilisés pour tous les examens spéciaux </w:t>
      </w:r>
      <w:r w:rsidR="009B7FBD" w:rsidRPr="00692D3D">
        <w:rPr>
          <w:rFonts w:cs="Arial"/>
          <w:b/>
          <w:sz w:val="24"/>
          <w:szCs w:val="24"/>
          <w:lang w:val="fr-CA"/>
        </w:rPr>
        <w:t>(</w:t>
      </w:r>
      <w:r w:rsidR="00991DB5">
        <w:rPr>
          <w:rFonts w:cs="Arial"/>
          <w:b/>
          <w:sz w:val="24"/>
          <w:szCs w:val="24"/>
          <w:lang w:val="fr-CA"/>
        </w:rPr>
        <w:t>voir</w:t>
      </w:r>
      <w:r w:rsidR="00F20A98" w:rsidRPr="00692D3D">
        <w:rPr>
          <w:rFonts w:cs="Arial"/>
          <w:b/>
          <w:sz w:val="24"/>
          <w:szCs w:val="24"/>
          <w:lang w:val="fr-CA"/>
        </w:rPr>
        <w:t xml:space="preserve"> </w:t>
      </w:r>
      <w:hyperlink r:id="rId12" w:history="1">
        <w:r w:rsidR="00991DB5" w:rsidRPr="00E066EB">
          <w:rPr>
            <w:rStyle w:val="Hyperlink"/>
            <w:rFonts w:eastAsia="Times New Roman" w:cs="Arial"/>
            <w:b/>
            <w:szCs w:val="24"/>
            <w:lang w:val="fr-CA" w:eastAsia="en-CA"/>
          </w:rPr>
          <w:t>Approche d'audit pour les examens spéciaux</w:t>
        </w:r>
      </w:hyperlink>
      <w:r w:rsidR="009B7FBD" w:rsidRPr="00F716CD">
        <w:rPr>
          <w:rStyle w:val="Hyperlink"/>
          <w:rFonts w:eastAsia="Times New Roman" w:cs="Arial"/>
          <w:b/>
          <w:color w:val="auto"/>
          <w:szCs w:val="24"/>
          <w:lang w:val="fr-CA" w:eastAsia="en-CA"/>
        </w:rPr>
        <w:t>)</w:t>
      </w:r>
      <w:r w:rsidR="00991DB5">
        <w:rPr>
          <w:rFonts w:cs="Arial"/>
          <w:b/>
          <w:sz w:val="24"/>
          <w:szCs w:val="24"/>
          <w:lang w:val="fr-CA"/>
        </w:rPr>
        <w:t xml:space="preserve">. </w:t>
      </w:r>
      <w:r w:rsidR="008550F1">
        <w:rPr>
          <w:rFonts w:cs="Arial"/>
          <w:b/>
          <w:sz w:val="24"/>
          <w:szCs w:val="24"/>
          <w:lang w:val="fr-CA"/>
        </w:rPr>
        <w:t>L</w:t>
      </w:r>
      <w:r w:rsidR="00991DB5">
        <w:rPr>
          <w:rFonts w:cs="Arial"/>
          <w:b/>
          <w:sz w:val="24"/>
          <w:szCs w:val="24"/>
          <w:lang w:val="fr-CA"/>
        </w:rPr>
        <w:t>es équipes d’examen spécial ne sont pas tenues d’inscrire dans ce modèle les risques</w:t>
      </w:r>
      <w:r w:rsidR="004F5C7A">
        <w:rPr>
          <w:rFonts w:cs="Arial"/>
          <w:b/>
          <w:sz w:val="24"/>
          <w:szCs w:val="24"/>
          <w:lang w:val="fr-CA"/>
        </w:rPr>
        <w:t xml:space="preserve"> et les contrôles</w:t>
      </w:r>
      <w:r w:rsidR="00991DB5">
        <w:rPr>
          <w:rFonts w:cs="Arial"/>
          <w:b/>
          <w:sz w:val="24"/>
          <w:szCs w:val="24"/>
          <w:lang w:val="fr-CA"/>
        </w:rPr>
        <w:t xml:space="preserve"> liés aux moyens et méthodes essentiels</w:t>
      </w:r>
      <w:r w:rsidR="006D04CB" w:rsidRPr="00692D3D">
        <w:rPr>
          <w:rFonts w:cs="Arial"/>
          <w:b/>
          <w:sz w:val="24"/>
          <w:szCs w:val="24"/>
          <w:lang w:val="fr-CA"/>
        </w:rPr>
        <w:t xml:space="preserve">. </w:t>
      </w:r>
      <w:r w:rsidR="00991DB5">
        <w:rPr>
          <w:rFonts w:cs="Arial"/>
          <w:sz w:val="24"/>
          <w:szCs w:val="24"/>
          <w:lang w:val="fr-CA"/>
        </w:rPr>
        <w:t xml:space="preserve">Toutefois, si une </w:t>
      </w:r>
      <w:r w:rsidR="00991DB5" w:rsidRPr="00991DB5">
        <w:rPr>
          <w:rFonts w:cs="Arial"/>
          <w:sz w:val="24"/>
          <w:szCs w:val="24"/>
          <w:lang w:val="fr-CA"/>
        </w:rPr>
        <w:t>équipe dé</w:t>
      </w:r>
      <w:r w:rsidR="00991DB5">
        <w:rPr>
          <w:rFonts w:cs="Arial"/>
          <w:sz w:val="24"/>
          <w:szCs w:val="24"/>
          <w:lang w:val="fr-CA"/>
        </w:rPr>
        <w:t xml:space="preserve">cide d’élargir </w:t>
      </w:r>
      <w:r w:rsidR="00991DB5" w:rsidRPr="00991DB5">
        <w:rPr>
          <w:rFonts w:cs="Arial"/>
          <w:sz w:val="24"/>
          <w:szCs w:val="24"/>
          <w:lang w:val="fr-CA"/>
        </w:rPr>
        <w:t>l’étendue de l’</w:t>
      </w:r>
      <w:r w:rsidR="004F5C7A">
        <w:rPr>
          <w:rFonts w:cs="Arial"/>
          <w:sz w:val="24"/>
          <w:szCs w:val="24"/>
          <w:lang w:val="fr-CA"/>
        </w:rPr>
        <w:t xml:space="preserve">audit </w:t>
      </w:r>
      <w:r w:rsidR="00991DB5" w:rsidRPr="00991DB5">
        <w:rPr>
          <w:rFonts w:cs="Arial"/>
          <w:sz w:val="24"/>
          <w:szCs w:val="24"/>
          <w:lang w:val="fr-CA"/>
        </w:rPr>
        <w:t>au-delà de</w:t>
      </w:r>
      <w:r w:rsidR="00991DB5">
        <w:rPr>
          <w:rFonts w:cs="Arial"/>
          <w:sz w:val="24"/>
          <w:szCs w:val="24"/>
          <w:lang w:val="fr-CA"/>
        </w:rPr>
        <w:t>s moyens et méthodes essentiels</w:t>
      </w:r>
      <w:r w:rsidR="004F5C7A">
        <w:rPr>
          <w:rFonts w:cs="Arial"/>
          <w:sz w:val="24"/>
          <w:szCs w:val="24"/>
          <w:lang w:val="fr-CA"/>
        </w:rPr>
        <w:t xml:space="preserve"> qui sont obligatoires</w:t>
      </w:r>
      <w:r w:rsidR="00991DB5">
        <w:rPr>
          <w:rFonts w:cs="Arial"/>
          <w:sz w:val="24"/>
          <w:szCs w:val="24"/>
          <w:lang w:val="fr-CA"/>
        </w:rPr>
        <w:t xml:space="preserve">, elle doit </w:t>
      </w:r>
      <w:r w:rsidR="000C6E7D">
        <w:rPr>
          <w:rFonts w:cs="Arial"/>
          <w:sz w:val="24"/>
          <w:szCs w:val="24"/>
          <w:lang w:val="fr-CA"/>
        </w:rPr>
        <w:t xml:space="preserve">recenser </w:t>
      </w:r>
      <w:r w:rsidR="00991DB5">
        <w:rPr>
          <w:rFonts w:cs="Arial"/>
          <w:sz w:val="24"/>
          <w:szCs w:val="24"/>
          <w:lang w:val="fr-CA"/>
        </w:rPr>
        <w:t>les risques et les contrôles qui se rattachent à l’étendue élargie de son examen.</w:t>
      </w:r>
    </w:p>
    <w:p w:rsidR="00692D3D" w:rsidRPr="00692D3D" w:rsidRDefault="00991DB5" w:rsidP="00692D3D">
      <w:pPr>
        <w:keepNext/>
        <w:keepLines/>
        <w:rPr>
          <w:rFonts w:eastAsia="Times New Roman"/>
          <w:sz w:val="24"/>
          <w:szCs w:val="24"/>
          <w:lang w:val="fr-CA" w:eastAsia="en-CA"/>
        </w:rPr>
      </w:pPr>
      <w:r>
        <w:rPr>
          <w:rFonts w:eastAsia="Times New Roman" w:cs="Arial"/>
          <w:sz w:val="24"/>
          <w:szCs w:val="24"/>
          <w:lang w:val="fr-CA" w:eastAsia="en-CA"/>
        </w:rPr>
        <w:t>Les équipes d</w:t>
      </w:r>
      <w:r w:rsidR="00721539">
        <w:rPr>
          <w:rFonts w:eastAsia="Times New Roman" w:cs="Arial"/>
          <w:sz w:val="24"/>
          <w:szCs w:val="24"/>
          <w:lang w:val="fr-CA" w:eastAsia="en-CA"/>
        </w:rPr>
        <w:t>oivent</w:t>
      </w:r>
      <w:r>
        <w:rPr>
          <w:rFonts w:eastAsia="Times New Roman" w:cs="Arial"/>
          <w:sz w:val="24"/>
          <w:szCs w:val="24"/>
          <w:lang w:val="fr-CA" w:eastAsia="en-CA"/>
        </w:rPr>
        <w:t xml:space="preserve"> évaluer le caractère adéquat de la conception et de la mise en œuvre des contrôles au cours de l’étape de la planification. </w:t>
      </w:r>
      <w:r w:rsidR="00692D3D" w:rsidRPr="00692D3D">
        <w:rPr>
          <w:sz w:val="24"/>
          <w:szCs w:val="24"/>
          <w:lang w:val="fr-CA"/>
        </w:rPr>
        <w:t>Si la société est exposée à des risques importants, et lorsqu’un défaut grave dans les moyens et méthodes d’atténuation pourrait empêcher la société d’avoir l’assurance raisonnable que ses objectifs de contrôle législatif sont atteints, les équipes doivent choisir entre les deux options suivantes :</w:t>
      </w:r>
    </w:p>
    <w:p w:rsidR="00692D3D" w:rsidRPr="00692D3D" w:rsidRDefault="00692D3D" w:rsidP="00692D3D">
      <w:pPr>
        <w:pStyle w:val="ListParagraph"/>
        <w:numPr>
          <w:ilvl w:val="0"/>
          <w:numId w:val="44"/>
        </w:numPr>
        <w:spacing w:after="120"/>
        <w:rPr>
          <w:rFonts w:cs="Arial"/>
          <w:sz w:val="24"/>
          <w:szCs w:val="24"/>
          <w:lang w:val="fr-CA"/>
        </w:rPr>
      </w:pPr>
      <w:r w:rsidRPr="00692D3D">
        <w:rPr>
          <w:rFonts w:cs="Arial"/>
          <w:sz w:val="24"/>
          <w:szCs w:val="24"/>
          <w:lang w:val="fr-CA"/>
        </w:rPr>
        <w:t>Si le risque est</w:t>
      </w:r>
      <w:bookmarkStart w:id="0" w:name="_GoBack"/>
      <w:bookmarkEnd w:id="0"/>
      <w:r w:rsidRPr="00692D3D">
        <w:rPr>
          <w:rFonts w:cs="Arial"/>
          <w:sz w:val="24"/>
          <w:szCs w:val="24"/>
          <w:lang w:val="fr-CA"/>
        </w:rPr>
        <w:t xml:space="preserve"> contré par les moyens et méthodes </w:t>
      </w:r>
      <w:r w:rsidR="008B07CD">
        <w:rPr>
          <w:rFonts w:cs="Arial"/>
          <w:sz w:val="24"/>
          <w:szCs w:val="24"/>
          <w:lang w:val="fr-CA"/>
        </w:rPr>
        <w:t>essentiels</w:t>
      </w:r>
      <w:r w:rsidRPr="00692D3D">
        <w:rPr>
          <w:rFonts w:cs="Arial"/>
          <w:sz w:val="24"/>
          <w:szCs w:val="24"/>
          <w:lang w:val="fr-CA"/>
        </w:rPr>
        <w:t xml:space="preserve">, l’équipe peut envisager </w:t>
      </w:r>
      <w:r w:rsidRPr="00692D3D">
        <w:rPr>
          <w:rFonts w:cs="Arial"/>
          <w:b/>
          <w:sz w:val="24"/>
          <w:szCs w:val="24"/>
          <w:lang w:val="fr-CA"/>
        </w:rPr>
        <w:t>d’accroître l’effort d’audit</w:t>
      </w:r>
      <w:r w:rsidRPr="00692D3D">
        <w:rPr>
          <w:rFonts w:cs="Arial"/>
          <w:sz w:val="24"/>
          <w:szCs w:val="24"/>
          <w:lang w:val="fr-CA"/>
        </w:rPr>
        <w:t xml:space="preserve"> dans le secteur qui pose un risque élevé.</w:t>
      </w:r>
    </w:p>
    <w:p w:rsidR="00692D3D" w:rsidRPr="00692D3D" w:rsidRDefault="00692D3D" w:rsidP="00692D3D">
      <w:pPr>
        <w:pStyle w:val="ListParagraph"/>
        <w:numPr>
          <w:ilvl w:val="0"/>
          <w:numId w:val="44"/>
        </w:numPr>
        <w:spacing w:after="120"/>
        <w:rPr>
          <w:rFonts w:cs="Arial"/>
          <w:sz w:val="24"/>
          <w:szCs w:val="24"/>
          <w:lang w:val="fr-CA"/>
        </w:rPr>
      </w:pPr>
      <w:r w:rsidRPr="00692D3D">
        <w:rPr>
          <w:rFonts w:cs="Arial"/>
          <w:sz w:val="24"/>
          <w:szCs w:val="24"/>
          <w:lang w:val="fr-CA"/>
        </w:rPr>
        <w:lastRenderedPageBreak/>
        <w:t xml:space="preserve">Si le risque n’est pas contré par les moyens et méthodes essentiels, l’équipe </w:t>
      </w:r>
      <w:r w:rsidR="00030925">
        <w:rPr>
          <w:rFonts w:cs="Arial"/>
          <w:sz w:val="24"/>
          <w:szCs w:val="24"/>
          <w:lang w:val="fr-CA"/>
        </w:rPr>
        <w:t>peut juger bon</w:t>
      </w:r>
      <w:r w:rsidRPr="00692D3D">
        <w:rPr>
          <w:rFonts w:cs="Arial"/>
          <w:sz w:val="24"/>
          <w:szCs w:val="24"/>
          <w:lang w:val="fr-CA"/>
        </w:rPr>
        <w:t xml:space="preserve"> </w:t>
      </w:r>
      <w:r w:rsidRPr="00692D3D">
        <w:rPr>
          <w:rFonts w:cs="Arial"/>
          <w:b/>
          <w:sz w:val="24"/>
          <w:szCs w:val="24"/>
          <w:lang w:val="fr-CA"/>
        </w:rPr>
        <w:t>d’élargir l’étendue de l’audit</w:t>
      </w:r>
      <w:r w:rsidRPr="00692D3D">
        <w:rPr>
          <w:rFonts w:cs="Arial"/>
          <w:sz w:val="24"/>
          <w:szCs w:val="24"/>
          <w:lang w:val="fr-CA"/>
        </w:rPr>
        <w:t xml:space="preserve"> en </w:t>
      </w:r>
      <w:r w:rsidR="0090423B">
        <w:rPr>
          <w:rFonts w:cs="Arial"/>
          <w:sz w:val="24"/>
          <w:szCs w:val="24"/>
          <w:lang w:val="fr-CA"/>
        </w:rPr>
        <w:t>se fondant sur l’argument</w:t>
      </w:r>
      <w:r w:rsidR="0090423B" w:rsidRPr="00692D3D">
        <w:rPr>
          <w:rFonts w:cs="Arial"/>
          <w:sz w:val="24"/>
          <w:szCs w:val="24"/>
          <w:lang w:val="fr-CA"/>
        </w:rPr>
        <w:t xml:space="preserve"> </w:t>
      </w:r>
      <w:r w:rsidRPr="00692D3D">
        <w:rPr>
          <w:rFonts w:cs="Arial"/>
          <w:sz w:val="24"/>
          <w:szCs w:val="24"/>
          <w:lang w:val="fr-CA"/>
        </w:rPr>
        <w:t xml:space="preserve">qu’un défaut grave dans </w:t>
      </w:r>
      <w:r w:rsidR="008B07CD">
        <w:rPr>
          <w:rFonts w:cs="Arial"/>
          <w:sz w:val="24"/>
          <w:szCs w:val="24"/>
          <w:lang w:val="fr-CA"/>
        </w:rPr>
        <w:t>les moyens et méthodes</w:t>
      </w:r>
      <w:r w:rsidR="004F5C7A">
        <w:rPr>
          <w:rFonts w:cs="Arial"/>
          <w:sz w:val="24"/>
          <w:szCs w:val="24"/>
          <w:lang w:val="fr-CA"/>
        </w:rPr>
        <w:t xml:space="preserve"> non</w:t>
      </w:r>
      <w:r w:rsidR="008B07CD">
        <w:rPr>
          <w:rFonts w:cs="Arial"/>
          <w:sz w:val="24"/>
          <w:szCs w:val="24"/>
          <w:lang w:val="fr-CA"/>
        </w:rPr>
        <w:t xml:space="preserve"> essentiels </w:t>
      </w:r>
      <w:r w:rsidRPr="00692D3D">
        <w:rPr>
          <w:rFonts w:cs="Arial"/>
          <w:sz w:val="24"/>
          <w:szCs w:val="24"/>
          <w:lang w:val="fr-CA"/>
        </w:rPr>
        <w:t>pourrait empêcher la société d’avoir l’assurance raisonnable que ses objectifs de contrôle législatif sont atteints.</w:t>
      </w:r>
    </w:p>
    <w:p w:rsidR="007463C5" w:rsidRPr="00692D3D" w:rsidRDefault="007463C5" w:rsidP="00FA03A2">
      <w:pPr>
        <w:spacing w:before="360"/>
        <w:rPr>
          <w:rFonts w:eastAsia="Times New Roman" w:cs="Arial"/>
          <w:sz w:val="24"/>
          <w:szCs w:val="24"/>
          <w:lang w:val="fr-CA" w:eastAsia="en-CA"/>
        </w:rPr>
      </w:pPr>
    </w:p>
    <w:p w:rsidR="00912173" w:rsidRPr="00692D3D" w:rsidRDefault="008B07CD" w:rsidP="00A93805">
      <w:pPr>
        <w:spacing w:after="0"/>
        <w:rPr>
          <w:rFonts w:cs="Arial"/>
          <w:b/>
          <w:sz w:val="24"/>
          <w:szCs w:val="24"/>
          <w:lang w:val="fr-CA"/>
        </w:rPr>
      </w:pPr>
      <w:r>
        <w:rPr>
          <w:rFonts w:cs="Arial"/>
          <w:b/>
          <w:sz w:val="24"/>
          <w:szCs w:val="24"/>
          <w:lang w:val="fr-CA"/>
        </w:rPr>
        <w:t>DÉ</w:t>
      </w:r>
      <w:r w:rsidR="00912173" w:rsidRPr="00692D3D">
        <w:rPr>
          <w:rFonts w:cs="Arial"/>
          <w:b/>
          <w:sz w:val="24"/>
          <w:szCs w:val="24"/>
          <w:lang w:val="fr-CA"/>
        </w:rPr>
        <w:t>FINITIONS</w:t>
      </w:r>
      <w:r w:rsidR="006B6DB9">
        <w:rPr>
          <w:rFonts w:cs="Arial"/>
          <w:b/>
          <w:sz w:val="24"/>
          <w:szCs w:val="24"/>
          <w:lang w:val="fr-CA"/>
        </w:rPr>
        <w:t> </w:t>
      </w:r>
      <w:r w:rsidR="00912173" w:rsidRPr="00692D3D">
        <w:rPr>
          <w:rFonts w:cs="Arial"/>
          <w:b/>
          <w:sz w:val="24"/>
          <w:szCs w:val="24"/>
          <w:lang w:val="fr-CA"/>
        </w:rPr>
        <w:t>:</w:t>
      </w:r>
    </w:p>
    <w:p w:rsidR="00692D3D" w:rsidRPr="00C3315D" w:rsidRDefault="00692D3D" w:rsidP="00692D3D">
      <w:pPr>
        <w:rPr>
          <w:szCs w:val="24"/>
          <w:lang w:val="fr-CA" w:eastAsia="en-CA"/>
        </w:rPr>
      </w:pPr>
      <w:r w:rsidRPr="00C3315D">
        <w:rPr>
          <w:szCs w:val="24"/>
          <w:lang w:val="fr-CA" w:eastAsia="en-CA"/>
        </w:rPr>
        <w:t>Les</w:t>
      </w:r>
      <w:r w:rsidRPr="00C3315D">
        <w:rPr>
          <w:b/>
          <w:szCs w:val="24"/>
          <w:lang w:val="fr-CA" w:eastAsia="en-CA"/>
        </w:rPr>
        <w:t xml:space="preserve"> contrôles </w:t>
      </w:r>
      <w:r w:rsidRPr="00C3315D">
        <w:rPr>
          <w:szCs w:val="24"/>
          <w:lang w:val="fr-CA" w:eastAsia="en-CA"/>
        </w:rPr>
        <w:t>sont les méthodes et les procédures conçues, mises en place et appliquées pour atténuer les risques pouvant compromettre l’atte</w:t>
      </w:r>
      <w:r w:rsidR="00E066EB">
        <w:rPr>
          <w:szCs w:val="24"/>
          <w:lang w:val="fr-CA" w:eastAsia="en-CA"/>
        </w:rPr>
        <w:t>inte des objectifs de l’entité.</w:t>
      </w:r>
    </w:p>
    <w:p w:rsidR="00692D3D" w:rsidRPr="00C3315D" w:rsidRDefault="00692D3D" w:rsidP="00692D3D">
      <w:pPr>
        <w:rPr>
          <w:szCs w:val="24"/>
          <w:lang w:val="fr-CA" w:eastAsia="en-CA"/>
        </w:rPr>
      </w:pPr>
      <w:r w:rsidRPr="00C3315D">
        <w:rPr>
          <w:szCs w:val="24"/>
          <w:lang w:val="fr-CA" w:eastAsia="en-CA"/>
        </w:rPr>
        <w:t xml:space="preserve">La </w:t>
      </w:r>
      <w:r w:rsidRPr="00C3315D">
        <w:rPr>
          <w:b/>
          <w:szCs w:val="24"/>
          <w:lang w:val="fr-CA" w:eastAsia="en-CA"/>
        </w:rPr>
        <w:t xml:space="preserve">conception d’un contrôle </w:t>
      </w:r>
      <w:r w:rsidR="00030925">
        <w:rPr>
          <w:szCs w:val="24"/>
          <w:lang w:val="fr-CA" w:eastAsia="en-CA"/>
        </w:rPr>
        <w:t>désigne</w:t>
      </w:r>
      <w:r w:rsidR="00030925" w:rsidRPr="00C3315D">
        <w:rPr>
          <w:szCs w:val="24"/>
          <w:lang w:val="fr-CA" w:eastAsia="en-CA"/>
        </w:rPr>
        <w:t xml:space="preserve"> </w:t>
      </w:r>
      <w:r w:rsidRPr="00C3315D">
        <w:rPr>
          <w:szCs w:val="24"/>
          <w:lang w:val="fr-CA" w:eastAsia="en-CA"/>
        </w:rPr>
        <w:t xml:space="preserve">la manière dont le contrôle est censé fonctionner pour </w:t>
      </w:r>
      <w:r w:rsidR="00432A56">
        <w:rPr>
          <w:szCs w:val="24"/>
          <w:lang w:val="fr-CA" w:eastAsia="en-CA"/>
        </w:rPr>
        <w:t xml:space="preserve">atténuer les risques </w:t>
      </w:r>
      <w:r w:rsidR="00432A56" w:rsidRPr="00C3315D">
        <w:rPr>
          <w:szCs w:val="24"/>
          <w:lang w:val="fr-CA" w:eastAsia="en-CA"/>
        </w:rPr>
        <w:t>pouvant compromettre l’atteinte des objectifs</w:t>
      </w:r>
      <w:r w:rsidR="00432A56">
        <w:rPr>
          <w:szCs w:val="24"/>
          <w:lang w:val="fr-CA" w:eastAsia="en-CA"/>
        </w:rPr>
        <w:t>.</w:t>
      </w:r>
      <w:r w:rsidRPr="00C3315D">
        <w:rPr>
          <w:szCs w:val="24"/>
          <w:lang w:val="fr-CA" w:eastAsia="en-CA"/>
        </w:rPr>
        <w:t xml:space="preserve"> C’est la manière de fonctionner </w:t>
      </w:r>
      <w:r w:rsidR="004F5C7A">
        <w:rPr>
          <w:szCs w:val="24"/>
          <w:lang w:val="fr-CA" w:eastAsia="en-CA"/>
        </w:rPr>
        <w:t xml:space="preserve">du contrôle qui est </w:t>
      </w:r>
      <w:r w:rsidRPr="00C3315D">
        <w:rPr>
          <w:szCs w:val="24"/>
          <w:lang w:val="fr-CA" w:eastAsia="en-CA"/>
        </w:rPr>
        <w:t xml:space="preserve">décrite dans les documents des méthodes ou des procédures. </w:t>
      </w:r>
      <w:r w:rsidR="00030925">
        <w:rPr>
          <w:szCs w:val="24"/>
          <w:lang w:val="fr-CA" w:eastAsia="en-CA"/>
        </w:rPr>
        <w:t>A</w:t>
      </w:r>
      <w:r w:rsidR="00432A56">
        <w:rPr>
          <w:szCs w:val="24"/>
          <w:lang w:val="fr-CA" w:eastAsia="en-CA"/>
        </w:rPr>
        <w:t>utrement</w:t>
      </w:r>
      <w:r w:rsidR="00030925">
        <w:rPr>
          <w:szCs w:val="24"/>
          <w:lang w:val="fr-CA" w:eastAsia="en-CA"/>
        </w:rPr>
        <w:t xml:space="preserve"> dit</w:t>
      </w:r>
      <w:r w:rsidR="00432A56">
        <w:rPr>
          <w:szCs w:val="24"/>
          <w:lang w:val="fr-CA" w:eastAsia="en-CA"/>
        </w:rPr>
        <w:t>, c</w:t>
      </w:r>
      <w:r w:rsidRPr="00C3315D">
        <w:rPr>
          <w:szCs w:val="24"/>
          <w:lang w:val="fr-CA" w:eastAsia="en-CA"/>
        </w:rPr>
        <w:t xml:space="preserve">’est le fonctionnement prévu d’un </w:t>
      </w:r>
      <w:r w:rsidR="00432A56">
        <w:rPr>
          <w:szCs w:val="24"/>
          <w:lang w:val="fr-CA" w:eastAsia="en-CA"/>
        </w:rPr>
        <w:t xml:space="preserve">contrôle </w:t>
      </w:r>
      <w:r w:rsidRPr="00C3315D">
        <w:rPr>
          <w:szCs w:val="24"/>
          <w:lang w:val="fr-CA" w:eastAsia="en-CA"/>
        </w:rPr>
        <w:t>(par opposition au fonctionnement réel).</w:t>
      </w:r>
    </w:p>
    <w:p w:rsidR="0048588A" w:rsidRPr="00692D3D" w:rsidRDefault="00432A56" w:rsidP="0048588A">
      <w:pPr>
        <w:shd w:val="clear" w:color="auto" w:fill="FFFFFF"/>
        <w:spacing w:after="0"/>
        <w:rPr>
          <w:rFonts w:eastAsia="Times New Roman" w:cs="Arial"/>
          <w:lang w:val="fr-CA" w:eastAsia="en-CA"/>
        </w:rPr>
      </w:pPr>
      <w:r w:rsidRPr="00432A56">
        <w:rPr>
          <w:rFonts w:eastAsia="Times New Roman" w:cs="Arial"/>
          <w:bCs/>
          <w:lang w:val="fr-CA" w:eastAsia="en-CA"/>
        </w:rPr>
        <w:t>L’</w:t>
      </w:r>
      <w:r>
        <w:rPr>
          <w:rFonts w:eastAsia="Times New Roman" w:cs="Arial"/>
          <w:b/>
          <w:bCs/>
          <w:lang w:val="fr-CA" w:eastAsia="en-CA"/>
        </w:rPr>
        <w:t xml:space="preserve">efficacité </w:t>
      </w:r>
      <w:r w:rsidR="0048588A" w:rsidRPr="00692D3D">
        <w:rPr>
          <w:rFonts w:eastAsia="Times New Roman" w:cs="Arial"/>
          <w:b/>
          <w:bCs/>
          <w:lang w:val="fr-CA" w:eastAsia="en-CA"/>
        </w:rPr>
        <w:t>(o</w:t>
      </w:r>
      <w:r>
        <w:rPr>
          <w:rFonts w:eastAsia="Times New Roman" w:cs="Arial"/>
          <w:b/>
          <w:bCs/>
          <w:lang w:val="fr-CA" w:eastAsia="en-CA"/>
        </w:rPr>
        <w:t>u le fonctionnement</w:t>
      </w:r>
      <w:r w:rsidR="0048588A" w:rsidRPr="00692D3D">
        <w:rPr>
          <w:rFonts w:eastAsia="Times New Roman" w:cs="Arial"/>
          <w:b/>
          <w:bCs/>
          <w:lang w:val="fr-CA" w:eastAsia="en-CA"/>
        </w:rPr>
        <w:t>)</w:t>
      </w:r>
      <w:r>
        <w:rPr>
          <w:rFonts w:eastAsia="Times New Roman" w:cs="Arial"/>
          <w:b/>
          <w:bCs/>
          <w:lang w:val="fr-CA" w:eastAsia="en-CA"/>
        </w:rPr>
        <w:t xml:space="preserve"> d’un contrôle</w:t>
      </w:r>
      <w:r w:rsidR="0048588A" w:rsidRPr="00692D3D">
        <w:rPr>
          <w:rFonts w:eastAsia="Times New Roman" w:cs="Arial"/>
          <w:b/>
          <w:bCs/>
          <w:lang w:val="fr-CA" w:eastAsia="en-CA"/>
        </w:rPr>
        <w:t xml:space="preserve"> </w:t>
      </w:r>
      <w:r w:rsidRPr="00432A56">
        <w:rPr>
          <w:rFonts w:eastAsia="Times New Roman" w:cs="Arial"/>
          <w:lang w:val="fr-CA" w:eastAsia="en-CA"/>
        </w:rPr>
        <w:t>est son exécution dans le temps. Autrement dit, un contrôle fonctionne s’il est exécuté en continu comme prévu dans le temps (c</w:t>
      </w:r>
      <w:r w:rsidR="00030925">
        <w:rPr>
          <w:rFonts w:eastAsia="Times New Roman" w:cs="Arial"/>
          <w:lang w:val="fr-CA" w:eastAsia="en-CA"/>
        </w:rPr>
        <w:t>.</w:t>
      </w:r>
      <w:r w:rsidRPr="00432A56">
        <w:rPr>
          <w:rFonts w:eastAsia="Times New Roman" w:cs="Arial"/>
          <w:lang w:val="fr-CA" w:eastAsia="en-CA"/>
        </w:rPr>
        <w:t>-à-d</w:t>
      </w:r>
      <w:r w:rsidR="00030925">
        <w:rPr>
          <w:rFonts w:eastAsia="Times New Roman" w:cs="Arial"/>
          <w:lang w:val="fr-CA" w:eastAsia="en-CA"/>
        </w:rPr>
        <w:t>.</w:t>
      </w:r>
      <w:r w:rsidRPr="00432A56">
        <w:rPr>
          <w:rFonts w:eastAsia="Times New Roman" w:cs="Arial"/>
          <w:lang w:val="fr-CA" w:eastAsia="en-CA"/>
        </w:rPr>
        <w:t xml:space="preserve"> une exécution efficace continue</w:t>
      </w:r>
      <w:r w:rsidR="0048588A" w:rsidRPr="00692D3D">
        <w:rPr>
          <w:rFonts w:eastAsia="Times New Roman" w:cs="Arial"/>
          <w:lang w:val="fr-CA" w:eastAsia="en-CA"/>
        </w:rPr>
        <w:t xml:space="preserve">). </w:t>
      </w:r>
      <w:r>
        <w:rPr>
          <w:rFonts w:eastAsia="Times New Roman" w:cs="Arial"/>
          <w:lang w:val="fr-CA" w:eastAsia="en-CA"/>
        </w:rPr>
        <w:t>L’efficacité d’un contrôle n’</w:t>
      </w:r>
      <w:r w:rsidR="00E066EB">
        <w:rPr>
          <w:rFonts w:eastAsia="Times New Roman" w:cs="Arial"/>
          <w:lang w:val="fr-CA" w:eastAsia="en-CA"/>
        </w:rPr>
        <w:t>est pas évaluée dans ce modèle.</w:t>
      </w:r>
    </w:p>
    <w:p w:rsidR="00692D3D" w:rsidRPr="00C3315D" w:rsidRDefault="00692D3D" w:rsidP="00692D3D">
      <w:pPr>
        <w:rPr>
          <w:szCs w:val="24"/>
          <w:lang w:val="fr-CA" w:eastAsia="en-CA"/>
        </w:rPr>
      </w:pPr>
      <w:r w:rsidRPr="00C3315D">
        <w:rPr>
          <w:bCs/>
          <w:szCs w:val="24"/>
          <w:lang w:val="fr-CA" w:eastAsia="en-CA"/>
        </w:rPr>
        <w:t xml:space="preserve">La </w:t>
      </w:r>
      <w:r w:rsidRPr="00C3315D">
        <w:rPr>
          <w:b/>
          <w:bCs/>
          <w:szCs w:val="24"/>
          <w:lang w:val="fr-CA" w:eastAsia="en-CA"/>
        </w:rPr>
        <w:t xml:space="preserve">mise en œuvre d’un contrôle </w:t>
      </w:r>
      <w:r w:rsidRPr="00C3315D">
        <w:rPr>
          <w:bCs/>
          <w:szCs w:val="24"/>
          <w:lang w:val="fr-CA" w:eastAsia="en-CA"/>
        </w:rPr>
        <w:t>est le fonctionnement d’une occurrence du contrôle</w:t>
      </w:r>
      <w:r w:rsidR="008F0663">
        <w:rPr>
          <w:bCs/>
          <w:szCs w:val="24"/>
          <w:lang w:val="fr-CA" w:eastAsia="en-CA"/>
        </w:rPr>
        <w:t>,</w:t>
      </w:r>
      <w:r w:rsidRPr="00C3315D">
        <w:rPr>
          <w:bCs/>
          <w:szCs w:val="24"/>
          <w:lang w:val="fr-CA" w:eastAsia="en-CA"/>
        </w:rPr>
        <w:t xml:space="preserve"> </w:t>
      </w:r>
      <w:r w:rsidR="008F0663">
        <w:rPr>
          <w:bCs/>
          <w:szCs w:val="24"/>
          <w:lang w:val="fr-CA" w:eastAsia="en-CA"/>
        </w:rPr>
        <w:t>soit</w:t>
      </w:r>
      <w:r w:rsidR="008F0663" w:rsidRPr="00C3315D">
        <w:rPr>
          <w:bCs/>
          <w:szCs w:val="24"/>
          <w:lang w:val="fr-CA" w:eastAsia="en-CA"/>
        </w:rPr>
        <w:t xml:space="preserve"> </w:t>
      </w:r>
      <w:r w:rsidRPr="00C3315D">
        <w:rPr>
          <w:bCs/>
          <w:szCs w:val="24"/>
          <w:lang w:val="fr-CA" w:eastAsia="en-CA"/>
        </w:rPr>
        <w:t>s</w:t>
      </w:r>
      <w:r w:rsidR="004F5C7A">
        <w:rPr>
          <w:bCs/>
          <w:szCs w:val="24"/>
          <w:lang w:val="fr-CA" w:eastAsia="en-CA"/>
        </w:rPr>
        <w:t xml:space="preserve">on existence </w:t>
      </w:r>
      <w:r w:rsidRPr="00C3315D">
        <w:rPr>
          <w:bCs/>
          <w:szCs w:val="24"/>
          <w:lang w:val="fr-CA" w:eastAsia="en-CA"/>
        </w:rPr>
        <w:t>à un moment précis.</w:t>
      </w:r>
      <w:r w:rsidRPr="00C3315D">
        <w:rPr>
          <w:szCs w:val="24"/>
          <w:lang w:val="fr-CA" w:eastAsia="en-CA"/>
        </w:rPr>
        <w:t xml:space="preserve"> </w:t>
      </w:r>
      <w:r w:rsidR="00D76B33">
        <w:rPr>
          <w:szCs w:val="24"/>
          <w:lang w:val="fr-CA" w:eastAsia="en-CA"/>
        </w:rPr>
        <w:t>La mise en œuvre</w:t>
      </w:r>
      <w:r w:rsidR="00D76B33" w:rsidRPr="00C3315D">
        <w:rPr>
          <w:szCs w:val="24"/>
          <w:lang w:val="fr-CA" w:eastAsia="en-CA"/>
        </w:rPr>
        <w:t xml:space="preserve"> </w:t>
      </w:r>
      <w:r w:rsidRPr="00C3315D">
        <w:rPr>
          <w:szCs w:val="24"/>
          <w:lang w:val="fr-CA" w:eastAsia="en-CA"/>
        </w:rPr>
        <w:t>est souvent examinée en même temps que la conception et elle est différente du fonctionnement</w:t>
      </w:r>
      <w:r w:rsidR="004F5C7A">
        <w:rPr>
          <w:szCs w:val="24"/>
          <w:lang w:val="fr-CA" w:eastAsia="en-CA"/>
        </w:rPr>
        <w:t xml:space="preserve"> du contrôle</w:t>
      </w:r>
      <w:r w:rsidRPr="00C3315D">
        <w:rPr>
          <w:szCs w:val="24"/>
          <w:lang w:val="fr-CA" w:eastAsia="en-CA"/>
        </w:rPr>
        <w:t>.</w:t>
      </w:r>
    </w:p>
    <w:p w:rsidR="00EA4280" w:rsidRPr="00692D3D" w:rsidRDefault="00432A56" w:rsidP="00A93805">
      <w:pPr>
        <w:shd w:val="clear" w:color="auto" w:fill="FFFFFF"/>
        <w:spacing w:after="0"/>
        <w:rPr>
          <w:rFonts w:eastAsia="Times New Roman" w:cs="Arial"/>
          <w:lang w:val="fr-CA" w:eastAsia="en-CA"/>
        </w:rPr>
      </w:pPr>
      <w:r w:rsidRPr="002B344F">
        <w:rPr>
          <w:rFonts w:eastAsia="Times New Roman" w:cs="Arial"/>
          <w:lang w:val="fr-CA" w:eastAsia="en-CA"/>
        </w:rPr>
        <w:t>L’</w:t>
      </w:r>
      <w:r>
        <w:rPr>
          <w:rFonts w:eastAsia="Times New Roman" w:cs="Arial"/>
          <w:b/>
          <w:lang w:val="fr-CA" w:eastAsia="en-CA"/>
        </w:rPr>
        <w:t xml:space="preserve">objet considéré </w:t>
      </w:r>
      <w:r w:rsidR="00721539">
        <w:rPr>
          <w:rFonts w:eastAsia="Times New Roman" w:cs="Arial"/>
          <w:lang w:val="fr-CA" w:eastAsia="en-CA"/>
        </w:rPr>
        <w:t xml:space="preserve">désigne </w:t>
      </w:r>
      <w:r>
        <w:rPr>
          <w:rFonts w:eastAsia="Times New Roman" w:cs="Arial"/>
          <w:lang w:val="fr-CA" w:eastAsia="en-CA"/>
        </w:rPr>
        <w:t xml:space="preserve">à la fois l’entité et les sujets visés par l’audit. Ainsi, dans le cadre d’un examen spécial, l’objet considéré est la société d’État. Pour certains audits de performance, l’objet considéré peut être une fonction ou une activité commune à l’ensemble de l’administration publique, comme la gestion des ressources humaines. Dans ces cas de figure, l’équipe d’audit doit obtenir une compréhension du sujet et des modalités de </w:t>
      </w:r>
      <w:r w:rsidR="00721539">
        <w:rPr>
          <w:rFonts w:eastAsia="Times New Roman" w:cs="Arial"/>
          <w:lang w:val="fr-CA" w:eastAsia="en-CA"/>
        </w:rPr>
        <w:t xml:space="preserve">sa </w:t>
      </w:r>
      <w:r>
        <w:rPr>
          <w:rFonts w:eastAsia="Times New Roman" w:cs="Arial"/>
          <w:lang w:val="fr-CA" w:eastAsia="en-CA"/>
        </w:rPr>
        <w:t>gestion appliquées par chacune des entités</w:t>
      </w:r>
      <w:r w:rsidR="00E066EB">
        <w:rPr>
          <w:rFonts w:eastAsia="Times New Roman" w:cs="Arial"/>
          <w:lang w:val="fr-CA" w:eastAsia="en-CA"/>
        </w:rPr>
        <w:t xml:space="preserve"> retenues aux fins de l’audit.</w:t>
      </w:r>
    </w:p>
    <w:p w:rsidR="00002FAC" w:rsidRPr="00692D3D" w:rsidRDefault="00795237" w:rsidP="00A93805">
      <w:pPr>
        <w:shd w:val="clear" w:color="auto" w:fill="FFFFFF"/>
        <w:spacing w:after="0"/>
        <w:rPr>
          <w:lang w:val="fr-CA"/>
        </w:rPr>
      </w:pPr>
      <w:r w:rsidRPr="00795237">
        <w:rPr>
          <w:lang w:val="fr-CA"/>
        </w:rPr>
        <w:t>Les</w:t>
      </w:r>
      <w:r>
        <w:rPr>
          <w:b/>
          <w:lang w:val="fr-CA"/>
        </w:rPr>
        <w:t xml:space="preserve"> objectifs liés à l’objet considéré </w:t>
      </w:r>
      <w:r>
        <w:rPr>
          <w:lang w:val="fr-CA"/>
        </w:rPr>
        <w:t xml:space="preserve">sont les missions, le mandat, les grandes priorités et/ou les engagements qui se rattachent à l’objet considéré. </w:t>
      </w:r>
      <w:r w:rsidRPr="00795237">
        <w:rPr>
          <w:lang w:val="fr-CA"/>
        </w:rPr>
        <w:t xml:space="preserve">L’objet considéré </w:t>
      </w:r>
      <w:r w:rsidR="00721539">
        <w:rPr>
          <w:lang w:val="fr-CA"/>
        </w:rPr>
        <w:t>doit</w:t>
      </w:r>
      <w:r w:rsidR="00721539" w:rsidRPr="00795237">
        <w:rPr>
          <w:lang w:val="fr-CA"/>
        </w:rPr>
        <w:t xml:space="preserve"> </w:t>
      </w:r>
      <w:r w:rsidRPr="00795237">
        <w:rPr>
          <w:lang w:val="fr-CA"/>
        </w:rPr>
        <w:t xml:space="preserve">être défini en termes suffisamment généraux pour qu’aucune question importante ne soit </w:t>
      </w:r>
      <w:r w:rsidR="004F5C7A">
        <w:rPr>
          <w:lang w:val="fr-CA"/>
        </w:rPr>
        <w:t>omise</w:t>
      </w:r>
      <w:r w:rsidRPr="00795237">
        <w:rPr>
          <w:lang w:val="fr-CA"/>
        </w:rPr>
        <w:t xml:space="preserve"> à l’étape de la planification. L’objectif de l’audit est l’un des résultats des travaux de planification. Il concerne la manière dont l’équipe auditera l’objet considéré (y compris comment l’approche permettra de contrer les risques </w:t>
      </w:r>
      <w:r w:rsidR="00721539" w:rsidRPr="00795237">
        <w:rPr>
          <w:lang w:val="fr-CA"/>
        </w:rPr>
        <w:t xml:space="preserve">évalués </w:t>
      </w:r>
      <w:r w:rsidRPr="00795237">
        <w:rPr>
          <w:lang w:val="fr-CA"/>
        </w:rPr>
        <w:t>liés à l’objet considéré)</w:t>
      </w:r>
      <w:r w:rsidR="00E066EB">
        <w:rPr>
          <w:lang w:val="fr-CA"/>
        </w:rPr>
        <w:t>.</w:t>
      </w:r>
    </w:p>
    <w:p w:rsidR="00593CA8" w:rsidRPr="00692D3D" w:rsidRDefault="00795237" w:rsidP="00A93805">
      <w:pPr>
        <w:pStyle w:val="EndnoteText"/>
        <w:rPr>
          <w:sz w:val="22"/>
          <w:szCs w:val="22"/>
          <w:lang w:val="fr-CA"/>
        </w:rPr>
      </w:pPr>
      <w:r w:rsidRPr="00795237">
        <w:rPr>
          <w:sz w:val="22"/>
          <w:szCs w:val="22"/>
          <w:lang w:val="fr-CA"/>
        </w:rPr>
        <w:t xml:space="preserve">Les </w:t>
      </w:r>
      <w:r>
        <w:rPr>
          <w:b/>
          <w:sz w:val="22"/>
          <w:szCs w:val="22"/>
          <w:lang w:val="fr-CA"/>
        </w:rPr>
        <w:t xml:space="preserve">risques </w:t>
      </w:r>
      <w:r w:rsidRPr="00992ACA">
        <w:rPr>
          <w:b/>
          <w:sz w:val="22"/>
          <w:szCs w:val="22"/>
          <w:lang w:val="fr-CA"/>
        </w:rPr>
        <w:t xml:space="preserve">liés à l’objet considéré </w:t>
      </w:r>
      <w:r w:rsidRPr="00992ACA">
        <w:rPr>
          <w:sz w:val="22"/>
          <w:szCs w:val="22"/>
          <w:lang w:val="fr-CA"/>
        </w:rPr>
        <w:t>sont les risques qui se rattachent à l’entité et aux sujets qui sont audités</w:t>
      </w:r>
      <w:r w:rsidR="00002FAC" w:rsidRPr="00992ACA">
        <w:rPr>
          <w:rFonts w:eastAsia="Times New Roman" w:cs="Arial"/>
          <w:sz w:val="22"/>
          <w:szCs w:val="22"/>
          <w:lang w:val="fr-CA" w:eastAsia="en-CA"/>
        </w:rPr>
        <w:t xml:space="preserve">. </w:t>
      </w:r>
      <w:r w:rsidR="008959EE" w:rsidRPr="00992ACA">
        <w:rPr>
          <w:rFonts w:eastAsia="Times New Roman" w:cs="Arial"/>
          <w:sz w:val="22"/>
          <w:szCs w:val="22"/>
          <w:lang w:val="fr-CA" w:eastAsia="en-CA"/>
        </w:rPr>
        <w:t xml:space="preserve">Il faut </w:t>
      </w:r>
      <w:r w:rsidR="00B7337A">
        <w:rPr>
          <w:rFonts w:eastAsia="Times New Roman" w:cs="Arial"/>
          <w:sz w:val="22"/>
          <w:szCs w:val="22"/>
          <w:lang w:val="fr-CA" w:eastAsia="en-CA"/>
        </w:rPr>
        <w:t xml:space="preserve">penser à ce qui pourrait empêcher l’entité </w:t>
      </w:r>
      <w:r w:rsidR="00D76B33">
        <w:rPr>
          <w:rFonts w:eastAsia="Times New Roman" w:cs="Arial"/>
          <w:sz w:val="22"/>
          <w:szCs w:val="22"/>
          <w:lang w:val="fr-CA" w:eastAsia="en-CA"/>
        </w:rPr>
        <w:t>d’atteindre</w:t>
      </w:r>
      <w:r w:rsidR="00B7337A">
        <w:rPr>
          <w:rFonts w:eastAsia="Times New Roman" w:cs="Arial"/>
          <w:sz w:val="22"/>
          <w:szCs w:val="22"/>
          <w:lang w:val="fr-CA" w:eastAsia="en-CA"/>
        </w:rPr>
        <w:t xml:space="preserve"> les objectifs liés à l’objet considéré.</w:t>
      </w:r>
    </w:p>
    <w:p w:rsidR="00ED0229" w:rsidRPr="00E066EB" w:rsidRDefault="00ED0229">
      <w:pPr>
        <w:spacing w:before="0" w:after="200" w:line="276" w:lineRule="auto"/>
        <w:rPr>
          <w:strike/>
          <w:sz w:val="24"/>
          <w:szCs w:val="24"/>
          <w:lang w:val="fr-CA"/>
        </w:rPr>
      </w:pPr>
      <w:r w:rsidRPr="00692D3D">
        <w:rPr>
          <w:strike/>
          <w:color w:val="ED7D31"/>
          <w:sz w:val="24"/>
          <w:szCs w:val="24"/>
          <w:lang w:val="fr-CA"/>
        </w:rPr>
        <w:br w:type="page"/>
      </w:r>
    </w:p>
    <w:p w:rsidR="00037C65" w:rsidRPr="00692D3D" w:rsidRDefault="00692D3D" w:rsidP="00A93805">
      <w:pPr>
        <w:keepNext/>
        <w:keepLines/>
        <w:spacing w:before="360"/>
        <w:rPr>
          <w:rFonts w:cs="Arial"/>
          <w:b/>
          <w:caps/>
          <w:sz w:val="24"/>
          <w:szCs w:val="24"/>
          <w:lang w:val="fr-CA"/>
        </w:rPr>
      </w:pPr>
      <w:r w:rsidRPr="00692D3D">
        <w:rPr>
          <w:rFonts w:cs="Arial"/>
          <w:b/>
          <w:caps/>
          <w:sz w:val="24"/>
          <w:szCs w:val="24"/>
          <w:lang w:val="fr-CA"/>
        </w:rPr>
        <w:lastRenderedPageBreak/>
        <w:t>TRAVAUX REQUIS POUR ÉVALUER LES CONTRÔLES À L’ÉTAPE DE LA PLANIFICATION</w:t>
      </w:r>
    </w:p>
    <w:p w:rsidR="00A51314" w:rsidRPr="00692D3D" w:rsidRDefault="00692D3D" w:rsidP="00A93805">
      <w:pPr>
        <w:spacing w:after="120"/>
        <w:rPr>
          <w:rFonts w:eastAsia="Times New Roman" w:cs="Arial"/>
          <w:lang w:val="fr-CA" w:eastAsia="en-CA"/>
        </w:rPr>
      </w:pPr>
      <w:r w:rsidRPr="00692D3D">
        <w:rPr>
          <w:rFonts w:eastAsia="Times New Roman" w:cs="Arial"/>
          <w:lang w:val="fr-CA" w:eastAsia="en-CA"/>
        </w:rPr>
        <w:t xml:space="preserve">Toutes les équipes </w:t>
      </w:r>
      <w:r w:rsidR="00E47B62">
        <w:rPr>
          <w:rFonts w:eastAsia="Times New Roman" w:cs="Arial"/>
          <w:lang w:val="fr-CA" w:eastAsia="en-CA"/>
        </w:rPr>
        <w:t xml:space="preserve">d’audit </w:t>
      </w:r>
      <w:r w:rsidRPr="00692D3D">
        <w:rPr>
          <w:rFonts w:eastAsia="Times New Roman" w:cs="Arial"/>
          <w:lang w:val="fr-CA" w:eastAsia="en-CA"/>
        </w:rPr>
        <w:t xml:space="preserve">doivent recenser les contrôles </w:t>
      </w:r>
      <w:r w:rsidR="00EC7AD0">
        <w:rPr>
          <w:rFonts w:eastAsia="Times New Roman" w:cs="Arial"/>
          <w:lang w:val="fr-CA" w:eastAsia="en-CA"/>
        </w:rPr>
        <w:t>clé</w:t>
      </w:r>
      <w:r w:rsidR="00EC7AD0" w:rsidRPr="00692D3D">
        <w:rPr>
          <w:rFonts w:eastAsia="Times New Roman" w:cs="Arial"/>
          <w:lang w:val="fr-CA" w:eastAsia="en-CA"/>
        </w:rPr>
        <w:t xml:space="preserve">s </w:t>
      </w:r>
      <w:r w:rsidRPr="00692D3D">
        <w:rPr>
          <w:rFonts w:eastAsia="Times New Roman" w:cs="Arial"/>
          <w:lang w:val="fr-CA" w:eastAsia="en-CA"/>
        </w:rPr>
        <w:t>(colonne</w:t>
      </w:r>
      <w:r w:rsidR="00721539">
        <w:rPr>
          <w:rFonts w:eastAsia="Times New Roman" w:cs="Arial"/>
          <w:lang w:val="fr-CA" w:eastAsia="en-CA"/>
        </w:rPr>
        <w:t> </w:t>
      </w:r>
      <w:r w:rsidR="00E47B62">
        <w:rPr>
          <w:rFonts w:eastAsia="Times New Roman" w:cs="Arial"/>
          <w:lang w:val="fr-CA" w:eastAsia="en-CA"/>
        </w:rPr>
        <w:t>C</w:t>
      </w:r>
      <w:r w:rsidRPr="00692D3D">
        <w:rPr>
          <w:rFonts w:eastAsia="Times New Roman" w:cs="Arial"/>
          <w:lang w:val="fr-CA" w:eastAsia="en-CA"/>
        </w:rPr>
        <w:t>) et déterminer l</w:t>
      </w:r>
      <w:r w:rsidR="00E47B62">
        <w:rPr>
          <w:rFonts w:eastAsia="Times New Roman" w:cs="Arial"/>
          <w:lang w:val="fr-CA" w:eastAsia="en-CA"/>
        </w:rPr>
        <w:t>’</w:t>
      </w:r>
      <w:r w:rsidRPr="00692D3D">
        <w:rPr>
          <w:rFonts w:eastAsia="Times New Roman" w:cs="Arial"/>
          <w:lang w:val="fr-CA" w:eastAsia="en-CA"/>
        </w:rPr>
        <w:t xml:space="preserve">incidence </w:t>
      </w:r>
      <w:r w:rsidR="00E47B62">
        <w:rPr>
          <w:rFonts w:eastAsia="Times New Roman" w:cs="Arial"/>
          <w:lang w:val="fr-CA" w:eastAsia="en-CA"/>
        </w:rPr>
        <w:t xml:space="preserve">des contrôles </w:t>
      </w:r>
      <w:r w:rsidRPr="00692D3D">
        <w:rPr>
          <w:rFonts w:eastAsia="Times New Roman" w:cs="Arial"/>
          <w:lang w:val="fr-CA" w:eastAsia="en-CA"/>
        </w:rPr>
        <w:t>sur l’étendue et la stratégie de l’audit (colonnes</w:t>
      </w:r>
      <w:r w:rsidR="00721539">
        <w:rPr>
          <w:rFonts w:eastAsia="Times New Roman" w:cs="Arial"/>
          <w:lang w:val="fr-CA" w:eastAsia="en-CA"/>
        </w:rPr>
        <w:t> </w:t>
      </w:r>
      <w:r w:rsidR="00E47B62">
        <w:rPr>
          <w:rFonts w:eastAsia="Times New Roman" w:cs="Arial"/>
          <w:lang w:val="fr-CA" w:eastAsia="en-CA"/>
        </w:rPr>
        <w:t xml:space="preserve">E et F). Selon l’objectif de l’audit, certaines équipes peuvent devoir </w:t>
      </w:r>
      <w:r w:rsidRPr="00692D3D">
        <w:rPr>
          <w:rFonts w:eastAsia="Times New Roman" w:cs="Arial"/>
          <w:lang w:val="fr-CA" w:eastAsia="en-CA"/>
        </w:rPr>
        <w:t>évaluer la conception et la mise en œuvre des contrôles (colonnes</w:t>
      </w:r>
      <w:r w:rsidR="00721539">
        <w:rPr>
          <w:rFonts w:eastAsia="Times New Roman" w:cs="Arial"/>
          <w:lang w:val="fr-CA" w:eastAsia="en-CA"/>
        </w:rPr>
        <w:t> </w:t>
      </w:r>
      <w:r w:rsidR="00E47B62">
        <w:rPr>
          <w:rFonts w:eastAsia="Times New Roman" w:cs="Arial"/>
          <w:lang w:val="fr-CA" w:eastAsia="en-CA"/>
        </w:rPr>
        <w:t>D</w:t>
      </w:r>
      <w:r w:rsidRPr="00692D3D">
        <w:rPr>
          <w:rFonts w:eastAsia="Times New Roman" w:cs="Arial"/>
          <w:lang w:val="fr-CA" w:eastAsia="en-CA"/>
        </w:rPr>
        <w:t xml:space="preserve">1 et </w:t>
      </w:r>
      <w:r w:rsidR="00E47B62">
        <w:rPr>
          <w:rFonts w:eastAsia="Times New Roman" w:cs="Arial"/>
          <w:lang w:val="fr-CA" w:eastAsia="en-CA"/>
        </w:rPr>
        <w:t>D</w:t>
      </w:r>
      <w:r w:rsidRPr="00692D3D">
        <w:rPr>
          <w:rFonts w:eastAsia="Times New Roman" w:cs="Arial"/>
          <w:lang w:val="fr-CA" w:eastAsia="en-CA"/>
        </w:rPr>
        <w:t>2) pendant l’étape de la planification. L’encadré ci</w:t>
      </w:r>
      <w:r w:rsidR="00E066EB">
        <w:rPr>
          <w:rFonts w:eastAsia="Times New Roman" w:cs="Arial"/>
          <w:lang w:val="fr-CA" w:eastAsia="en-CA"/>
        </w:rPr>
        <w:noBreakHyphen/>
      </w:r>
      <w:r w:rsidRPr="00692D3D">
        <w:rPr>
          <w:rFonts w:eastAsia="Times New Roman" w:cs="Arial"/>
          <w:lang w:val="fr-CA" w:eastAsia="en-CA"/>
        </w:rPr>
        <w:t>après aidera les auditeurs à déterminer les travaux qui sont requis</w:t>
      </w:r>
      <w:r w:rsidR="00040678" w:rsidRPr="00692D3D">
        <w:rPr>
          <w:rFonts w:eastAsia="Times New Roman" w:cs="Arial"/>
          <w:lang w:val="fr-CA" w:eastAsia="en-CA"/>
        </w:rPr>
        <w:t>.</w:t>
      </w:r>
    </w:p>
    <w:p w:rsidR="009A305C" w:rsidRPr="00692D3D" w:rsidRDefault="004F5C7A" w:rsidP="00A93805">
      <w:pPr>
        <w:spacing w:after="0"/>
        <w:rPr>
          <w:rFonts w:cs="Arial"/>
          <w:b/>
          <w:caps/>
          <w:sz w:val="24"/>
          <w:szCs w:val="24"/>
          <w:lang w:val="fr-CA"/>
        </w:rPr>
      </w:pPr>
      <w:r>
        <w:rPr>
          <w:rFonts w:eastAsia="Times New Roman" w:cs="Arial"/>
          <w:b/>
          <w:sz w:val="24"/>
          <w:szCs w:val="24"/>
          <w:lang w:val="fr-CA" w:eastAsia="en-CA"/>
        </w:rPr>
        <w:t xml:space="preserve">Évaluation des contrôles à </w:t>
      </w:r>
      <w:r w:rsidR="00692D3D">
        <w:rPr>
          <w:rFonts w:eastAsia="Times New Roman" w:cs="Arial"/>
          <w:b/>
          <w:sz w:val="24"/>
          <w:szCs w:val="24"/>
          <w:lang w:val="fr-CA" w:eastAsia="en-CA"/>
        </w:rPr>
        <w:t>l’étape de la planification</w:t>
      </w:r>
    </w:p>
    <w:tbl>
      <w:tblPr>
        <w:tblStyle w:val="TableGrid"/>
        <w:tblW w:w="5000" w:type="pct"/>
        <w:tblLayout w:type="fixed"/>
        <w:tblCellMar>
          <w:left w:w="115" w:type="dxa"/>
          <w:right w:w="115" w:type="dxa"/>
        </w:tblCellMar>
        <w:tblLook w:val="04A0" w:firstRow="1" w:lastRow="0" w:firstColumn="1" w:lastColumn="0" w:noHBand="0" w:noVBand="1"/>
      </w:tblPr>
      <w:tblGrid>
        <w:gridCol w:w="558"/>
        <w:gridCol w:w="6950"/>
        <w:gridCol w:w="9762"/>
      </w:tblGrid>
      <w:tr w:rsidR="000739F5" w:rsidRPr="00E924A4" w:rsidTr="00A93805">
        <w:trPr>
          <w:trHeight w:val="326"/>
          <w:tblHeader/>
        </w:trPr>
        <w:tc>
          <w:tcPr>
            <w:tcW w:w="7508" w:type="dxa"/>
            <w:gridSpan w:val="2"/>
            <w:shd w:val="clear" w:color="auto" w:fill="DBE5F1" w:themeFill="accent1" w:themeFillTint="33"/>
            <w:vAlign w:val="center"/>
          </w:tcPr>
          <w:p w:rsidR="000739F5" w:rsidRPr="00692D3D" w:rsidRDefault="00692D3D" w:rsidP="00A93805">
            <w:pPr>
              <w:spacing w:before="180" w:after="180"/>
              <w:jc w:val="center"/>
              <w:rPr>
                <w:rFonts w:cs="Arial"/>
                <w:b/>
                <w:sz w:val="24"/>
                <w:szCs w:val="24"/>
                <w:lang w:val="fr-CA"/>
              </w:rPr>
            </w:pPr>
            <w:r w:rsidRPr="00C3315D">
              <w:rPr>
                <w:b/>
                <w:szCs w:val="24"/>
                <w:lang w:val="fr-CA"/>
              </w:rPr>
              <w:t>Cocher la situation qui s’applique à votre audit</w:t>
            </w:r>
          </w:p>
        </w:tc>
        <w:tc>
          <w:tcPr>
            <w:tcW w:w="9762" w:type="dxa"/>
            <w:shd w:val="clear" w:color="auto" w:fill="DBE5F1" w:themeFill="accent1" w:themeFillTint="33"/>
            <w:vAlign w:val="center"/>
          </w:tcPr>
          <w:p w:rsidR="000739F5" w:rsidRPr="00692D3D" w:rsidRDefault="00692D3D" w:rsidP="00692D3D">
            <w:pPr>
              <w:spacing w:before="180" w:after="180"/>
              <w:jc w:val="center"/>
              <w:rPr>
                <w:rFonts w:cs="Arial"/>
                <w:b/>
                <w:sz w:val="24"/>
                <w:szCs w:val="24"/>
                <w:lang w:val="fr-CA"/>
              </w:rPr>
            </w:pPr>
            <w:r w:rsidRPr="00692D3D">
              <w:rPr>
                <w:rFonts w:cs="Arial"/>
                <w:b/>
                <w:sz w:val="24"/>
                <w:szCs w:val="24"/>
                <w:lang w:val="fr-CA"/>
              </w:rPr>
              <w:t>Exigence relative à l’évaluation de la conception</w:t>
            </w:r>
            <w:r>
              <w:rPr>
                <w:rFonts w:cs="Arial"/>
                <w:b/>
                <w:sz w:val="24"/>
                <w:szCs w:val="24"/>
                <w:lang w:val="fr-CA"/>
              </w:rPr>
              <w:t xml:space="preserve"> </w:t>
            </w:r>
            <w:r w:rsidRPr="00692D3D">
              <w:rPr>
                <w:rFonts w:cs="Arial"/>
                <w:b/>
                <w:sz w:val="24"/>
                <w:szCs w:val="24"/>
                <w:lang w:val="fr-CA"/>
              </w:rPr>
              <w:t xml:space="preserve">et de la mise en œuvre des contrôles lors de la planification </w:t>
            </w:r>
          </w:p>
        </w:tc>
      </w:tr>
      <w:tr w:rsidR="00692D3D" w:rsidRPr="00E924A4" w:rsidTr="00A93805">
        <w:tc>
          <w:tcPr>
            <w:tcW w:w="558" w:type="dxa"/>
            <w:vAlign w:val="center"/>
          </w:tcPr>
          <w:p w:rsidR="00692D3D" w:rsidRPr="00692D3D" w:rsidRDefault="00692D3D" w:rsidP="00692D3D">
            <w:pPr>
              <w:rPr>
                <w:rFonts w:cs="Arial"/>
                <w:sz w:val="24"/>
                <w:szCs w:val="24"/>
                <w:lang w:val="fr-CA"/>
              </w:rPr>
            </w:pPr>
            <w:r w:rsidRPr="00692D3D">
              <w:rPr>
                <w:rFonts w:cs="Arial"/>
                <w:sz w:val="24"/>
                <w:szCs w:val="24"/>
                <w:lang w:val="fr-CA"/>
              </w:rPr>
              <w:fldChar w:fldCharType="begin">
                <w:ffData>
                  <w:name w:val=""/>
                  <w:enabled/>
                  <w:calcOnExit w:val="0"/>
                  <w:checkBox>
                    <w:size w:val="28"/>
                    <w:default w:val="0"/>
                  </w:checkBox>
                </w:ffData>
              </w:fldChar>
            </w:r>
            <w:r w:rsidRPr="00692D3D">
              <w:rPr>
                <w:rFonts w:cs="Arial"/>
                <w:sz w:val="24"/>
                <w:szCs w:val="24"/>
                <w:lang w:val="fr-CA"/>
              </w:rPr>
              <w:instrText xml:space="preserve"> FORMCHECKBOX </w:instrText>
            </w:r>
            <w:r w:rsidR="00E924A4">
              <w:rPr>
                <w:rFonts w:cs="Arial"/>
                <w:sz w:val="24"/>
                <w:szCs w:val="24"/>
                <w:lang w:val="fr-CA"/>
              </w:rPr>
            </w:r>
            <w:r w:rsidR="00E924A4">
              <w:rPr>
                <w:rFonts w:cs="Arial"/>
                <w:sz w:val="24"/>
                <w:szCs w:val="24"/>
                <w:lang w:val="fr-CA"/>
              </w:rPr>
              <w:fldChar w:fldCharType="separate"/>
            </w:r>
            <w:r w:rsidRPr="00692D3D">
              <w:rPr>
                <w:rFonts w:cs="Arial"/>
                <w:sz w:val="24"/>
                <w:szCs w:val="24"/>
                <w:lang w:val="fr-CA"/>
              </w:rPr>
              <w:fldChar w:fldCharType="end"/>
            </w:r>
          </w:p>
        </w:tc>
        <w:tc>
          <w:tcPr>
            <w:tcW w:w="6950" w:type="dxa"/>
          </w:tcPr>
          <w:p w:rsidR="00692D3D" w:rsidRPr="00692D3D" w:rsidRDefault="00DF42EC" w:rsidP="00DF42EC">
            <w:pPr>
              <w:spacing w:before="120" w:after="120"/>
              <w:rPr>
                <w:rFonts w:cs="Arial"/>
                <w:lang w:val="fr-CA"/>
              </w:rPr>
            </w:pPr>
            <w:r>
              <w:rPr>
                <w:szCs w:val="24"/>
                <w:lang w:val="fr-CA"/>
              </w:rPr>
              <w:t>A</w:t>
            </w:r>
            <w:r w:rsidR="00692D3D" w:rsidRPr="00C3315D">
              <w:rPr>
                <w:szCs w:val="24"/>
                <w:lang w:val="fr-CA"/>
              </w:rPr>
              <w:t>udit de performance</w:t>
            </w:r>
            <w:r>
              <w:rPr>
                <w:szCs w:val="24"/>
                <w:lang w:val="fr-CA"/>
              </w:rPr>
              <w:t xml:space="preserve"> : </w:t>
            </w:r>
            <w:r w:rsidR="00692D3D" w:rsidRPr="00C3315D">
              <w:rPr>
                <w:szCs w:val="24"/>
                <w:lang w:val="fr-CA"/>
              </w:rPr>
              <w:t>les contrôles ne sont pas pertinent</w:t>
            </w:r>
            <w:r>
              <w:rPr>
                <w:szCs w:val="24"/>
                <w:lang w:val="fr-CA"/>
              </w:rPr>
              <w:t>s pour l’objectif de l’audit (</w:t>
            </w:r>
            <w:r w:rsidR="00721539">
              <w:rPr>
                <w:szCs w:val="24"/>
                <w:lang w:val="fr-CA"/>
              </w:rPr>
              <w:t>c.-à-d. que l’</w:t>
            </w:r>
            <w:r w:rsidR="00692D3D" w:rsidRPr="00C3315D">
              <w:rPr>
                <w:szCs w:val="24"/>
                <w:lang w:val="fr-CA"/>
              </w:rPr>
              <w:t xml:space="preserve">audit </w:t>
            </w:r>
            <w:r w:rsidR="00721539">
              <w:rPr>
                <w:szCs w:val="24"/>
                <w:lang w:val="fr-CA"/>
              </w:rPr>
              <w:t xml:space="preserve">est </w:t>
            </w:r>
            <w:r w:rsidR="00692D3D" w:rsidRPr="00C3315D">
              <w:rPr>
                <w:szCs w:val="24"/>
                <w:lang w:val="fr-CA"/>
              </w:rPr>
              <w:t>entièrement axé sur les résultats</w:t>
            </w:r>
            <w:r>
              <w:rPr>
                <w:szCs w:val="24"/>
                <w:lang w:val="fr-CA"/>
              </w:rPr>
              <w:t>)</w:t>
            </w:r>
          </w:p>
        </w:tc>
        <w:tc>
          <w:tcPr>
            <w:tcW w:w="9762" w:type="dxa"/>
            <w:vAlign w:val="center"/>
          </w:tcPr>
          <w:p w:rsidR="00692D3D" w:rsidRPr="00692D3D" w:rsidRDefault="00692D3D" w:rsidP="00EC7AD0">
            <w:pPr>
              <w:spacing w:before="120" w:after="120"/>
              <w:rPr>
                <w:rFonts w:cs="Arial"/>
                <w:lang w:val="fr-CA"/>
              </w:rPr>
            </w:pPr>
            <w:r w:rsidRPr="00C3315D">
              <w:rPr>
                <w:szCs w:val="24"/>
                <w:lang w:val="fr-CA"/>
              </w:rPr>
              <w:t xml:space="preserve">L’équipe </w:t>
            </w:r>
            <w:r w:rsidR="00ED4CF1">
              <w:rPr>
                <w:szCs w:val="24"/>
                <w:lang w:val="fr-CA"/>
              </w:rPr>
              <w:t xml:space="preserve">recense uniquement les contrôles </w:t>
            </w:r>
            <w:r w:rsidR="00EC7AD0">
              <w:rPr>
                <w:szCs w:val="24"/>
                <w:lang w:val="fr-CA"/>
              </w:rPr>
              <w:t>clés</w:t>
            </w:r>
            <w:r w:rsidR="00ED4CF1">
              <w:rPr>
                <w:szCs w:val="24"/>
                <w:lang w:val="fr-CA"/>
              </w:rPr>
              <w:t xml:space="preserve">. L’évaluation </w:t>
            </w:r>
            <w:r w:rsidRPr="00C3315D">
              <w:rPr>
                <w:szCs w:val="24"/>
                <w:lang w:val="fr-CA"/>
              </w:rPr>
              <w:t>de l</w:t>
            </w:r>
            <w:r w:rsidR="00ED4CF1">
              <w:rPr>
                <w:szCs w:val="24"/>
                <w:lang w:val="fr-CA"/>
              </w:rPr>
              <w:t>a</w:t>
            </w:r>
            <w:r w:rsidRPr="00C3315D">
              <w:rPr>
                <w:szCs w:val="24"/>
                <w:lang w:val="fr-CA"/>
              </w:rPr>
              <w:t xml:space="preserve"> conception</w:t>
            </w:r>
            <w:r w:rsidR="00ED4CF1">
              <w:rPr>
                <w:szCs w:val="24"/>
                <w:lang w:val="fr-CA"/>
              </w:rPr>
              <w:t xml:space="preserve"> (colonne</w:t>
            </w:r>
            <w:r w:rsidR="00D14EF9">
              <w:rPr>
                <w:szCs w:val="24"/>
                <w:lang w:val="fr-CA"/>
              </w:rPr>
              <w:t> </w:t>
            </w:r>
            <w:r w:rsidR="00ED4CF1">
              <w:rPr>
                <w:szCs w:val="24"/>
                <w:lang w:val="fr-CA"/>
              </w:rPr>
              <w:t>D1)</w:t>
            </w:r>
            <w:r w:rsidRPr="00C3315D">
              <w:rPr>
                <w:szCs w:val="24"/>
                <w:lang w:val="fr-CA"/>
              </w:rPr>
              <w:t xml:space="preserve"> et </w:t>
            </w:r>
            <w:r w:rsidRPr="004F5C7A">
              <w:rPr>
                <w:szCs w:val="24"/>
                <w:lang w:val="fr-CA"/>
              </w:rPr>
              <w:t xml:space="preserve">de </w:t>
            </w:r>
            <w:r w:rsidR="00ED4CF1" w:rsidRPr="004F5C7A">
              <w:rPr>
                <w:szCs w:val="24"/>
                <w:lang w:val="fr-CA"/>
              </w:rPr>
              <w:t>la</w:t>
            </w:r>
            <w:r w:rsidRPr="004F5C7A">
              <w:rPr>
                <w:szCs w:val="24"/>
                <w:lang w:val="fr-CA"/>
              </w:rPr>
              <w:t xml:space="preserve"> mise en œuvre</w:t>
            </w:r>
            <w:r w:rsidR="00ED4CF1" w:rsidRPr="004F5C7A">
              <w:rPr>
                <w:szCs w:val="24"/>
                <w:lang w:val="fr-CA"/>
              </w:rPr>
              <w:t xml:space="preserve"> (colonne</w:t>
            </w:r>
            <w:r w:rsidR="00D14EF9">
              <w:rPr>
                <w:szCs w:val="24"/>
                <w:lang w:val="fr-CA"/>
              </w:rPr>
              <w:t> </w:t>
            </w:r>
            <w:r w:rsidR="00ED4CF1" w:rsidRPr="004F5C7A">
              <w:rPr>
                <w:szCs w:val="24"/>
                <w:lang w:val="fr-CA"/>
              </w:rPr>
              <w:t xml:space="preserve">D2) des contrôles n’est pas nécessaire, même si elle est </w:t>
            </w:r>
            <w:r w:rsidRPr="004F5C7A">
              <w:rPr>
                <w:szCs w:val="24"/>
                <w:lang w:val="fr-CA"/>
              </w:rPr>
              <w:t>fortement recommandé</w:t>
            </w:r>
            <w:r w:rsidR="00ED4CF1" w:rsidRPr="004F5C7A">
              <w:rPr>
                <w:szCs w:val="24"/>
                <w:lang w:val="fr-CA"/>
              </w:rPr>
              <w:t>e.</w:t>
            </w:r>
          </w:p>
        </w:tc>
      </w:tr>
      <w:tr w:rsidR="00692D3D" w:rsidRPr="00E924A4" w:rsidTr="00BD3FFD">
        <w:tc>
          <w:tcPr>
            <w:tcW w:w="558" w:type="dxa"/>
            <w:vAlign w:val="center"/>
          </w:tcPr>
          <w:p w:rsidR="00692D3D" w:rsidRPr="00692D3D" w:rsidRDefault="00692D3D" w:rsidP="00692D3D">
            <w:pPr>
              <w:rPr>
                <w:rFonts w:cs="Arial"/>
                <w:sz w:val="24"/>
                <w:szCs w:val="24"/>
                <w:lang w:val="fr-CA"/>
              </w:rPr>
            </w:pPr>
            <w:r w:rsidRPr="00692D3D">
              <w:rPr>
                <w:rFonts w:cs="Arial"/>
                <w:sz w:val="24"/>
                <w:szCs w:val="24"/>
                <w:lang w:val="fr-CA"/>
              </w:rPr>
              <w:fldChar w:fldCharType="begin">
                <w:ffData>
                  <w:name w:val=""/>
                  <w:enabled/>
                  <w:calcOnExit w:val="0"/>
                  <w:checkBox>
                    <w:size w:val="28"/>
                    <w:default w:val="0"/>
                  </w:checkBox>
                </w:ffData>
              </w:fldChar>
            </w:r>
            <w:r w:rsidRPr="00692D3D">
              <w:rPr>
                <w:rFonts w:cs="Arial"/>
                <w:sz w:val="24"/>
                <w:szCs w:val="24"/>
                <w:lang w:val="fr-CA"/>
              </w:rPr>
              <w:instrText xml:space="preserve"> FORMCHECKBOX </w:instrText>
            </w:r>
            <w:r w:rsidR="00E924A4">
              <w:rPr>
                <w:rFonts w:cs="Arial"/>
                <w:sz w:val="24"/>
                <w:szCs w:val="24"/>
                <w:lang w:val="fr-CA"/>
              </w:rPr>
            </w:r>
            <w:r w:rsidR="00E924A4">
              <w:rPr>
                <w:rFonts w:cs="Arial"/>
                <w:sz w:val="24"/>
                <w:szCs w:val="24"/>
                <w:lang w:val="fr-CA"/>
              </w:rPr>
              <w:fldChar w:fldCharType="separate"/>
            </w:r>
            <w:r w:rsidRPr="00692D3D">
              <w:rPr>
                <w:rFonts w:cs="Arial"/>
                <w:sz w:val="24"/>
                <w:szCs w:val="24"/>
                <w:lang w:val="fr-CA"/>
              </w:rPr>
              <w:fldChar w:fldCharType="end"/>
            </w:r>
          </w:p>
        </w:tc>
        <w:tc>
          <w:tcPr>
            <w:tcW w:w="6950" w:type="dxa"/>
            <w:vAlign w:val="center"/>
          </w:tcPr>
          <w:p w:rsidR="00692D3D" w:rsidRPr="00692D3D" w:rsidRDefault="00DF42EC" w:rsidP="00DF42EC">
            <w:pPr>
              <w:spacing w:before="120" w:after="120"/>
              <w:rPr>
                <w:rFonts w:cs="Arial"/>
                <w:lang w:val="fr-CA"/>
              </w:rPr>
            </w:pPr>
            <w:r>
              <w:rPr>
                <w:szCs w:val="24"/>
                <w:lang w:val="fr-CA"/>
              </w:rPr>
              <w:t>E</w:t>
            </w:r>
            <w:r w:rsidR="00692D3D" w:rsidRPr="00C3315D">
              <w:rPr>
                <w:szCs w:val="24"/>
                <w:lang w:val="fr-CA"/>
              </w:rPr>
              <w:t xml:space="preserve">xamen spécial </w:t>
            </w:r>
            <w:r>
              <w:rPr>
                <w:szCs w:val="24"/>
                <w:lang w:val="fr-CA"/>
              </w:rPr>
              <w:t>o</w:t>
            </w:r>
            <w:r w:rsidR="00692D3D" w:rsidRPr="00C3315D">
              <w:rPr>
                <w:szCs w:val="24"/>
                <w:lang w:val="fr-CA"/>
              </w:rPr>
              <w:t>u audit de performance</w:t>
            </w:r>
            <w:r>
              <w:rPr>
                <w:szCs w:val="24"/>
                <w:lang w:val="fr-CA"/>
              </w:rPr>
              <w:t> :</w:t>
            </w:r>
            <w:r w:rsidR="00692D3D" w:rsidRPr="00C3315D">
              <w:rPr>
                <w:szCs w:val="24"/>
                <w:lang w:val="fr-CA"/>
              </w:rPr>
              <w:t xml:space="preserve"> les contrôles sont pertinents</w:t>
            </w:r>
            <w:r>
              <w:rPr>
                <w:szCs w:val="24"/>
                <w:lang w:val="fr-CA"/>
              </w:rPr>
              <w:t xml:space="preserve"> et sont l’objet considéré de l’audit </w:t>
            </w:r>
            <w:r w:rsidR="00692D3D" w:rsidRPr="00C3315D">
              <w:rPr>
                <w:szCs w:val="24"/>
                <w:lang w:val="fr-CA"/>
              </w:rPr>
              <w:t>(c.-à-d. que l’audit est entièrement axé sur les contrôles)</w:t>
            </w:r>
          </w:p>
        </w:tc>
        <w:tc>
          <w:tcPr>
            <w:tcW w:w="9762" w:type="dxa"/>
            <w:vAlign w:val="center"/>
          </w:tcPr>
          <w:p w:rsidR="00692D3D" w:rsidRPr="00692D3D" w:rsidRDefault="00692D3D" w:rsidP="00EC7AD0">
            <w:pPr>
              <w:spacing w:before="120" w:after="120"/>
              <w:rPr>
                <w:rFonts w:cs="Arial"/>
                <w:lang w:val="fr-CA"/>
              </w:rPr>
            </w:pPr>
            <w:r w:rsidRPr="00C3315D">
              <w:rPr>
                <w:szCs w:val="24"/>
                <w:lang w:val="fr-CA"/>
              </w:rPr>
              <w:t>L’équipe recens</w:t>
            </w:r>
            <w:r w:rsidR="00ED4CF1">
              <w:rPr>
                <w:szCs w:val="24"/>
                <w:lang w:val="fr-CA"/>
              </w:rPr>
              <w:t xml:space="preserve">e les contrôles </w:t>
            </w:r>
            <w:r w:rsidR="00EC7AD0">
              <w:rPr>
                <w:szCs w:val="24"/>
                <w:lang w:val="fr-CA"/>
              </w:rPr>
              <w:t>clés</w:t>
            </w:r>
            <w:r w:rsidR="00ED4CF1">
              <w:rPr>
                <w:szCs w:val="24"/>
                <w:lang w:val="fr-CA"/>
              </w:rPr>
              <w:t xml:space="preserve">. L’évaluation </w:t>
            </w:r>
            <w:r w:rsidR="00ED4CF1" w:rsidRPr="00C3315D">
              <w:rPr>
                <w:szCs w:val="24"/>
                <w:lang w:val="fr-CA"/>
              </w:rPr>
              <w:t>de l</w:t>
            </w:r>
            <w:r w:rsidR="00ED4CF1">
              <w:rPr>
                <w:szCs w:val="24"/>
                <w:lang w:val="fr-CA"/>
              </w:rPr>
              <w:t>a</w:t>
            </w:r>
            <w:r w:rsidR="00ED4CF1" w:rsidRPr="00C3315D">
              <w:rPr>
                <w:szCs w:val="24"/>
                <w:lang w:val="fr-CA"/>
              </w:rPr>
              <w:t xml:space="preserve"> conception</w:t>
            </w:r>
            <w:r w:rsidR="00ED4CF1">
              <w:rPr>
                <w:szCs w:val="24"/>
                <w:lang w:val="fr-CA"/>
              </w:rPr>
              <w:t xml:space="preserve"> (colonne</w:t>
            </w:r>
            <w:r w:rsidR="00D14EF9">
              <w:rPr>
                <w:szCs w:val="24"/>
                <w:lang w:val="fr-CA"/>
              </w:rPr>
              <w:t> </w:t>
            </w:r>
            <w:r w:rsidR="00ED4CF1">
              <w:rPr>
                <w:szCs w:val="24"/>
                <w:lang w:val="fr-CA"/>
              </w:rPr>
              <w:t>D1)</w:t>
            </w:r>
            <w:r w:rsidR="00ED4CF1" w:rsidRPr="00C3315D">
              <w:rPr>
                <w:szCs w:val="24"/>
                <w:lang w:val="fr-CA"/>
              </w:rPr>
              <w:t xml:space="preserve"> et de </w:t>
            </w:r>
            <w:r w:rsidR="00ED4CF1">
              <w:rPr>
                <w:szCs w:val="24"/>
                <w:lang w:val="fr-CA"/>
              </w:rPr>
              <w:t>la</w:t>
            </w:r>
            <w:r w:rsidR="00ED4CF1" w:rsidRPr="00C3315D">
              <w:rPr>
                <w:szCs w:val="24"/>
                <w:lang w:val="fr-CA"/>
              </w:rPr>
              <w:t xml:space="preserve"> mise en œuvre</w:t>
            </w:r>
            <w:r w:rsidR="00ED4CF1">
              <w:rPr>
                <w:szCs w:val="24"/>
                <w:lang w:val="fr-CA"/>
              </w:rPr>
              <w:t xml:space="preserve"> (colonne</w:t>
            </w:r>
            <w:r w:rsidR="00D14EF9">
              <w:rPr>
                <w:szCs w:val="24"/>
                <w:lang w:val="fr-CA"/>
              </w:rPr>
              <w:t> </w:t>
            </w:r>
            <w:r w:rsidR="00ED4CF1">
              <w:rPr>
                <w:szCs w:val="24"/>
                <w:lang w:val="fr-CA"/>
              </w:rPr>
              <w:t>D2) des contrôles</w:t>
            </w:r>
            <w:r w:rsidRPr="00C3315D">
              <w:rPr>
                <w:szCs w:val="24"/>
                <w:lang w:val="fr-CA"/>
              </w:rPr>
              <w:t xml:space="preserve"> sera réalisée à l’étape de l’examen. </w:t>
            </w:r>
            <w:r w:rsidR="00ED4CF1">
              <w:rPr>
                <w:szCs w:val="24"/>
                <w:lang w:val="fr-CA"/>
              </w:rPr>
              <w:t xml:space="preserve">Même s’il </w:t>
            </w:r>
            <w:r w:rsidRPr="00C3315D">
              <w:rPr>
                <w:szCs w:val="24"/>
                <w:lang w:val="fr-CA"/>
              </w:rPr>
              <w:t xml:space="preserve">n’est pas nécessaire de remplir les </w:t>
            </w:r>
            <w:r>
              <w:rPr>
                <w:szCs w:val="24"/>
                <w:lang w:val="fr-CA"/>
              </w:rPr>
              <w:t>colonnes </w:t>
            </w:r>
            <w:r w:rsidR="00ED4CF1">
              <w:rPr>
                <w:szCs w:val="24"/>
                <w:lang w:val="fr-CA"/>
              </w:rPr>
              <w:t>D</w:t>
            </w:r>
            <w:r w:rsidRPr="00C3315D">
              <w:rPr>
                <w:szCs w:val="24"/>
                <w:lang w:val="fr-CA"/>
              </w:rPr>
              <w:t>1 et</w:t>
            </w:r>
            <w:r>
              <w:rPr>
                <w:szCs w:val="24"/>
                <w:lang w:val="fr-CA"/>
              </w:rPr>
              <w:t> </w:t>
            </w:r>
            <w:r w:rsidR="00ED4CF1">
              <w:rPr>
                <w:szCs w:val="24"/>
                <w:lang w:val="fr-CA"/>
              </w:rPr>
              <w:t>D</w:t>
            </w:r>
            <w:r w:rsidRPr="00C3315D">
              <w:rPr>
                <w:szCs w:val="24"/>
                <w:lang w:val="fr-CA"/>
              </w:rPr>
              <w:t xml:space="preserve">2, </w:t>
            </w:r>
            <w:r w:rsidR="00ED4CF1">
              <w:rPr>
                <w:szCs w:val="24"/>
                <w:lang w:val="fr-CA"/>
              </w:rPr>
              <w:t>il est</w:t>
            </w:r>
            <w:r w:rsidRPr="00C3315D">
              <w:rPr>
                <w:szCs w:val="24"/>
                <w:lang w:val="fr-CA"/>
              </w:rPr>
              <w:t xml:space="preserve"> </w:t>
            </w:r>
            <w:r w:rsidRPr="004F5C7A">
              <w:rPr>
                <w:szCs w:val="24"/>
                <w:lang w:val="fr-CA"/>
              </w:rPr>
              <w:t>fortement recommandé de</w:t>
            </w:r>
            <w:r w:rsidRPr="00C3315D">
              <w:rPr>
                <w:szCs w:val="24"/>
                <w:lang w:val="fr-CA"/>
              </w:rPr>
              <w:t xml:space="preserve"> le faire</w:t>
            </w:r>
            <w:r w:rsidR="00ED4CF1">
              <w:rPr>
                <w:szCs w:val="24"/>
                <w:lang w:val="fr-CA"/>
              </w:rPr>
              <w:t>.</w:t>
            </w:r>
          </w:p>
        </w:tc>
      </w:tr>
      <w:tr w:rsidR="00692D3D" w:rsidRPr="00E924A4" w:rsidTr="00A93805">
        <w:tc>
          <w:tcPr>
            <w:tcW w:w="558" w:type="dxa"/>
            <w:vAlign w:val="center"/>
          </w:tcPr>
          <w:p w:rsidR="00692D3D" w:rsidRPr="00692D3D" w:rsidRDefault="00692D3D" w:rsidP="00692D3D">
            <w:pPr>
              <w:rPr>
                <w:rFonts w:cs="Arial"/>
                <w:sz w:val="24"/>
                <w:szCs w:val="24"/>
                <w:lang w:val="fr-CA"/>
              </w:rPr>
            </w:pPr>
            <w:r w:rsidRPr="00692D3D">
              <w:rPr>
                <w:rFonts w:cs="Arial"/>
                <w:sz w:val="24"/>
                <w:szCs w:val="24"/>
                <w:lang w:val="fr-CA"/>
              </w:rPr>
              <w:fldChar w:fldCharType="begin">
                <w:ffData>
                  <w:name w:val=""/>
                  <w:enabled/>
                  <w:calcOnExit w:val="0"/>
                  <w:checkBox>
                    <w:size w:val="28"/>
                    <w:default w:val="0"/>
                  </w:checkBox>
                </w:ffData>
              </w:fldChar>
            </w:r>
            <w:r w:rsidRPr="00692D3D">
              <w:rPr>
                <w:rFonts w:cs="Arial"/>
                <w:sz w:val="24"/>
                <w:szCs w:val="24"/>
                <w:lang w:val="fr-CA"/>
              </w:rPr>
              <w:instrText xml:space="preserve"> FORMCHECKBOX </w:instrText>
            </w:r>
            <w:r w:rsidR="00E924A4">
              <w:rPr>
                <w:rFonts w:cs="Arial"/>
                <w:sz w:val="24"/>
                <w:szCs w:val="24"/>
                <w:lang w:val="fr-CA"/>
              </w:rPr>
            </w:r>
            <w:r w:rsidR="00E924A4">
              <w:rPr>
                <w:rFonts w:cs="Arial"/>
                <w:sz w:val="24"/>
                <w:szCs w:val="24"/>
                <w:lang w:val="fr-CA"/>
              </w:rPr>
              <w:fldChar w:fldCharType="separate"/>
            </w:r>
            <w:r w:rsidRPr="00692D3D">
              <w:rPr>
                <w:rFonts w:cs="Arial"/>
                <w:sz w:val="24"/>
                <w:szCs w:val="24"/>
                <w:lang w:val="fr-CA"/>
              </w:rPr>
              <w:fldChar w:fldCharType="end"/>
            </w:r>
          </w:p>
        </w:tc>
        <w:tc>
          <w:tcPr>
            <w:tcW w:w="6950" w:type="dxa"/>
          </w:tcPr>
          <w:p w:rsidR="00692D3D" w:rsidRPr="00692D3D" w:rsidRDefault="00DF42EC" w:rsidP="00DF42EC">
            <w:pPr>
              <w:spacing w:before="120" w:after="120"/>
              <w:rPr>
                <w:rFonts w:cs="Arial"/>
                <w:lang w:val="fr-CA"/>
              </w:rPr>
            </w:pPr>
            <w:r>
              <w:rPr>
                <w:szCs w:val="24"/>
                <w:lang w:val="fr-CA"/>
              </w:rPr>
              <w:t>A</w:t>
            </w:r>
            <w:r w:rsidR="00692D3D" w:rsidRPr="00C3315D">
              <w:rPr>
                <w:szCs w:val="24"/>
                <w:lang w:val="fr-CA"/>
              </w:rPr>
              <w:t>udit de performance</w:t>
            </w:r>
            <w:r>
              <w:rPr>
                <w:szCs w:val="24"/>
                <w:lang w:val="fr-CA"/>
              </w:rPr>
              <w:t xml:space="preserve"> : </w:t>
            </w:r>
            <w:r w:rsidR="00692D3D" w:rsidRPr="00C3315D">
              <w:rPr>
                <w:szCs w:val="24"/>
                <w:lang w:val="fr-CA"/>
              </w:rPr>
              <w:t xml:space="preserve">les contrôles sont pertinents </w:t>
            </w:r>
            <w:r>
              <w:rPr>
                <w:szCs w:val="24"/>
                <w:lang w:val="fr-CA"/>
              </w:rPr>
              <w:t xml:space="preserve">pour </w:t>
            </w:r>
            <w:r w:rsidR="00692D3D" w:rsidRPr="00C3315D">
              <w:rPr>
                <w:szCs w:val="24"/>
                <w:lang w:val="fr-CA"/>
              </w:rPr>
              <w:t>l’objectif de l’audit</w:t>
            </w:r>
            <w:r>
              <w:rPr>
                <w:szCs w:val="24"/>
                <w:lang w:val="fr-CA"/>
              </w:rPr>
              <w:t xml:space="preserve"> (c.-à-d. </w:t>
            </w:r>
            <w:r w:rsidR="00D14EF9">
              <w:rPr>
                <w:szCs w:val="24"/>
                <w:lang w:val="fr-CA"/>
              </w:rPr>
              <w:t xml:space="preserve">que </w:t>
            </w:r>
            <w:r>
              <w:rPr>
                <w:szCs w:val="24"/>
                <w:lang w:val="fr-CA"/>
              </w:rPr>
              <w:t>l</w:t>
            </w:r>
            <w:r w:rsidR="00692D3D" w:rsidRPr="00C3315D">
              <w:rPr>
                <w:szCs w:val="24"/>
                <w:lang w:val="fr-CA"/>
              </w:rPr>
              <w:t>’audit n’est pas entièrement axé sur les résultats, ni entièrement axé sur les contrôles</w:t>
            </w:r>
            <w:r>
              <w:rPr>
                <w:szCs w:val="24"/>
                <w:lang w:val="fr-CA"/>
              </w:rPr>
              <w:t>)</w:t>
            </w:r>
            <w:r w:rsidR="00692D3D" w:rsidRPr="00C3315D">
              <w:rPr>
                <w:szCs w:val="24"/>
                <w:lang w:val="fr-CA"/>
              </w:rPr>
              <w:t xml:space="preserve"> </w:t>
            </w:r>
          </w:p>
        </w:tc>
        <w:tc>
          <w:tcPr>
            <w:tcW w:w="9762" w:type="dxa"/>
            <w:vAlign w:val="center"/>
          </w:tcPr>
          <w:p w:rsidR="00692D3D" w:rsidRPr="00692D3D" w:rsidRDefault="00692D3D" w:rsidP="0038682D">
            <w:pPr>
              <w:spacing w:before="120" w:after="120"/>
              <w:rPr>
                <w:rFonts w:cs="Arial"/>
                <w:lang w:val="fr-CA"/>
              </w:rPr>
            </w:pPr>
            <w:r w:rsidRPr="00C3315D">
              <w:rPr>
                <w:szCs w:val="24"/>
                <w:lang w:val="fr-CA"/>
              </w:rPr>
              <w:t xml:space="preserve">L’évaluation de la conception et de la mise en œuvre des contrôles </w:t>
            </w:r>
            <w:r w:rsidRPr="00ED4CF1">
              <w:rPr>
                <w:b/>
                <w:szCs w:val="24"/>
                <w:lang w:val="fr-CA"/>
              </w:rPr>
              <w:t>est obligatoire</w:t>
            </w:r>
            <w:r w:rsidRPr="00C3315D">
              <w:rPr>
                <w:szCs w:val="24"/>
                <w:lang w:val="fr-CA"/>
              </w:rPr>
              <w:t xml:space="preserve">. </w:t>
            </w:r>
            <w:r w:rsidR="00ED4CF1">
              <w:rPr>
                <w:szCs w:val="24"/>
                <w:lang w:val="fr-CA"/>
              </w:rPr>
              <w:t>Il faut évaluer la conception (c</w:t>
            </w:r>
            <w:r>
              <w:rPr>
                <w:szCs w:val="24"/>
                <w:lang w:val="fr-CA"/>
              </w:rPr>
              <w:t>olonne </w:t>
            </w:r>
            <w:r w:rsidR="00ED4CF1">
              <w:rPr>
                <w:szCs w:val="24"/>
                <w:lang w:val="fr-CA"/>
              </w:rPr>
              <w:t>D1) et la mise en œuvre (colonne</w:t>
            </w:r>
            <w:r w:rsidR="0038682D">
              <w:rPr>
                <w:szCs w:val="24"/>
                <w:lang w:val="fr-CA"/>
              </w:rPr>
              <w:t> </w:t>
            </w:r>
            <w:r w:rsidR="00ED4CF1">
              <w:rPr>
                <w:szCs w:val="24"/>
                <w:lang w:val="fr-CA"/>
              </w:rPr>
              <w:t>D</w:t>
            </w:r>
            <w:r w:rsidRPr="00C3315D">
              <w:rPr>
                <w:szCs w:val="24"/>
                <w:lang w:val="fr-CA"/>
              </w:rPr>
              <w:t>2</w:t>
            </w:r>
            <w:r w:rsidR="00ED4CF1">
              <w:rPr>
                <w:szCs w:val="24"/>
                <w:lang w:val="fr-CA"/>
              </w:rPr>
              <w:t xml:space="preserve">) des contrôles. </w:t>
            </w:r>
          </w:p>
        </w:tc>
      </w:tr>
    </w:tbl>
    <w:p w:rsidR="000739F5" w:rsidRPr="00692D3D" w:rsidRDefault="000739F5">
      <w:pPr>
        <w:rPr>
          <w:rFonts w:cs="Arial"/>
          <w:sz w:val="24"/>
          <w:szCs w:val="24"/>
          <w:lang w:val="fr-CA"/>
        </w:rPr>
      </w:pPr>
      <w:r w:rsidRPr="00692D3D">
        <w:rPr>
          <w:rFonts w:cs="Arial"/>
          <w:sz w:val="24"/>
          <w:szCs w:val="24"/>
          <w:lang w:val="fr-CA"/>
        </w:rPr>
        <w:br w:type="page"/>
      </w:r>
    </w:p>
    <w:p w:rsidR="000739F5" w:rsidRPr="00692D3D" w:rsidRDefault="00692D3D" w:rsidP="00527FE3">
      <w:pPr>
        <w:rPr>
          <w:rFonts w:cs="Arial"/>
          <w:b/>
          <w:sz w:val="24"/>
          <w:szCs w:val="24"/>
          <w:lang w:val="fr-CA"/>
        </w:rPr>
      </w:pPr>
      <w:r>
        <w:rPr>
          <w:rFonts w:cs="Arial"/>
          <w:b/>
          <w:sz w:val="24"/>
          <w:szCs w:val="24"/>
          <w:lang w:val="fr-CA"/>
        </w:rPr>
        <w:lastRenderedPageBreak/>
        <w:t>ÉVALUATION DES RISQUES ET DES CONTRÔLES</w:t>
      </w:r>
      <w:r w:rsidR="004B6820" w:rsidRPr="00692D3D">
        <w:rPr>
          <w:rFonts w:cs="Arial"/>
          <w:b/>
          <w:sz w:val="24"/>
          <w:szCs w:val="24"/>
          <w:lang w:val="fr-CA"/>
        </w:rPr>
        <w:t xml:space="preserve"> </w:t>
      </w:r>
    </w:p>
    <w:tbl>
      <w:tblPr>
        <w:tblStyle w:val="TableGrid"/>
        <w:tblW w:w="5047" w:type="pct"/>
        <w:tblLayout w:type="fixed"/>
        <w:tblCellMar>
          <w:left w:w="115" w:type="dxa"/>
          <w:right w:w="115" w:type="dxa"/>
        </w:tblCellMar>
        <w:tblLook w:val="04A0" w:firstRow="1" w:lastRow="0" w:firstColumn="1" w:lastColumn="0" w:noHBand="0" w:noVBand="1"/>
      </w:tblPr>
      <w:tblGrid>
        <w:gridCol w:w="2549"/>
        <w:gridCol w:w="2695"/>
        <w:gridCol w:w="2409"/>
        <w:gridCol w:w="1701"/>
        <w:gridCol w:w="1844"/>
        <w:gridCol w:w="3260"/>
        <w:gridCol w:w="2974"/>
      </w:tblGrid>
      <w:tr w:rsidR="004B6820" w:rsidRPr="00E924A4" w:rsidTr="002B344F">
        <w:tc>
          <w:tcPr>
            <w:tcW w:w="2549" w:type="dxa"/>
            <w:shd w:val="clear" w:color="auto" w:fill="95B3D7" w:themeFill="accent1" w:themeFillTint="99"/>
            <w:vAlign w:val="center"/>
          </w:tcPr>
          <w:p w:rsidR="004B6820" w:rsidRPr="00692D3D" w:rsidRDefault="004B6820" w:rsidP="008959EE">
            <w:pPr>
              <w:jc w:val="center"/>
              <w:rPr>
                <w:lang w:val="fr-CA"/>
              </w:rPr>
            </w:pPr>
            <w:r w:rsidRPr="00692D3D">
              <w:rPr>
                <w:b/>
                <w:lang w:val="fr-CA"/>
              </w:rPr>
              <w:t>OBJECTI</w:t>
            </w:r>
            <w:r w:rsidR="008959EE">
              <w:rPr>
                <w:b/>
                <w:lang w:val="fr-CA"/>
              </w:rPr>
              <w:t>F</w:t>
            </w:r>
            <w:r w:rsidRPr="00692D3D">
              <w:rPr>
                <w:b/>
                <w:lang w:val="fr-CA"/>
              </w:rPr>
              <w:t>S</w:t>
            </w:r>
            <w:r w:rsidR="00D747C0">
              <w:rPr>
                <w:b/>
                <w:lang w:val="fr-CA"/>
              </w:rPr>
              <w:t xml:space="preserve"> LIÉS À L’OBJET CONSIDÉRÉ</w:t>
            </w:r>
            <w:r w:rsidR="008959EE">
              <w:rPr>
                <w:b/>
                <w:lang w:val="fr-CA"/>
              </w:rPr>
              <w:t xml:space="preserve"> </w:t>
            </w:r>
          </w:p>
        </w:tc>
        <w:tc>
          <w:tcPr>
            <w:tcW w:w="14883" w:type="dxa"/>
            <w:gridSpan w:val="6"/>
          </w:tcPr>
          <w:p w:rsidR="004B6820" w:rsidRPr="00692D3D" w:rsidRDefault="004B6820" w:rsidP="00A93805">
            <w:pPr>
              <w:spacing w:after="120"/>
              <w:rPr>
                <w:color w:val="1F497D" w:themeColor="text2"/>
                <w:lang w:val="fr-CA"/>
              </w:rPr>
            </w:pPr>
            <w:r w:rsidRPr="00692D3D">
              <w:rPr>
                <w:color w:val="1F497D" w:themeColor="text2"/>
                <w:lang w:val="fr-CA"/>
              </w:rPr>
              <w:t>[D</w:t>
            </w:r>
            <w:r w:rsidR="008959EE">
              <w:rPr>
                <w:color w:val="1F497D" w:themeColor="text2"/>
                <w:lang w:val="fr-CA"/>
              </w:rPr>
              <w:t>écrire l’</w:t>
            </w:r>
            <w:r w:rsidRPr="00692D3D">
              <w:rPr>
                <w:color w:val="1F497D" w:themeColor="text2"/>
                <w:lang w:val="fr-CA"/>
              </w:rPr>
              <w:t>objecti</w:t>
            </w:r>
            <w:r w:rsidR="008959EE">
              <w:rPr>
                <w:color w:val="1F497D" w:themeColor="text2"/>
                <w:lang w:val="fr-CA"/>
              </w:rPr>
              <w:t>f</w:t>
            </w:r>
            <w:r w:rsidRPr="00692D3D">
              <w:rPr>
                <w:color w:val="1F497D" w:themeColor="text2"/>
                <w:lang w:val="fr-CA"/>
              </w:rPr>
              <w:t xml:space="preserve"> </w:t>
            </w:r>
            <w:r w:rsidR="008959EE">
              <w:rPr>
                <w:b/>
                <w:color w:val="1F497D" w:themeColor="text2"/>
                <w:lang w:val="fr-CA"/>
              </w:rPr>
              <w:t>de l’entité</w:t>
            </w:r>
            <w:r w:rsidR="00EA4280" w:rsidRPr="00692D3D">
              <w:rPr>
                <w:b/>
                <w:color w:val="1F497D" w:themeColor="text2"/>
                <w:lang w:val="fr-CA"/>
              </w:rPr>
              <w:t xml:space="preserve"> o</w:t>
            </w:r>
            <w:r w:rsidR="008959EE">
              <w:rPr>
                <w:b/>
                <w:color w:val="1F497D" w:themeColor="text2"/>
                <w:lang w:val="fr-CA"/>
              </w:rPr>
              <w:t>u</w:t>
            </w:r>
            <w:r w:rsidR="00EA4280" w:rsidRPr="00692D3D">
              <w:rPr>
                <w:b/>
                <w:color w:val="1F497D" w:themeColor="text2"/>
                <w:lang w:val="fr-CA"/>
              </w:rPr>
              <w:t xml:space="preserve"> </w:t>
            </w:r>
            <w:r w:rsidR="00D00B04">
              <w:rPr>
                <w:b/>
                <w:color w:val="1F497D" w:themeColor="text2"/>
                <w:lang w:val="fr-CA"/>
              </w:rPr>
              <w:t xml:space="preserve">du </w:t>
            </w:r>
            <w:r w:rsidR="00EA4280" w:rsidRPr="00692D3D">
              <w:rPr>
                <w:b/>
                <w:color w:val="1F497D" w:themeColor="text2"/>
                <w:lang w:val="fr-CA"/>
              </w:rPr>
              <w:t>program</w:t>
            </w:r>
            <w:r w:rsidR="008959EE">
              <w:rPr>
                <w:b/>
                <w:color w:val="1F497D" w:themeColor="text2"/>
                <w:lang w:val="fr-CA"/>
              </w:rPr>
              <w:t>me</w:t>
            </w:r>
            <w:r w:rsidR="00C61FDE">
              <w:rPr>
                <w:color w:val="1F497D" w:themeColor="text2"/>
                <w:lang w:val="fr-CA"/>
              </w:rPr>
              <w:t xml:space="preserve"> </w:t>
            </w:r>
            <w:r w:rsidR="00D00B04">
              <w:rPr>
                <w:color w:val="1F497D" w:themeColor="text2"/>
                <w:lang w:val="fr-CA"/>
              </w:rPr>
              <w:t>qui se rattache à l’objet considéré</w:t>
            </w:r>
            <w:r w:rsidR="00F86450" w:rsidRPr="00692D3D">
              <w:rPr>
                <w:color w:val="1F497D" w:themeColor="text2"/>
                <w:lang w:val="fr-CA"/>
              </w:rPr>
              <w:t>.</w:t>
            </w:r>
            <w:r w:rsidRPr="00692D3D">
              <w:rPr>
                <w:color w:val="1F497D" w:themeColor="text2"/>
                <w:lang w:val="fr-CA"/>
              </w:rPr>
              <w:t>]</w:t>
            </w:r>
          </w:p>
          <w:p w:rsidR="004B6820" w:rsidRPr="00692D3D" w:rsidRDefault="00D00B04" w:rsidP="00A93805">
            <w:pPr>
              <w:spacing w:after="120"/>
              <w:rPr>
                <w:color w:val="1F497D" w:themeColor="text2"/>
                <w:lang w:val="fr-CA"/>
              </w:rPr>
            </w:pPr>
            <w:r>
              <w:rPr>
                <w:color w:val="1F497D" w:themeColor="text2"/>
                <w:lang w:val="fr-CA"/>
              </w:rPr>
              <w:t>[S’il y a plus d’une partie concernée, il faut envisager de répartir les objectifs par fonction</w:t>
            </w:r>
            <w:r w:rsidR="00941F3D">
              <w:rPr>
                <w:color w:val="1F497D" w:themeColor="text2"/>
                <w:lang w:val="fr-CA"/>
              </w:rPr>
              <w:t xml:space="preserve"> ou </w:t>
            </w:r>
            <w:r>
              <w:rPr>
                <w:color w:val="1F497D" w:themeColor="text2"/>
                <w:lang w:val="fr-CA"/>
              </w:rPr>
              <w:t>secteur de responsabilité si les objectifs sont distincts</w:t>
            </w:r>
            <w:r w:rsidR="004B6820" w:rsidRPr="00692D3D">
              <w:rPr>
                <w:color w:val="1F497D" w:themeColor="text2"/>
                <w:lang w:val="fr-CA"/>
              </w:rPr>
              <w:t>.]</w:t>
            </w:r>
          </w:p>
          <w:p w:rsidR="004B6820" w:rsidRPr="00692D3D" w:rsidRDefault="004B6820" w:rsidP="00D00B04">
            <w:pPr>
              <w:spacing w:after="120"/>
              <w:rPr>
                <w:color w:val="1F497D" w:themeColor="text2"/>
                <w:lang w:val="fr-CA"/>
              </w:rPr>
            </w:pPr>
            <w:r w:rsidRPr="00692D3D">
              <w:rPr>
                <w:color w:val="1F497D" w:themeColor="text2"/>
                <w:lang w:val="fr-CA"/>
              </w:rPr>
              <w:t>[</w:t>
            </w:r>
            <w:r w:rsidR="00D00B04">
              <w:rPr>
                <w:color w:val="1F497D" w:themeColor="text2"/>
                <w:lang w:val="fr-CA"/>
              </w:rPr>
              <w:t>Pour les examens spéciaux</w:t>
            </w:r>
            <w:r w:rsidRPr="00692D3D">
              <w:rPr>
                <w:color w:val="1F497D" w:themeColor="text2"/>
                <w:lang w:val="fr-CA"/>
              </w:rPr>
              <w:t>,</w:t>
            </w:r>
            <w:r w:rsidR="00D00B04">
              <w:rPr>
                <w:color w:val="1F497D" w:themeColor="text2"/>
                <w:lang w:val="fr-CA"/>
              </w:rPr>
              <w:t xml:space="preserve"> inclure </w:t>
            </w:r>
            <w:r w:rsidR="00D00B04" w:rsidRPr="00D00B04">
              <w:rPr>
                <w:b/>
                <w:color w:val="1F497D" w:themeColor="text2"/>
                <w:lang w:val="fr-CA"/>
              </w:rPr>
              <w:t>à la fois</w:t>
            </w:r>
            <w:r w:rsidR="00D00B04">
              <w:rPr>
                <w:color w:val="1F497D" w:themeColor="text2"/>
                <w:lang w:val="fr-CA"/>
              </w:rPr>
              <w:t xml:space="preserve"> les objectifs axé</w:t>
            </w:r>
            <w:r w:rsidR="0056426A">
              <w:rPr>
                <w:color w:val="1F497D" w:themeColor="text2"/>
                <w:lang w:val="fr-CA"/>
              </w:rPr>
              <w:t>s</w:t>
            </w:r>
            <w:r w:rsidR="00D00B04">
              <w:rPr>
                <w:color w:val="1F497D" w:themeColor="text2"/>
                <w:lang w:val="fr-CA"/>
              </w:rPr>
              <w:t xml:space="preserve"> sur le mandat et les objectifs de contrôle législatif de la société d’État</w:t>
            </w:r>
            <w:r w:rsidRPr="00692D3D">
              <w:rPr>
                <w:color w:val="1F497D" w:themeColor="text2"/>
                <w:lang w:val="fr-CA"/>
              </w:rPr>
              <w:t>.]</w:t>
            </w:r>
          </w:p>
        </w:tc>
      </w:tr>
      <w:tr w:rsidR="00E557F1" w:rsidRPr="00E924A4" w:rsidTr="002B344F">
        <w:trPr>
          <w:trHeight w:val="227"/>
          <w:tblHeader/>
        </w:trPr>
        <w:tc>
          <w:tcPr>
            <w:tcW w:w="2549" w:type="dxa"/>
            <w:vMerge w:val="restart"/>
            <w:shd w:val="clear" w:color="auto" w:fill="95B3D7" w:themeFill="accent1" w:themeFillTint="99"/>
            <w:vAlign w:val="center"/>
          </w:tcPr>
          <w:p w:rsidR="00433AE6" w:rsidRPr="00692D3D" w:rsidRDefault="00692D3D" w:rsidP="00371959">
            <w:pPr>
              <w:spacing w:before="60" w:after="60"/>
              <w:jc w:val="center"/>
              <w:rPr>
                <w:rFonts w:cs="Arial"/>
                <w:b/>
                <w:lang w:val="fr-CA"/>
              </w:rPr>
            </w:pPr>
            <w:r w:rsidRPr="00C3315D">
              <w:rPr>
                <w:rFonts w:cs="Arial"/>
                <w:b/>
                <w:lang w:val="fr-CA"/>
              </w:rPr>
              <w:t>R</w:t>
            </w:r>
            <w:r>
              <w:rPr>
                <w:rFonts w:cs="Arial"/>
                <w:b/>
                <w:lang w:val="fr-CA"/>
              </w:rPr>
              <w:t xml:space="preserve">isque </w:t>
            </w:r>
            <w:r w:rsidR="0038682D">
              <w:rPr>
                <w:rFonts w:cs="Arial"/>
                <w:b/>
                <w:lang w:val="fr-CA"/>
              </w:rPr>
              <w:t xml:space="preserve">recensé </w:t>
            </w:r>
            <w:r>
              <w:rPr>
                <w:rFonts w:cs="Arial"/>
                <w:b/>
                <w:lang w:val="fr-CA"/>
              </w:rPr>
              <w:t>et sa cote</w:t>
            </w:r>
            <w:r w:rsidR="00433AE6" w:rsidRPr="00692D3D">
              <w:rPr>
                <w:rStyle w:val="EndnoteReference"/>
                <w:lang w:val="fr-CA"/>
              </w:rPr>
              <w:endnoteReference w:id="1"/>
            </w:r>
          </w:p>
          <w:p w:rsidR="00433AE6" w:rsidRPr="00692D3D" w:rsidRDefault="00433AE6" w:rsidP="00371959">
            <w:pPr>
              <w:spacing w:before="60" w:after="60"/>
              <w:jc w:val="center"/>
              <w:rPr>
                <w:rFonts w:cs="Arial"/>
                <w:lang w:val="fr-CA"/>
              </w:rPr>
            </w:pPr>
            <w:r w:rsidRPr="00692D3D">
              <w:rPr>
                <w:rFonts w:cs="Arial"/>
                <w:lang w:val="fr-CA"/>
              </w:rPr>
              <w:t xml:space="preserve">(N - Normal </w:t>
            </w:r>
          </w:p>
          <w:p w:rsidR="00433AE6" w:rsidRPr="00692D3D" w:rsidRDefault="00433AE6" w:rsidP="00371959">
            <w:pPr>
              <w:spacing w:before="60" w:after="60"/>
              <w:jc w:val="center"/>
              <w:rPr>
                <w:rFonts w:cs="Arial"/>
                <w:lang w:val="fr-CA"/>
              </w:rPr>
            </w:pPr>
            <w:r w:rsidRPr="00692D3D">
              <w:rPr>
                <w:rFonts w:cs="Arial"/>
                <w:lang w:val="fr-CA"/>
              </w:rPr>
              <w:t xml:space="preserve">E - </w:t>
            </w:r>
            <w:r w:rsidR="00692D3D">
              <w:rPr>
                <w:rFonts w:cs="Arial"/>
                <w:lang w:val="fr-CA"/>
              </w:rPr>
              <w:t>Élevé</w:t>
            </w:r>
          </w:p>
          <w:p w:rsidR="00433AE6" w:rsidRPr="00692D3D" w:rsidRDefault="004F5C7A" w:rsidP="00371959">
            <w:pPr>
              <w:spacing w:before="60" w:after="60"/>
              <w:jc w:val="center"/>
              <w:rPr>
                <w:rFonts w:cs="Arial"/>
                <w:lang w:val="fr-CA"/>
              </w:rPr>
            </w:pPr>
            <w:r>
              <w:rPr>
                <w:rFonts w:cs="Arial"/>
                <w:lang w:val="fr-CA"/>
              </w:rPr>
              <w:t xml:space="preserve">I </w:t>
            </w:r>
            <w:r w:rsidR="00433AE6" w:rsidRPr="00692D3D">
              <w:rPr>
                <w:rFonts w:cs="Arial"/>
                <w:lang w:val="fr-CA"/>
              </w:rPr>
              <w:t xml:space="preserve">- </w:t>
            </w:r>
            <w:r w:rsidR="00692D3D">
              <w:rPr>
                <w:rFonts w:cs="Arial"/>
                <w:lang w:val="fr-CA"/>
              </w:rPr>
              <w:t>Important</w:t>
            </w:r>
            <w:r w:rsidR="00433AE6" w:rsidRPr="00692D3D">
              <w:rPr>
                <w:rFonts w:cs="Arial"/>
                <w:lang w:val="fr-CA"/>
              </w:rPr>
              <w:t>)</w:t>
            </w:r>
          </w:p>
          <w:p w:rsidR="00433AE6" w:rsidRPr="00692D3D" w:rsidRDefault="00433AE6">
            <w:pPr>
              <w:spacing w:before="60" w:after="60"/>
              <w:jc w:val="center"/>
              <w:rPr>
                <w:rFonts w:cs="Arial"/>
                <w:b/>
                <w:lang w:val="fr-CA"/>
              </w:rPr>
            </w:pPr>
            <w:r w:rsidRPr="00692D3D">
              <w:rPr>
                <w:rFonts w:cs="Arial"/>
                <w:b/>
                <w:color w:val="FF0000"/>
                <w:lang w:val="fr-CA"/>
              </w:rPr>
              <w:t>[A]</w:t>
            </w:r>
          </w:p>
        </w:tc>
        <w:tc>
          <w:tcPr>
            <w:tcW w:w="2695" w:type="dxa"/>
            <w:shd w:val="clear" w:color="auto" w:fill="95B3D7" w:themeFill="accent1" w:themeFillTint="99"/>
            <w:vAlign w:val="center"/>
          </w:tcPr>
          <w:p w:rsidR="00371959" w:rsidRPr="00692D3D" w:rsidRDefault="00692D3D" w:rsidP="00692D3D">
            <w:pPr>
              <w:spacing w:before="60" w:after="60"/>
              <w:jc w:val="center"/>
              <w:rPr>
                <w:rFonts w:cs="Arial"/>
                <w:b/>
                <w:lang w:val="fr-CA"/>
              </w:rPr>
            </w:pPr>
            <w:r>
              <w:rPr>
                <w:rFonts w:cs="Arial"/>
                <w:b/>
                <w:lang w:val="fr-CA"/>
              </w:rPr>
              <w:t>Décision préliminaire sur la délimitation de l’étendue</w:t>
            </w:r>
            <w:r w:rsidR="00433AE6" w:rsidRPr="00692D3D">
              <w:rPr>
                <w:rFonts w:cs="Arial"/>
                <w:b/>
                <w:lang w:val="fr-CA"/>
              </w:rPr>
              <w:t xml:space="preserve"> </w:t>
            </w:r>
            <w:r w:rsidR="00433AE6" w:rsidRPr="00692D3D">
              <w:rPr>
                <w:rFonts w:cs="Arial"/>
                <w:b/>
                <w:color w:val="FF0000"/>
                <w:lang w:val="fr-CA"/>
              </w:rPr>
              <w:t>[B]</w:t>
            </w:r>
            <w:r w:rsidR="00433AE6" w:rsidRPr="00692D3D">
              <w:rPr>
                <w:rStyle w:val="EndnoteReference"/>
                <w:rFonts w:cs="Arial"/>
                <w:lang w:val="fr-CA"/>
              </w:rPr>
              <w:endnoteReference w:id="2"/>
            </w:r>
          </w:p>
        </w:tc>
        <w:tc>
          <w:tcPr>
            <w:tcW w:w="2409" w:type="dxa"/>
            <w:vMerge w:val="restart"/>
            <w:shd w:val="clear" w:color="auto" w:fill="95B3D7" w:themeFill="accent1" w:themeFillTint="99"/>
            <w:vAlign w:val="center"/>
          </w:tcPr>
          <w:p w:rsidR="00371959" w:rsidRPr="00692D3D" w:rsidRDefault="00692D3D" w:rsidP="00816E77">
            <w:pPr>
              <w:spacing w:before="60" w:after="60"/>
              <w:jc w:val="center"/>
              <w:rPr>
                <w:rFonts w:cs="Arial"/>
                <w:b/>
                <w:lang w:val="fr-CA"/>
              </w:rPr>
            </w:pPr>
            <w:r>
              <w:rPr>
                <w:rFonts w:cs="Arial"/>
                <w:b/>
                <w:lang w:val="fr-CA"/>
              </w:rPr>
              <w:t xml:space="preserve">Contrôle </w:t>
            </w:r>
            <w:r w:rsidR="00EC7AD0">
              <w:rPr>
                <w:rFonts w:cs="Arial"/>
                <w:b/>
                <w:lang w:val="fr-CA"/>
              </w:rPr>
              <w:t xml:space="preserve">clé </w:t>
            </w:r>
            <w:r>
              <w:rPr>
                <w:rFonts w:cs="Arial"/>
                <w:b/>
                <w:lang w:val="fr-CA"/>
              </w:rPr>
              <w:t>pertinent</w:t>
            </w:r>
            <w:r w:rsidR="00371959" w:rsidRPr="00692D3D">
              <w:rPr>
                <w:rStyle w:val="EndnoteReference"/>
                <w:rFonts w:cs="Arial"/>
                <w:lang w:val="fr-CA"/>
              </w:rPr>
              <w:endnoteReference w:id="3"/>
            </w:r>
          </w:p>
          <w:p w:rsidR="00371959" w:rsidRPr="00692D3D" w:rsidRDefault="00371959" w:rsidP="00371959">
            <w:pPr>
              <w:spacing w:before="60" w:after="60"/>
              <w:jc w:val="center"/>
              <w:rPr>
                <w:rFonts w:cs="Arial"/>
                <w:b/>
                <w:lang w:val="fr-CA"/>
              </w:rPr>
            </w:pPr>
            <w:r w:rsidRPr="00692D3D">
              <w:rPr>
                <w:rFonts w:cs="Arial"/>
                <w:b/>
                <w:color w:val="FF0000"/>
                <w:lang w:val="fr-CA"/>
              </w:rPr>
              <w:t>[C]</w:t>
            </w:r>
          </w:p>
        </w:tc>
        <w:tc>
          <w:tcPr>
            <w:tcW w:w="3545" w:type="dxa"/>
            <w:gridSpan w:val="2"/>
            <w:shd w:val="clear" w:color="auto" w:fill="95B3D7" w:themeFill="accent1" w:themeFillTint="99"/>
            <w:vAlign w:val="center"/>
          </w:tcPr>
          <w:p w:rsidR="00371959" w:rsidRPr="00692D3D" w:rsidRDefault="00692D3D" w:rsidP="00816E77">
            <w:pPr>
              <w:spacing w:before="60" w:after="60"/>
              <w:jc w:val="center"/>
              <w:rPr>
                <w:rFonts w:cs="Arial"/>
                <w:b/>
                <w:lang w:val="fr-CA"/>
              </w:rPr>
            </w:pPr>
            <w:r>
              <w:rPr>
                <w:rFonts w:cs="Arial"/>
                <w:b/>
                <w:lang w:val="fr-CA"/>
              </w:rPr>
              <w:t>É</w:t>
            </w:r>
            <w:r w:rsidR="00371959" w:rsidRPr="00692D3D">
              <w:rPr>
                <w:rFonts w:cs="Arial"/>
                <w:b/>
                <w:lang w:val="fr-CA"/>
              </w:rPr>
              <w:t xml:space="preserve">valuation </w:t>
            </w:r>
            <w:r>
              <w:rPr>
                <w:rFonts w:cs="Arial"/>
                <w:b/>
                <w:lang w:val="fr-CA"/>
              </w:rPr>
              <w:t xml:space="preserve">du </w:t>
            </w:r>
            <w:r w:rsidR="00371959" w:rsidRPr="00692D3D">
              <w:rPr>
                <w:rFonts w:cs="Arial"/>
                <w:b/>
                <w:lang w:val="fr-CA"/>
              </w:rPr>
              <w:t>contr</w:t>
            </w:r>
            <w:r>
              <w:rPr>
                <w:rFonts w:cs="Arial"/>
                <w:b/>
                <w:lang w:val="fr-CA"/>
              </w:rPr>
              <w:t>ôle</w:t>
            </w:r>
            <w:r w:rsidR="00371959" w:rsidRPr="00692D3D">
              <w:rPr>
                <w:rStyle w:val="EndnoteReference"/>
                <w:rFonts w:cs="Arial"/>
                <w:lang w:val="fr-CA"/>
              </w:rPr>
              <w:endnoteReference w:id="4"/>
            </w:r>
          </w:p>
          <w:p w:rsidR="00371959" w:rsidRPr="00692D3D" w:rsidRDefault="00371959" w:rsidP="00371959">
            <w:pPr>
              <w:spacing w:before="60" w:after="60"/>
              <w:jc w:val="center"/>
              <w:rPr>
                <w:rFonts w:cs="Arial"/>
                <w:b/>
                <w:lang w:val="fr-CA"/>
              </w:rPr>
            </w:pPr>
            <w:r w:rsidRPr="00692D3D">
              <w:rPr>
                <w:rFonts w:cs="Arial"/>
                <w:b/>
                <w:color w:val="FF0000"/>
                <w:lang w:val="fr-CA"/>
              </w:rPr>
              <w:t>[D]</w:t>
            </w:r>
          </w:p>
        </w:tc>
        <w:tc>
          <w:tcPr>
            <w:tcW w:w="6234" w:type="dxa"/>
            <w:gridSpan w:val="2"/>
            <w:shd w:val="clear" w:color="auto" w:fill="95B3D7" w:themeFill="accent1" w:themeFillTint="99"/>
            <w:vAlign w:val="center"/>
          </w:tcPr>
          <w:p w:rsidR="00371959" w:rsidRPr="00692D3D" w:rsidRDefault="00692D3D" w:rsidP="00692D3D">
            <w:pPr>
              <w:spacing w:before="60" w:after="60"/>
              <w:jc w:val="center"/>
              <w:rPr>
                <w:rFonts w:cs="Arial"/>
                <w:b/>
                <w:lang w:val="fr-CA"/>
              </w:rPr>
            </w:pPr>
            <w:r w:rsidRPr="00C3315D">
              <w:rPr>
                <w:rFonts w:cs="Arial"/>
                <w:b/>
                <w:lang w:val="fr-CA"/>
              </w:rPr>
              <w:t>Décision définitive sur la délimitation de l’étendue</w:t>
            </w:r>
          </w:p>
        </w:tc>
      </w:tr>
      <w:tr w:rsidR="00E557F1" w:rsidRPr="00692D3D" w:rsidTr="002B344F">
        <w:trPr>
          <w:tblHeader/>
        </w:trPr>
        <w:tc>
          <w:tcPr>
            <w:tcW w:w="2549" w:type="dxa"/>
            <w:vMerge/>
            <w:tcBorders>
              <w:bottom w:val="single" w:sz="4" w:space="0" w:color="auto"/>
            </w:tcBorders>
            <w:vAlign w:val="center"/>
          </w:tcPr>
          <w:p w:rsidR="00A436D9" w:rsidRPr="00692D3D" w:rsidRDefault="00A436D9" w:rsidP="00FA03A2">
            <w:pPr>
              <w:spacing w:before="120" w:after="120"/>
              <w:rPr>
                <w:rFonts w:cs="Arial"/>
                <w:lang w:val="fr-CA"/>
              </w:rPr>
            </w:pPr>
          </w:p>
        </w:tc>
        <w:tc>
          <w:tcPr>
            <w:tcW w:w="2695" w:type="dxa"/>
            <w:shd w:val="clear" w:color="auto" w:fill="95B3D7" w:themeFill="accent1" w:themeFillTint="99"/>
            <w:vAlign w:val="center"/>
          </w:tcPr>
          <w:p w:rsidR="00A436D9" w:rsidRPr="00692D3D" w:rsidRDefault="00202726" w:rsidP="00371959">
            <w:pPr>
              <w:spacing w:before="120" w:after="120"/>
              <w:jc w:val="center"/>
              <w:rPr>
                <w:rFonts w:cs="Arial"/>
                <w:b/>
                <w:lang w:val="fr-CA"/>
              </w:rPr>
            </w:pPr>
            <w:r>
              <w:rPr>
                <w:rFonts w:cs="Arial"/>
                <w:b/>
                <w:lang w:val="fr-CA"/>
              </w:rPr>
              <w:t>Le r</w:t>
            </w:r>
            <w:r w:rsidR="00A436D9" w:rsidRPr="00692D3D">
              <w:rPr>
                <w:rFonts w:cs="Arial"/>
                <w:b/>
                <w:lang w:val="fr-CA"/>
              </w:rPr>
              <w:t>is</w:t>
            </w:r>
            <w:r w:rsidR="00C61FDE">
              <w:rPr>
                <w:rFonts w:cs="Arial"/>
                <w:b/>
                <w:lang w:val="fr-CA"/>
              </w:rPr>
              <w:t>que</w:t>
            </w:r>
            <w:r>
              <w:rPr>
                <w:rFonts w:cs="Arial"/>
                <w:b/>
                <w:lang w:val="fr-CA"/>
              </w:rPr>
              <w:t xml:space="preserve"> fait</w:t>
            </w:r>
            <w:r w:rsidR="00D747C0">
              <w:rPr>
                <w:rFonts w:cs="Arial"/>
                <w:b/>
                <w:lang w:val="fr-CA"/>
              </w:rPr>
              <w:t>-il</w:t>
            </w:r>
            <w:r>
              <w:rPr>
                <w:rFonts w:cs="Arial"/>
                <w:b/>
                <w:lang w:val="fr-CA"/>
              </w:rPr>
              <w:t xml:space="preserve"> partie de l’étendue</w:t>
            </w:r>
            <w:r w:rsidR="00A436D9" w:rsidRPr="00692D3D">
              <w:rPr>
                <w:rFonts w:cs="Arial"/>
                <w:b/>
                <w:lang w:val="fr-CA"/>
              </w:rPr>
              <w:t>?</w:t>
            </w:r>
          </w:p>
          <w:p w:rsidR="00A436D9" w:rsidRPr="00692D3D" w:rsidRDefault="00A436D9" w:rsidP="00A93805">
            <w:pPr>
              <w:spacing w:before="120"/>
              <w:jc w:val="center"/>
              <w:rPr>
                <w:rFonts w:cs="Arial"/>
                <w:lang w:val="fr-CA"/>
              </w:rPr>
            </w:pPr>
            <w:r w:rsidRPr="00692D3D">
              <w:rPr>
                <w:rFonts w:cs="Arial"/>
                <w:lang w:val="fr-CA"/>
              </w:rPr>
              <w:t>[</w:t>
            </w:r>
            <w:r w:rsidR="00C61FDE">
              <w:rPr>
                <w:rFonts w:cs="Arial"/>
                <w:lang w:val="fr-CA"/>
              </w:rPr>
              <w:t>Oui</w:t>
            </w:r>
            <w:r w:rsidRPr="00692D3D">
              <w:rPr>
                <w:rFonts w:cs="Arial"/>
                <w:lang w:val="fr-CA"/>
              </w:rPr>
              <w:t>/No</w:t>
            </w:r>
            <w:r w:rsidR="00C61FDE">
              <w:rPr>
                <w:rFonts w:cs="Arial"/>
                <w:lang w:val="fr-CA"/>
              </w:rPr>
              <w:t>n</w:t>
            </w:r>
            <w:r w:rsidRPr="00692D3D">
              <w:rPr>
                <w:rFonts w:cs="Arial"/>
                <w:lang w:val="fr-CA"/>
              </w:rPr>
              <w:t>]</w:t>
            </w:r>
          </w:p>
          <w:p w:rsidR="00A436D9" w:rsidRPr="00692D3D" w:rsidRDefault="00941F3D" w:rsidP="00C61FDE">
            <w:pPr>
              <w:spacing w:before="120" w:after="120"/>
              <w:jc w:val="center"/>
              <w:rPr>
                <w:rFonts w:cs="Arial"/>
                <w:b/>
                <w:lang w:val="fr-CA"/>
              </w:rPr>
            </w:pPr>
            <w:r>
              <w:rPr>
                <w:rFonts w:cs="Arial"/>
                <w:b/>
                <w:lang w:val="fr-CA"/>
              </w:rPr>
              <w:t>Justification</w:t>
            </w:r>
          </w:p>
        </w:tc>
        <w:tc>
          <w:tcPr>
            <w:tcW w:w="2409" w:type="dxa"/>
            <w:vMerge/>
          </w:tcPr>
          <w:p w:rsidR="00A436D9" w:rsidRPr="00692D3D" w:rsidRDefault="00A436D9" w:rsidP="00FA03A2">
            <w:pPr>
              <w:spacing w:before="120" w:after="120"/>
              <w:rPr>
                <w:rFonts w:cs="Arial"/>
                <w:lang w:val="fr-CA"/>
              </w:rPr>
            </w:pPr>
          </w:p>
        </w:tc>
        <w:tc>
          <w:tcPr>
            <w:tcW w:w="1701" w:type="dxa"/>
            <w:shd w:val="clear" w:color="auto" w:fill="DBE5F1" w:themeFill="accent1" w:themeFillTint="33"/>
            <w:vAlign w:val="center"/>
          </w:tcPr>
          <w:p w:rsidR="00A436D9" w:rsidRPr="00692D3D" w:rsidRDefault="00692D3D" w:rsidP="00FA03A2">
            <w:pPr>
              <w:spacing w:before="120" w:after="120"/>
              <w:jc w:val="center"/>
              <w:rPr>
                <w:rFonts w:cs="Arial"/>
                <w:b/>
                <w:lang w:val="fr-CA"/>
              </w:rPr>
            </w:pPr>
            <w:r>
              <w:rPr>
                <w:rFonts w:cs="Arial"/>
                <w:b/>
                <w:lang w:val="fr-CA"/>
              </w:rPr>
              <w:t>La conception est-elle adéquate</w:t>
            </w:r>
            <w:r w:rsidR="00A436D9" w:rsidRPr="00692D3D">
              <w:rPr>
                <w:rFonts w:cs="Arial"/>
                <w:b/>
                <w:lang w:val="fr-CA"/>
              </w:rPr>
              <w:t>?</w:t>
            </w:r>
          </w:p>
          <w:p w:rsidR="00A436D9" w:rsidRPr="004F5C7A" w:rsidRDefault="00A436D9" w:rsidP="00FA03A2">
            <w:pPr>
              <w:spacing w:before="120" w:after="120"/>
              <w:jc w:val="center"/>
              <w:rPr>
                <w:rFonts w:cs="Arial"/>
                <w:lang w:val="fr-CA"/>
              </w:rPr>
            </w:pPr>
            <w:r w:rsidRPr="004F5C7A">
              <w:rPr>
                <w:rFonts w:cs="Arial"/>
                <w:lang w:val="fr-CA"/>
              </w:rPr>
              <w:t>[</w:t>
            </w:r>
            <w:r w:rsidR="00692D3D" w:rsidRPr="004F5C7A">
              <w:rPr>
                <w:rFonts w:cs="Arial"/>
                <w:lang w:val="fr-CA"/>
              </w:rPr>
              <w:t>Oui/Non/ Pas évalué</w:t>
            </w:r>
            <w:r w:rsidRPr="004F5C7A">
              <w:rPr>
                <w:rFonts w:cs="Arial"/>
                <w:lang w:val="fr-CA"/>
              </w:rPr>
              <w:t>]</w:t>
            </w:r>
          </w:p>
          <w:p w:rsidR="00A436D9" w:rsidRPr="00692D3D" w:rsidRDefault="00A436D9" w:rsidP="00371959">
            <w:pPr>
              <w:spacing w:before="120" w:after="120"/>
              <w:jc w:val="center"/>
              <w:rPr>
                <w:rFonts w:cs="Arial"/>
                <w:b/>
                <w:lang w:val="fr-CA"/>
              </w:rPr>
            </w:pPr>
            <w:r w:rsidRPr="00692D3D">
              <w:rPr>
                <w:rFonts w:cs="Arial"/>
                <w:b/>
                <w:color w:val="FF0000"/>
                <w:lang w:val="fr-CA"/>
              </w:rPr>
              <w:t>[D1]</w:t>
            </w:r>
          </w:p>
        </w:tc>
        <w:tc>
          <w:tcPr>
            <w:tcW w:w="1844" w:type="dxa"/>
            <w:shd w:val="clear" w:color="auto" w:fill="DBE5F1" w:themeFill="accent1" w:themeFillTint="33"/>
            <w:vAlign w:val="center"/>
          </w:tcPr>
          <w:p w:rsidR="00A436D9" w:rsidRPr="00692D3D" w:rsidRDefault="00692D3D" w:rsidP="00FA03A2">
            <w:pPr>
              <w:spacing w:before="120" w:after="120"/>
              <w:jc w:val="center"/>
              <w:rPr>
                <w:rFonts w:cs="Arial"/>
                <w:b/>
                <w:lang w:val="fr-CA"/>
              </w:rPr>
            </w:pPr>
            <w:r>
              <w:rPr>
                <w:rFonts w:cs="Arial"/>
                <w:b/>
                <w:lang w:val="fr-CA"/>
              </w:rPr>
              <w:t xml:space="preserve">Le contrôle est-il mis en </w:t>
            </w:r>
            <w:r w:rsidR="00202726">
              <w:rPr>
                <w:rFonts w:cs="Arial"/>
                <w:b/>
                <w:lang w:val="fr-CA"/>
              </w:rPr>
              <w:t>œuvre</w:t>
            </w:r>
            <w:r w:rsidR="00A436D9" w:rsidRPr="00692D3D">
              <w:rPr>
                <w:rFonts w:cs="Arial"/>
                <w:b/>
                <w:lang w:val="fr-CA"/>
              </w:rPr>
              <w:t>?</w:t>
            </w:r>
          </w:p>
          <w:p w:rsidR="00A436D9" w:rsidRPr="004F5C7A" w:rsidRDefault="00A436D9" w:rsidP="00FA03A2">
            <w:pPr>
              <w:spacing w:before="120" w:after="120"/>
              <w:jc w:val="center"/>
              <w:rPr>
                <w:rFonts w:cs="Arial"/>
                <w:lang w:val="fr-CA"/>
              </w:rPr>
            </w:pPr>
            <w:r w:rsidRPr="004F5C7A">
              <w:rPr>
                <w:rFonts w:cs="Arial"/>
                <w:lang w:val="fr-CA"/>
              </w:rPr>
              <w:t>[</w:t>
            </w:r>
            <w:r w:rsidR="00692D3D" w:rsidRPr="004F5C7A">
              <w:rPr>
                <w:rFonts w:cs="Arial"/>
                <w:lang w:val="fr-CA"/>
              </w:rPr>
              <w:t>Oui/Non/ Pas évalué</w:t>
            </w:r>
            <w:r w:rsidRPr="004F5C7A">
              <w:rPr>
                <w:rFonts w:cs="Arial"/>
                <w:lang w:val="fr-CA"/>
              </w:rPr>
              <w:t>]</w:t>
            </w:r>
          </w:p>
          <w:p w:rsidR="00A436D9" w:rsidRPr="00692D3D" w:rsidRDefault="00A436D9" w:rsidP="00371959">
            <w:pPr>
              <w:spacing w:before="120" w:after="120"/>
              <w:jc w:val="center"/>
              <w:rPr>
                <w:rFonts w:cs="Arial"/>
                <w:b/>
                <w:lang w:val="fr-CA"/>
              </w:rPr>
            </w:pPr>
            <w:r w:rsidRPr="00692D3D">
              <w:rPr>
                <w:rFonts w:cs="Arial"/>
                <w:b/>
                <w:color w:val="FF0000"/>
                <w:lang w:val="fr-CA"/>
              </w:rPr>
              <w:t>[D2]</w:t>
            </w:r>
          </w:p>
        </w:tc>
        <w:tc>
          <w:tcPr>
            <w:tcW w:w="3260" w:type="dxa"/>
            <w:tcBorders>
              <w:bottom w:val="single" w:sz="4" w:space="0" w:color="auto"/>
            </w:tcBorders>
            <w:shd w:val="clear" w:color="auto" w:fill="DBE5F1" w:themeFill="accent1" w:themeFillTint="33"/>
            <w:vAlign w:val="center"/>
          </w:tcPr>
          <w:p w:rsidR="00A436D9" w:rsidRPr="00692D3D" w:rsidRDefault="00D747C0" w:rsidP="00A436D9">
            <w:pPr>
              <w:spacing w:before="120" w:after="120"/>
              <w:jc w:val="center"/>
              <w:rPr>
                <w:rFonts w:cs="Arial"/>
                <w:b/>
                <w:lang w:val="fr-CA"/>
              </w:rPr>
            </w:pPr>
            <w:r>
              <w:rPr>
                <w:rFonts w:cs="Arial"/>
                <w:b/>
                <w:lang w:val="fr-CA"/>
              </w:rPr>
              <w:t>Le r</w:t>
            </w:r>
            <w:r w:rsidRPr="00692D3D">
              <w:rPr>
                <w:rFonts w:cs="Arial"/>
                <w:b/>
                <w:lang w:val="fr-CA"/>
              </w:rPr>
              <w:t>is</w:t>
            </w:r>
            <w:r>
              <w:rPr>
                <w:rFonts w:cs="Arial"/>
                <w:b/>
                <w:lang w:val="fr-CA"/>
              </w:rPr>
              <w:t>que fait-il partie de l’étendue</w:t>
            </w:r>
            <w:r w:rsidR="00A436D9" w:rsidRPr="00692D3D">
              <w:rPr>
                <w:rFonts w:cs="Arial"/>
                <w:b/>
                <w:lang w:val="fr-CA"/>
              </w:rPr>
              <w:t>?</w:t>
            </w:r>
          </w:p>
          <w:p w:rsidR="00A436D9" w:rsidRPr="00692D3D" w:rsidRDefault="00A436D9" w:rsidP="00A436D9">
            <w:pPr>
              <w:spacing w:before="120" w:after="120"/>
              <w:jc w:val="center"/>
              <w:rPr>
                <w:rFonts w:cs="Arial"/>
                <w:b/>
                <w:lang w:val="fr-CA"/>
              </w:rPr>
            </w:pPr>
            <w:r w:rsidRPr="00692D3D">
              <w:rPr>
                <w:rFonts w:cs="Arial"/>
                <w:lang w:val="fr-CA"/>
              </w:rPr>
              <w:t>[</w:t>
            </w:r>
            <w:r w:rsidR="00692D3D">
              <w:rPr>
                <w:rFonts w:cs="Arial"/>
                <w:lang w:val="fr-CA"/>
              </w:rPr>
              <w:t>Oui</w:t>
            </w:r>
            <w:r w:rsidRPr="00692D3D">
              <w:rPr>
                <w:rFonts w:cs="Arial"/>
                <w:lang w:val="fr-CA"/>
              </w:rPr>
              <w:t>/No</w:t>
            </w:r>
            <w:r w:rsidR="00692D3D">
              <w:rPr>
                <w:rFonts w:cs="Arial"/>
                <w:lang w:val="fr-CA"/>
              </w:rPr>
              <w:t>n</w:t>
            </w:r>
            <w:r w:rsidRPr="00692D3D">
              <w:rPr>
                <w:rFonts w:cs="Arial"/>
                <w:lang w:val="fr-CA"/>
              </w:rPr>
              <w:t>]</w:t>
            </w:r>
          </w:p>
          <w:p w:rsidR="00A436D9" w:rsidRPr="00692D3D" w:rsidRDefault="00941F3D" w:rsidP="00FA03A2">
            <w:pPr>
              <w:spacing w:before="120" w:after="120"/>
              <w:jc w:val="center"/>
              <w:rPr>
                <w:rFonts w:cs="Arial"/>
                <w:b/>
                <w:lang w:val="fr-CA"/>
              </w:rPr>
            </w:pPr>
            <w:r>
              <w:rPr>
                <w:rFonts w:cs="Arial"/>
                <w:b/>
                <w:lang w:val="fr-CA"/>
              </w:rPr>
              <w:t>Justification</w:t>
            </w:r>
            <w:r w:rsidR="00A436D9" w:rsidRPr="00692D3D">
              <w:rPr>
                <w:rStyle w:val="EndnoteReference"/>
                <w:rFonts w:cs="Arial"/>
                <w:b/>
                <w:lang w:val="fr-CA"/>
              </w:rPr>
              <w:endnoteReference w:id="5"/>
            </w:r>
          </w:p>
          <w:p w:rsidR="00A436D9" w:rsidRPr="00692D3D" w:rsidRDefault="00A436D9" w:rsidP="00C01DE1">
            <w:pPr>
              <w:spacing w:before="120" w:after="120"/>
              <w:jc w:val="center"/>
              <w:rPr>
                <w:rFonts w:cs="Arial"/>
                <w:lang w:val="fr-CA"/>
              </w:rPr>
            </w:pPr>
            <w:r w:rsidRPr="00692D3D">
              <w:rPr>
                <w:rFonts w:cs="Arial"/>
                <w:b/>
                <w:color w:val="FF0000"/>
                <w:lang w:val="fr-CA"/>
              </w:rPr>
              <w:t xml:space="preserve">[E] </w:t>
            </w:r>
          </w:p>
        </w:tc>
        <w:tc>
          <w:tcPr>
            <w:tcW w:w="2974" w:type="dxa"/>
            <w:tcBorders>
              <w:bottom w:val="single" w:sz="4" w:space="0" w:color="auto"/>
            </w:tcBorders>
            <w:shd w:val="clear" w:color="auto" w:fill="DBE5F1" w:themeFill="accent1" w:themeFillTint="33"/>
            <w:vAlign w:val="center"/>
          </w:tcPr>
          <w:p w:rsidR="00A436D9" w:rsidRPr="00692D3D" w:rsidRDefault="00A436D9" w:rsidP="00FA03A2">
            <w:pPr>
              <w:spacing w:before="120" w:after="120"/>
              <w:jc w:val="center"/>
              <w:rPr>
                <w:rFonts w:cs="Arial"/>
                <w:b/>
                <w:lang w:val="fr-CA"/>
              </w:rPr>
            </w:pPr>
            <w:r w:rsidRPr="00692D3D">
              <w:rPr>
                <w:rFonts w:cs="Arial"/>
                <w:b/>
                <w:lang w:val="fr-CA"/>
              </w:rPr>
              <w:t>I</w:t>
            </w:r>
            <w:r w:rsidR="00692D3D">
              <w:rPr>
                <w:rFonts w:cs="Arial"/>
                <w:b/>
                <w:lang w:val="fr-CA"/>
              </w:rPr>
              <w:t>ncidence sur la stratégie d’</w:t>
            </w:r>
            <w:r w:rsidRPr="00692D3D">
              <w:rPr>
                <w:rFonts w:cs="Arial"/>
                <w:b/>
                <w:lang w:val="fr-CA"/>
              </w:rPr>
              <w:t>audit</w:t>
            </w:r>
            <w:r w:rsidRPr="00692D3D">
              <w:rPr>
                <w:rStyle w:val="EndnoteReference"/>
                <w:rFonts w:cs="Arial"/>
                <w:b/>
                <w:lang w:val="fr-CA"/>
              </w:rPr>
              <w:endnoteReference w:id="6"/>
            </w:r>
          </w:p>
          <w:p w:rsidR="00A436D9" w:rsidRPr="00692D3D" w:rsidRDefault="00C01DE1" w:rsidP="00371959">
            <w:pPr>
              <w:spacing w:before="120" w:after="120"/>
              <w:jc w:val="center"/>
              <w:rPr>
                <w:rFonts w:cs="Arial"/>
                <w:b/>
                <w:lang w:val="fr-CA"/>
              </w:rPr>
            </w:pPr>
            <w:r w:rsidRPr="00692D3D">
              <w:rPr>
                <w:rFonts w:cs="Arial"/>
                <w:b/>
                <w:color w:val="FF0000"/>
                <w:lang w:val="fr-CA"/>
              </w:rPr>
              <w:t>[F]</w:t>
            </w:r>
          </w:p>
        </w:tc>
      </w:tr>
      <w:tr w:rsidR="00E557F1" w:rsidRPr="00E924A4" w:rsidTr="002B344F">
        <w:trPr>
          <w:trHeight w:val="1074"/>
        </w:trPr>
        <w:tc>
          <w:tcPr>
            <w:tcW w:w="2549" w:type="dxa"/>
            <w:vMerge w:val="restart"/>
            <w:tcBorders>
              <w:top w:val="single" w:sz="4" w:space="0" w:color="auto"/>
              <w:left w:val="single" w:sz="4" w:space="0" w:color="auto"/>
              <w:right w:val="single" w:sz="4" w:space="0" w:color="auto"/>
            </w:tcBorders>
          </w:tcPr>
          <w:p w:rsidR="00A436D9" w:rsidRPr="00692D3D" w:rsidRDefault="00A436D9" w:rsidP="00692D3D">
            <w:pPr>
              <w:spacing w:before="120" w:after="120"/>
              <w:rPr>
                <w:rFonts w:cs="Arial"/>
                <w:lang w:val="fr-CA"/>
              </w:rPr>
            </w:pPr>
            <w:r w:rsidRPr="00692D3D">
              <w:rPr>
                <w:rFonts w:cs="Arial"/>
                <w:b/>
                <w:lang w:val="fr-CA"/>
              </w:rPr>
              <w:t>Ris</w:t>
            </w:r>
            <w:r w:rsidR="00692D3D">
              <w:rPr>
                <w:rFonts w:cs="Arial"/>
                <w:b/>
                <w:lang w:val="fr-CA"/>
              </w:rPr>
              <w:t>que</w:t>
            </w:r>
            <w:r w:rsidRPr="00692D3D">
              <w:rPr>
                <w:rFonts w:cs="Arial"/>
                <w:b/>
                <w:lang w:val="fr-CA"/>
              </w:rPr>
              <w:t> 1</w:t>
            </w:r>
          </w:p>
        </w:tc>
        <w:tc>
          <w:tcPr>
            <w:tcW w:w="2695" w:type="dxa"/>
            <w:vMerge w:val="restart"/>
            <w:tcBorders>
              <w:left w:val="single" w:sz="4" w:space="0" w:color="auto"/>
              <w:right w:val="single" w:sz="4" w:space="0" w:color="auto"/>
            </w:tcBorders>
          </w:tcPr>
          <w:p w:rsidR="00A436D9" w:rsidRPr="00692D3D" w:rsidRDefault="00A436D9" w:rsidP="00FA03A2">
            <w:pPr>
              <w:spacing w:before="120" w:after="120"/>
              <w:rPr>
                <w:rFonts w:cs="Arial"/>
                <w:b/>
                <w:lang w:val="fr-CA"/>
              </w:rPr>
            </w:pPr>
          </w:p>
        </w:tc>
        <w:tc>
          <w:tcPr>
            <w:tcW w:w="2409" w:type="dxa"/>
            <w:tcBorders>
              <w:left w:val="single" w:sz="4" w:space="0" w:color="auto"/>
            </w:tcBorders>
          </w:tcPr>
          <w:p w:rsidR="00A436D9" w:rsidRPr="00692D3D" w:rsidRDefault="00A436D9" w:rsidP="008E40EB">
            <w:pPr>
              <w:spacing w:before="120" w:after="120"/>
              <w:rPr>
                <w:rFonts w:cs="Arial"/>
                <w:lang w:val="fr-CA"/>
              </w:rPr>
            </w:pPr>
            <w:r w:rsidRPr="00692D3D">
              <w:rPr>
                <w:rFonts w:cs="Arial"/>
                <w:b/>
                <w:lang w:val="fr-CA"/>
              </w:rPr>
              <w:t>Contr</w:t>
            </w:r>
            <w:r w:rsidR="00692D3D">
              <w:rPr>
                <w:rFonts w:cs="Arial"/>
                <w:b/>
                <w:lang w:val="fr-CA"/>
              </w:rPr>
              <w:t>ôle</w:t>
            </w:r>
            <w:r w:rsidR="008E40EB">
              <w:rPr>
                <w:rFonts w:cs="Arial"/>
                <w:b/>
                <w:lang w:val="fr-CA"/>
              </w:rPr>
              <w:t> </w:t>
            </w:r>
            <w:r w:rsidRPr="00692D3D">
              <w:rPr>
                <w:rFonts w:cs="Arial"/>
                <w:b/>
                <w:lang w:val="fr-CA"/>
              </w:rPr>
              <w:t>1</w:t>
            </w:r>
          </w:p>
        </w:tc>
        <w:tc>
          <w:tcPr>
            <w:tcW w:w="1701" w:type="dxa"/>
            <w:vMerge w:val="restart"/>
          </w:tcPr>
          <w:p w:rsidR="00A436D9" w:rsidRPr="00692D3D" w:rsidRDefault="00A436D9" w:rsidP="00692D3D">
            <w:pPr>
              <w:spacing w:before="120" w:after="120"/>
              <w:rPr>
                <w:rFonts w:cs="Arial"/>
                <w:color w:val="1F497D" w:themeColor="text2"/>
                <w:lang w:val="fr-CA"/>
              </w:rPr>
            </w:pPr>
            <w:r w:rsidRPr="00692D3D">
              <w:rPr>
                <w:rFonts w:cs="Arial"/>
                <w:color w:val="1F497D" w:themeColor="text2"/>
                <w:lang w:val="fr-CA"/>
              </w:rPr>
              <w:t>[</w:t>
            </w:r>
            <w:r w:rsidR="00692D3D" w:rsidRPr="00C3315D">
              <w:rPr>
                <w:rFonts w:cs="Arial"/>
                <w:color w:val="1F497D" w:themeColor="text2"/>
                <w:lang w:val="fr-CA"/>
              </w:rPr>
              <w:t xml:space="preserve">Ajouter un </w:t>
            </w:r>
            <w:r w:rsidR="008E40EB">
              <w:rPr>
                <w:rFonts w:cs="Arial"/>
                <w:color w:val="1F497D" w:themeColor="text2"/>
                <w:lang w:val="fr-CA"/>
              </w:rPr>
              <w:t>hyper</w:t>
            </w:r>
            <w:r w:rsidR="00692D3D" w:rsidRPr="00C3315D">
              <w:rPr>
                <w:rFonts w:cs="Arial"/>
                <w:color w:val="1F497D" w:themeColor="text2"/>
                <w:lang w:val="fr-CA"/>
              </w:rPr>
              <w:t xml:space="preserve">lien vers la </w:t>
            </w:r>
            <w:r w:rsidR="00692D3D" w:rsidRPr="00C3315D">
              <w:rPr>
                <w:rFonts w:cs="Arial"/>
                <w:i/>
                <w:color w:val="1F497D" w:themeColor="text2"/>
                <w:lang w:val="fr-CA"/>
              </w:rPr>
              <w:t>Feuille de travail sur les contrôles</w:t>
            </w:r>
            <w:r w:rsidRPr="00692D3D">
              <w:rPr>
                <w:rFonts w:cs="Arial"/>
                <w:color w:val="1F497D" w:themeColor="text2"/>
                <w:lang w:val="fr-CA"/>
              </w:rPr>
              <w:t>] a</w:t>
            </w:r>
            <w:r w:rsidR="00692D3D">
              <w:rPr>
                <w:rFonts w:cs="Arial"/>
                <w:color w:val="1F497D" w:themeColor="text2"/>
                <w:lang w:val="fr-CA"/>
              </w:rPr>
              <w:t>u besoin</w:t>
            </w:r>
          </w:p>
        </w:tc>
        <w:tc>
          <w:tcPr>
            <w:tcW w:w="1844" w:type="dxa"/>
            <w:vMerge w:val="restart"/>
            <w:tcBorders>
              <w:right w:val="single" w:sz="4" w:space="0" w:color="auto"/>
            </w:tcBorders>
          </w:tcPr>
          <w:p w:rsidR="00A436D9" w:rsidRPr="00692D3D" w:rsidRDefault="00A436D9" w:rsidP="00692D3D">
            <w:pPr>
              <w:spacing w:before="120" w:after="120"/>
              <w:rPr>
                <w:rFonts w:cs="Arial"/>
                <w:lang w:val="fr-CA"/>
              </w:rPr>
            </w:pPr>
            <w:r w:rsidRPr="00692D3D">
              <w:rPr>
                <w:rFonts w:cs="Arial"/>
                <w:color w:val="1F497D" w:themeColor="text2"/>
                <w:lang w:val="fr-CA"/>
              </w:rPr>
              <w:t>[</w:t>
            </w:r>
            <w:r w:rsidR="00692D3D" w:rsidRPr="00C3315D">
              <w:rPr>
                <w:rFonts w:cs="Arial"/>
                <w:color w:val="1F497D" w:themeColor="text2"/>
                <w:lang w:val="fr-CA"/>
              </w:rPr>
              <w:t xml:space="preserve">Ajouter un </w:t>
            </w:r>
            <w:r w:rsidR="008E40EB">
              <w:rPr>
                <w:rFonts w:cs="Arial"/>
                <w:color w:val="1F497D" w:themeColor="text2"/>
                <w:lang w:val="fr-CA"/>
              </w:rPr>
              <w:t>hyper</w:t>
            </w:r>
            <w:r w:rsidR="00692D3D" w:rsidRPr="00C3315D">
              <w:rPr>
                <w:rFonts w:cs="Arial"/>
                <w:color w:val="1F497D" w:themeColor="text2"/>
                <w:lang w:val="fr-CA"/>
              </w:rPr>
              <w:t xml:space="preserve">lien vers la </w:t>
            </w:r>
            <w:r w:rsidR="00692D3D" w:rsidRPr="00C3315D">
              <w:rPr>
                <w:rFonts w:cs="Arial"/>
                <w:i/>
                <w:color w:val="1F497D" w:themeColor="text2"/>
                <w:lang w:val="fr-CA"/>
              </w:rPr>
              <w:t>Feuille de travail sur les contrôles</w:t>
            </w:r>
            <w:r w:rsidRPr="00692D3D">
              <w:rPr>
                <w:rFonts w:cs="Arial"/>
                <w:color w:val="1F497D" w:themeColor="text2"/>
                <w:lang w:val="fr-CA"/>
              </w:rPr>
              <w:t>] a</w:t>
            </w:r>
            <w:r w:rsidR="00692D3D">
              <w:rPr>
                <w:rFonts w:cs="Arial"/>
                <w:color w:val="1F497D" w:themeColor="text2"/>
                <w:lang w:val="fr-CA"/>
              </w:rPr>
              <w:t>u besoin</w:t>
            </w:r>
          </w:p>
        </w:tc>
        <w:tc>
          <w:tcPr>
            <w:tcW w:w="3260" w:type="dxa"/>
            <w:vMerge w:val="restart"/>
            <w:tcBorders>
              <w:top w:val="single" w:sz="4" w:space="0" w:color="auto"/>
              <w:left w:val="single" w:sz="4" w:space="0" w:color="auto"/>
              <w:right w:val="single" w:sz="4" w:space="0" w:color="auto"/>
            </w:tcBorders>
          </w:tcPr>
          <w:p w:rsidR="00A436D9" w:rsidRPr="00692D3D" w:rsidRDefault="00A436D9" w:rsidP="00FA03A2">
            <w:pPr>
              <w:spacing w:before="120" w:after="120"/>
              <w:rPr>
                <w:rFonts w:cs="Arial"/>
                <w:color w:val="1F497D" w:themeColor="text2"/>
                <w:lang w:val="fr-CA"/>
              </w:rPr>
            </w:pPr>
          </w:p>
        </w:tc>
        <w:tc>
          <w:tcPr>
            <w:tcW w:w="2974" w:type="dxa"/>
            <w:vMerge w:val="restart"/>
            <w:tcBorders>
              <w:top w:val="single" w:sz="4" w:space="0" w:color="auto"/>
              <w:left w:val="single" w:sz="4" w:space="0" w:color="auto"/>
              <w:right w:val="single" w:sz="4" w:space="0" w:color="auto"/>
            </w:tcBorders>
          </w:tcPr>
          <w:p w:rsidR="00A436D9" w:rsidRPr="00692D3D" w:rsidRDefault="00A436D9" w:rsidP="00FA03A2">
            <w:pPr>
              <w:spacing w:before="120" w:after="120"/>
              <w:rPr>
                <w:rFonts w:cs="Arial"/>
                <w:lang w:val="fr-CA"/>
              </w:rPr>
            </w:pPr>
          </w:p>
        </w:tc>
      </w:tr>
      <w:tr w:rsidR="00E557F1" w:rsidRPr="00692D3D" w:rsidTr="002B344F">
        <w:trPr>
          <w:trHeight w:val="976"/>
        </w:trPr>
        <w:tc>
          <w:tcPr>
            <w:tcW w:w="2549" w:type="dxa"/>
            <w:vMerge/>
            <w:tcBorders>
              <w:left w:val="single" w:sz="4" w:space="0" w:color="auto"/>
              <w:bottom w:val="nil"/>
              <w:right w:val="single" w:sz="4" w:space="0" w:color="auto"/>
            </w:tcBorders>
          </w:tcPr>
          <w:p w:rsidR="00A436D9" w:rsidRPr="00692D3D" w:rsidRDefault="00A436D9" w:rsidP="00371959">
            <w:pPr>
              <w:spacing w:before="120" w:after="120"/>
              <w:rPr>
                <w:rFonts w:cs="Arial"/>
                <w:b/>
                <w:lang w:val="fr-CA"/>
              </w:rPr>
            </w:pPr>
          </w:p>
        </w:tc>
        <w:tc>
          <w:tcPr>
            <w:tcW w:w="2695" w:type="dxa"/>
            <w:vMerge/>
            <w:tcBorders>
              <w:left w:val="single" w:sz="4" w:space="0" w:color="auto"/>
              <w:right w:val="single" w:sz="4" w:space="0" w:color="auto"/>
            </w:tcBorders>
          </w:tcPr>
          <w:p w:rsidR="00A436D9" w:rsidRPr="00692D3D" w:rsidRDefault="00A436D9" w:rsidP="00FA03A2">
            <w:pPr>
              <w:spacing w:before="120" w:after="120"/>
              <w:rPr>
                <w:rFonts w:cs="Arial"/>
                <w:b/>
                <w:lang w:val="fr-CA"/>
              </w:rPr>
            </w:pPr>
          </w:p>
        </w:tc>
        <w:tc>
          <w:tcPr>
            <w:tcW w:w="2409" w:type="dxa"/>
            <w:tcBorders>
              <w:left w:val="single" w:sz="4" w:space="0" w:color="auto"/>
            </w:tcBorders>
          </w:tcPr>
          <w:p w:rsidR="00A436D9" w:rsidRPr="00692D3D" w:rsidRDefault="00A436D9" w:rsidP="008E40EB">
            <w:pPr>
              <w:spacing w:before="120" w:after="120"/>
              <w:rPr>
                <w:rFonts w:cs="Arial"/>
                <w:b/>
                <w:lang w:val="fr-CA"/>
              </w:rPr>
            </w:pPr>
            <w:r w:rsidRPr="00692D3D">
              <w:rPr>
                <w:rFonts w:cs="Arial"/>
                <w:b/>
                <w:lang w:val="fr-CA"/>
              </w:rPr>
              <w:t>Contr</w:t>
            </w:r>
            <w:r w:rsidR="00692D3D">
              <w:rPr>
                <w:rFonts w:cs="Arial"/>
                <w:b/>
                <w:lang w:val="fr-CA"/>
              </w:rPr>
              <w:t>ôle</w:t>
            </w:r>
            <w:r w:rsidR="008E40EB">
              <w:rPr>
                <w:rFonts w:cs="Arial"/>
                <w:b/>
                <w:lang w:val="fr-CA"/>
              </w:rPr>
              <w:t> </w:t>
            </w:r>
            <w:r w:rsidRPr="00692D3D">
              <w:rPr>
                <w:rFonts w:cs="Arial"/>
                <w:b/>
                <w:lang w:val="fr-CA"/>
              </w:rPr>
              <w:t>2</w:t>
            </w:r>
          </w:p>
        </w:tc>
        <w:tc>
          <w:tcPr>
            <w:tcW w:w="1701" w:type="dxa"/>
            <w:vMerge/>
          </w:tcPr>
          <w:p w:rsidR="00A436D9" w:rsidRPr="00692D3D" w:rsidRDefault="00A436D9" w:rsidP="00816E77">
            <w:pPr>
              <w:spacing w:before="120" w:after="120"/>
              <w:rPr>
                <w:rFonts w:cs="Arial"/>
                <w:color w:val="1F497D" w:themeColor="text2"/>
                <w:lang w:val="fr-CA"/>
              </w:rPr>
            </w:pPr>
          </w:p>
        </w:tc>
        <w:tc>
          <w:tcPr>
            <w:tcW w:w="1844" w:type="dxa"/>
            <w:vMerge/>
            <w:tcBorders>
              <w:right w:val="single" w:sz="4" w:space="0" w:color="auto"/>
            </w:tcBorders>
          </w:tcPr>
          <w:p w:rsidR="00A436D9" w:rsidRPr="00692D3D" w:rsidRDefault="00A436D9" w:rsidP="00FA03A2">
            <w:pPr>
              <w:spacing w:before="120" w:after="120"/>
              <w:rPr>
                <w:rFonts w:cs="Arial"/>
                <w:color w:val="1F497D" w:themeColor="text2"/>
                <w:lang w:val="fr-CA"/>
              </w:rPr>
            </w:pPr>
          </w:p>
        </w:tc>
        <w:tc>
          <w:tcPr>
            <w:tcW w:w="3260" w:type="dxa"/>
            <w:vMerge/>
            <w:tcBorders>
              <w:left w:val="single" w:sz="4" w:space="0" w:color="auto"/>
              <w:bottom w:val="nil"/>
              <w:right w:val="single" w:sz="4" w:space="0" w:color="auto"/>
            </w:tcBorders>
          </w:tcPr>
          <w:p w:rsidR="00A436D9" w:rsidRPr="00692D3D" w:rsidRDefault="00A436D9" w:rsidP="00FA03A2">
            <w:pPr>
              <w:spacing w:before="120" w:after="120"/>
              <w:rPr>
                <w:rFonts w:cs="Arial"/>
                <w:color w:val="1F497D" w:themeColor="text2"/>
                <w:lang w:val="fr-CA"/>
              </w:rPr>
            </w:pPr>
          </w:p>
        </w:tc>
        <w:tc>
          <w:tcPr>
            <w:tcW w:w="2974" w:type="dxa"/>
            <w:vMerge/>
            <w:tcBorders>
              <w:left w:val="single" w:sz="4" w:space="0" w:color="auto"/>
              <w:bottom w:val="nil"/>
              <w:right w:val="single" w:sz="4" w:space="0" w:color="auto"/>
            </w:tcBorders>
          </w:tcPr>
          <w:p w:rsidR="00A436D9" w:rsidRPr="00692D3D" w:rsidRDefault="00A436D9" w:rsidP="00FA03A2">
            <w:pPr>
              <w:spacing w:before="120" w:after="120"/>
              <w:rPr>
                <w:rFonts w:cs="Arial"/>
                <w:lang w:val="fr-CA"/>
              </w:rPr>
            </w:pPr>
          </w:p>
        </w:tc>
      </w:tr>
      <w:tr w:rsidR="00E557F1" w:rsidRPr="00692D3D" w:rsidTr="002B344F">
        <w:trPr>
          <w:trHeight w:val="449"/>
        </w:trPr>
        <w:tc>
          <w:tcPr>
            <w:tcW w:w="2549" w:type="dxa"/>
            <w:vMerge w:val="restart"/>
            <w:tcBorders>
              <w:top w:val="single" w:sz="4" w:space="0" w:color="auto"/>
              <w:left w:val="single" w:sz="4" w:space="0" w:color="auto"/>
              <w:right w:val="single" w:sz="4" w:space="0" w:color="auto"/>
            </w:tcBorders>
          </w:tcPr>
          <w:p w:rsidR="00A436D9" w:rsidRPr="00692D3D" w:rsidRDefault="00A436D9" w:rsidP="00692D3D">
            <w:pPr>
              <w:spacing w:before="120" w:after="120"/>
              <w:rPr>
                <w:rFonts w:cs="Arial"/>
                <w:lang w:val="fr-CA"/>
              </w:rPr>
            </w:pPr>
            <w:r w:rsidRPr="00692D3D">
              <w:rPr>
                <w:rFonts w:cs="Arial"/>
                <w:b/>
                <w:lang w:val="fr-CA"/>
              </w:rPr>
              <w:t>Ris</w:t>
            </w:r>
            <w:r w:rsidR="00692D3D">
              <w:rPr>
                <w:rFonts w:cs="Arial"/>
                <w:b/>
                <w:lang w:val="fr-CA"/>
              </w:rPr>
              <w:t>que</w:t>
            </w:r>
            <w:r w:rsidRPr="00692D3D">
              <w:rPr>
                <w:rFonts w:cs="Arial"/>
                <w:b/>
                <w:lang w:val="fr-CA"/>
              </w:rPr>
              <w:t> 2</w:t>
            </w:r>
          </w:p>
        </w:tc>
        <w:tc>
          <w:tcPr>
            <w:tcW w:w="2695" w:type="dxa"/>
            <w:vMerge w:val="restart"/>
            <w:tcBorders>
              <w:top w:val="single" w:sz="4" w:space="0" w:color="auto"/>
              <w:left w:val="single" w:sz="4" w:space="0" w:color="auto"/>
              <w:right w:val="single" w:sz="4" w:space="0" w:color="auto"/>
            </w:tcBorders>
          </w:tcPr>
          <w:p w:rsidR="00A436D9" w:rsidRPr="00692D3D" w:rsidRDefault="00A436D9" w:rsidP="00FA03A2">
            <w:pPr>
              <w:spacing w:before="120" w:after="120"/>
              <w:rPr>
                <w:rFonts w:cs="Arial"/>
                <w:b/>
                <w:lang w:val="fr-CA"/>
              </w:rPr>
            </w:pPr>
          </w:p>
        </w:tc>
        <w:tc>
          <w:tcPr>
            <w:tcW w:w="2409" w:type="dxa"/>
            <w:tcBorders>
              <w:top w:val="single" w:sz="4" w:space="0" w:color="auto"/>
              <w:left w:val="single" w:sz="4" w:space="0" w:color="auto"/>
            </w:tcBorders>
          </w:tcPr>
          <w:p w:rsidR="00A436D9" w:rsidRPr="00692D3D" w:rsidRDefault="00A436D9" w:rsidP="008E40EB">
            <w:pPr>
              <w:spacing w:before="120" w:after="120"/>
              <w:rPr>
                <w:rFonts w:cs="Arial"/>
                <w:b/>
                <w:lang w:val="fr-CA"/>
              </w:rPr>
            </w:pPr>
            <w:r w:rsidRPr="00692D3D">
              <w:rPr>
                <w:rFonts w:cs="Arial"/>
                <w:b/>
                <w:lang w:val="fr-CA"/>
              </w:rPr>
              <w:t>Cont</w:t>
            </w:r>
            <w:r w:rsidR="00692D3D">
              <w:rPr>
                <w:rFonts w:cs="Arial"/>
                <w:b/>
                <w:lang w:val="fr-CA"/>
              </w:rPr>
              <w:t>rôle</w:t>
            </w:r>
            <w:r w:rsidR="008E40EB">
              <w:rPr>
                <w:rFonts w:cs="Arial"/>
                <w:b/>
                <w:lang w:val="fr-CA"/>
              </w:rPr>
              <w:t> </w:t>
            </w:r>
            <w:r w:rsidRPr="00692D3D">
              <w:rPr>
                <w:rFonts w:cs="Arial"/>
                <w:b/>
                <w:lang w:val="fr-CA"/>
              </w:rPr>
              <w:t>3</w:t>
            </w:r>
          </w:p>
        </w:tc>
        <w:tc>
          <w:tcPr>
            <w:tcW w:w="1701" w:type="dxa"/>
            <w:vMerge w:val="restart"/>
            <w:tcBorders>
              <w:top w:val="single" w:sz="4" w:space="0" w:color="auto"/>
            </w:tcBorders>
          </w:tcPr>
          <w:p w:rsidR="00A436D9" w:rsidRPr="00692D3D" w:rsidRDefault="00A436D9" w:rsidP="00FA03A2">
            <w:pPr>
              <w:spacing w:before="120" w:after="120"/>
              <w:rPr>
                <w:rFonts w:cs="Arial"/>
                <w:lang w:val="fr-CA"/>
              </w:rPr>
            </w:pPr>
          </w:p>
        </w:tc>
        <w:tc>
          <w:tcPr>
            <w:tcW w:w="1844" w:type="dxa"/>
            <w:vMerge w:val="restart"/>
            <w:tcBorders>
              <w:top w:val="single" w:sz="4" w:space="0" w:color="auto"/>
            </w:tcBorders>
          </w:tcPr>
          <w:p w:rsidR="00A436D9" w:rsidRPr="00692D3D" w:rsidRDefault="00A436D9" w:rsidP="00FA03A2">
            <w:pPr>
              <w:spacing w:before="120" w:after="120"/>
              <w:rPr>
                <w:rFonts w:cs="Arial"/>
                <w:lang w:val="fr-CA"/>
              </w:rPr>
            </w:pPr>
          </w:p>
        </w:tc>
        <w:tc>
          <w:tcPr>
            <w:tcW w:w="3260" w:type="dxa"/>
            <w:vMerge w:val="restart"/>
            <w:tcBorders>
              <w:top w:val="single" w:sz="4" w:space="0" w:color="auto"/>
            </w:tcBorders>
          </w:tcPr>
          <w:p w:rsidR="00A436D9" w:rsidRPr="00692D3D" w:rsidRDefault="00A436D9" w:rsidP="00FA03A2">
            <w:pPr>
              <w:spacing w:before="120" w:after="120"/>
              <w:rPr>
                <w:rFonts w:cs="Arial"/>
                <w:lang w:val="fr-CA"/>
              </w:rPr>
            </w:pPr>
          </w:p>
        </w:tc>
        <w:tc>
          <w:tcPr>
            <w:tcW w:w="2974" w:type="dxa"/>
            <w:vMerge w:val="restart"/>
            <w:tcBorders>
              <w:top w:val="single" w:sz="4" w:space="0" w:color="auto"/>
            </w:tcBorders>
          </w:tcPr>
          <w:p w:rsidR="00A436D9" w:rsidRPr="00692D3D" w:rsidRDefault="00A436D9" w:rsidP="00FA03A2">
            <w:pPr>
              <w:spacing w:before="120" w:after="120"/>
              <w:rPr>
                <w:rFonts w:cs="Arial"/>
                <w:lang w:val="fr-CA"/>
              </w:rPr>
            </w:pPr>
          </w:p>
        </w:tc>
      </w:tr>
      <w:tr w:rsidR="00E557F1" w:rsidRPr="00692D3D" w:rsidTr="002B344F">
        <w:trPr>
          <w:trHeight w:val="448"/>
        </w:trPr>
        <w:tc>
          <w:tcPr>
            <w:tcW w:w="2549" w:type="dxa"/>
            <w:vMerge/>
            <w:tcBorders>
              <w:left w:val="single" w:sz="4" w:space="0" w:color="auto"/>
              <w:right w:val="single" w:sz="4" w:space="0" w:color="auto"/>
            </w:tcBorders>
          </w:tcPr>
          <w:p w:rsidR="00A436D9" w:rsidRPr="00692D3D" w:rsidRDefault="00A436D9" w:rsidP="00FA03A2">
            <w:pPr>
              <w:spacing w:before="120" w:after="120"/>
              <w:rPr>
                <w:rFonts w:cs="Arial"/>
                <w:b/>
                <w:lang w:val="fr-CA"/>
              </w:rPr>
            </w:pPr>
          </w:p>
        </w:tc>
        <w:tc>
          <w:tcPr>
            <w:tcW w:w="2695" w:type="dxa"/>
            <w:vMerge/>
            <w:tcBorders>
              <w:left w:val="single" w:sz="4" w:space="0" w:color="auto"/>
              <w:right w:val="single" w:sz="4" w:space="0" w:color="auto"/>
            </w:tcBorders>
          </w:tcPr>
          <w:p w:rsidR="00A436D9" w:rsidRPr="00692D3D" w:rsidRDefault="00A436D9" w:rsidP="00FA03A2">
            <w:pPr>
              <w:spacing w:before="120" w:after="120"/>
              <w:rPr>
                <w:rFonts w:cs="Arial"/>
                <w:b/>
                <w:lang w:val="fr-CA"/>
              </w:rPr>
            </w:pPr>
          </w:p>
        </w:tc>
        <w:tc>
          <w:tcPr>
            <w:tcW w:w="2409" w:type="dxa"/>
            <w:tcBorders>
              <w:top w:val="single" w:sz="4" w:space="0" w:color="auto"/>
              <w:left w:val="single" w:sz="4" w:space="0" w:color="auto"/>
            </w:tcBorders>
          </w:tcPr>
          <w:p w:rsidR="00A436D9" w:rsidRPr="00692D3D" w:rsidRDefault="00A436D9" w:rsidP="008E40EB">
            <w:pPr>
              <w:spacing w:before="120" w:after="120"/>
              <w:rPr>
                <w:rFonts w:cs="Arial"/>
                <w:b/>
                <w:lang w:val="fr-CA"/>
              </w:rPr>
            </w:pPr>
            <w:r w:rsidRPr="00692D3D">
              <w:rPr>
                <w:rFonts w:cs="Arial"/>
                <w:b/>
                <w:lang w:val="fr-CA"/>
              </w:rPr>
              <w:t>Contr</w:t>
            </w:r>
            <w:r w:rsidR="00692D3D">
              <w:rPr>
                <w:rFonts w:cs="Arial"/>
                <w:b/>
                <w:lang w:val="fr-CA"/>
              </w:rPr>
              <w:t>ôle</w:t>
            </w:r>
            <w:r w:rsidR="008E40EB">
              <w:rPr>
                <w:rFonts w:cs="Arial"/>
                <w:b/>
                <w:lang w:val="fr-CA"/>
              </w:rPr>
              <w:t> </w:t>
            </w:r>
            <w:r w:rsidRPr="00692D3D">
              <w:rPr>
                <w:rFonts w:cs="Arial"/>
                <w:b/>
                <w:lang w:val="fr-CA"/>
              </w:rPr>
              <w:t>4</w:t>
            </w:r>
          </w:p>
        </w:tc>
        <w:tc>
          <w:tcPr>
            <w:tcW w:w="1701" w:type="dxa"/>
            <w:vMerge/>
          </w:tcPr>
          <w:p w:rsidR="00A436D9" w:rsidRPr="00692D3D" w:rsidRDefault="00A436D9" w:rsidP="00FA03A2">
            <w:pPr>
              <w:spacing w:before="120" w:after="120"/>
              <w:rPr>
                <w:rFonts w:cs="Arial"/>
                <w:lang w:val="fr-CA"/>
              </w:rPr>
            </w:pPr>
          </w:p>
        </w:tc>
        <w:tc>
          <w:tcPr>
            <w:tcW w:w="1844" w:type="dxa"/>
            <w:vMerge/>
          </w:tcPr>
          <w:p w:rsidR="00A436D9" w:rsidRPr="00692D3D" w:rsidRDefault="00A436D9" w:rsidP="00FA03A2">
            <w:pPr>
              <w:spacing w:before="120" w:after="120"/>
              <w:rPr>
                <w:rFonts w:cs="Arial"/>
                <w:lang w:val="fr-CA"/>
              </w:rPr>
            </w:pPr>
          </w:p>
        </w:tc>
        <w:tc>
          <w:tcPr>
            <w:tcW w:w="3260" w:type="dxa"/>
            <w:vMerge/>
          </w:tcPr>
          <w:p w:rsidR="00A436D9" w:rsidRPr="00692D3D" w:rsidRDefault="00A436D9" w:rsidP="00FA03A2">
            <w:pPr>
              <w:spacing w:before="120" w:after="120"/>
              <w:rPr>
                <w:rFonts w:cs="Arial"/>
                <w:lang w:val="fr-CA"/>
              </w:rPr>
            </w:pPr>
          </w:p>
        </w:tc>
        <w:tc>
          <w:tcPr>
            <w:tcW w:w="2974" w:type="dxa"/>
            <w:vMerge/>
          </w:tcPr>
          <w:p w:rsidR="00A436D9" w:rsidRPr="00692D3D" w:rsidRDefault="00A436D9" w:rsidP="00FA03A2">
            <w:pPr>
              <w:spacing w:before="120" w:after="120"/>
              <w:rPr>
                <w:rFonts w:cs="Arial"/>
                <w:lang w:val="fr-CA"/>
              </w:rPr>
            </w:pPr>
          </w:p>
        </w:tc>
      </w:tr>
      <w:tr w:rsidR="00E557F1" w:rsidRPr="00692D3D" w:rsidTr="002B344F">
        <w:trPr>
          <w:trHeight w:val="449"/>
        </w:trPr>
        <w:tc>
          <w:tcPr>
            <w:tcW w:w="2549" w:type="dxa"/>
            <w:vMerge w:val="restart"/>
            <w:tcBorders>
              <w:top w:val="single" w:sz="4" w:space="0" w:color="auto"/>
              <w:left w:val="single" w:sz="4" w:space="0" w:color="auto"/>
              <w:right w:val="single" w:sz="4" w:space="0" w:color="auto"/>
            </w:tcBorders>
          </w:tcPr>
          <w:p w:rsidR="00A436D9" w:rsidRPr="00692D3D" w:rsidRDefault="00A436D9" w:rsidP="00692D3D">
            <w:pPr>
              <w:spacing w:before="120" w:after="120"/>
              <w:rPr>
                <w:rFonts w:cs="Arial"/>
                <w:lang w:val="fr-CA"/>
              </w:rPr>
            </w:pPr>
            <w:r w:rsidRPr="00692D3D">
              <w:rPr>
                <w:rFonts w:cs="Arial"/>
                <w:b/>
                <w:lang w:val="fr-CA"/>
              </w:rPr>
              <w:t>Ris</w:t>
            </w:r>
            <w:r w:rsidR="00692D3D">
              <w:rPr>
                <w:rFonts w:cs="Arial"/>
                <w:b/>
                <w:lang w:val="fr-CA"/>
              </w:rPr>
              <w:t>que</w:t>
            </w:r>
            <w:r w:rsidRPr="00692D3D">
              <w:rPr>
                <w:rFonts w:cs="Arial"/>
                <w:b/>
                <w:lang w:val="fr-CA"/>
              </w:rPr>
              <w:t> 3</w:t>
            </w:r>
          </w:p>
        </w:tc>
        <w:tc>
          <w:tcPr>
            <w:tcW w:w="2695" w:type="dxa"/>
            <w:vMerge w:val="restart"/>
            <w:tcBorders>
              <w:top w:val="single" w:sz="4" w:space="0" w:color="auto"/>
              <w:left w:val="single" w:sz="4" w:space="0" w:color="auto"/>
              <w:right w:val="single" w:sz="4" w:space="0" w:color="auto"/>
            </w:tcBorders>
          </w:tcPr>
          <w:p w:rsidR="00A436D9" w:rsidRPr="00692D3D" w:rsidRDefault="00A436D9" w:rsidP="00FA03A2">
            <w:pPr>
              <w:spacing w:before="120" w:after="120"/>
              <w:rPr>
                <w:rFonts w:cs="Arial"/>
                <w:b/>
                <w:lang w:val="fr-CA"/>
              </w:rPr>
            </w:pPr>
          </w:p>
        </w:tc>
        <w:tc>
          <w:tcPr>
            <w:tcW w:w="2409" w:type="dxa"/>
            <w:tcBorders>
              <w:top w:val="single" w:sz="4" w:space="0" w:color="auto"/>
              <w:left w:val="single" w:sz="4" w:space="0" w:color="auto"/>
              <w:bottom w:val="single" w:sz="4" w:space="0" w:color="auto"/>
            </w:tcBorders>
          </w:tcPr>
          <w:p w:rsidR="00A436D9" w:rsidRPr="00692D3D" w:rsidDel="00C52612" w:rsidRDefault="00A436D9" w:rsidP="008E40EB">
            <w:pPr>
              <w:spacing w:before="120" w:after="120"/>
              <w:rPr>
                <w:rFonts w:cs="Arial"/>
                <w:b/>
                <w:lang w:val="fr-CA"/>
              </w:rPr>
            </w:pPr>
            <w:r w:rsidRPr="00692D3D">
              <w:rPr>
                <w:rFonts w:cs="Arial"/>
                <w:b/>
                <w:lang w:val="fr-CA"/>
              </w:rPr>
              <w:t>Contr</w:t>
            </w:r>
            <w:r w:rsidR="00692D3D">
              <w:rPr>
                <w:rFonts w:cs="Arial"/>
                <w:b/>
                <w:lang w:val="fr-CA"/>
              </w:rPr>
              <w:t>ôle</w:t>
            </w:r>
            <w:r w:rsidR="008E40EB">
              <w:rPr>
                <w:rFonts w:cs="Arial"/>
                <w:b/>
                <w:lang w:val="fr-CA"/>
              </w:rPr>
              <w:t> </w:t>
            </w:r>
            <w:r w:rsidRPr="00692D3D">
              <w:rPr>
                <w:rFonts w:cs="Arial"/>
                <w:b/>
                <w:lang w:val="fr-CA"/>
              </w:rPr>
              <w:t>5</w:t>
            </w:r>
          </w:p>
        </w:tc>
        <w:tc>
          <w:tcPr>
            <w:tcW w:w="1701" w:type="dxa"/>
            <w:vMerge w:val="restart"/>
            <w:tcBorders>
              <w:top w:val="single" w:sz="4" w:space="0" w:color="auto"/>
            </w:tcBorders>
          </w:tcPr>
          <w:p w:rsidR="00A436D9" w:rsidRPr="00692D3D" w:rsidRDefault="00A436D9" w:rsidP="00FA03A2">
            <w:pPr>
              <w:spacing w:before="120" w:after="120"/>
              <w:rPr>
                <w:rFonts w:cs="Arial"/>
                <w:lang w:val="fr-CA"/>
              </w:rPr>
            </w:pPr>
          </w:p>
        </w:tc>
        <w:tc>
          <w:tcPr>
            <w:tcW w:w="1844" w:type="dxa"/>
            <w:vMerge w:val="restart"/>
            <w:tcBorders>
              <w:top w:val="single" w:sz="4" w:space="0" w:color="auto"/>
            </w:tcBorders>
          </w:tcPr>
          <w:p w:rsidR="00A436D9" w:rsidRPr="00692D3D" w:rsidRDefault="00A436D9" w:rsidP="00FA03A2">
            <w:pPr>
              <w:spacing w:before="120" w:after="120"/>
              <w:rPr>
                <w:rFonts w:cs="Arial"/>
                <w:lang w:val="fr-CA"/>
              </w:rPr>
            </w:pPr>
          </w:p>
        </w:tc>
        <w:tc>
          <w:tcPr>
            <w:tcW w:w="3260" w:type="dxa"/>
            <w:vMerge w:val="restart"/>
            <w:tcBorders>
              <w:top w:val="single" w:sz="4" w:space="0" w:color="auto"/>
            </w:tcBorders>
          </w:tcPr>
          <w:p w:rsidR="00A436D9" w:rsidRPr="00692D3D" w:rsidRDefault="00A436D9" w:rsidP="00FA03A2">
            <w:pPr>
              <w:spacing w:before="120" w:after="120"/>
              <w:rPr>
                <w:rFonts w:cs="Arial"/>
                <w:lang w:val="fr-CA"/>
              </w:rPr>
            </w:pPr>
          </w:p>
        </w:tc>
        <w:tc>
          <w:tcPr>
            <w:tcW w:w="2974" w:type="dxa"/>
            <w:vMerge w:val="restart"/>
            <w:tcBorders>
              <w:top w:val="single" w:sz="4" w:space="0" w:color="auto"/>
            </w:tcBorders>
          </w:tcPr>
          <w:p w:rsidR="00A436D9" w:rsidRPr="00692D3D" w:rsidRDefault="00A436D9" w:rsidP="00FA03A2">
            <w:pPr>
              <w:spacing w:before="120" w:after="120"/>
              <w:rPr>
                <w:rFonts w:cs="Arial"/>
                <w:lang w:val="fr-CA"/>
              </w:rPr>
            </w:pPr>
          </w:p>
        </w:tc>
      </w:tr>
      <w:tr w:rsidR="00E557F1" w:rsidRPr="00692D3D" w:rsidTr="002B344F">
        <w:trPr>
          <w:trHeight w:val="448"/>
        </w:trPr>
        <w:tc>
          <w:tcPr>
            <w:tcW w:w="2549" w:type="dxa"/>
            <w:vMerge/>
            <w:tcBorders>
              <w:left w:val="single" w:sz="4" w:space="0" w:color="auto"/>
              <w:right w:val="single" w:sz="4" w:space="0" w:color="auto"/>
            </w:tcBorders>
          </w:tcPr>
          <w:p w:rsidR="00A436D9" w:rsidRPr="00692D3D" w:rsidRDefault="00A436D9" w:rsidP="00FA03A2">
            <w:pPr>
              <w:spacing w:before="120" w:after="120"/>
              <w:rPr>
                <w:rFonts w:cs="Arial"/>
                <w:b/>
                <w:lang w:val="fr-CA"/>
              </w:rPr>
            </w:pPr>
          </w:p>
        </w:tc>
        <w:tc>
          <w:tcPr>
            <w:tcW w:w="2695" w:type="dxa"/>
            <w:vMerge/>
            <w:tcBorders>
              <w:left w:val="single" w:sz="4" w:space="0" w:color="auto"/>
              <w:right w:val="single" w:sz="4" w:space="0" w:color="auto"/>
            </w:tcBorders>
          </w:tcPr>
          <w:p w:rsidR="00A436D9" w:rsidRPr="00692D3D" w:rsidRDefault="00A436D9" w:rsidP="00FA03A2">
            <w:pPr>
              <w:spacing w:before="120" w:after="120"/>
              <w:rPr>
                <w:rFonts w:cs="Arial"/>
                <w:b/>
                <w:lang w:val="fr-CA"/>
              </w:rPr>
            </w:pPr>
          </w:p>
        </w:tc>
        <w:tc>
          <w:tcPr>
            <w:tcW w:w="2409" w:type="dxa"/>
            <w:tcBorders>
              <w:top w:val="single" w:sz="4" w:space="0" w:color="auto"/>
              <w:left w:val="single" w:sz="4" w:space="0" w:color="auto"/>
            </w:tcBorders>
          </w:tcPr>
          <w:p w:rsidR="00A436D9" w:rsidRPr="00692D3D" w:rsidRDefault="00A436D9" w:rsidP="008E40EB">
            <w:pPr>
              <w:spacing w:before="120" w:after="120"/>
              <w:rPr>
                <w:rFonts w:cs="Arial"/>
                <w:b/>
                <w:lang w:val="fr-CA"/>
              </w:rPr>
            </w:pPr>
            <w:r w:rsidRPr="00692D3D">
              <w:rPr>
                <w:rFonts w:cs="Arial"/>
                <w:b/>
                <w:lang w:val="fr-CA"/>
              </w:rPr>
              <w:t>Contr</w:t>
            </w:r>
            <w:r w:rsidR="00692D3D">
              <w:rPr>
                <w:rFonts w:cs="Arial"/>
                <w:b/>
                <w:lang w:val="fr-CA"/>
              </w:rPr>
              <w:t>ôle</w:t>
            </w:r>
            <w:r w:rsidR="008E40EB">
              <w:rPr>
                <w:rFonts w:cs="Arial"/>
                <w:b/>
                <w:lang w:val="fr-CA"/>
              </w:rPr>
              <w:t> </w:t>
            </w:r>
            <w:r w:rsidRPr="00692D3D">
              <w:rPr>
                <w:rFonts w:cs="Arial"/>
                <w:b/>
                <w:lang w:val="fr-CA"/>
              </w:rPr>
              <w:t>6</w:t>
            </w:r>
          </w:p>
        </w:tc>
        <w:tc>
          <w:tcPr>
            <w:tcW w:w="1701" w:type="dxa"/>
            <w:vMerge/>
          </w:tcPr>
          <w:p w:rsidR="00A436D9" w:rsidRPr="00692D3D" w:rsidRDefault="00A436D9" w:rsidP="00FA03A2">
            <w:pPr>
              <w:spacing w:before="120" w:after="120"/>
              <w:rPr>
                <w:rFonts w:cs="Arial"/>
                <w:lang w:val="fr-CA"/>
              </w:rPr>
            </w:pPr>
          </w:p>
        </w:tc>
        <w:tc>
          <w:tcPr>
            <w:tcW w:w="1844" w:type="dxa"/>
            <w:vMerge/>
          </w:tcPr>
          <w:p w:rsidR="00A436D9" w:rsidRPr="00692D3D" w:rsidRDefault="00A436D9" w:rsidP="00FA03A2">
            <w:pPr>
              <w:spacing w:before="120" w:after="120"/>
              <w:rPr>
                <w:rFonts w:cs="Arial"/>
                <w:lang w:val="fr-CA"/>
              </w:rPr>
            </w:pPr>
          </w:p>
        </w:tc>
        <w:tc>
          <w:tcPr>
            <w:tcW w:w="3260" w:type="dxa"/>
            <w:vMerge/>
          </w:tcPr>
          <w:p w:rsidR="00A436D9" w:rsidRPr="00692D3D" w:rsidRDefault="00A436D9" w:rsidP="00FA03A2">
            <w:pPr>
              <w:spacing w:before="120" w:after="120"/>
              <w:rPr>
                <w:rFonts w:cs="Arial"/>
                <w:lang w:val="fr-CA"/>
              </w:rPr>
            </w:pPr>
          </w:p>
        </w:tc>
        <w:tc>
          <w:tcPr>
            <w:tcW w:w="2974" w:type="dxa"/>
            <w:vMerge/>
          </w:tcPr>
          <w:p w:rsidR="00A436D9" w:rsidRPr="00692D3D" w:rsidRDefault="00A436D9" w:rsidP="00FA03A2">
            <w:pPr>
              <w:spacing w:before="120" w:after="120"/>
              <w:rPr>
                <w:rFonts w:cs="Arial"/>
                <w:lang w:val="fr-CA"/>
              </w:rPr>
            </w:pPr>
          </w:p>
        </w:tc>
      </w:tr>
    </w:tbl>
    <w:p w:rsidR="00DA5CE7" w:rsidRPr="00692D3D" w:rsidRDefault="00DA5CE7" w:rsidP="001B3ED1">
      <w:pPr>
        <w:spacing w:after="0"/>
        <w:rPr>
          <w:rFonts w:cs="Arial"/>
          <w:sz w:val="24"/>
          <w:szCs w:val="24"/>
          <w:lang w:val="fr-CA"/>
        </w:rPr>
      </w:pPr>
    </w:p>
    <w:sectPr w:rsidR="00DA5CE7" w:rsidRPr="00692D3D" w:rsidSect="00147DEC">
      <w:footerReference w:type="default" r:id="rId13"/>
      <w:headerReference w:type="first" r:id="rId14"/>
      <w:footerReference w:type="first" r:id="rId15"/>
      <w:footnotePr>
        <w:numStart w:val="2"/>
      </w:footnotePr>
      <w:endnotePr>
        <w:numFmt w:val="decimal"/>
      </w:endnotePr>
      <w:type w:val="continuous"/>
      <w:pgSz w:w="20160" w:h="12240" w:orient="landscape" w:code="5"/>
      <w:pgMar w:top="1135" w:right="1440" w:bottom="1134"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B5C" w:rsidRDefault="00161B5C" w:rsidP="00BE7B8A">
      <w:pPr>
        <w:spacing w:after="0"/>
      </w:pPr>
      <w:r>
        <w:separator/>
      </w:r>
    </w:p>
  </w:endnote>
  <w:endnote w:type="continuationSeparator" w:id="0">
    <w:p w:rsidR="00161B5C" w:rsidRDefault="00161B5C" w:rsidP="00BE7B8A">
      <w:pPr>
        <w:spacing w:after="0"/>
      </w:pPr>
      <w:r>
        <w:continuationSeparator/>
      </w:r>
    </w:p>
  </w:endnote>
  <w:endnote w:id="1">
    <w:p w:rsidR="00433AE6" w:rsidRPr="00692D3D" w:rsidRDefault="00433AE6">
      <w:pPr>
        <w:pStyle w:val="EndnoteText"/>
        <w:rPr>
          <w:lang w:val="fr-CA"/>
        </w:rPr>
      </w:pPr>
      <w:r w:rsidRPr="00692D3D">
        <w:rPr>
          <w:rStyle w:val="EndnoteReference"/>
          <w:lang w:val="fr-CA"/>
        </w:rPr>
        <w:endnoteRef/>
      </w:r>
      <w:r w:rsidRPr="00692D3D">
        <w:rPr>
          <w:lang w:val="fr-CA"/>
        </w:rPr>
        <w:t xml:space="preserve"> </w:t>
      </w:r>
      <w:r w:rsidRPr="00692D3D">
        <w:rPr>
          <w:b/>
          <w:lang w:val="fr-CA"/>
        </w:rPr>
        <w:t>RIS</w:t>
      </w:r>
      <w:r w:rsidR="0056426A">
        <w:rPr>
          <w:b/>
          <w:lang w:val="fr-CA"/>
        </w:rPr>
        <w:t>QUE</w:t>
      </w:r>
      <w:r w:rsidRPr="00692D3D">
        <w:rPr>
          <w:b/>
          <w:lang w:val="fr-CA"/>
        </w:rPr>
        <w:t xml:space="preserve"> </w:t>
      </w:r>
      <w:r w:rsidR="008E40EB">
        <w:rPr>
          <w:b/>
          <w:lang w:val="fr-CA"/>
        </w:rPr>
        <w:t xml:space="preserve">RECENSÉ </w:t>
      </w:r>
      <w:r w:rsidR="0056426A">
        <w:rPr>
          <w:b/>
          <w:lang w:val="fr-CA"/>
        </w:rPr>
        <w:t>ET</w:t>
      </w:r>
      <w:r w:rsidR="004F5C7A">
        <w:rPr>
          <w:b/>
          <w:lang w:val="fr-CA"/>
        </w:rPr>
        <w:t xml:space="preserve"> SA</w:t>
      </w:r>
      <w:r w:rsidR="0056426A">
        <w:rPr>
          <w:b/>
          <w:lang w:val="fr-CA"/>
        </w:rPr>
        <w:t xml:space="preserve"> COTE </w:t>
      </w:r>
      <w:r w:rsidRPr="00692D3D">
        <w:rPr>
          <w:lang w:val="fr-CA"/>
        </w:rPr>
        <w:t xml:space="preserve">: </w:t>
      </w:r>
      <w:r w:rsidR="0056426A">
        <w:rPr>
          <w:lang w:val="fr-CA"/>
        </w:rPr>
        <w:t>Dans la colonne</w:t>
      </w:r>
      <w:r w:rsidR="008E40EB">
        <w:rPr>
          <w:lang w:val="fr-CA"/>
        </w:rPr>
        <w:t> </w:t>
      </w:r>
      <w:r w:rsidRPr="00692D3D">
        <w:rPr>
          <w:rFonts w:eastAsia="Times New Roman" w:cs="Arial"/>
          <w:lang w:val="fr-CA" w:eastAsia="en-CA"/>
        </w:rPr>
        <w:t>A</w:t>
      </w:r>
      <w:r w:rsidR="00A51314" w:rsidRPr="00692D3D">
        <w:rPr>
          <w:rFonts w:eastAsia="Times New Roman" w:cs="Arial"/>
          <w:lang w:val="fr-CA" w:eastAsia="en-CA"/>
        </w:rPr>
        <w:t>,</w:t>
      </w:r>
      <w:r w:rsidRPr="00692D3D">
        <w:rPr>
          <w:rFonts w:eastAsia="Times New Roman" w:cs="Arial"/>
          <w:lang w:val="fr-CA" w:eastAsia="en-CA"/>
        </w:rPr>
        <w:t xml:space="preserve"> </w:t>
      </w:r>
      <w:r w:rsidR="0056426A">
        <w:rPr>
          <w:rFonts w:eastAsia="Times New Roman" w:cs="Arial"/>
          <w:lang w:val="fr-CA" w:eastAsia="en-CA"/>
        </w:rPr>
        <w:t xml:space="preserve">évaluer et inscrire les risques liés à l’objet considéré </w:t>
      </w:r>
      <w:r w:rsidR="0061099A">
        <w:rPr>
          <w:rFonts w:eastAsia="Times New Roman" w:cs="Arial"/>
          <w:b/>
          <w:lang w:val="fr-CA" w:eastAsia="en-CA"/>
        </w:rPr>
        <w:t xml:space="preserve">et </w:t>
      </w:r>
      <w:r w:rsidR="0061099A">
        <w:rPr>
          <w:rFonts w:eastAsia="Times New Roman" w:cs="Arial"/>
          <w:lang w:val="fr-CA" w:eastAsia="en-CA"/>
        </w:rPr>
        <w:t xml:space="preserve">tout autre risque </w:t>
      </w:r>
      <w:r w:rsidR="00FB2B8F">
        <w:rPr>
          <w:rFonts w:eastAsia="Times New Roman" w:cs="Arial"/>
          <w:lang w:val="fr-CA" w:eastAsia="en-CA"/>
        </w:rPr>
        <w:t xml:space="preserve">recensé </w:t>
      </w:r>
      <w:r w:rsidR="0061099A">
        <w:rPr>
          <w:rFonts w:eastAsia="Times New Roman" w:cs="Arial"/>
          <w:lang w:val="fr-CA" w:eastAsia="en-CA"/>
        </w:rPr>
        <w:t xml:space="preserve">dans le </w:t>
      </w:r>
      <w:r w:rsidR="00A507D4">
        <w:rPr>
          <w:rFonts w:eastAsia="Times New Roman" w:cs="Arial"/>
          <w:lang w:val="fr-CA" w:eastAsia="en-CA"/>
        </w:rPr>
        <w:t>MIRF</w:t>
      </w:r>
      <w:r w:rsidRPr="00692D3D">
        <w:rPr>
          <w:rFonts w:eastAsia="Times New Roman" w:cs="Arial"/>
          <w:lang w:val="fr-CA" w:eastAsia="en-CA"/>
        </w:rPr>
        <w:t xml:space="preserve">. </w:t>
      </w:r>
      <w:r w:rsidR="00F846E7">
        <w:rPr>
          <w:rFonts w:eastAsia="Times New Roman" w:cs="Arial"/>
          <w:lang w:val="fr-CA" w:eastAsia="en-CA"/>
        </w:rPr>
        <w:t xml:space="preserve">Évaluer la </w:t>
      </w:r>
      <w:r w:rsidR="00F846E7">
        <w:rPr>
          <w:rFonts w:cs="Arial"/>
          <w:b/>
          <w:lang w:val="fr-CA"/>
        </w:rPr>
        <w:t xml:space="preserve">probabilité </w:t>
      </w:r>
      <w:r w:rsidR="00F846E7">
        <w:rPr>
          <w:rFonts w:cs="Arial"/>
          <w:lang w:val="fr-CA"/>
        </w:rPr>
        <w:t xml:space="preserve">que le ou les risques se concrétisent et leur </w:t>
      </w:r>
      <w:r w:rsidRPr="004F5C7A">
        <w:rPr>
          <w:rFonts w:cs="Arial"/>
          <w:b/>
          <w:lang w:val="fr-CA"/>
        </w:rPr>
        <w:t>i</w:t>
      </w:r>
      <w:r w:rsidR="00F846E7" w:rsidRPr="004F5C7A">
        <w:rPr>
          <w:rFonts w:cs="Arial"/>
          <w:b/>
          <w:lang w:val="fr-CA"/>
        </w:rPr>
        <w:t>ncidence</w:t>
      </w:r>
      <w:r w:rsidR="00F846E7">
        <w:rPr>
          <w:rFonts w:cs="Arial"/>
          <w:lang w:val="fr-CA"/>
        </w:rPr>
        <w:t xml:space="preserve">, le cas échéant, sur la capacité de l’entité d’atteindre ses objectifs liés à l’objet considéré. </w:t>
      </w:r>
    </w:p>
  </w:endnote>
  <w:endnote w:id="2">
    <w:p w:rsidR="00433AE6" w:rsidRPr="00692D3D" w:rsidRDefault="00433AE6">
      <w:pPr>
        <w:pStyle w:val="EndnoteText"/>
        <w:rPr>
          <w:lang w:val="fr-CA"/>
        </w:rPr>
      </w:pPr>
      <w:r w:rsidRPr="00692D3D">
        <w:rPr>
          <w:rStyle w:val="EndnoteReference"/>
          <w:lang w:val="fr-CA"/>
        </w:rPr>
        <w:endnoteRef/>
      </w:r>
      <w:r w:rsidRPr="00692D3D">
        <w:rPr>
          <w:lang w:val="fr-CA"/>
        </w:rPr>
        <w:t xml:space="preserve"> </w:t>
      </w:r>
      <w:r w:rsidR="0056426A">
        <w:rPr>
          <w:b/>
          <w:lang w:val="fr-CA"/>
        </w:rPr>
        <w:t>DÉCISION PRÉLIMINAIRE SUR LA DÉLIMIT</w:t>
      </w:r>
      <w:r w:rsidR="00607DEC">
        <w:rPr>
          <w:b/>
          <w:lang w:val="fr-CA"/>
        </w:rPr>
        <w:t>ATI</w:t>
      </w:r>
      <w:r w:rsidR="0056426A">
        <w:rPr>
          <w:b/>
          <w:lang w:val="fr-CA"/>
        </w:rPr>
        <w:t>ON DE L’ÉTENDUE</w:t>
      </w:r>
      <w:r w:rsidR="008E40EB">
        <w:rPr>
          <w:b/>
          <w:lang w:val="fr-CA"/>
        </w:rPr>
        <w:t> </w:t>
      </w:r>
      <w:r w:rsidR="00607DEC" w:rsidRPr="002B344F">
        <w:rPr>
          <w:b/>
          <w:lang w:val="fr-CA"/>
        </w:rPr>
        <w:t>:</w:t>
      </w:r>
      <w:r w:rsidR="00607DEC">
        <w:rPr>
          <w:lang w:val="fr-CA"/>
        </w:rPr>
        <w:t xml:space="preserve"> Dans la colonne</w:t>
      </w:r>
      <w:r w:rsidR="008E40EB">
        <w:rPr>
          <w:lang w:val="fr-CA"/>
        </w:rPr>
        <w:t> </w:t>
      </w:r>
      <w:r w:rsidRPr="00692D3D">
        <w:rPr>
          <w:lang w:val="fr-CA"/>
        </w:rPr>
        <w:t xml:space="preserve">B </w:t>
      </w:r>
      <w:r w:rsidR="003B7F05" w:rsidRPr="00692D3D">
        <w:rPr>
          <w:lang w:val="fr-CA"/>
        </w:rPr>
        <w:t>(</w:t>
      </w:r>
      <w:r w:rsidR="00E8128C">
        <w:rPr>
          <w:lang w:val="fr-CA"/>
        </w:rPr>
        <w:t>Le r</w:t>
      </w:r>
      <w:r w:rsidRPr="00692D3D">
        <w:rPr>
          <w:lang w:val="fr-CA"/>
        </w:rPr>
        <w:t>is</w:t>
      </w:r>
      <w:r w:rsidR="00607DEC">
        <w:rPr>
          <w:lang w:val="fr-CA"/>
        </w:rPr>
        <w:t>que fait</w:t>
      </w:r>
      <w:r w:rsidR="00E8128C">
        <w:rPr>
          <w:lang w:val="fr-CA"/>
        </w:rPr>
        <w:t>-il</w:t>
      </w:r>
      <w:r w:rsidR="00607DEC">
        <w:rPr>
          <w:lang w:val="fr-CA"/>
        </w:rPr>
        <w:t xml:space="preserve"> partie de l’étendue</w:t>
      </w:r>
      <w:r w:rsidR="00E8128C">
        <w:rPr>
          <w:lang w:val="fr-CA"/>
        </w:rPr>
        <w:t>?</w:t>
      </w:r>
      <w:r w:rsidR="003B7F05" w:rsidRPr="00692D3D">
        <w:rPr>
          <w:lang w:val="fr-CA"/>
        </w:rPr>
        <w:t xml:space="preserve">), </w:t>
      </w:r>
      <w:r w:rsidR="00607DEC">
        <w:rPr>
          <w:lang w:val="fr-CA"/>
        </w:rPr>
        <w:t>il faut répondre par « oui » ou par « non » afin d’indiquer si le risque devrait faire partie de l’étendue de l’audit. Cette décision repose sur l’évaluation du risque, mais l’auditeur peut aussi tenir compte d’autres facteurs</w:t>
      </w:r>
      <w:r w:rsidR="00E8128C">
        <w:rPr>
          <w:lang w:val="fr-CA"/>
        </w:rPr>
        <w:t xml:space="preserve"> relevés</w:t>
      </w:r>
      <w:r w:rsidR="00996B6B">
        <w:rPr>
          <w:lang w:val="fr-CA"/>
        </w:rPr>
        <w:t xml:space="preserve"> lors d’autres travaux de planification, par exemple les commentaires </w:t>
      </w:r>
      <w:r w:rsidR="00FB2B8F">
        <w:rPr>
          <w:lang w:val="fr-CA"/>
        </w:rPr>
        <w:t xml:space="preserve">découlant </w:t>
      </w:r>
      <w:r w:rsidR="00996B6B">
        <w:rPr>
          <w:lang w:val="fr-CA"/>
        </w:rPr>
        <w:t>des premières réunions des comités consultatifs ou des réunions avec le vérificateur général</w:t>
      </w:r>
      <w:r w:rsidR="008E40EB">
        <w:rPr>
          <w:lang w:val="fr-CA"/>
        </w:rPr>
        <w:t xml:space="preserve"> ou la </w:t>
      </w:r>
      <w:r w:rsidR="00996B6B">
        <w:rPr>
          <w:lang w:val="fr-CA"/>
        </w:rPr>
        <w:t xml:space="preserve">commissaire à l’environnement et au développement durable. </w:t>
      </w:r>
      <w:r w:rsidR="00F22617">
        <w:rPr>
          <w:lang w:val="fr-CA"/>
        </w:rPr>
        <w:t>Parmi les autres f</w:t>
      </w:r>
      <w:r w:rsidR="00704A60" w:rsidRPr="00692D3D">
        <w:rPr>
          <w:lang w:val="fr-CA"/>
        </w:rPr>
        <w:t>acteurs</w:t>
      </w:r>
      <w:r w:rsidR="00F22617">
        <w:rPr>
          <w:lang w:val="fr-CA"/>
        </w:rPr>
        <w:t xml:space="preserve">, il y a </w:t>
      </w:r>
      <w:r w:rsidR="00704A60" w:rsidRPr="00692D3D">
        <w:rPr>
          <w:lang w:val="fr-CA"/>
        </w:rPr>
        <w:t>l’intérêt manifesté par le Parlement ou le conseil d’administration</w:t>
      </w:r>
      <w:r w:rsidR="00104DBD">
        <w:rPr>
          <w:lang w:val="fr-CA"/>
        </w:rPr>
        <w:t>;</w:t>
      </w:r>
      <w:r w:rsidR="00704A60" w:rsidRPr="00692D3D">
        <w:rPr>
          <w:lang w:val="fr-CA"/>
        </w:rPr>
        <w:t xml:space="preserve"> les enjeux liés à l’auditabilité</w:t>
      </w:r>
      <w:r w:rsidR="00104DBD">
        <w:rPr>
          <w:lang w:val="fr-CA"/>
        </w:rPr>
        <w:t>;</w:t>
      </w:r>
      <w:r w:rsidR="00704A60" w:rsidRPr="00692D3D">
        <w:rPr>
          <w:lang w:val="fr-CA"/>
        </w:rPr>
        <w:t xml:space="preserve"> les ressources et les compétences de l’équipe</w:t>
      </w:r>
      <w:r w:rsidR="00104DBD">
        <w:rPr>
          <w:lang w:val="fr-CA"/>
        </w:rPr>
        <w:t>;</w:t>
      </w:r>
      <w:r w:rsidR="00704A60" w:rsidRPr="00692D3D">
        <w:rPr>
          <w:lang w:val="fr-CA"/>
        </w:rPr>
        <w:t xml:space="preserve"> les problèmes </w:t>
      </w:r>
      <w:r w:rsidR="00104DBD">
        <w:rPr>
          <w:lang w:val="fr-CA"/>
        </w:rPr>
        <w:t>recensés</w:t>
      </w:r>
      <w:r w:rsidR="00104DBD" w:rsidRPr="00692D3D">
        <w:rPr>
          <w:lang w:val="fr-CA"/>
        </w:rPr>
        <w:t xml:space="preserve"> </w:t>
      </w:r>
      <w:r w:rsidR="00704A60" w:rsidRPr="00692D3D">
        <w:rPr>
          <w:lang w:val="fr-CA"/>
        </w:rPr>
        <w:t>lors d’audits antérieurs</w:t>
      </w:r>
      <w:r w:rsidR="00104DBD">
        <w:rPr>
          <w:lang w:val="fr-CA"/>
        </w:rPr>
        <w:t>;</w:t>
      </w:r>
      <w:r w:rsidR="00704A60" w:rsidRPr="00692D3D">
        <w:rPr>
          <w:lang w:val="fr-CA"/>
        </w:rPr>
        <w:t xml:space="preserve"> la couverture des audits internes</w:t>
      </w:r>
      <w:r w:rsidR="00104DBD">
        <w:rPr>
          <w:lang w:val="fr-CA"/>
        </w:rPr>
        <w:t>;</w:t>
      </w:r>
      <w:r w:rsidR="00F22617">
        <w:rPr>
          <w:lang w:val="fr-CA"/>
        </w:rPr>
        <w:t xml:space="preserve"> </w:t>
      </w:r>
      <w:r w:rsidR="00704A60" w:rsidRPr="00692D3D">
        <w:rPr>
          <w:lang w:val="fr-CA"/>
        </w:rPr>
        <w:t>l’orientation donnée par le Bureau, par exemple l’accent mis sur les résultats pour les Canadiens, etc</w:t>
      </w:r>
      <w:r w:rsidR="00996B6B">
        <w:rPr>
          <w:lang w:val="fr-CA"/>
        </w:rPr>
        <w:t xml:space="preserve">. L’auditeur doit expliquer brièvement la décision </w:t>
      </w:r>
      <w:r w:rsidR="00146F97">
        <w:rPr>
          <w:lang w:val="fr-CA"/>
        </w:rPr>
        <w:t xml:space="preserve">d’inclure ou d’exclure un risque de l’étendue de l’audit. </w:t>
      </w:r>
      <w:r w:rsidRPr="00692D3D">
        <w:rPr>
          <w:rFonts w:eastAsia="Times New Roman" w:cs="Arial"/>
          <w:lang w:val="fr-CA" w:eastAsia="en-CA"/>
        </w:rPr>
        <w:t xml:space="preserve"> </w:t>
      </w:r>
    </w:p>
  </w:endnote>
  <w:endnote w:id="3">
    <w:p w:rsidR="006D23FC" w:rsidRPr="00692D3D" w:rsidRDefault="006D23FC" w:rsidP="00A93805">
      <w:pPr>
        <w:pStyle w:val="EndnoteText"/>
        <w:rPr>
          <w:sz w:val="22"/>
          <w:szCs w:val="22"/>
          <w:lang w:val="fr-CA"/>
        </w:rPr>
      </w:pPr>
      <w:r w:rsidRPr="00692D3D">
        <w:rPr>
          <w:rStyle w:val="EndnoteReference"/>
          <w:sz w:val="22"/>
          <w:szCs w:val="22"/>
          <w:lang w:val="fr-CA"/>
        </w:rPr>
        <w:endnoteRef/>
      </w:r>
      <w:r w:rsidR="001A2F2E">
        <w:rPr>
          <w:b/>
          <w:lang w:val="fr-CA"/>
        </w:rPr>
        <w:t xml:space="preserve"> </w:t>
      </w:r>
      <w:r w:rsidR="00692D3D" w:rsidRPr="00692D3D">
        <w:rPr>
          <w:b/>
          <w:lang w:val="fr-CA"/>
        </w:rPr>
        <w:t xml:space="preserve">CONTRÔLE </w:t>
      </w:r>
      <w:r w:rsidR="00EC7AD0">
        <w:rPr>
          <w:b/>
          <w:lang w:val="fr-CA"/>
        </w:rPr>
        <w:t>C</w:t>
      </w:r>
      <w:r w:rsidR="00EC7AD0" w:rsidRPr="00692D3D">
        <w:rPr>
          <w:b/>
          <w:lang w:val="fr-CA"/>
        </w:rPr>
        <w:t>L</w:t>
      </w:r>
      <w:r w:rsidR="00EC7AD0">
        <w:rPr>
          <w:b/>
          <w:lang w:val="fr-CA"/>
        </w:rPr>
        <w:t>É</w:t>
      </w:r>
      <w:r w:rsidR="00EC7AD0" w:rsidRPr="00692D3D">
        <w:rPr>
          <w:b/>
          <w:lang w:val="fr-CA"/>
        </w:rPr>
        <w:t xml:space="preserve"> </w:t>
      </w:r>
      <w:r w:rsidR="00692D3D" w:rsidRPr="00692D3D">
        <w:rPr>
          <w:b/>
          <w:lang w:val="fr-CA"/>
        </w:rPr>
        <w:t>PERTINENT</w:t>
      </w:r>
      <w:r w:rsidR="001A2F2E">
        <w:rPr>
          <w:b/>
          <w:lang w:val="fr-CA"/>
        </w:rPr>
        <w:t> </w:t>
      </w:r>
      <w:r w:rsidR="00692D3D" w:rsidRPr="002B344F">
        <w:rPr>
          <w:b/>
          <w:lang w:val="fr-CA"/>
        </w:rPr>
        <w:t>:</w:t>
      </w:r>
      <w:r w:rsidR="00692D3D" w:rsidRPr="00692D3D">
        <w:rPr>
          <w:lang w:val="fr-CA"/>
        </w:rPr>
        <w:t xml:space="preserve"> Pour chacun des risques de la colonne</w:t>
      </w:r>
      <w:r w:rsidR="00104DBD">
        <w:rPr>
          <w:lang w:val="fr-CA"/>
        </w:rPr>
        <w:t> </w:t>
      </w:r>
      <w:r w:rsidR="00692D3D" w:rsidRPr="00692D3D">
        <w:rPr>
          <w:lang w:val="fr-CA"/>
        </w:rPr>
        <w:t xml:space="preserve">A, indiquer les contrôles </w:t>
      </w:r>
      <w:r w:rsidR="00EC7AD0">
        <w:rPr>
          <w:b/>
          <w:lang w:val="fr-CA"/>
        </w:rPr>
        <w:t>clé</w:t>
      </w:r>
      <w:r w:rsidR="00EC7AD0" w:rsidRPr="00984AD8">
        <w:rPr>
          <w:b/>
          <w:lang w:val="fr-CA"/>
        </w:rPr>
        <w:t>s</w:t>
      </w:r>
      <w:r w:rsidR="00EC7AD0" w:rsidRPr="00692D3D">
        <w:rPr>
          <w:lang w:val="fr-CA"/>
        </w:rPr>
        <w:t xml:space="preserve"> </w:t>
      </w:r>
      <w:r w:rsidR="00692D3D" w:rsidRPr="00692D3D">
        <w:rPr>
          <w:lang w:val="fr-CA"/>
        </w:rPr>
        <w:t>que l’entité a mis en place pour atténuer le risque.</w:t>
      </w:r>
      <w:r w:rsidR="00F22617">
        <w:rPr>
          <w:lang w:val="fr-CA"/>
        </w:rPr>
        <w:t xml:space="preserve"> Il faut é</w:t>
      </w:r>
      <w:r w:rsidR="00692D3D" w:rsidRPr="00692D3D">
        <w:rPr>
          <w:lang w:val="fr-CA"/>
        </w:rPr>
        <w:t xml:space="preserve">viter de libeller les contrôles comme des critères – ils ne </w:t>
      </w:r>
      <w:r w:rsidR="00380739">
        <w:rPr>
          <w:lang w:val="fr-CA"/>
        </w:rPr>
        <w:t>représente</w:t>
      </w:r>
      <w:r w:rsidR="001A3EB9">
        <w:rPr>
          <w:lang w:val="fr-CA"/>
        </w:rPr>
        <w:t>nt</w:t>
      </w:r>
      <w:r w:rsidR="00104DBD" w:rsidRPr="00692D3D">
        <w:rPr>
          <w:lang w:val="fr-CA"/>
        </w:rPr>
        <w:t xml:space="preserve"> </w:t>
      </w:r>
      <w:r w:rsidR="00692D3D" w:rsidRPr="00692D3D">
        <w:rPr>
          <w:lang w:val="fr-CA"/>
        </w:rPr>
        <w:t>pas des attentes génériques, mais plutôt ce qui a été mis en place par l’entité</w:t>
      </w:r>
      <w:r w:rsidRPr="00692D3D">
        <w:rPr>
          <w:lang w:val="fr-CA"/>
        </w:rPr>
        <w:t>.</w:t>
      </w:r>
    </w:p>
  </w:endnote>
  <w:endnote w:id="4">
    <w:p w:rsidR="006D23FC" w:rsidRPr="00692D3D" w:rsidRDefault="006D23FC" w:rsidP="00A93805">
      <w:pPr>
        <w:pStyle w:val="EndnoteText"/>
        <w:rPr>
          <w:lang w:val="fr-CA"/>
        </w:rPr>
      </w:pPr>
      <w:r w:rsidRPr="00692D3D">
        <w:rPr>
          <w:rStyle w:val="EndnoteReference"/>
          <w:sz w:val="22"/>
          <w:szCs w:val="22"/>
          <w:lang w:val="fr-CA"/>
        </w:rPr>
        <w:endnoteRef/>
      </w:r>
      <w:r w:rsidRPr="00692D3D">
        <w:rPr>
          <w:lang w:val="fr-CA"/>
        </w:rPr>
        <w:t xml:space="preserve"> </w:t>
      </w:r>
      <w:r w:rsidR="00692D3D" w:rsidRPr="00692D3D">
        <w:rPr>
          <w:b/>
          <w:lang w:val="fr-CA"/>
        </w:rPr>
        <w:t>ÉVALUATION DU CONTRÔLE</w:t>
      </w:r>
      <w:r w:rsidR="001A2F2E">
        <w:rPr>
          <w:lang w:val="fr-CA"/>
        </w:rPr>
        <w:t> </w:t>
      </w:r>
      <w:r w:rsidR="00692D3D" w:rsidRPr="00692D3D">
        <w:rPr>
          <w:lang w:val="fr-CA"/>
        </w:rPr>
        <w:t xml:space="preserve">: Les travaux requis </w:t>
      </w:r>
      <w:r w:rsidR="00380739">
        <w:rPr>
          <w:lang w:val="fr-CA"/>
        </w:rPr>
        <w:t>indiqués aux</w:t>
      </w:r>
      <w:r w:rsidR="00692D3D" w:rsidRPr="00692D3D">
        <w:rPr>
          <w:lang w:val="fr-CA"/>
        </w:rPr>
        <w:t xml:space="preserve"> colonnes</w:t>
      </w:r>
      <w:r w:rsidR="00104DBD">
        <w:rPr>
          <w:lang w:val="fr-CA"/>
        </w:rPr>
        <w:t> </w:t>
      </w:r>
      <w:r w:rsidR="00984AD8">
        <w:rPr>
          <w:lang w:val="fr-CA"/>
        </w:rPr>
        <w:t>D</w:t>
      </w:r>
      <w:r w:rsidR="00692D3D" w:rsidRPr="00692D3D">
        <w:rPr>
          <w:lang w:val="fr-CA"/>
        </w:rPr>
        <w:t xml:space="preserve">1 et </w:t>
      </w:r>
      <w:r w:rsidR="00984AD8">
        <w:rPr>
          <w:lang w:val="fr-CA"/>
        </w:rPr>
        <w:t>D</w:t>
      </w:r>
      <w:r w:rsidR="00692D3D" w:rsidRPr="00692D3D">
        <w:rPr>
          <w:lang w:val="fr-CA"/>
        </w:rPr>
        <w:t>2 dépendent de la case choisie par l</w:t>
      </w:r>
      <w:r w:rsidR="00F22617">
        <w:rPr>
          <w:lang w:val="fr-CA"/>
        </w:rPr>
        <w:t xml:space="preserve">’équipe </w:t>
      </w:r>
      <w:r w:rsidR="00692D3D" w:rsidRPr="00692D3D">
        <w:rPr>
          <w:lang w:val="fr-CA"/>
        </w:rPr>
        <w:t xml:space="preserve">dans </w:t>
      </w:r>
      <w:r w:rsidR="00984AD8">
        <w:rPr>
          <w:lang w:val="fr-CA"/>
        </w:rPr>
        <w:t>le tableau précédent</w:t>
      </w:r>
      <w:r w:rsidR="00380739">
        <w:rPr>
          <w:lang w:val="fr-CA"/>
        </w:rPr>
        <w:t>,</w:t>
      </w:r>
      <w:r w:rsidR="00F22617">
        <w:rPr>
          <w:lang w:val="fr-CA"/>
        </w:rPr>
        <w:t xml:space="preserve"> « </w:t>
      </w:r>
      <w:r w:rsidR="00984AD8">
        <w:rPr>
          <w:lang w:val="fr-CA"/>
        </w:rPr>
        <w:t>Évalu</w:t>
      </w:r>
      <w:r w:rsidR="00F22617">
        <w:rPr>
          <w:lang w:val="fr-CA"/>
        </w:rPr>
        <w:t xml:space="preserve">ation des </w:t>
      </w:r>
      <w:r w:rsidR="00984AD8">
        <w:rPr>
          <w:lang w:val="fr-CA"/>
        </w:rPr>
        <w:t>contrôles à l’étape de la planification</w:t>
      </w:r>
      <w:r w:rsidR="00F22617">
        <w:rPr>
          <w:lang w:val="fr-CA"/>
        </w:rPr>
        <w:t> »</w:t>
      </w:r>
      <w:r w:rsidR="00984AD8">
        <w:rPr>
          <w:lang w:val="fr-CA"/>
        </w:rPr>
        <w:t xml:space="preserve">. </w:t>
      </w:r>
      <w:r w:rsidR="00692D3D" w:rsidRPr="00692D3D">
        <w:rPr>
          <w:lang w:val="fr-CA"/>
        </w:rPr>
        <w:t>Toutefois, même si aucune évaluation n’est requise</w:t>
      </w:r>
      <w:r w:rsidR="00984AD8">
        <w:rPr>
          <w:lang w:val="fr-CA"/>
        </w:rPr>
        <w:t xml:space="preserve"> dans le cadre de l’audit</w:t>
      </w:r>
      <w:r w:rsidR="00692D3D" w:rsidRPr="00692D3D">
        <w:rPr>
          <w:lang w:val="fr-CA"/>
        </w:rPr>
        <w:t>,</w:t>
      </w:r>
      <w:r w:rsidR="00984AD8">
        <w:rPr>
          <w:lang w:val="fr-CA"/>
        </w:rPr>
        <w:t xml:space="preserve"> le Bureau recommande </w:t>
      </w:r>
      <w:r w:rsidR="00692D3D" w:rsidRPr="00692D3D">
        <w:rPr>
          <w:lang w:val="fr-CA"/>
        </w:rPr>
        <w:t xml:space="preserve">fortement de la faire </w:t>
      </w:r>
      <w:r w:rsidR="00984AD8">
        <w:rPr>
          <w:lang w:val="fr-CA"/>
        </w:rPr>
        <w:t>pend</w:t>
      </w:r>
      <w:r w:rsidR="00F22617">
        <w:rPr>
          <w:lang w:val="fr-CA"/>
        </w:rPr>
        <w:t xml:space="preserve">ant la planification de l’audit. Ces travaux vous aideront à </w:t>
      </w:r>
      <w:r w:rsidR="00692D3D" w:rsidRPr="00692D3D">
        <w:rPr>
          <w:lang w:val="fr-CA"/>
        </w:rPr>
        <w:t xml:space="preserve">comprendre l’objet considéré </w:t>
      </w:r>
      <w:r w:rsidR="00984AD8">
        <w:rPr>
          <w:lang w:val="fr-CA"/>
        </w:rPr>
        <w:t xml:space="preserve">dans les meilleurs délais et </w:t>
      </w:r>
      <w:r w:rsidR="00F22617">
        <w:rPr>
          <w:lang w:val="fr-CA"/>
        </w:rPr>
        <w:t xml:space="preserve">à </w:t>
      </w:r>
      <w:r w:rsidR="00984AD8">
        <w:rPr>
          <w:lang w:val="fr-CA"/>
        </w:rPr>
        <w:t xml:space="preserve">évaluer les contrôles dans la mesure nécessaire pour étayer et documenter les décisions prises à l’égard de l’étendue et de la stratégie </w:t>
      </w:r>
      <w:r w:rsidR="00A51732">
        <w:rPr>
          <w:lang w:val="fr-CA"/>
        </w:rPr>
        <w:t xml:space="preserve">définitives </w:t>
      </w:r>
      <w:r w:rsidR="00984AD8">
        <w:rPr>
          <w:lang w:val="fr-CA"/>
        </w:rPr>
        <w:t>d</w:t>
      </w:r>
      <w:r w:rsidR="00A51732">
        <w:rPr>
          <w:lang w:val="fr-CA"/>
        </w:rPr>
        <w:t>e l</w:t>
      </w:r>
      <w:r w:rsidR="00984AD8">
        <w:rPr>
          <w:lang w:val="fr-CA"/>
        </w:rPr>
        <w:t xml:space="preserve">’audit. </w:t>
      </w:r>
      <w:r w:rsidR="00984AD8" w:rsidRPr="00984AD8">
        <w:rPr>
          <w:lang w:val="fr-CA"/>
        </w:rPr>
        <w:t>La feuille de travail sur les contrôles facultative aidera les équipes à comprendre l’étendue des travaux qui sont attendus, et à leur fournir une structure appropriée pour documenter les travaux</w:t>
      </w:r>
      <w:r w:rsidRPr="00692D3D">
        <w:rPr>
          <w:lang w:val="fr-CA"/>
        </w:rPr>
        <w:t>.</w:t>
      </w:r>
    </w:p>
    <w:p w:rsidR="006D23FC" w:rsidRPr="00692D3D" w:rsidRDefault="00692D3D" w:rsidP="00A93805">
      <w:pPr>
        <w:pStyle w:val="EndnoteText"/>
        <w:ind w:left="720"/>
        <w:rPr>
          <w:lang w:val="fr-CA"/>
        </w:rPr>
      </w:pPr>
      <w:r w:rsidRPr="00692D3D">
        <w:rPr>
          <w:b/>
          <w:lang w:val="fr-CA"/>
        </w:rPr>
        <w:t>LA CONCEPTION EST-ELLE ADÉQUATE</w:t>
      </w:r>
      <w:r w:rsidR="006D23FC" w:rsidRPr="00692D3D">
        <w:rPr>
          <w:b/>
          <w:lang w:val="fr-CA"/>
        </w:rPr>
        <w:t>?</w:t>
      </w:r>
      <w:r w:rsidR="006D23FC" w:rsidRPr="00692D3D">
        <w:rPr>
          <w:lang w:val="fr-CA"/>
        </w:rPr>
        <w:t xml:space="preserve"> </w:t>
      </w:r>
      <w:r w:rsidRPr="00692D3D">
        <w:rPr>
          <w:lang w:val="fr-CA"/>
        </w:rPr>
        <w:t>Évaluer l’adéquation de la conception de cha</w:t>
      </w:r>
      <w:r w:rsidR="0024429F">
        <w:rPr>
          <w:lang w:val="fr-CA"/>
        </w:rPr>
        <w:t>cun</w:t>
      </w:r>
      <w:r w:rsidRPr="00692D3D">
        <w:rPr>
          <w:lang w:val="fr-CA"/>
        </w:rPr>
        <w:t xml:space="preserve"> </w:t>
      </w:r>
      <w:r w:rsidR="0024429F">
        <w:rPr>
          <w:lang w:val="fr-CA"/>
        </w:rPr>
        <w:t xml:space="preserve">des </w:t>
      </w:r>
      <w:r w:rsidRPr="00692D3D">
        <w:rPr>
          <w:lang w:val="fr-CA"/>
        </w:rPr>
        <w:t>contrôle</w:t>
      </w:r>
      <w:r w:rsidR="0024429F">
        <w:rPr>
          <w:lang w:val="fr-CA"/>
        </w:rPr>
        <w:t>s</w:t>
      </w:r>
      <w:r w:rsidRPr="00692D3D">
        <w:rPr>
          <w:lang w:val="fr-CA"/>
        </w:rPr>
        <w:t xml:space="preserve"> </w:t>
      </w:r>
      <w:r w:rsidR="00EC7AD0">
        <w:rPr>
          <w:lang w:val="fr-CA"/>
        </w:rPr>
        <w:t>clés</w:t>
      </w:r>
      <w:r w:rsidRPr="00692D3D">
        <w:rPr>
          <w:lang w:val="fr-CA"/>
        </w:rPr>
        <w:t>. Répondre «</w:t>
      </w:r>
      <w:r w:rsidR="00D54FE6">
        <w:rPr>
          <w:lang w:val="fr-CA"/>
        </w:rPr>
        <w:t> </w:t>
      </w:r>
      <w:r w:rsidRPr="00692D3D">
        <w:rPr>
          <w:lang w:val="fr-CA"/>
        </w:rPr>
        <w:t>oui</w:t>
      </w:r>
      <w:r w:rsidR="00D54FE6">
        <w:rPr>
          <w:lang w:val="fr-CA"/>
        </w:rPr>
        <w:t> </w:t>
      </w:r>
      <w:r w:rsidRPr="00692D3D">
        <w:rPr>
          <w:lang w:val="fr-CA"/>
        </w:rPr>
        <w:t>» si la conception permet de</w:t>
      </w:r>
      <w:r w:rsidR="00F22617">
        <w:rPr>
          <w:lang w:val="fr-CA"/>
        </w:rPr>
        <w:t xml:space="preserve"> contrer </w:t>
      </w:r>
      <w:r w:rsidR="00724CD3">
        <w:rPr>
          <w:lang w:val="fr-CA"/>
        </w:rPr>
        <w:t xml:space="preserve">le ou </w:t>
      </w:r>
      <w:r w:rsidRPr="00692D3D">
        <w:rPr>
          <w:lang w:val="fr-CA"/>
        </w:rPr>
        <w:t xml:space="preserve">les risques de manière appropriée. Si l’entité n’a pas de contrôles </w:t>
      </w:r>
      <w:r w:rsidR="00EC7AD0">
        <w:rPr>
          <w:lang w:val="fr-CA"/>
        </w:rPr>
        <w:t>clé</w:t>
      </w:r>
      <w:r w:rsidR="00EC7AD0" w:rsidRPr="00692D3D">
        <w:rPr>
          <w:lang w:val="fr-CA"/>
        </w:rPr>
        <w:t xml:space="preserve">s </w:t>
      </w:r>
      <w:r w:rsidRPr="00692D3D">
        <w:rPr>
          <w:lang w:val="fr-CA"/>
        </w:rPr>
        <w:t>pour atténuer le risque, alors la conception par</w:t>
      </w:r>
      <w:r w:rsidR="00F22617">
        <w:rPr>
          <w:lang w:val="fr-CA"/>
        </w:rPr>
        <w:t xml:space="preserve"> défaut est considérée comme « in</w:t>
      </w:r>
      <w:r w:rsidRPr="00692D3D">
        <w:rPr>
          <w:lang w:val="fr-CA"/>
        </w:rPr>
        <w:t>adéquate » («</w:t>
      </w:r>
      <w:r w:rsidR="00D54FE6">
        <w:rPr>
          <w:lang w:val="fr-CA"/>
        </w:rPr>
        <w:t> </w:t>
      </w:r>
      <w:r w:rsidRPr="00692D3D">
        <w:rPr>
          <w:lang w:val="fr-CA"/>
        </w:rPr>
        <w:t>non</w:t>
      </w:r>
      <w:r w:rsidR="00D54FE6">
        <w:rPr>
          <w:lang w:val="fr-CA"/>
        </w:rPr>
        <w:t> </w:t>
      </w:r>
      <w:r w:rsidRPr="00692D3D">
        <w:rPr>
          <w:lang w:val="fr-CA"/>
        </w:rPr>
        <w:t>»).</w:t>
      </w:r>
    </w:p>
    <w:p w:rsidR="006D23FC" w:rsidRPr="00692D3D" w:rsidRDefault="00692D3D" w:rsidP="00A93805">
      <w:pPr>
        <w:pStyle w:val="EndnoteText"/>
        <w:ind w:left="720"/>
        <w:rPr>
          <w:sz w:val="22"/>
          <w:szCs w:val="22"/>
          <w:lang w:val="fr-CA"/>
        </w:rPr>
      </w:pPr>
      <w:r w:rsidRPr="00692D3D">
        <w:rPr>
          <w:b/>
          <w:lang w:val="fr-CA"/>
        </w:rPr>
        <w:t>LE CONTRÔLE EST-IL MIS EN ŒUVRE</w:t>
      </w:r>
      <w:r w:rsidR="006D23FC" w:rsidRPr="00692D3D">
        <w:rPr>
          <w:b/>
          <w:lang w:val="fr-CA"/>
        </w:rPr>
        <w:t>?</w:t>
      </w:r>
      <w:r w:rsidR="006D23FC" w:rsidRPr="00692D3D">
        <w:rPr>
          <w:lang w:val="fr-CA"/>
        </w:rPr>
        <w:t xml:space="preserve"> </w:t>
      </w:r>
      <w:r w:rsidRPr="00692D3D">
        <w:rPr>
          <w:lang w:val="fr-CA"/>
        </w:rPr>
        <w:t xml:space="preserve">Évaluer la mise en œuvre de chacun des contrôles </w:t>
      </w:r>
      <w:r w:rsidR="00EC7AD0">
        <w:rPr>
          <w:lang w:val="fr-CA"/>
        </w:rPr>
        <w:t>clé</w:t>
      </w:r>
      <w:r w:rsidR="00EC7AD0" w:rsidRPr="00692D3D">
        <w:rPr>
          <w:lang w:val="fr-CA"/>
        </w:rPr>
        <w:t>s</w:t>
      </w:r>
      <w:r w:rsidRPr="00692D3D">
        <w:rPr>
          <w:lang w:val="fr-CA"/>
        </w:rPr>
        <w:t>. Répondre «</w:t>
      </w:r>
      <w:r w:rsidR="00D54FE6">
        <w:rPr>
          <w:lang w:val="fr-CA"/>
        </w:rPr>
        <w:t> </w:t>
      </w:r>
      <w:r w:rsidRPr="00692D3D">
        <w:rPr>
          <w:lang w:val="fr-CA"/>
        </w:rPr>
        <w:t>oui</w:t>
      </w:r>
      <w:r w:rsidR="00D54FE6">
        <w:rPr>
          <w:lang w:val="fr-CA"/>
        </w:rPr>
        <w:t> </w:t>
      </w:r>
      <w:r w:rsidRPr="00692D3D">
        <w:rPr>
          <w:lang w:val="fr-CA"/>
        </w:rPr>
        <w:t>» si le contrôle a été mis en œuvre.</w:t>
      </w:r>
      <w:r w:rsidR="00F22617">
        <w:rPr>
          <w:lang w:val="fr-CA"/>
        </w:rPr>
        <w:t xml:space="preserve"> Choisir «</w:t>
      </w:r>
      <w:r w:rsidR="00D54FE6">
        <w:rPr>
          <w:lang w:val="fr-CA"/>
        </w:rPr>
        <w:t> </w:t>
      </w:r>
      <w:r w:rsidR="00F22617">
        <w:rPr>
          <w:lang w:val="fr-CA"/>
        </w:rPr>
        <w:t xml:space="preserve">pas </w:t>
      </w:r>
      <w:r w:rsidRPr="00692D3D">
        <w:rPr>
          <w:lang w:val="fr-CA"/>
        </w:rPr>
        <w:t>évalué</w:t>
      </w:r>
      <w:r w:rsidR="00D54FE6">
        <w:rPr>
          <w:lang w:val="fr-CA"/>
        </w:rPr>
        <w:t> </w:t>
      </w:r>
      <w:r w:rsidRPr="00692D3D">
        <w:rPr>
          <w:lang w:val="fr-CA"/>
        </w:rPr>
        <w:t xml:space="preserve">» </w:t>
      </w:r>
      <w:r w:rsidR="00F22617">
        <w:rPr>
          <w:lang w:val="fr-CA"/>
        </w:rPr>
        <w:t xml:space="preserve">si vous </w:t>
      </w:r>
      <w:r w:rsidRPr="00692D3D">
        <w:rPr>
          <w:lang w:val="fr-CA"/>
        </w:rPr>
        <w:t>détermine</w:t>
      </w:r>
      <w:r w:rsidR="00F22617">
        <w:rPr>
          <w:lang w:val="fr-CA"/>
        </w:rPr>
        <w:t>z</w:t>
      </w:r>
      <w:r w:rsidRPr="00692D3D">
        <w:rPr>
          <w:lang w:val="fr-CA"/>
        </w:rPr>
        <w:t xml:space="preserve"> qu’une évaluation de la conception et de la mise en œuvre des contrôles n’est pas requise pendant l’étape de la planification</w:t>
      </w:r>
      <w:r w:rsidR="00F22617">
        <w:rPr>
          <w:lang w:val="fr-CA"/>
        </w:rPr>
        <w:t xml:space="preserve"> (</w:t>
      </w:r>
      <w:r w:rsidR="00724CD3">
        <w:rPr>
          <w:lang w:val="fr-CA"/>
        </w:rPr>
        <w:t>c.-à-d.</w:t>
      </w:r>
      <w:r w:rsidR="00F22617">
        <w:rPr>
          <w:lang w:val="fr-CA"/>
        </w:rPr>
        <w:t xml:space="preserve"> </w:t>
      </w:r>
      <w:r w:rsidR="00724CD3">
        <w:rPr>
          <w:lang w:val="fr-CA"/>
        </w:rPr>
        <w:t>que l’</w:t>
      </w:r>
      <w:r w:rsidR="00F22617">
        <w:rPr>
          <w:lang w:val="fr-CA"/>
        </w:rPr>
        <w:t xml:space="preserve">examen spécial ou </w:t>
      </w:r>
      <w:r w:rsidR="00724CD3">
        <w:rPr>
          <w:lang w:val="fr-CA"/>
        </w:rPr>
        <w:t>l’</w:t>
      </w:r>
      <w:r w:rsidR="00F22617">
        <w:rPr>
          <w:lang w:val="fr-CA"/>
        </w:rPr>
        <w:t xml:space="preserve">audit de performance </w:t>
      </w:r>
      <w:r w:rsidR="00724CD3">
        <w:rPr>
          <w:lang w:val="fr-CA"/>
        </w:rPr>
        <w:t xml:space="preserve">est </w:t>
      </w:r>
      <w:r w:rsidR="00F22617">
        <w:rPr>
          <w:lang w:val="fr-CA"/>
        </w:rPr>
        <w:t>axé sur les contrôles)</w:t>
      </w:r>
      <w:r w:rsidRPr="00692D3D">
        <w:rPr>
          <w:lang w:val="fr-CA"/>
        </w:rPr>
        <w:t xml:space="preserve">, </w:t>
      </w:r>
      <w:r w:rsidRPr="00F22617">
        <w:rPr>
          <w:b/>
          <w:lang w:val="fr-CA"/>
        </w:rPr>
        <w:t>ou</w:t>
      </w:r>
      <w:r w:rsidRPr="00692D3D">
        <w:rPr>
          <w:lang w:val="fr-CA"/>
        </w:rPr>
        <w:t xml:space="preserve"> si la conception des contrôles est évaluée comme étant inadéquate («</w:t>
      </w:r>
      <w:r w:rsidR="00D54FE6">
        <w:rPr>
          <w:lang w:val="fr-CA"/>
        </w:rPr>
        <w:t> </w:t>
      </w:r>
      <w:r w:rsidRPr="00692D3D">
        <w:rPr>
          <w:lang w:val="fr-CA"/>
        </w:rPr>
        <w:t>non</w:t>
      </w:r>
      <w:r w:rsidR="00D54FE6">
        <w:rPr>
          <w:lang w:val="fr-CA"/>
        </w:rPr>
        <w:t> </w:t>
      </w:r>
      <w:r w:rsidRPr="00692D3D">
        <w:rPr>
          <w:lang w:val="fr-CA"/>
        </w:rPr>
        <w:t>» dans la colonne</w:t>
      </w:r>
      <w:r w:rsidR="00D54FE6">
        <w:rPr>
          <w:lang w:val="fr-CA"/>
        </w:rPr>
        <w:t> </w:t>
      </w:r>
      <w:r w:rsidRPr="00692D3D">
        <w:rPr>
          <w:lang w:val="fr-CA"/>
        </w:rPr>
        <w:t xml:space="preserve">C1). </w:t>
      </w:r>
      <w:r w:rsidR="003B3ADF">
        <w:rPr>
          <w:lang w:val="fr-CA"/>
        </w:rPr>
        <w:t xml:space="preserve">Répondre « non » si le contrôle n’a pas été mis en œuvre. </w:t>
      </w:r>
      <w:r w:rsidR="006D23FC" w:rsidRPr="00692D3D">
        <w:rPr>
          <w:lang w:val="fr-CA"/>
        </w:rPr>
        <w:t xml:space="preserve"> </w:t>
      </w:r>
    </w:p>
  </w:endnote>
  <w:endnote w:id="5">
    <w:p w:rsidR="00A436D9" w:rsidRPr="00692D3D" w:rsidRDefault="00A436D9" w:rsidP="00692D3D">
      <w:pPr>
        <w:pStyle w:val="EndnoteText"/>
        <w:rPr>
          <w:sz w:val="22"/>
          <w:szCs w:val="22"/>
          <w:lang w:val="fr-CA"/>
        </w:rPr>
      </w:pPr>
      <w:r w:rsidRPr="00692D3D">
        <w:rPr>
          <w:rStyle w:val="EndnoteReference"/>
          <w:sz w:val="22"/>
          <w:szCs w:val="22"/>
          <w:lang w:val="fr-CA"/>
        </w:rPr>
        <w:endnoteRef/>
      </w:r>
      <w:r w:rsidRPr="00692D3D">
        <w:rPr>
          <w:sz w:val="22"/>
          <w:szCs w:val="22"/>
          <w:lang w:val="fr-CA"/>
        </w:rPr>
        <w:t xml:space="preserve"> </w:t>
      </w:r>
      <w:r w:rsidR="00704A60" w:rsidRPr="00704A60">
        <w:rPr>
          <w:b/>
          <w:lang w:val="fr-CA"/>
        </w:rPr>
        <w:t>LE RISQUE FAIT-IL PARTIE DE</w:t>
      </w:r>
      <w:r w:rsidR="00692D3D" w:rsidRPr="00704A60">
        <w:rPr>
          <w:b/>
          <w:lang w:val="fr-CA"/>
        </w:rPr>
        <w:t xml:space="preserve"> L’ÉTENDUE</w:t>
      </w:r>
      <w:r w:rsidRPr="00692D3D">
        <w:rPr>
          <w:b/>
          <w:lang w:val="fr-CA"/>
        </w:rPr>
        <w:t>?</w:t>
      </w:r>
      <w:r w:rsidRPr="00692D3D">
        <w:rPr>
          <w:lang w:val="fr-CA"/>
        </w:rPr>
        <w:t xml:space="preserve"> </w:t>
      </w:r>
      <w:r w:rsidR="00692D3D" w:rsidRPr="00692D3D">
        <w:rPr>
          <w:lang w:val="fr-CA"/>
        </w:rPr>
        <w:t xml:space="preserve">En fonction de la compréhension acquise par l’équipe </w:t>
      </w:r>
      <w:r w:rsidR="004F28ED">
        <w:rPr>
          <w:lang w:val="fr-CA"/>
        </w:rPr>
        <w:t>de</w:t>
      </w:r>
      <w:r w:rsidR="004F28ED" w:rsidRPr="00692D3D">
        <w:rPr>
          <w:lang w:val="fr-CA"/>
        </w:rPr>
        <w:t xml:space="preserve"> </w:t>
      </w:r>
      <w:r w:rsidR="00692D3D" w:rsidRPr="00692D3D">
        <w:rPr>
          <w:lang w:val="fr-CA"/>
        </w:rPr>
        <w:t xml:space="preserve">l’incidence des contrôles sur le risque, mettre à jour les décisions relatives à </w:t>
      </w:r>
      <w:r w:rsidR="00724CD3">
        <w:rPr>
          <w:lang w:val="fr-CA"/>
        </w:rPr>
        <w:t xml:space="preserve">la délimitation de </w:t>
      </w:r>
      <w:r w:rsidR="00692D3D" w:rsidRPr="00692D3D">
        <w:rPr>
          <w:lang w:val="fr-CA"/>
        </w:rPr>
        <w:t>l’étendue.</w:t>
      </w:r>
      <w:r w:rsidR="00704A60">
        <w:rPr>
          <w:lang w:val="fr-CA"/>
        </w:rPr>
        <w:t xml:space="preserve"> </w:t>
      </w:r>
      <w:r w:rsidR="00704A60" w:rsidRPr="00704A60">
        <w:rPr>
          <w:b/>
          <w:lang w:val="fr-CA"/>
        </w:rPr>
        <w:t>Toutes les équipes doivent mettre en œuvre cette étape</w:t>
      </w:r>
      <w:r w:rsidR="00704A60">
        <w:rPr>
          <w:lang w:val="fr-CA"/>
        </w:rPr>
        <w:t xml:space="preserve">. </w:t>
      </w:r>
      <w:r w:rsidR="00692D3D" w:rsidRPr="00692D3D">
        <w:rPr>
          <w:lang w:val="fr-CA"/>
        </w:rPr>
        <w:t>Les décisions</w:t>
      </w:r>
      <w:r w:rsidR="00704A60">
        <w:rPr>
          <w:lang w:val="fr-CA"/>
        </w:rPr>
        <w:t xml:space="preserve"> actualisées sur</w:t>
      </w:r>
      <w:r w:rsidR="004F28ED">
        <w:rPr>
          <w:lang w:val="fr-CA"/>
        </w:rPr>
        <w:t xml:space="preserve"> la délimitation de</w:t>
      </w:r>
      <w:r w:rsidR="00704A60">
        <w:rPr>
          <w:lang w:val="fr-CA"/>
        </w:rPr>
        <w:t xml:space="preserve"> </w:t>
      </w:r>
      <w:r w:rsidR="00692D3D" w:rsidRPr="00692D3D">
        <w:rPr>
          <w:lang w:val="fr-CA"/>
        </w:rPr>
        <w:t xml:space="preserve">l’étendue peuvent aussi reposer sur des facteurs additionnels qui ont émergé </w:t>
      </w:r>
      <w:r w:rsidR="00242EA9">
        <w:rPr>
          <w:lang w:val="fr-CA"/>
        </w:rPr>
        <w:t>lors d’</w:t>
      </w:r>
      <w:r w:rsidR="00692D3D" w:rsidRPr="00692D3D">
        <w:rPr>
          <w:lang w:val="fr-CA"/>
        </w:rPr>
        <w:t>autres travaux de planification</w:t>
      </w:r>
      <w:r w:rsidR="00704A60">
        <w:rPr>
          <w:lang w:val="fr-CA"/>
        </w:rPr>
        <w:t xml:space="preserve"> et peuvent se fonder sur les facteurs décrits à l’étape</w:t>
      </w:r>
      <w:r w:rsidR="00242EA9">
        <w:rPr>
          <w:lang w:val="fr-CA"/>
        </w:rPr>
        <w:t xml:space="preserve"> précédente, </w:t>
      </w:r>
      <w:r w:rsidR="00DA0028">
        <w:rPr>
          <w:lang w:val="fr-CA"/>
        </w:rPr>
        <w:t>« </w:t>
      </w:r>
      <w:r w:rsidR="00704A60">
        <w:rPr>
          <w:lang w:val="fr-CA"/>
        </w:rPr>
        <w:t>Décision préliminaire sur</w:t>
      </w:r>
      <w:r w:rsidR="00DA0028">
        <w:rPr>
          <w:lang w:val="fr-CA"/>
        </w:rPr>
        <w:t xml:space="preserve"> la délimitation de</w:t>
      </w:r>
      <w:r w:rsidR="00704A60">
        <w:rPr>
          <w:lang w:val="fr-CA"/>
        </w:rPr>
        <w:t xml:space="preserve"> l’étendue</w:t>
      </w:r>
      <w:r w:rsidR="00DA0028">
        <w:rPr>
          <w:lang w:val="fr-CA"/>
        </w:rPr>
        <w:t> »</w:t>
      </w:r>
      <w:r w:rsidR="00704A60">
        <w:rPr>
          <w:lang w:val="fr-CA"/>
        </w:rPr>
        <w:t>.</w:t>
      </w:r>
      <w:r w:rsidR="00356472">
        <w:rPr>
          <w:lang w:val="fr-CA"/>
        </w:rPr>
        <w:t xml:space="preserve"> L’auditeur doit résumer les principaux point</w:t>
      </w:r>
      <w:r w:rsidR="00BC614A">
        <w:rPr>
          <w:lang w:val="fr-CA"/>
        </w:rPr>
        <w:t xml:space="preserve">s </w:t>
      </w:r>
      <w:r w:rsidR="00356472">
        <w:rPr>
          <w:lang w:val="fr-CA"/>
        </w:rPr>
        <w:t xml:space="preserve">afin d’expliquer clairement et brièvement la décision prise. </w:t>
      </w:r>
      <w:r w:rsidR="00992ACA" w:rsidRPr="00992ACA">
        <w:rPr>
          <w:lang w:val="fr-CA"/>
        </w:rPr>
        <w:t>Cependant, si la justification ne découle pas logiquement de l’évaluation d</w:t>
      </w:r>
      <w:r w:rsidR="00242EA9">
        <w:rPr>
          <w:lang w:val="fr-CA"/>
        </w:rPr>
        <w:t>u</w:t>
      </w:r>
      <w:r w:rsidR="00992ACA" w:rsidRPr="00992ACA">
        <w:rPr>
          <w:lang w:val="fr-CA"/>
        </w:rPr>
        <w:t xml:space="preserve"> risque et des contrôles telle qu’elle est documentée, l’équipe doit donner des explications supplémentaires dans la colonne</w:t>
      </w:r>
      <w:r w:rsidR="00DA0028">
        <w:rPr>
          <w:lang w:val="fr-CA"/>
        </w:rPr>
        <w:t> </w:t>
      </w:r>
      <w:r w:rsidR="00992ACA" w:rsidRPr="00992ACA">
        <w:rPr>
          <w:lang w:val="fr-CA"/>
        </w:rPr>
        <w:t>E</w:t>
      </w:r>
      <w:r w:rsidR="00992ACA">
        <w:rPr>
          <w:lang w:val="fr-CA"/>
        </w:rPr>
        <w:t xml:space="preserve"> en indiquant les autres facteurs qui ont influé sur la décision</w:t>
      </w:r>
      <w:r w:rsidRPr="00692D3D">
        <w:rPr>
          <w:lang w:val="fr-CA"/>
        </w:rPr>
        <w:t xml:space="preserve"> (</w:t>
      </w:r>
      <w:r w:rsidR="00992ACA">
        <w:rPr>
          <w:lang w:val="fr-CA"/>
        </w:rPr>
        <w:t>qui sont décrits sous « Décision préliminaire sur la délimitation de l’étendue »</w:t>
      </w:r>
      <w:r w:rsidRPr="00692D3D">
        <w:rPr>
          <w:lang w:val="fr-CA"/>
        </w:rPr>
        <w:t>).</w:t>
      </w:r>
      <w:r w:rsidRPr="00692D3D">
        <w:rPr>
          <w:sz w:val="22"/>
          <w:szCs w:val="22"/>
          <w:lang w:val="fr-CA"/>
        </w:rPr>
        <w:t xml:space="preserve"> </w:t>
      </w:r>
    </w:p>
  </w:endnote>
  <w:endnote w:id="6">
    <w:p w:rsidR="00A436D9" w:rsidRPr="00692D3D" w:rsidRDefault="00A436D9" w:rsidP="00A93805">
      <w:pPr>
        <w:pStyle w:val="EndnoteText"/>
        <w:rPr>
          <w:lang w:val="fr-CA"/>
        </w:rPr>
      </w:pPr>
      <w:r w:rsidRPr="00692D3D">
        <w:rPr>
          <w:rStyle w:val="EndnoteReference"/>
          <w:sz w:val="22"/>
          <w:szCs w:val="22"/>
          <w:lang w:val="fr-CA"/>
        </w:rPr>
        <w:endnoteRef/>
      </w:r>
      <w:r w:rsidRPr="00692D3D">
        <w:rPr>
          <w:sz w:val="22"/>
          <w:szCs w:val="22"/>
          <w:lang w:val="fr-CA"/>
        </w:rPr>
        <w:t xml:space="preserve"> </w:t>
      </w:r>
      <w:r w:rsidR="00692D3D" w:rsidRPr="00692D3D">
        <w:rPr>
          <w:b/>
          <w:lang w:val="fr-CA"/>
        </w:rPr>
        <w:t>INCIDENCE SUR LA STRATÉGIE D’AUDIT</w:t>
      </w:r>
      <w:r w:rsidR="001A2F2E">
        <w:rPr>
          <w:b/>
          <w:lang w:val="fr-CA"/>
        </w:rPr>
        <w:t> </w:t>
      </w:r>
      <w:r w:rsidRPr="00692D3D">
        <w:rPr>
          <w:b/>
          <w:lang w:val="fr-CA"/>
        </w:rPr>
        <w:t>:</w:t>
      </w:r>
      <w:r w:rsidRPr="00692D3D">
        <w:rPr>
          <w:lang w:val="fr-CA"/>
        </w:rPr>
        <w:t xml:space="preserve"> </w:t>
      </w:r>
      <w:r w:rsidR="00692D3D" w:rsidRPr="00692D3D">
        <w:rPr>
          <w:lang w:val="fr-CA"/>
        </w:rPr>
        <w:t xml:space="preserve">Expliquer l’incidence des décisions </w:t>
      </w:r>
      <w:r w:rsidR="004F28ED">
        <w:rPr>
          <w:lang w:val="fr-CA"/>
        </w:rPr>
        <w:t>concernant</w:t>
      </w:r>
      <w:r w:rsidR="004F28ED" w:rsidRPr="00692D3D">
        <w:rPr>
          <w:lang w:val="fr-CA"/>
        </w:rPr>
        <w:t xml:space="preserve"> </w:t>
      </w:r>
      <w:r w:rsidR="00692D3D" w:rsidRPr="00692D3D">
        <w:rPr>
          <w:lang w:val="fr-CA"/>
        </w:rPr>
        <w:t xml:space="preserve">la délimitation de l’étendue sur la stratégie d’audit à l’avenir. Si le risque est exclu de l’étendue à </w:t>
      </w:r>
      <w:r w:rsidR="00992ACA">
        <w:rPr>
          <w:lang w:val="fr-CA"/>
        </w:rPr>
        <w:t>la colonne E</w:t>
      </w:r>
      <w:r w:rsidR="00692D3D" w:rsidRPr="00692D3D">
        <w:rPr>
          <w:lang w:val="fr-CA"/>
        </w:rPr>
        <w:t>, il est alors possible d’inscrire « S.O. » dans la colonne</w:t>
      </w:r>
      <w:r w:rsidR="00DA0028">
        <w:rPr>
          <w:lang w:val="fr-CA"/>
        </w:rPr>
        <w:t> </w:t>
      </w:r>
      <w:r w:rsidR="00692D3D" w:rsidRPr="00692D3D">
        <w:rPr>
          <w:lang w:val="fr-CA"/>
        </w:rPr>
        <w:t xml:space="preserve">F. Si le risque est inclus dans l’étendue, il faut alors expliquer brièvement </w:t>
      </w:r>
      <w:r w:rsidR="00242EA9">
        <w:rPr>
          <w:lang w:val="fr-CA"/>
        </w:rPr>
        <w:t>dans la colonne</w:t>
      </w:r>
      <w:r w:rsidR="00DA0028">
        <w:rPr>
          <w:lang w:val="fr-CA"/>
        </w:rPr>
        <w:t> </w:t>
      </w:r>
      <w:r w:rsidR="00242EA9">
        <w:rPr>
          <w:lang w:val="fr-CA"/>
        </w:rPr>
        <w:t xml:space="preserve">F </w:t>
      </w:r>
      <w:r w:rsidR="00692D3D" w:rsidRPr="00692D3D">
        <w:rPr>
          <w:lang w:val="fr-CA"/>
        </w:rPr>
        <w:t>comment la stratégie d’audit traitera du risque et des contrôles connexes</w:t>
      </w:r>
      <w:r w:rsidR="00556207">
        <w:rPr>
          <w:lang w:val="fr-CA"/>
        </w:rPr>
        <w:t xml:space="preserve"> recensés</w:t>
      </w:r>
      <w:r w:rsidR="00692D3D" w:rsidRPr="00692D3D">
        <w:rPr>
          <w:lang w:val="fr-CA"/>
        </w:rPr>
        <w:t>. Il faut s’assurer que la grille logique d’audit (GLA) et les programmes d’audit reflètent les résultats</w:t>
      </w:r>
      <w:r w:rsidR="00992ACA">
        <w:rPr>
          <w:lang w:val="fr-CA"/>
        </w:rPr>
        <w:t>. Si l’évaluation d</w:t>
      </w:r>
      <w:r w:rsidR="00242EA9">
        <w:rPr>
          <w:lang w:val="fr-CA"/>
        </w:rPr>
        <w:t>u</w:t>
      </w:r>
      <w:r w:rsidR="00992ACA">
        <w:rPr>
          <w:lang w:val="fr-CA"/>
        </w:rPr>
        <w:t xml:space="preserve"> risque ou des contrôles change, </w:t>
      </w:r>
      <w:r w:rsidR="00992ACA" w:rsidRPr="00992ACA">
        <w:rPr>
          <w:b/>
          <w:lang w:val="fr-CA"/>
        </w:rPr>
        <w:t>IL NE FAUT PAS ACTUALISER CE DOCUMENT</w:t>
      </w:r>
      <w:r w:rsidR="00992ACA">
        <w:rPr>
          <w:lang w:val="fr-CA"/>
        </w:rPr>
        <w:t xml:space="preserve">. L’auditeur doit inscrire directement les révisions dans la GLA et le programme d’audit. </w:t>
      </w:r>
      <w:r w:rsidRPr="00692D3D">
        <w:rPr>
          <w:lang w:val="fr-CA"/>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3FC" w:rsidRPr="00436D81" w:rsidRDefault="006D23FC" w:rsidP="00FA37D3">
    <w:pPr>
      <w:pStyle w:val="Footer"/>
      <w:tabs>
        <w:tab w:val="clear" w:pos="4680"/>
        <w:tab w:val="clear" w:pos="9360"/>
        <w:tab w:val="right" w:pos="17294"/>
      </w:tabs>
      <w:jc w:val="right"/>
      <w:rPr>
        <w:rFonts w:cs="Arial"/>
        <w:noProof/>
      </w:rPr>
    </w:pPr>
    <w:r w:rsidRPr="00436D81">
      <w:rPr>
        <w:rFonts w:cs="Arial"/>
        <w:sz w:val="20"/>
        <w:szCs w:val="18"/>
      </w:rPr>
      <w:fldChar w:fldCharType="begin"/>
    </w:r>
    <w:r w:rsidRPr="00436D81">
      <w:rPr>
        <w:rFonts w:cs="Arial"/>
        <w:sz w:val="20"/>
        <w:szCs w:val="18"/>
      </w:rPr>
      <w:instrText xml:space="preserve"> PAGE   \* MERGEFORMAT </w:instrText>
    </w:r>
    <w:r w:rsidRPr="00436D81">
      <w:rPr>
        <w:rFonts w:cs="Arial"/>
        <w:sz w:val="20"/>
        <w:szCs w:val="18"/>
      </w:rPr>
      <w:fldChar w:fldCharType="separate"/>
    </w:r>
    <w:r w:rsidR="00E924A4">
      <w:rPr>
        <w:rFonts w:cs="Arial"/>
        <w:noProof/>
        <w:sz w:val="20"/>
        <w:szCs w:val="18"/>
      </w:rPr>
      <w:t>5</w:t>
    </w:r>
    <w:r w:rsidRPr="00436D81">
      <w:rPr>
        <w:rFonts w:cs="Arial"/>
        <w:noProof/>
        <w:sz w:val="20"/>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B84" w:rsidRPr="002B344F" w:rsidRDefault="008550F1" w:rsidP="00E066EB">
    <w:pPr>
      <w:pStyle w:val="Footer"/>
      <w:tabs>
        <w:tab w:val="clear" w:pos="4680"/>
        <w:tab w:val="right" w:pos="17280"/>
      </w:tabs>
      <w:rPr>
        <w:rFonts w:ascii="Calibri" w:hAnsi="Calibri"/>
        <w:lang w:val="fr-FR"/>
      </w:rPr>
    </w:pPr>
    <w:r w:rsidRPr="002B344F">
      <w:rPr>
        <w:sz w:val="16"/>
        <w:szCs w:val="18"/>
        <w:lang w:val="fr-FR"/>
      </w:rPr>
      <w:t>nov.-201</w:t>
    </w:r>
    <w:r w:rsidRPr="008550F1">
      <w:rPr>
        <w:sz w:val="16"/>
        <w:szCs w:val="18"/>
        <w:lang w:val="fr-FR"/>
      </w:rPr>
      <w:t>8</w:t>
    </w:r>
    <w:r w:rsidR="00E924A4">
      <w:rPr>
        <w:sz w:val="16"/>
        <w:szCs w:val="18"/>
        <w:lang w:val="fr-FR"/>
      </w:rPr>
      <w:br/>
      <w:t xml:space="preserve">Propriétaire du modèle : </w:t>
    </w:r>
    <w:r w:rsidR="00E924A4" w:rsidRPr="00E924A4">
      <w:rPr>
        <w:sz w:val="16"/>
        <w:szCs w:val="18"/>
        <w:lang w:val="fr-FR"/>
      </w:rPr>
      <w:t>Services d’audit</w:t>
    </w:r>
    <w:r w:rsidR="00E066EB">
      <w:rPr>
        <w:sz w:val="16"/>
        <w:szCs w:val="18"/>
        <w:lang w:val="fr-FR"/>
      </w:rPr>
      <w:tab/>
    </w:r>
    <w:r w:rsidR="00E066EB">
      <w:rPr>
        <w:sz w:val="16"/>
        <w:szCs w:val="18"/>
        <w:lang w:val="fr-FR"/>
      </w:rPr>
      <w:tab/>
    </w:r>
    <w:r w:rsidRPr="00FA37D3">
      <w:rPr>
        <w:sz w:val="20"/>
        <w:szCs w:val="18"/>
      </w:rPr>
      <w:fldChar w:fldCharType="begin"/>
    </w:r>
    <w:r w:rsidRPr="002B344F">
      <w:rPr>
        <w:sz w:val="20"/>
        <w:szCs w:val="18"/>
        <w:lang w:val="fr-FR"/>
      </w:rPr>
      <w:instrText xml:space="preserve"> PAGE   \* MERGEFORMAT </w:instrText>
    </w:r>
    <w:r w:rsidRPr="00FA37D3">
      <w:rPr>
        <w:sz w:val="20"/>
        <w:szCs w:val="18"/>
      </w:rPr>
      <w:fldChar w:fldCharType="separate"/>
    </w:r>
    <w:r w:rsidR="00E924A4">
      <w:rPr>
        <w:noProof/>
        <w:sz w:val="20"/>
        <w:szCs w:val="18"/>
        <w:lang w:val="fr-FR"/>
      </w:rPr>
      <w:t>1</w:t>
    </w:r>
    <w:r w:rsidRPr="00FA37D3">
      <w:rPr>
        <w:noProof/>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B5C" w:rsidRDefault="00161B5C" w:rsidP="00BE7B8A">
      <w:pPr>
        <w:spacing w:after="0"/>
      </w:pPr>
      <w:r>
        <w:separator/>
      </w:r>
    </w:p>
  </w:footnote>
  <w:footnote w:type="continuationSeparator" w:id="0">
    <w:p w:rsidR="00161B5C" w:rsidRDefault="00161B5C" w:rsidP="00BE7B8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3FC" w:rsidRPr="00FA03A2" w:rsidRDefault="002B344F" w:rsidP="00FA03A2">
    <w:pPr>
      <w:spacing w:before="480" w:after="480"/>
      <w:jc w:val="right"/>
      <w:rPr>
        <w:rFonts w:cs="Arial"/>
      </w:rPr>
    </w:pPr>
    <w:r w:rsidRPr="00F44FD5">
      <w:rPr>
        <w:b/>
        <w:noProof/>
        <w:lang w:eastAsia="en-CA"/>
      </w:rPr>
      <w:drawing>
        <wp:anchor distT="0" distB="0" distL="114300" distR="114300" simplePos="0" relativeHeight="251659264" behindDoc="0" locked="0" layoutInCell="1" allowOverlap="1" wp14:anchorId="488D9F9F" wp14:editId="245C2018">
          <wp:simplePos x="0" y="0"/>
          <wp:positionH relativeFrom="page">
            <wp:posOffset>795655</wp:posOffset>
          </wp:positionH>
          <wp:positionV relativeFrom="page">
            <wp:posOffset>429895</wp:posOffset>
          </wp:positionV>
          <wp:extent cx="2615184" cy="649224"/>
          <wp:effectExtent l="0" t="0" r="0" b="0"/>
          <wp:wrapNone/>
          <wp:docPr id="16" name="OAG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Header" descr="OAG_BVG Fr" hidden="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15184" cy="6492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sdt>
      <w:sdtPr>
        <w:rPr>
          <w:rFonts w:cs="Arial"/>
          <w:b/>
          <w:lang w:val="fr-CA"/>
        </w:rPr>
        <w:alias w:val="Étiquette de sécurité"/>
        <w:tag w:val="OAG-BVG-Classification"/>
        <w:id w:val="2052195265"/>
        <w:placeholder>
          <w:docPart w:val="724FB9AD7312485D9FE3FBAF95C5B38D"/>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Pr>
            <w:rFonts w:cs="Arial"/>
            <w:b/>
            <w:lang w:val="fr-CA"/>
          </w:rPr>
          <w:t>PROTÉGÉ A (lorsque rempli)</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054D"/>
    <w:multiLevelType w:val="hybridMultilevel"/>
    <w:tmpl w:val="FB7C6B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2A4662"/>
    <w:multiLevelType w:val="hybridMultilevel"/>
    <w:tmpl w:val="CBAAC94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6564A04"/>
    <w:multiLevelType w:val="hybridMultilevel"/>
    <w:tmpl w:val="B706E46A"/>
    <w:lvl w:ilvl="0" w:tplc="1009000F">
      <w:start w:val="1"/>
      <w:numFmt w:val="decimal"/>
      <w:lvlText w:val="%1."/>
      <w:lvlJc w:val="left"/>
      <w:pPr>
        <w:ind w:left="360" w:hanging="360"/>
      </w:pPr>
      <w:rPr>
        <w:rFonts w:hint="default"/>
      </w:rPr>
    </w:lvl>
    <w:lvl w:ilvl="1" w:tplc="10090019">
      <w:start w:val="1"/>
      <w:numFmt w:val="lowerLetter"/>
      <w:lvlText w:val="%2."/>
      <w:lvlJc w:val="left"/>
      <w:pPr>
        <w:ind w:left="360" w:hanging="360"/>
      </w:pPr>
    </w:lvl>
    <w:lvl w:ilvl="2" w:tplc="1009001B">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3" w15:restartNumberingAfterBreak="0">
    <w:nsid w:val="0D8C7255"/>
    <w:multiLevelType w:val="hybridMultilevel"/>
    <w:tmpl w:val="432658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EE7E5F"/>
    <w:multiLevelType w:val="hybridMultilevel"/>
    <w:tmpl w:val="8D162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0A12CB"/>
    <w:multiLevelType w:val="multilevel"/>
    <w:tmpl w:val="8898BBF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0F0A1740"/>
    <w:multiLevelType w:val="hybridMultilevel"/>
    <w:tmpl w:val="37B0C0AC"/>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F490580"/>
    <w:multiLevelType w:val="hybridMultilevel"/>
    <w:tmpl w:val="47F4B9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861EA0"/>
    <w:multiLevelType w:val="multilevel"/>
    <w:tmpl w:val="361EA9A2"/>
    <w:lvl w:ilvl="0">
      <w:start w:val="1"/>
      <w:numFmt w:val="bullet"/>
      <w:lvlText w:val=""/>
      <w:lvlJc w:val="left"/>
      <w:pPr>
        <w:tabs>
          <w:tab w:val="num" w:pos="332"/>
        </w:tabs>
        <w:ind w:left="332" w:hanging="360"/>
      </w:pPr>
      <w:rPr>
        <w:rFonts w:ascii="Symbol" w:hAnsi="Symbol" w:hint="default"/>
        <w:sz w:val="20"/>
      </w:rPr>
    </w:lvl>
    <w:lvl w:ilvl="1" w:tentative="1">
      <w:start w:val="1"/>
      <w:numFmt w:val="bullet"/>
      <w:lvlText w:val="o"/>
      <w:lvlJc w:val="left"/>
      <w:pPr>
        <w:tabs>
          <w:tab w:val="num" w:pos="1052"/>
        </w:tabs>
        <w:ind w:left="1052" w:hanging="360"/>
      </w:pPr>
      <w:rPr>
        <w:rFonts w:ascii="Courier New" w:hAnsi="Courier New" w:hint="default"/>
        <w:sz w:val="20"/>
      </w:rPr>
    </w:lvl>
    <w:lvl w:ilvl="2" w:tentative="1">
      <w:start w:val="1"/>
      <w:numFmt w:val="bullet"/>
      <w:lvlText w:val=""/>
      <w:lvlJc w:val="left"/>
      <w:pPr>
        <w:tabs>
          <w:tab w:val="num" w:pos="1772"/>
        </w:tabs>
        <w:ind w:left="1772" w:hanging="360"/>
      </w:pPr>
      <w:rPr>
        <w:rFonts w:ascii="Wingdings" w:hAnsi="Wingdings" w:hint="default"/>
        <w:sz w:val="20"/>
      </w:rPr>
    </w:lvl>
    <w:lvl w:ilvl="3" w:tentative="1">
      <w:start w:val="1"/>
      <w:numFmt w:val="bullet"/>
      <w:lvlText w:val=""/>
      <w:lvlJc w:val="left"/>
      <w:pPr>
        <w:tabs>
          <w:tab w:val="num" w:pos="2492"/>
        </w:tabs>
        <w:ind w:left="2492" w:hanging="360"/>
      </w:pPr>
      <w:rPr>
        <w:rFonts w:ascii="Wingdings" w:hAnsi="Wingdings" w:hint="default"/>
        <w:sz w:val="20"/>
      </w:rPr>
    </w:lvl>
    <w:lvl w:ilvl="4" w:tentative="1">
      <w:start w:val="1"/>
      <w:numFmt w:val="bullet"/>
      <w:lvlText w:val=""/>
      <w:lvlJc w:val="left"/>
      <w:pPr>
        <w:tabs>
          <w:tab w:val="num" w:pos="3212"/>
        </w:tabs>
        <w:ind w:left="3212" w:hanging="360"/>
      </w:pPr>
      <w:rPr>
        <w:rFonts w:ascii="Wingdings" w:hAnsi="Wingdings" w:hint="default"/>
        <w:sz w:val="20"/>
      </w:rPr>
    </w:lvl>
    <w:lvl w:ilvl="5" w:tentative="1">
      <w:start w:val="1"/>
      <w:numFmt w:val="bullet"/>
      <w:lvlText w:val=""/>
      <w:lvlJc w:val="left"/>
      <w:pPr>
        <w:tabs>
          <w:tab w:val="num" w:pos="3932"/>
        </w:tabs>
        <w:ind w:left="3932" w:hanging="360"/>
      </w:pPr>
      <w:rPr>
        <w:rFonts w:ascii="Wingdings" w:hAnsi="Wingdings" w:hint="default"/>
        <w:sz w:val="20"/>
      </w:rPr>
    </w:lvl>
    <w:lvl w:ilvl="6" w:tentative="1">
      <w:start w:val="1"/>
      <w:numFmt w:val="bullet"/>
      <w:lvlText w:val=""/>
      <w:lvlJc w:val="left"/>
      <w:pPr>
        <w:tabs>
          <w:tab w:val="num" w:pos="4652"/>
        </w:tabs>
        <w:ind w:left="4652" w:hanging="360"/>
      </w:pPr>
      <w:rPr>
        <w:rFonts w:ascii="Wingdings" w:hAnsi="Wingdings" w:hint="default"/>
        <w:sz w:val="20"/>
      </w:rPr>
    </w:lvl>
    <w:lvl w:ilvl="7" w:tentative="1">
      <w:start w:val="1"/>
      <w:numFmt w:val="bullet"/>
      <w:lvlText w:val=""/>
      <w:lvlJc w:val="left"/>
      <w:pPr>
        <w:tabs>
          <w:tab w:val="num" w:pos="5372"/>
        </w:tabs>
        <w:ind w:left="5372" w:hanging="360"/>
      </w:pPr>
      <w:rPr>
        <w:rFonts w:ascii="Wingdings" w:hAnsi="Wingdings" w:hint="default"/>
        <w:sz w:val="20"/>
      </w:rPr>
    </w:lvl>
    <w:lvl w:ilvl="8" w:tentative="1">
      <w:start w:val="1"/>
      <w:numFmt w:val="bullet"/>
      <w:lvlText w:val=""/>
      <w:lvlJc w:val="left"/>
      <w:pPr>
        <w:tabs>
          <w:tab w:val="num" w:pos="6092"/>
        </w:tabs>
        <w:ind w:left="6092" w:hanging="360"/>
      </w:pPr>
      <w:rPr>
        <w:rFonts w:ascii="Wingdings" w:hAnsi="Wingdings" w:hint="default"/>
        <w:sz w:val="20"/>
      </w:rPr>
    </w:lvl>
  </w:abstractNum>
  <w:abstractNum w:abstractNumId="9" w15:restartNumberingAfterBreak="0">
    <w:nsid w:val="146A6634"/>
    <w:multiLevelType w:val="hybridMultilevel"/>
    <w:tmpl w:val="7C4AAE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5742A83"/>
    <w:multiLevelType w:val="hybridMultilevel"/>
    <w:tmpl w:val="F446A1B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5935AF4"/>
    <w:multiLevelType w:val="hybridMultilevel"/>
    <w:tmpl w:val="2C10ED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5FB6C9D"/>
    <w:multiLevelType w:val="multilevel"/>
    <w:tmpl w:val="0DE0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473711"/>
    <w:multiLevelType w:val="hybridMultilevel"/>
    <w:tmpl w:val="9C82A7C0"/>
    <w:lvl w:ilvl="0" w:tplc="B800741A">
      <w:start w:val="1"/>
      <w:numFmt w:val="decimal"/>
      <w:lvlText w:val="R%1."/>
      <w:lvlJc w:val="left"/>
      <w:pPr>
        <w:ind w:left="360" w:hanging="360"/>
      </w:pPr>
      <w:rPr>
        <w:rFonts w:hint="default"/>
        <w:color w:val="000000" w:themeColor="text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174A3A24"/>
    <w:multiLevelType w:val="hybridMultilevel"/>
    <w:tmpl w:val="918C147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177C21FA"/>
    <w:multiLevelType w:val="hybridMultilevel"/>
    <w:tmpl w:val="7D7A4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7C2259A"/>
    <w:multiLevelType w:val="hybridMultilevel"/>
    <w:tmpl w:val="5FF221AA"/>
    <w:lvl w:ilvl="0" w:tplc="02ACE978">
      <w:start w:val="1"/>
      <w:numFmt w:val="decimal"/>
      <w:lvlText w:val="O%1."/>
      <w:lvlJc w:val="left"/>
      <w:pPr>
        <w:ind w:left="360" w:hanging="360"/>
      </w:pPr>
      <w:rPr>
        <w:rFonts w:hint="default"/>
        <w:color w:val="365F91" w:themeColor="accent1" w:themeShade="BF"/>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182273C9"/>
    <w:multiLevelType w:val="hybridMultilevel"/>
    <w:tmpl w:val="5DD632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89C4A35"/>
    <w:multiLevelType w:val="hybridMultilevel"/>
    <w:tmpl w:val="36F854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A574453"/>
    <w:multiLevelType w:val="multilevel"/>
    <w:tmpl w:val="DBD6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9A3DA6"/>
    <w:multiLevelType w:val="hybridMultilevel"/>
    <w:tmpl w:val="1990E7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9F12AA8"/>
    <w:multiLevelType w:val="hybridMultilevel"/>
    <w:tmpl w:val="2F1ED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8C733E"/>
    <w:multiLevelType w:val="hybridMultilevel"/>
    <w:tmpl w:val="C6FAF9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E8A133B"/>
    <w:multiLevelType w:val="hybridMultilevel"/>
    <w:tmpl w:val="4588E882"/>
    <w:lvl w:ilvl="0" w:tplc="B83C7F50">
      <w:start w:val="1"/>
      <w:numFmt w:val="decimal"/>
      <w:lvlText w:val="C%1."/>
      <w:lvlJc w:val="left"/>
      <w:pPr>
        <w:ind w:left="360" w:hanging="360"/>
      </w:pPr>
      <w:rPr>
        <w:rFonts w:hint="default"/>
        <w:color w:val="000000" w:themeColor="text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346B392B"/>
    <w:multiLevelType w:val="hybridMultilevel"/>
    <w:tmpl w:val="F17A8C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9861935"/>
    <w:multiLevelType w:val="hybridMultilevel"/>
    <w:tmpl w:val="B3C4E3B4"/>
    <w:lvl w:ilvl="0" w:tplc="B800741A">
      <w:start w:val="1"/>
      <w:numFmt w:val="decimal"/>
      <w:lvlText w:val="R%1."/>
      <w:lvlJc w:val="left"/>
      <w:pPr>
        <w:ind w:left="360" w:hanging="360"/>
      </w:pPr>
      <w:rPr>
        <w:rFonts w:hint="default"/>
        <w:color w:val="000000" w:themeColor="text1"/>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3AAC1E60"/>
    <w:multiLevelType w:val="hybridMultilevel"/>
    <w:tmpl w:val="FA567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ABE39D4"/>
    <w:multiLevelType w:val="multilevel"/>
    <w:tmpl w:val="8898BBF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3ADE2845"/>
    <w:multiLevelType w:val="hybridMultilevel"/>
    <w:tmpl w:val="24D8E1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43670243"/>
    <w:multiLevelType w:val="hybridMultilevel"/>
    <w:tmpl w:val="D32262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4FE7601"/>
    <w:multiLevelType w:val="hybridMultilevel"/>
    <w:tmpl w:val="CC1285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BFC37F5"/>
    <w:multiLevelType w:val="hybridMultilevel"/>
    <w:tmpl w:val="C2F00B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4DEC2878"/>
    <w:multiLevelType w:val="hybridMultilevel"/>
    <w:tmpl w:val="619407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F6C21CD"/>
    <w:multiLevelType w:val="hybridMultilevel"/>
    <w:tmpl w:val="C0CE3838"/>
    <w:lvl w:ilvl="0" w:tplc="10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4FCB6AAC"/>
    <w:multiLevelType w:val="hybridMultilevel"/>
    <w:tmpl w:val="4888FC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4963DB7"/>
    <w:multiLevelType w:val="hybridMultilevel"/>
    <w:tmpl w:val="01B4CE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C4A45DB"/>
    <w:multiLevelType w:val="hybridMultilevel"/>
    <w:tmpl w:val="5396FA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60B6DA7"/>
    <w:multiLevelType w:val="hybridMultilevel"/>
    <w:tmpl w:val="0396E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6383A08"/>
    <w:multiLevelType w:val="hybridMultilevel"/>
    <w:tmpl w:val="F9DE6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7CC3D26"/>
    <w:multiLevelType w:val="hybridMultilevel"/>
    <w:tmpl w:val="106C6BFC"/>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8780B18"/>
    <w:multiLevelType w:val="hybridMultilevel"/>
    <w:tmpl w:val="6E960038"/>
    <w:lvl w:ilvl="0" w:tplc="77EE5892">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B585205"/>
    <w:multiLevelType w:val="hybridMultilevel"/>
    <w:tmpl w:val="AB7C34B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2" w15:restartNumberingAfterBreak="0">
    <w:nsid w:val="6CEE44DF"/>
    <w:multiLevelType w:val="hybridMultilevel"/>
    <w:tmpl w:val="D870D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1E94CD8"/>
    <w:multiLevelType w:val="hybridMultilevel"/>
    <w:tmpl w:val="7D8E57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15:restartNumberingAfterBreak="0">
    <w:nsid w:val="76741DE4"/>
    <w:multiLevelType w:val="hybridMultilevel"/>
    <w:tmpl w:val="DC38D9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15:restartNumberingAfterBreak="0">
    <w:nsid w:val="76E91011"/>
    <w:multiLevelType w:val="hybridMultilevel"/>
    <w:tmpl w:val="C994AD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15:restartNumberingAfterBreak="0">
    <w:nsid w:val="7A7065A6"/>
    <w:multiLevelType w:val="multilevel"/>
    <w:tmpl w:val="BF18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5"/>
  </w:num>
  <w:num w:numId="3">
    <w:abstractNumId w:val="35"/>
  </w:num>
  <w:num w:numId="4">
    <w:abstractNumId w:val="16"/>
  </w:num>
  <w:num w:numId="5">
    <w:abstractNumId w:val="6"/>
  </w:num>
  <w:num w:numId="6">
    <w:abstractNumId w:val="13"/>
  </w:num>
  <w:num w:numId="7">
    <w:abstractNumId w:val="23"/>
  </w:num>
  <w:num w:numId="8">
    <w:abstractNumId w:val="17"/>
  </w:num>
  <w:num w:numId="9">
    <w:abstractNumId w:val="10"/>
  </w:num>
  <w:num w:numId="10">
    <w:abstractNumId w:val="7"/>
  </w:num>
  <w:num w:numId="11">
    <w:abstractNumId w:val="2"/>
  </w:num>
  <w:num w:numId="12">
    <w:abstractNumId w:val="36"/>
  </w:num>
  <w:num w:numId="13">
    <w:abstractNumId w:val="9"/>
  </w:num>
  <w:num w:numId="14">
    <w:abstractNumId w:val="30"/>
  </w:num>
  <w:num w:numId="15">
    <w:abstractNumId w:val="4"/>
  </w:num>
  <w:num w:numId="16">
    <w:abstractNumId w:val="42"/>
  </w:num>
  <w:num w:numId="17">
    <w:abstractNumId w:val="41"/>
  </w:num>
  <w:num w:numId="18">
    <w:abstractNumId w:val="38"/>
  </w:num>
  <w:num w:numId="19">
    <w:abstractNumId w:val="18"/>
  </w:num>
  <w:num w:numId="20">
    <w:abstractNumId w:val="46"/>
  </w:num>
  <w:num w:numId="21">
    <w:abstractNumId w:val="19"/>
  </w:num>
  <w:num w:numId="22">
    <w:abstractNumId w:val="27"/>
  </w:num>
  <w:num w:numId="23">
    <w:abstractNumId w:val="5"/>
  </w:num>
  <w:num w:numId="24">
    <w:abstractNumId w:val="12"/>
  </w:num>
  <w:num w:numId="25">
    <w:abstractNumId w:val="1"/>
  </w:num>
  <w:num w:numId="26">
    <w:abstractNumId w:val="22"/>
  </w:num>
  <w:num w:numId="27">
    <w:abstractNumId w:val="33"/>
  </w:num>
  <w:num w:numId="28">
    <w:abstractNumId w:val="32"/>
  </w:num>
  <w:num w:numId="29">
    <w:abstractNumId w:val="39"/>
  </w:num>
  <w:num w:numId="30">
    <w:abstractNumId w:val="11"/>
  </w:num>
  <w:num w:numId="31">
    <w:abstractNumId w:val="0"/>
  </w:num>
  <w:num w:numId="32">
    <w:abstractNumId w:val="26"/>
  </w:num>
  <w:num w:numId="33">
    <w:abstractNumId w:val="21"/>
  </w:num>
  <w:num w:numId="34">
    <w:abstractNumId w:val="15"/>
  </w:num>
  <w:num w:numId="35">
    <w:abstractNumId w:val="44"/>
  </w:num>
  <w:num w:numId="36">
    <w:abstractNumId w:val="45"/>
  </w:num>
  <w:num w:numId="37">
    <w:abstractNumId w:val="43"/>
  </w:num>
  <w:num w:numId="38">
    <w:abstractNumId w:val="34"/>
  </w:num>
  <w:num w:numId="39">
    <w:abstractNumId w:val="29"/>
  </w:num>
  <w:num w:numId="40">
    <w:abstractNumId w:val="8"/>
  </w:num>
  <w:num w:numId="41">
    <w:abstractNumId w:val="31"/>
  </w:num>
  <w:num w:numId="42">
    <w:abstractNumId w:val="3"/>
  </w:num>
  <w:num w:numId="43">
    <w:abstractNumId w:val="37"/>
  </w:num>
  <w:num w:numId="44">
    <w:abstractNumId w:val="20"/>
  </w:num>
  <w:num w:numId="45">
    <w:abstractNumId w:val="40"/>
  </w:num>
  <w:num w:numId="46">
    <w:abstractNumId w:val="28"/>
  </w:num>
  <w:num w:numId="47">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4097"/>
  </w:hdrShapeDefaults>
  <w:footnotePr>
    <w:numStart w:val="2"/>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5BA"/>
    <w:rsid w:val="0000020E"/>
    <w:rsid w:val="00002FAC"/>
    <w:rsid w:val="00003342"/>
    <w:rsid w:val="00005AAA"/>
    <w:rsid w:val="00030925"/>
    <w:rsid w:val="00032F89"/>
    <w:rsid w:val="00037C65"/>
    <w:rsid w:val="00040678"/>
    <w:rsid w:val="00044E90"/>
    <w:rsid w:val="00050479"/>
    <w:rsid w:val="00050B1B"/>
    <w:rsid w:val="00050FDE"/>
    <w:rsid w:val="000521DB"/>
    <w:rsid w:val="0005398F"/>
    <w:rsid w:val="00053ABA"/>
    <w:rsid w:val="000739F5"/>
    <w:rsid w:val="00075827"/>
    <w:rsid w:val="000759AA"/>
    <w:rsid w:val="0008350A"/>
    <w:rsid w:val="00091FE2"/>
    <w:rsid w:val="000A2DF9"/>
    <w:rsid w:val="000A3271"/>
    <w:rsid w:val="000B137F"/>
    <w:rsid w:val="000B5159"/>
    <w:rsid w:val="000C2AC0"/>
    <w:rsid w:val="000C6E7D"/>
    <w:rsid w:val="000C747E"/>
    <w:rsid w:val="000C795B"/>
    <w:rsid w:val="000D5EB4"/>
    <w:rsid w:val="000F3499"/>
    <w:rsid w:val="000F3C45"/>
    <w:rsid w:val="000F66EB"/>
    <w:rsid w:val="000F79C7"/>
    <w:rsid w:val="00101AB2"/>
    <w:rsid w:val="001030CD"/>
    <w:rsid w:val="00104DBD"/>
    <w:rsid w:val="00116C54"/>
    <w:rsid w:val="00117695"/>
    <w:rsid w:val="00121BC1"/>
    <w:rsid w:val="0013088B"/>
    <w:rsid w:val="001324A1"/>
    <w:rsid w:val="001329AD"/>
    <w:rsid w:val="00132A58"/>
    <w:rsid w:val="00146F97"/>
    <w:rsid w:val="00147DEC"/>
    <w:rsid w:val="00161B5C"/>
    <w:rsid w:val="00165CB1"/>
    <w:rsid w:val="00165D83"/>
    <w:rsid w:val="001847EA"/>
    <w:rsid w:val="001904E0"/>
    <w:rsid w:val="00193230"/>
    <w:rsid w:val="001A2F2E"/>
    <w:rsid w:val="001A3EB9"/>
    <w:rsid w:val="001A62B3"/>
    <w:rsid w:val="001B16B0"/>
    <w:rsid w:val="001B27F7"/>
    <w:rsid w:val="001B3ED1"/>
    <w:rsid w:val="001C2CD1"/>
    <w:rsid w:val="001D6007"/>
    <w:rsid w:val="001F6F96"/>
    <w:rsid w:val="001F79E5"/>
    <w:rsid w:val="00202726"/>
    <w:rsid w:val="00205306"/>
    <w:rsid w:val="00212BAF"/>
    <w:rsid w:val="00213E6E"/>
    <w:rsid w:val="00217D10"/>
    <w:rsid w:val="00223EA3"/>
    <w:rsid w:val="00236A5D"/>
    <w:rsid w:val="002424A3"/>
    <w:rsid w:val="00242EA9"/>
    <w:rsid w:val="0024429F"/>
    <w:rsid w:val="002557C5"/>
    <w:rsid w:val="0026324B"/>
    <w:rsid w:val="00264545"/>
    <w:rsid w:val="002735A8"/>
    <w:rsid w:val="00285380"/>
    <w:rsid w:val="0028602C"/>
    <w:rsid w:val="00297399"/>
    <w:rsid w:val="002A2D80"/>
    <w:rsid w:val="002B2407"/>
    <w:rsid w:val="002B344F"/>
    <w:rsid w:val="002B4AE9"/>
    <w:rsid w:val="002C62DD"/>
    <w:rsid w:val="002D0DDE"/>
    <w:rsid w:val="002E0F03"/>
    <w:rsid w:val="002E275D"/>
    <w:rsid w:val="002E73D7"/>
    <w:rsid w:val="002F301B"/>
    <w:rsid w:val="003175CA"/>
    <w:rsid w:val="00350766"/>
    <w:rsid w:val="00351EF5"/>
    <w:rsid w:val="00353E97"/>
    <w:rsid w:val="003558F7"/>
    <w:rsid w:val="00356472"/>
    <w:rsid w:val="0036004F"/>
    <w:rsid w:val="00363D27"/>
    <w:rsid w:val="00366CDB"/>
    <w:rsid w:val="00371959"/>
    <w:rsid w:val="00373E04"/>
    <w:rsid w:val="00380739"/>
    <w:rsid w:val="00382D6B"/>
    <w:rsid w:val="0038682D"/>
    <w:rsid w:val="003915A0"/>
    <w:rsid w:val="003A2399"/>
    <w:rsid w:val="003A2AF3"/>
    <w:rsid w:val="003A5AA2"/>
    <w:rsid w:val="003A6E95"/>
    <w:rsid w:val="003B122D"/>
    <w:rsid w:val="003B3ADF"/>
    <w:rsid w:val="003B5037"/>
    <w:rsid w:val="003B7F05"/>
    <w:rsid w:val="003C3871"/>
    <w:rsid w:val="003D1F46"/>
    <w:rsid w:val="003E017B"/>
    <w:rsid w:val="003E19AC"/>
    <w:rsid w:val="003E48A3"/>
    <w:rsid w:val="00410D6B"/>
    <w:rsid w:val="00411441"/>
    <w:rsid w:val="00413579"/>
    <w:rsid w:val="00413B34"/>
    <w:rsid w:val="0042046F"/>
    <w:rsid w:val="00422B98"/>
    <w:rsid w:val="0042356B"/>
    <w:rsid w:val="004245E5"/>
    <w:rsid w:val="00430317"/>
    <w:rsid w:val="00432A56"/>
    <w:rsid w:val="00433AE6"/>
    <w:rsid w:val="004351EF"/>
    <w:rsid w:val="00436D81"/>
    <w:rsid w:val="0043724A"/>
    <w:rsid w:val="00444FDB"/>
    <w:rsid w:val="004467B4"/>
    <w:rsid w:val="00452DAB"/>
    <w:rsid w:val="00452E2C"/>
    <w:rsid w:val="00460363"/>
    <w:rsid w:val="00464618"/>
    <w:rsid w:val="00465F6B"/>
    <w:rsid w:val="0048588A"/>
    <w:rsid w:val="004948C4"/>
    <w:rsid w:val="004A07A6"/>
    <w:rsid w:val="004A4DFD"/>
    <w:rsid w:val="004B2C71"/>
    <w:rsid w:val="004B6820"/>
    <w:rsid w:val="004B7A68"/>
    <w:rsid w:val="004E3CA4"/>
    <w:rsid w:val="004E4B84"/>
    <w:rsid w:val="004E5546"/>
    <w:rsid w:val="004F1516"/>
    <w:rsid w:val="004F28ED"/>
    <w:rsid w:val="004F5C7A"/>
    <w:rsid w:val="00500178"/>
    <w:rsid w:val="005039CA"/>
    <w:rsid w:val="005072A1"/>
    <w:rsid w:val="00524B10"/>
    <w:rsid w:val="00527FE3"/>
    <w:rsid w:val="00530A21"/>
    <w:rsid w:val="0053768A"/>
    <w:rsid w:val="00542F8C"/>
    <w:rsid w:val="00546AE7"/>
    <w:rsid w:val="00552590"/>
    <w:rsid w:val="0055387B"/>
    <w:rsid w:val="00556207"/>
    <w:rsid w:val="0056426A"/>
    <w:rsid w:val="00575FC6"/>
    <w:rsid w:val="005910E0"/>
    <w:rsid w:val="00593CA8"/>
    <w:rsid w:val="005C2BE6"/>
    <w:rsid w:val="005C52DD"/>
    <w:rsid w:val="005D3113"/>
    <w:rsid w:val="005E3A3C"/>
    <w:rsid w:val="005F5522"/>
    <w:rsid w:val="005F64A5"/>
    <w:rsid w:val="005F7CFF"/>
    <w:rsid w:val="00607DEC"/>
    <w:rsid w:val="0061099A"/>
    <w:rsid w:val="00632210"/>
    <w:rsid w:val="00637793"/>
    <w:rsid w:val="00651837"/>
    <w:rsid w:val="00660AEB"/>
    <w:rsid w:val="0066683A"/>
    <w:rsid w:val="00684882"/>
    <w:rsid w:val="00692D3D"/>
    <w:rsid w:val="00695260"/>
    <w:rsid w:val="006A066A"/>
    <w:rsid w:val="006B05E9"/>
    <w:rsid w:val="006B5764"/>
    <w:rsid w:val="006B6DB9"/>
    <w:rsid w:val="006B7094"/>
    <w:rsid w:val="006B7D34"/>
    <w:rsid w:val="006C7689"/>
    <w:rsid w:val="006D0479"/>
    <w:rsid w:val="006D04CB"/>
    <w:rsid w:val="006D23FC"/>
    <w:rsid w:val="006D2E0A"/>
    <w:rsid w:val="006D6D86"/>
    <w:rsid w:val="006F008D"/>
    <w:rsid w:val="006F281F"/>
    <w:rsid w:val="006F2F4F"/>
    <w:rsid w:val="00701ED6"/>
    <w:rsid w:val="00704A60"/>
    <w:rsid w:val="00704ACA"/>
    <w:rsid w:val="00712A35"/>
    <w:rsid w:val="00721539"/>
    <w:rsid w:val="00724CD3"/>
    <w:rsid w:val="00735ADB"/>
    <w:rsid w:val="00741CD7"/>
    <w:rsid w:val="007463C5"/>
    <w:rsid w:val="0075102C"/>
    <w:rsid w:val="00755168"/>
    <w:rsid w:val="00755FB8"/>
    <w:rsid w:val="007626F4"/>
    <w:rsid w:val="00762705"/>
    <w:rsid w:val="00762EA6"/>
    <w:rsid w:val="00763743"/>
    <w:rsid w:val="00786964"/>
    <w:rsid w:val="00787DF2"/>
    <w:rsid w:val="007944D8"/>
    <w:rsid w:val="00795237"/>
    <w:rsid w:val="007B1322"/>
    <w:rsid w:val="007B1AB1"/>
    <w:rsid w:val="007B1DB7"/>
    <w:rsid w:val="007B24A7"/>
    <w:rsid w:val="007B4FB1"/>
    <w:rsid w:val="007C4497"/>
    <w:rsid w:val="007E6233"/>
    <w:rsid w:val="007F3C0F"/>
    <w:rsid w:val="007F3D34"/>
    <w:rsid w:val="00814A37"/>
    <w:rsid w:val="00815E04"/>
    <w:rsid w:val="00816E77"/>
    <w:rsid w:val="008261B0"/>
    <w:rsid w:val="0082716C"/>
    <w:rsid w:val="00851B17"/>
    <w:rsid w:val="00852121"/>
    <w:rsid w:val="00853E9A"/>
    <w:rsid w:val="008542D7"/>
    <w:rsid w:val="008548E5"/>
    <w:rsid w:val="008550F1"/>
    <w:rsid w:val="00860A7A"/>
    <w:rsid w:val="00880765"/>
    <w:rsid w:val="008848BC"/>
    <w:rsid w:val="00891927"/>
    <w:rsid w:val="008959EE"/>
    <w:rsid w:val="008A61B3"/>
    <w:rsid w:val="008B01C5"/>
    <w:rsid w:val="008B07CD"/>
    <w:rsid w:val="008B4A38"/>
    <w:rsid w:val="008B4E40"/>
    <w:rsid w:val="008C479B"/>
    <w:rsid w:val="008C68BA"/>
    <w:rsid w:val="008D0B31"/>
    <w:rsid w:val="008D315B"/>
    <w:rsid w:val="008D48B0"/>
    <w:rsid w:val="008E076B"/>
    <w:rsid w:val="008E216C"/>
    <w:rsid w:val="008E40EB"/>
    <w:rsid w:val="008E5DBA"/>
    <w:rsid w:val="008E7BB8"/>
    <w:rsid w:val="008F0663"/>
    <w:rsid w:val="008F15A3"/>
    <w:rsid w:val="008F4579"/>
    <w:rsid w:val="00902D28"/>
    <w:rsid w:val="0090423B"/>
    <w:rsid w:val="00912173"/>
    <w:rsid w:val="00937521"/>
    <w:rsid w:val="00937C20"/>
    <w:rsid w:val="00941F3D"/>
    <w:rsid w:val="00954907"/>
    <w:rsid w:val="00962D37"/>
    <w:rsid w:val="009659FF"/>
    <w:rsid w:val="009808B3"/>
    <w:rsid w:val="009831D9"/>
    <w:rsid w:val="00984AD8"/>
    <w:rsid w:val="00991DB5"/>
    <w:rsid w:val="00992ACA"/>
    <w:rsid w:val="00996B6B"/>
    <w:rsid w:val="009A305C"/>
    <w:rsid w:val="009B2243"/>
    <w:rsid w:val="009B4E7E"/>
    <w:rsid w:val="009B7FBD"/>
    <w:rsid w:val="009C386F"/>
    <w:rsid w:val="009D07C1"/>
    <w:rsid w:val="009D115E"/>
    <w:rsid w:val="009D15C6"/>
    <w:rsid w:val="009E4518"/>
    <w:rsid w:val="00A06E5E"/>
    <w:rsid w:val="00A10616"/>
    <w:rsid w:val="00A10A02"/>
    <w:rsid w:val="00A1687A"/>
    <w:rsid w:val="00A176C7"/>
    <w:rsid w:val="00A225BA"/>
    <w:rsid w:val="00A24502"/>
    <w:rsid w:val="00A24D4E"/>
    <w:rsid w:val="00A31379"/>
    <w:rsid w:val="00A32ACE"/>
    <w:rsid w:val="00A36155"/>
    <w:rsid w:val="00A407AF"/>
    <w:rsid w:val="00A41078"/>
    <w:rsid w:val="00A436D9"/>
    <w:rsid w:val="00A507D4"/>
    <w:rsid w:val="00A51314"/>
    <w:rsid w:val="00A51732"/>
    <w:rsid w:val="00A555F7"/>
    <w:rsid w:val="00A70BB3"/>
    <w:rsid w:val="00A740DD"/>
    <w:rsid w:val="00A74A94"/>
    <w:rsid w:val="00A77134"/>
    <w:rsid w:val="00A80645"/>
    <w:rsid w:val="00A8481B"/>
    <w:rsid w:val="00A85F98"/>
    <w:rsid w:val="00A93805"/>
    <w:rsid w:val="00A942F0"/>
    <w:rsid w:val="00A94E8B"/>
    <w:rsid w:val="00AA1C2C"/>
    <w:rsid w:val="00AA24CD"/>
    <w:rsid w:val="00AA2753"/>
    <w:rsid w:val="00AB13BB"/>
    <w:rsid w:val="00AB5BB2"/>
    <w:rsid w:val="00AC269F"/>
    <w:rsid w:val="00AC642B"/>
    <w:rsid w:val="00AD256F"/>
    <w:rsid w:val="00AD423F"/>
    <w:rsid w:val="00AD58AF"/>
    <w:rsid w:val="00AD6462"/>
    <w:rsid w:val="00AD6724"/>
    <w:rsid w:val="00AF5D30"/>
    <w:rsid w:val="00B0545D"/>
    <w:rsid w:val="00B06330"/>
    <w:rsid w:val="00B1311D"/>
    <w:rsid w:val="00B307BE"/>
    <w:rsid w:val="00B42734"/>
    <w:rsid w:val="00B60248"/>
    <w:rsid w:val="00B70F44"/>
    <w:rsid w:val="00B7337A"/>
    <w:rsid w:val="00B805E5"/>
    <w:rsid w:val="00B86E15"/>
    <w:rsid w:val="00B919ED"/>
    <w:rsid w:val="00B93742"/>
    <w:rsid w:val="00BA6715"/>
    <w:rsid w:val="00BB511A"/>
    <w:rsid w:val="00BB75EC"/>
    <w:rsid w:val="00BC614A"/>
    <w:rsid w:val="00BD43B8"/>
    <w:rsid w:val="00BD6B55"/>
    <w:rsid w:val="00BD753F"/>
    <w:rsid w:val="00BE1656"/>
    <w:rsid w:val="00BE7B8A"/>
    <w:rsid w:val="00C01DE1"/>
    <w:rsid w:val="00C01FFE"/>
    <w:rsid w:val="00C04109"/>
    <w:rsid w:val="00C1153C"/>
    <w:rsid w:val="00C116B5"/>
    <w:rsid w:val="00C14C4F"/>
    <w:rsid w:val="00C23EB7"/>
    <w:rsid w:val="00C268AA"/>
    <w:rsid w:val="00C41D7F"/>
    <w:rsid w:val="00C52612"/>
    <w:rsid w:val="00C54010"/>
    <w:rsid w:val="00C54639"/>
    <w:rsid w:val="00C60636"/>
    <w:rsid w:val="00C61FDE"/>
    <w:rsid w:val="00C6233D"/>
    <w:rsid w:val="00C66EEC"/>
    <w:rsid w:val="00C66F93"/>
    <w:rsid w:val="00C6777E"/>
    <w:rsid w:val="00C73512"/>
    <w:rsid w:val="00C85AB3"/>
    <w:rsid w:val="00C904E7"/>
    <w:rsid w:val="00C97303"/>
    <w:rsid w:val="00CA6F77"/>
    <w:rsid w:val="00CC054C"/>
    <w:rsid w:val="00CC1599"/>
    <w:rsid w:val="00CD6334"/>
    <w:rsid w:val="00CE4802"/>
    <w:rsid w:val="00CF4BC4"/>
    <w:rsid w:val="00CF777C"/>
    <w:rsid w:val="00D00B04"/>
    <w:rsid w:val="00D0523B"/>
    <w:rsid w:val="00D06208"/>
    <w:rsid w:val="00D07AB3"/>
    <w:rsid w:val="00D07BDF"/>
    <w:rsid w:val="00D14EF9"/>
    <w:rsid w:val="00D31C37"/>
    <w:rsid w:val="00D3403D"/>
    <w:rsid w:val="00D53CB8"/>
    <w:rsid w:val="00D54FE6"/>
    <w:rsid w:val="00D60BC7"/>
    <w:rsid w:val="00D649AE"/>
    <w:rsid w:val="00D73723"/>
    <w:rsid w:val="00D747C0"/>
    <w:rsid w:val="00D751D0"/>
    <w:rsid w:val="00D76B33"/>
    <w:rsid w:val="00D77E2C"/>
    <w:rsid w:val="00D850D7"/>
    <w:rsid w:val="00D871BE"/>
    <w:rsid w:val="00D9498C"/>
    <w:rsid w:val="00DA0028"/>
    <w:rsid w:val="00DA5CE7"/>
    <w:rsid w:val="00DB061E"/>
    <w:rsid w:val="00DB1C73"/>
    <w:rsid w:val="00DB25BB"/>
    <w:rsid w:val="00DC1693"/>
    <w:rsid w:val="00DC6891"/>
    <w:rsid w:val="00DD127C"/>
    <w:rsid w:val="00DD1AF9"/>
    <w:rsid w:val="00DE1D5B"/>
    <w:rsid w:val="00DE5953"/>
    <w:rsid w:val="00DE67D8"/>
    <w:rsid w:val="00DF1E18"/>
    <w:rsid w:val="00DF42EC"/>
    <w:rsid w:val="00E00C60"/>
    <w:rsid w:val="00E0483D"/>
    <w:rsid w:val="00E066EB"/>
    <w:rsid w:val="00E11D20"/>
    <w:rsid w:val="00E122E0"/>
    <w:rsid w:val="00E12FFD"/>
    <w:rsid w:val="00E20907"/>
    <w:rsid w:val="00E20F30"/>
    <w:rsid w:val="00E23652"/>
    <w:rsid w:val="00E3552E"/>
    <w:rsid w:val="00E3569E"/>
    <w:rsid w:val="00E36DA0"/>
    <w:rsid w:val="00E44EBA"/>
    <w:rsid w:val="00E47B62"/>
    <w:rsid w:val="00E51A08"/>
    <w:rsid w:val="00E557F1"/>
    <w:rsid w:val="00E6633C"/>
    <w:rsid w:val="00E700C4"/>
    <w:rsid w:val="00E7193C"/>
    <w:rsid w:val="00E774FC"/>
    <w:rsid w:val="00E8128C"/>
    <w:rsid w:val="00E84685"/>
    <w:rsid w:val="00E8723A"/>
    <w:rsid w:val="00E924A4"/>
    <w:rsid w:val="00E96142"/>
    <w:rsid w:val="00EA09CF"/>
    <w:rsid w:val="00EA4280"/>
    <w:rsid w:val="00EB1C24"/>
    <w:rsid w:val="00EB2991"/>
    <w:rsid w:val="00EB356C"/>
    <w:rsid w:val="00EB6B89"/>
    <w:rsid w:val="00EC7AD0"/>
    <w:rsid w:val="00ED0229"/>
    <w:rsid w:val="00ED4CF1"/>
    <w:rsid w:val="00EE3234"/>
    <w:rsid w:val="00EE4C1B"/>
    <w:rsid w:val="00EE5833"/>
    <w:rsid w:val="00EE6119"/>
    <w:rsid w:val="00EF6F48"/>
    <w:rsid w:val="00F01726"/>
    <w:rsid w:val="00F20A98"/>
    <w:rsid w:val="00F22617"/>
    <w:rsid w:val="00F22754"/>
    <w:rsid w:val="00F26765"/>
    <w:rsid w:val="00F3259A"/>
    <w:rsid w:val="00F55C03"/>
    <w:rsid w:val="00F62079"/>
    <w:rsid w:val="00F66D54"/>
    <w:rsid w:val="00F71471"/>
    <w:rsid w:val="00F716CD"/>
    <w:rsid w:val="00F738EE"/>
    <w:rsid w:val="00F7421A"/>
    <w:rsid w:val="00F844F8"/>
    <w:rsid w:val="00F846E7"/>
    <w:rsid w:val="00F86450"/>
    <w:rsid w:val="00F865AA"/>
    <w:rsid w:val="00FA03A2"/>
    <w:rsid w:val="00FA37D3"/>
    <w:rsid w:val="00FA3841"/>
    <w:rsid w:val="00FB2B8F"/>
    <w:rsid w:val="00FD099E"/>
    <w:rsid w:val="00FD196C"/>
    <w:rsid w:val="00FD51EB"/>
    <w:rsid w:val="00FF13BF"/>
    <w:rsid w:val="00FF3185"/>
    <w:rsid w:val="00FF3A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D6B8B9B-53FE-4D45-8AF4-D8F25BA7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1B0"/>
    <w:pPr>
      <w:spacing w:before="240" w:after="240" w:line="240" w:lineRule="auto"/>
    </w:pPr>
    <w:rPr>
      <w:rFonts w:ascii="Arial" w:hAnsi="Arial"/>
    </w:rPr>
  </w:style>
  <w:style w:type="paragraph" w:styleId="Heading1">
    <w:name w:val="heading 1"/>
    <w:basedOn w:val="Normal"/>
    <w:next w:val="Normal"/>
    <w:link w:val="Heading1Char"/>
    <w:uiPriority w:val="9"/>
    <w:qFormat/>
    <w:rsid w:val="00AB13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13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B13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5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EB4"/>
    <w:pPr>
      <w:ind w:left="720"/>
      <w:contextualSpacing/>
    </w:pPr>
  </w:style>
  <w:style w:type="character" w:customStyle="1" w:styleId="Heading1Char">
    <w:name w:val="Heading 1 Char"/>
    <w:basedOn w:val="DefaultParagraphFont"/>
    <w:link w:val="Heading1"/>
    <w:uiPriority w:val="9"/>
    <w:rsid w:val="00AB13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B13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B13BB"/>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C14C4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C4F"/>
    <w:rPr>
      <w:rFonts w:ascii="Tahoma" w:hAnsi="Tahoma" w:cs="Tahoma"/>
      <w:sz w:val="16"/>
      <w:szCs w:val="16"/>
    </w:rPr>
  </w:style>
  <w:style w:type="paragraph" w:styleId="Header">
    <w:name w:val="header"/>
    <w:basedOn w:val="Normal"/>
    <w:link w:val="HeaderChar"/>
    <w:uiPriority w:val="99"/>
    <w:unhideWhenUsed/>
    <w:rsid w:val="00BE7B8A"/>
    <w:pPr>
      <w:tabs>
        <w:tab w:val="center" w:pos="4680"/>
        <w:tab w:val="right" w:pos="9360"/>
      </w:tabs>
      <w:spacing w:after="0"/>
    </w:pPr>
  </w:style>
  <w:style w:type="character" w:customStyle="1" w:styleId="HeaderChar">
    <w:name w:val="Header Char"/>
    <w:basedOn w:val="DefaultParagraphFont"/>
    <w:link w:val="Header"/>
    <w:uiPriority w:val="99"/>
    <w:rsid w:val="00BE7B8A"/>
  </w:style>
  <w:style w:type="paragraph" w:styleId="Footer">
    <w:name w:val="footer"/>
    <w:basedOn w:val="Normal"/>
    <w:link w:val="FooterChar"/>
    <w:uiPriority w:val="99"/>
    <w:unhideWhenUsed/>
    <w:rsid w:val="00BE7B8A"/>
    <w:pPr>
      <w:tabs>
        <w:tab w:val="center" w:pos="4680"/>
        <w:tab w:val="right" w:pos="9360"/>
      </w:tabs>
      <w:spacing w:after="0"/>
    </w:pPr>
  </w:style>
  <w:style w:type="character" w:customStyle="1" w:styleId="FooterChar">
    <w:name w:val="Footer Char"/>
    <w:basedOn w:val="DefaultParagraphFont"/>
    <w:link w:val="Footer"/>
    <w:uiPriority w:val="99"/>
    <w:rsid w:val="00BE7B8A"/>
  </w:style>
  <w:style w:type="character" w:styleId="CommentReference">
    <w:name w:val="annotation reference"/>
    <w:basedOn w:val="DefaultParagraphFont"/>
    <w:uiPriority w:val="99"/>
    <w:unhideWhenUsed/>
    <w:rsid w:val="00CC1599"/>
    <w:rPr>
      <w:sz w:val="16"/>
      <w:szCs w:val="16"/>
    </w:rPr>
  </w:style>
  <w:style w:type="paragraph" w:styleId="CommentText">
    <w:name w:val="annotation text"/>
    <w:basedOn w:val="Normal"/>
    <w:link w:val="CommentTextChar"/>
    <w:uiPriority w:val="99"/>
    <w:unhideWhenUsed/>
    <w:rsid w:val="00CC1599"/>
    <w:rPr>
      <w:sz w:val="20"/>
      <w:szCs w:val="20"/>
    </w:rPr>
  </w:style>
  <w:style w:type="character" w:customStyle="1" w:styleId="CommentTextChar">
    <w:name w:val="Comment Text Char"/>
    <w:basedOn w:val="DefaultParagraphFont"/>
    <w:link w:val="CommentText"/>
    <w:uiPriority w:val="99"/>
    <w:rsid w:val="00CC1599"/>
    <w:rPr>
      <w:sz w:val="20"/>
      <w:szCs w:val="20"/>
    </w:rPr>
  </w:style>
  <w:style w:type="paragraph" w:styleId="CommentSubject">
    <w:name w:val="annotation subject"/>
    <w:basedOn w:val="CommentText"/>
    <w:next w:val="CommentText"/>
    <w:link w:val="CommentSubjectChar"/>
    <w:uiPriority w:val="99"/>
    <w:semiHidden/>
    <w:unhideWhenUsed/>
    <w:rsid w:val="00A740DD"/>
    <w:rPr>
      <w:b/>
      <w:bCs/>
    </w:rPr>
  </w:style>
  <w:style w:type="character" w:customStyle="1" w:styleId="CommentSubjectChar">
    <w:name w:val="Comment Subject Char"/>
    <w:basedOn w:val="CommentTextChar"/>
    <w:link w:val="CommentSubject"/>
    <w:uiPriority w:val="99"/>
    <w:semiHidden/>
    <w:rsid w:val="00A740DD"/>
    <w:rPr>
      <w:b/>
      <w:bCs/>
      <w:sz w:val="20"/>
      <w:szCs w:val="20"/>
    </w:rPr>
  </w:style>
  <w:style w:type="character" w:styleId="Emphasis">
    <w:name w:val="Emphasis"/>
    <w:basedOn w:val="DefaultParagraphFont"/>
    <w:uiPriority w:val="20"/>
    <w:qFormat/>
    <w:rsid w:val="001B16B0"/>
    <w:rPr>
      <w:i/>
      <w:iCs/>
    </w:rPr>
  </w:style>
  <w:style w:type="character" w:styleId="Hyperlink">
    <w:name w:val="Hyperlink"/>
    <w:basedOn w:val="DefaultParagraphFont"/>
    <w:uiPriority w:val="99"/>
    <w:unhideWhenUsed/>
    <w:rsid w:val="00EE5833"/>
    <w:rPr>
      <w:color w:val="0000FF" w:themeColor="hyperlink"/>
      <w:sz w:val="24"/>
      <w:u w:val="single"/>
    </w:rPr>
  </w:style>
  <w:style w:type="character" w:styleId="FollowedHyperlink">
    <w:name w:val="FollowedHyperlink"/>
    <w:basedOn w:val="DefaultParagraphFont"/>
    <w:uiPriority w:val="99"/>
    <w:semiHidden/>
    <w:unhideWhenUsed/>
    <w:rsid w:val="00CF777C"/>
    <w:rPr>
      <w:color w:val="800080" w:themeColor="followedHyperlink"/>
      <w:u w:val="single"/>
    </w:rPr>
  </w:style>
  <w:style w:type="character" w:customStyle="1" w:styleId="highlight1">
    <w:name w:val="highlight1"/>
    <w:basedOn w:val="DefaultParagraphFont"/>
    <w:rsid w:val="0026324B"/>
    <w:rPr>
      <w:bdr w:val="single" w:sz="6" w:space="4" w:color="003300" w:frame="1"/>
      <w:shd w:val="clear" w:color="auto" w:fill="99FF99"/>
    </w:rPr>
  </w:style>
  <w:style w:type="paragraph" w:styleId="NormalWeb">
    <w:name w:val="Normal (Web)"/>
    <w:basedOn w:val="Normal"/>
    <w:uiPriority w:val="99"/>
    <w:unhideWhenUsed/>
    <w:rsid w:val="00452DAB"/>
    <w:pPr>
      <w:spacing w:before="100" w:beforeAutospacing="1" w:after="100" w:afterAutospacing="1"/>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452DAB"/>
    <w:rPr>
      <w:b/>
      <w:bCs/>
    </w:rPr>
  </w:style>
  <w:style w:type="paragraph" w:styleId="FootnoteText">
    <w:name w:val="footnote text"/>
    <w:basedOn w:val="Normal"/>
    <w:link w:val="FootnoteTextChar"/>
    <w:uiPriority w:val="99"/>
    <w:semiHidden/>
    <w:unhideWhenUsed/>
    <w:rsid w:val="00EE6119"/>
    <w:pPr>
      <w:spacing w:after="0"/>
    </w:pPr>
    <w:rPr>
      <w:sz w:val="20"/>
      <w:szCs w:val="20"/>
    </w:rPr>
  </w:style>
  <w:style w:type="character" w:customStyle="1" w:styleId="FootnoteTextChar">
    <w:name w:val="Footnote Text Char"/>
    <w:basedOn w:val="DefaultParagraphFont"/>
    <w:link w:val="FootnoteText"/>
    <w:uiPriority w:val="99"/>
    <w:semiHidden/>
    <w:rsid w:val="00EE6119"/>
    <w:rPr>
      <w:sz w:val="20"/>
      <w:szCs w:val="20"/>
    </w:rPr>
  </w:style>
  <w:style w:type="character" w:styleId="FootnoteReference">
    <w:name w:val="footnote reference"/>
    <w:basedOn w:val="DefaultParagraphFont"/>
    <w:uiPriority w:val="99"/>
    <w:semiHidden/>
    <w:unhideWhenUsed/>
    <w:rsid w:val="00EE6119"/>
    <w:rPr>
      <w:vertAlign w:val="superscript"/>
    </w:rPr>
  </w:style>
  <w:style w:type="paragraph" w:styleId="EndnoteText">
    <w:name w:val="endnote text"/>
    <w:basedOn w:val="Normal"/>
    <w:link w:val="EndnoteTextChar"/>
    <w:uiPriority w:val="99"/>
    <w:unhideWhenUsed/>
    <w:rsid w:val="00937521"/>
    <w:pPr>
      <w:spacing w:after="0"/>
    </w:pPr>
    <w:rPr>
      <w:sz w:val="20"/>
      <w:szCs w:val="20"/>
    </w:rPr>
  </w:style>
  <w:style w:type="character" w:customStyle="1" w:styleId="EndnoteTextChar">
    <w:name w:val="Endnote Text Char"/>
    <w:basedOn w:val="DefaultParagraphFont"/>
    <w:link w:val="EndnoteText"/>
    <w:uiPriority w:val="99"/>
    <w:rsid w:val="00937521"/>
    <w:rPr>
      <w:sz w:val="20"/>
      <w:szCs w:val="20"/>
    </w:rPr>
  </w:style>
  <w:style w:type="character" w:styleId="EndnoteReference">
    <w:name w:val="endnote reference"/>
    <w:basedOn w:val="DefaultParagraphFont"/>
    <w:uiPriority w:val="99"/>
    <w:semiHidden/>
    <w:unhideWhenUsed/>
    <w:rsid w:val="00937521"/>
    <w:rPr>
      <w:vertAlign w:val="superscript"/>
    </w:rPr>
  </w:style>
  <w:style w:type="paragraph" w:styleId="Revision">
    <w:name w:val="Revision"/>
    <w:hidden/>
    <w:uiPriority w:val="99"/>
    <w:semiHidden/>
    <w:rsid w:val="00DF1E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88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msprd.oag-bvg.gc.ca/intranet/verification-de-gestion/manuel/4010.s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msprd.oag-bvg.gc.ca/intranet/verification-de-gestion/modeles/BVG-Approche_audit_pour_ES_16151F.docx"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msprd.oag-bvg.gc.ca/intranet/verification-de-gestion/22589_FRC_HTML_PROD.s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cmsprd.oag-bvg.gc.ca/intranet/performance-audits/manual/4025.shtm" TargetMode="External"/><Relationship Id="rId4" Type="http://schemas.openxmlformats.org/officeDocument/2006/relationships/settings" Target="settings.xml"/><Relationship Id="rId9" Type="http://schemas.openxmlformats.org/officeDocument/2006/relationships/hyperlink" Target="http://cmsprd.oag-bvg.gc.ca/intranet/verification-de-gestion/manuel/4020.s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4FB9AD7312485D9FE3FBAF95C5B38D"/>
        <w:category>
          <w:name w:val="General"/>
          <w:gallery w:val="placeholder"/>
        </w:category>
        <w:types>
          <w:type w:val="bbPlcHdr"/>
        </w:types>
        <w:behaviors>
          <w:behavior w:val="content"/>
        </w:behaviors>
        <w:guid w:val="{909343F3-DDDB-4D99-8302-2D96DACED9DD}"/>
      </w:docPartPr>
      <w:docPartBody>
        <w:p w:rsidR="00111C8A" w:rsidRDefault="006948CB" w:rsidP="006948CB">
          <w:pPr>
            <w:pStyle w:val="724FB9AD7312485D9FE3FBAF95C5B38D"/>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A3D"/>
    <w:rsid w:val="000D06A6"/>
    <w:rsid w:val="000E514C"/>
    <w:rsid w:val="00111C8A"/>
    <w:rsid w:val="00166A3D"/>
    <w:rsid w:val="00287119"/>
    <w:rsid w:val="006948CB"/>
    <w:rsid w:val="00F47C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48CB"/>
    <w:rPr>
      <w:color w:val="808080"/>
    </w:rPr>
  </w:style>
  <w:style w:type="paragraph" w:customStyle="1" w:styleId="16B7A66358954AE194B20751894089FB">
    <w:name w:val="16B7A66358954AE194B20751894089FB"/>
    <w:rsid w:val="00166A3D"/>
  </w:style>
  <w:style w:type="paragraph" w:customStyle="1" w:styleId="63CAEF5D74A3464695A61DB3EAA9542B">
    <w:name w:val="63CAEF5D74A3464695A61DB3EAA9542B"/>
    <w:rsid w:val="000D06A6"/>
  </w:style>
  <w:style w:type="paragraph" w:customStyle="1" w:styleId="724FB9AD7312485D9FE3FBAF95C5B38D">
    <w:name w:val="724FB9AD7312485D9FE3FBAF95C5B38D"/>
    <w:rsid w:val="006948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9E7DC-31F6-47B3-A437-88E3AD7D8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5</Pages>
  <Words>1339</Words>
  <Characters>7638</Characters>
  <Application>Microsoft Office Word</Application>
  <DocSecurity>0</DocSecurity>
  <Lines>63</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Controls Assessment (CAT)</vt:lpstr>
      <vt:lpstr>Controls Assessment (CAT)</vt:lpstr>
    </vt:vector>
  </TitlesOfParts>
  <Company>OAG-BVG</Company>
  <LinksUpToDate>false</LinksUpToDate>
  <CharactersWithSpaces>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Controls Assessment (CAT)</dc:title>
  <dc:subject>Controls Assessment (CAT)</dc:subject>
  <dc:creator>OAG-BVG</dc:creator>
  <cp:lastModifiedBy>Gauthier, Julie</cp:lastModifiedBy>
  <cp:revision>7</cp:revision>
  <cp:lastPrinted>2018-10-29T11:11:00Z</cp:lastPrinted>
  <dcterms:created xsi:type="dcterms:W3CDTF">2018-10-26T19:44:00Z</dcterms:created>
  <dcterms:modified xsi:type="dcterms:W3CDTF">2020-07-22T11:03:00Z</dcterms:modified>
  <cp:category>Template</cp:category>
  <cp:contentStatus>16122</cp:contentStatus>
</cp:coreProperties>
</file>