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1732" w14:textId="4F610C1C" w:rsidR="003D7929" w:rsidRPr="00C856EB" w:rsidRDefault="002842D4" w:rsidP="00042522">
      <w:pPr>
        <w:spacing w:before="100" w:beforeAutospacing="1" w:after="240"/>
        <w:rPr>
          <w:rFonts w:cs="Arial"/>
          <w:lang w:val="fr-CA"/>
        </w:rPr>
      </w:pPr>
      <w:bookmarkStart w:id="0" w:name="_GoBack"/>
      <w:bookmarkEnd w:id="0"/>
      <w:r w:rsidRPr="004F1F36">
        <w:rPr>
          <w:rFonts w:cs="Arial"/>
          <w:lang w:val="fr-CA"/>
        </w:rPr>
        <w:t>L</w:t>
      </w:r>
      <w:r w:rsidR="00A607CB">
        <w:rPr>
          <w:rFonts w:cs="Arial"/>
          <w:lang w:val="fr-CA"/>
        </w:rPr>
        <w:t>’</w:t>
      </w:r>
      <w:r w:rsidRPr="004F1F36">
        <w:rPr>
          <w:rFonts w:cs="Arial"/>
          <w:lang w:val="fr-CA"/>
        </w:rPr>
        <w:t>objectif de cette l</w:t>
      </w:r>
      <w:r w:rsidR="007F0AF1" w:rsidRPr="004F1F36">
        <w:rPr>
          <w:rFonts w:cs="Arial"/>
          <w:lang w:val="fr-CA"/>
        </w:rPr>
        <w:t xml:space="preserve">iste de contrôle </w:t>
      </w:r>
      <w:r w:rsidRPr="004F1F36">
        <w:rPr>
          <w:rFonts w:cs="Arial"/>
          <w:lang w:val="fr-CA"/>
        </w:rPr>
        <w:t>est de</w:t>
      </w:r>
      <w:r w:rsidR="007F0AF1" w:rsidRPr="004F1F36">
        <w:rPr>
          <w:rFonts w:cs="Arial"/>
          <w:lang w:val="fr-CA"/>
        </w:rPr>
        <w:t xml:space="preserve"> fournir </w:t>
      </w:r>
      <w:r w:rsidR="00290D16" w:rsidRPr="004F1F36">
        <w:rPr>
          <w:rFonts w:cs="Arial"/>
          <w:lang w:val="fr-CA"/>
        </w:rPr>
        <w:t xml:space="preserve">au vérificateur général </w:t>
      </w:r>
      <w:r w:rsidR="007F0AF1" w:rsidRPr="004F1F36">
        <w:rPr>
          <w:rFonts w:cs="Arial"/>
          <w:lang w:val="fr-CA"/>
        </w:rPr>
        <w:t>l</w:t>
      </w:r>
      <w:r w:rsidR="00A607CB">
        <w:rPr>
          <w:rFonts w:cs="Arial"/>
          <w:lang w:val="fr-CA"/>
        </w:rPr>
        <w:t>’</w:t>
      </w:r>
      <w:r w:rsidR="007F0AF1" w:rsidRPr="004F1F36">
        <w:rPr>
          <w:rFonts w:cs="Arial"/>
          <w:lang w:val="fr-CA"/>
        </w:rPr>
        <w:t xml:space="preserve">assurance </w:t>
      </w:r>
      <w:r w:rsidR="00FF2C99" w:rsidRPr="004F1F36">
        <w:rPr>
          <w:rFonts w:cs="Arial"/>
          <w:lang w:val="fr-CA"/>
        </w:rPr>
        <w:t>que</w:t>
      </w:r>
      <w:r w:rsidR="00290D16">
        <w:rPr>
          <w:rFonts w:cs="Arial"/>
          <w:lang w:val="fr-CA"/>
        </w:rPr>
        <w:t xml:space="preserve"> </w:t>
      </w:r>
      <w:r w:rsidR="00FF2C99" w:rsidRPr="004F1F36">
        <w:rPr>
          <w:rFonts w:cs="Arial"/>
          <w:lang w:val="fr-CA"/>
        </w:rPr>
        <w:t>les rapports d</w:t>
      </w:r>
      <w:r w:rsidR="00A607CB">
        <w:rPr>
          <w:rFonts w:cs="Arial"/>
          <w:lang w:val="fr-CA"/>
        </w:rPr>
        <w:t>’</w:t>
      </w:r>
      <w:r w:rsidR="00FF2C99" w:rsidRPr="004F1F36">
        <w:rPr>
          <w:rFonts w:cs="Arial"/>
          <w:lang w:val="fr-CA"/>
        </w:rPr>
        <w:t>audit</w:t>
      </w:r>
      <w:r w:rsidRPr="004F1F36">
        <w:rPr>
          <w:rFonts w:cs="Arial"/>
          <w:lang w:val="fr-CA"/>
        </w:rPr>
        <w:t>,</w:t>
      </w:r>
      <w:r w:rsidR="00AA70B3" w:rsidRPr="004F1F36">
        <w:rPr>
          <w:rFonts w:cs="Arial"/>
          <w:lang w:val="fr-CA"/>
        </w:rPr>
        <w:t xml:space="preserve"> dans tous leurs aspects</w:t>
      </w:r>
      <w:r w:rsidR="00290D16">
        <w:rPr>
          <w:rFonts w:cs="Arial"/>
          <w:lang w:val="fr-CA"/>
        </w:rPr>
        <w:t xml:space="preserve"> importants</w:t>
      </w:r>
      <w:r w:rsidR="00AA70B3" w:rsidRPr="004F1F36">
        <w:rPr>
          <w:rFonts w:cs="Arial"/>
          <w:lang w:val="fr-CA"/>
        </w:rPr>
        <w:t>,</w:t>
      </w:r>
      <w:r w:rsidR="00FF2C99" w:rsidRPr="004F1F36">
        <w:rPr>
          <w:rFonts w:cs="Arial"/>
          <w:lang w:val="fr-CA"/>
        </w:rPr>
        <w:t xml:space="preserve"> </w:t>
      </w:r>
      <w:r w:rsidR="00290D16">
        <w:rPr>
          <w:rFonts w:cs="Arial"/>
          <w:lang w:val="fr-CA"/>
        </w:rPr>
        <w:t xml:space="preserve">sont préparés en </w:t>
      </w:r>
      <w:r w:rsidR="00B067D5" w:rsidRPr="004F1F36">
        <w:rPr>
          <w:rFonts w:cs="Arial"/>
          <w:lang w:val="fr-CA"/>
        </w:rPr>
        <w:t>appli</w:t>
      </w:r>
      <w:r w:rsidR="00290D16">
        <w:rPr>
          <w:rFonts w:cs="Arial"/>
          <w:lang w:val="fr-CA"/>
        </w:rPr>
        <w:t xml:space="preserve">quant de manière </w:t>
      </w:r>
      <w:r w:rsidR="00B067D5" w:rsidRPr="004F1F36">
        <w:rPr>
          <w:rFonts w:cs="Arial"/>
          <w:lang w:val="fr-CA"/>
        </w:rPr>
        <w:t xml:space="preserve">uniforme </w:t>
      </w:r>
      <w:r w:rsidR="00B067D5" w:rsidRPr="00C856EB">
        <w:rPr>
          <w:rFonts w:cs="Arial"/>
          <w:lang w:val="fr-CA"/>
        </w:rPr>
        <w:t xml:space="preserve">et appropriée </w:t>
      </w:r>
      <w:r w:rsidR="00290D16" w:rsidRPr="00C856EB">
        <w:rPr>
          <w:rFonts w:cs="Arial"/>
          <w:lang w:val="fr-CA"/>
        </w:rPr>
        <w:t>l</w:t>
      </w:r>
      <w:r w:rsidR="00B067D5" w:rsidRPr="00C856EB">
        <w:rPr>
          <w:rFonts w:cs="Arial"/>
          <w:lang w:val="fr-CA"/>
        </w:rPr>
        <w:t xml:space="preserve">es normes professionnelles et </w:t>
      </w:r>
      <w:r w:rsidR="00035F47" w:rsidRPr="00C856EB">
        <w:rPr>
          <w:rFonts w:cs="Arial"/>
          <w:lang w:val="fr-CA"/>
        </w:rPr>
        <w:t>l</w:t>
      </w:r>
      <w:r w:rsidR="00B067D5" w:rsidRPr="00C856EB">
        <w:rPr>
          <w:rFonts w:cs="Arial"/>
          <w:lang w:val="fr-CA"/>
        </w:rPr>
        <w:t>es politiques du Bureau</w:t>
      </w:r>
      <w:r w:rsidR="00035F47" w:rsidRPr="00C856EB">
        <w:rPr>
          <w:rFonts w:cs="Arial"/>
          <w:lang w:val="fr-CA"/>
        </w:rPr>
        <w:t xml:space="preserve"> en matière de rapport</w:t>
      </w:r>
      <w:r w:rsidR="008B5B16" w:rsidRPr="00C856EB">
        <w:rPr>
          <w:rFonts w:cs="Arial"/>
          <w:lang w:val="fr-CA"/>
        </w:rPr>
        <w:t>.</w:t>
      </w:r>
      <w:r w:rsidR="00035F47" w:rsidRPr="00C856EB">
        <w:rPr>
          <w:rFonts w:cs="Arial"/>
          <w:lang w:val="fr-CA"/>
        </w:rPr>
        <w:t xml:space="preserve"> </w:t>
      </w:r>
      <w:r w:rsidR="00EF169D" w:rsidRPr="00C856EB">
        <w:rPr>
          <w:rFonts w:cs="Arial"/>
          <w:lang w:val="fr-CA"/>
        </w:rPr>
        <w:t xml:space="preserve">Toutes les exigences sont </w:t>
      </w:r>
      <w:r w:rsidR="00035F47" w:rsidRPr="00C856EB">
        <w:rPr>
          <w:rFonts w:cs="Arial"/>
          <w:lang w:val="fr-CA"/>
        </w:rPr>
        <w:t xml:space="preserve">énoncées </w:t>
      </w:r>
      <w:r w:rsidR="00EF169D" w:rsidRPr="00C856EB">
        <w:rPr>
          <w:rFonts w:cs="Arial"/>
          <w:lang w:val="fr-CA"/>
        </w:rPr>
        <w:t xml:space="preserve">dans le Manuel </w:t>
      </w:r>
      <w:r w:rsidR="00F83773" w:rsidRPr="00C856EB">
        <w:rPr>
          <w:rFonts w:cs="Arial"/>
          <w:lang w:val="fr-CA"/>
        </w:rPr>
        <w:t>pour les missions d</w:t>
      </w:r>
      <w:r w:rsidR="00A607CB" w:rsidRPr="00C856EB">
        <w:rPr>
          <w:rFonts w:cs="Arial"/>
          <w:lang w:val="fr-CA"/>
        </w:rPr>
        <w:t>’</w:t>
      </w:r>
      <w:r w:rsidR="00F83773" w:rsidRPr="00C856EB">
        <w:rPr>
          <w:rFonts w:cs="Arial"/>
          <w:lang w:val="fr-CA"/>
        </w:rPr>
        <w:t>appréciation directe</w:t>
      </w:r>
      <w:r w:rsidR="00EF169D" w:rsidRPr="00C856EB">
        <w:rPr>
          <w:rFonts w:cs="Arial"/>
          <w:lang w:val="fr-CA"/>
        </w:rPr>
        <w:t xml:space="preserve">. La plupart </w:t>
      </w:r>
      <w:r w:rsidR="00035F47" w:rsidRPr="00C856EB">
        <w:rPr>
          <w:rFonts w:cs="Arial"/>
          <w:lang w:val="fr-CA"/>
        </w:rPr>
        <w:t xml:space="preserve">des exigences </w:t>
      </w:r>
      <w:r w:rsidR="00A607CB" w:rsidRPr="00C856EB">
        <w:rPr>
          <w:rFonts w:cs="Arial"/>
          <w:lang w:val="fr-CA"/>
        </w:rPr>
        <w:t>ci</w:t>
      </w:r>
      <w:r w:rsidR="00A607CB" w:rsidRPr="00C856EB">
        <w:rPr>
          <w:rFonts w:cs="Arial"/>
          <w:lang w:val="fr-CA"/>
        </w:rPr>
        <w:noBreakHyphen/>
      </w:r>
      <w:r w:rsidR="00035F47" w:rsidRPr="00C856EB">
        <w:rPr>
          <w:rFonts w:cs="Arial"/>
          <w:lang w:val="fr-CA"/>
        </w:rPr>
        <w:t xml:space="preserve">dessous </w:t>
      </w:r>
      <w:r w:rsidR="00EF169D" w:rsidRPr="00C856EB">
        <w:rPr>
          <w:rFonts w:cs="Arial"/>
          <w:lang w:val="fr-CA"/>
        </w:rPr>
        <w:t xml:space="preserve">sont </w:t>
      </w:r>
      <w:r w:rsidR="00035F47" w:rsidRPr="00C856EB">
        <w:rPr>
          <w:rFonts w:cs="Arial"/>
          <w:lang w:val="fr-CA"/>
        </w:rPr>
        <w:t>tirées du paragraphe</w:t>
      </w:r>
      <w:r w:rsidR="00A607CB" w:rsidRPr="00C856EB">
        <w:rPr>
          <w:rFonts w:cs="Arial"/>
          <w:lang w:val="fr-CA"/>
        </w:rPr>
        <w:t> 73 </w:t>
      </w:r>
      <w:r w:rsidR="00035F47" w:rsidRPr="00C856EB">
        <w:rPr>
          <w:rFonts w:cs="Arial"/>
          <w:lang w:val="fr-CA"/>
        </w:rPr>
        <w:t>de</w:t>
      </w:r>
      <w:r w:rsidR="00EF169D" w:rsidRPr="00C856EB">
        <w:rPr>
          <w:rFonts w:cs="Arial"/>
          <w:lang w:val="fr-CA"/>
        </w:rPr>
        <w:t xml:space="preserve"> </w:t>
      </w:r>
      <w:r w:rsidR="00F83773" w:rsidRPr="00C856EB">
        <w:rPr>
          <w:rFonts w:cs="Arial"/>
          <w:lang w:val="fr-CA"/>
        </w:rPr>
        <w:t>la</w:t>
      </w:r>
      <w:r w:rsidR="00815FC1" w:rsidRPr="00C856EB">
        <w:rPr>
          <w:rFonts w:cs="Arial"/>
          <w:lang w:val="fr-CA"/>
        </w:rPr>
        <w:t> </w:t>
      </w:r>
      <w:r w:rsidR="00F83773" w:rsidRPr="00C856EB">
        <w:rPr>
          <w:rFonts w:cs="Arial"/>
          <w:lang w:val="fr-CA"/>
        </w:rPr>
        <w:t>NCMC</w:t>
      </w:r>
      <w:r w:rsidR="00A607CB" w:rsidRPr="00C856EB">
        <w:rPr>
          <w:rFonts w:cs="Arial"/>
          <w:lang w:val="fr-CA"/>
        </w:rPr>
        <w:t> 3</w:t>
      </w:r>
      <w:r w:rsidR="00F83773" w:rsidRPr="00C856EB">
        <w:rPr>
          <w:rFonts w:cs="Arial"/>
          <w:lang w:val="fr-CA"/>
        </w:rPr>
        <w:t>00</w:t>
      </w:r>
      <w:r w:rsidR="00A607CB" w:rsidRPr="00C856EB">
        <w:rPr>
          <w:rFonts w:cs="Arial"/>
          <w:lang w:val="fr-CA"/>
        </w:rPr>
        <w:t>1 et</w:t>
      </w:r>
      <w:r w:rsidR="00EF169D" w:rsidRPr="00C856EB">
        <w:rPr>
          <w:rFonts w:cs="Arial"/>
          <w:lang w:val="fr-CA"/>
        </w:rPr>
        <w:t xml:space="preserve"> sont reproduit</w:t>
      </w:r>
      <w:r w:rsidR="00786698" w:rsidRPr="00C856EB">
        <w:rPr>
          <w:rFonts w:cs="Arial"/>
          <w:lang w:val="fr-CA"/>
        </w:rPr>
        <w:t>e</w:t>
      </w:r>
      <w:r w:rsidR="00EF169D" w:rsidRPr="00C856EB">
        <w:rPr>
          <w:rFonts w:cs="Arial"/>
          <w:lang w:val="fr-CA"/>
        </w:rPr>
        <w:t xml:space="preserve">s </w:t>
      </w:r>
      <w:r w:rsidR="00035F47" w:rsidRPr="00C856EB">
        <w:rPr>
          <w:rFonts w:cs="Arial"/>
          <w:lang w:val="fr-CA"/>
        </w:rPr>
        <w:t xml:space="preserve">à </w:t>
      </w:r>
      <w:r w:rsidR="00EF169D" w:rsidRPr="00C856EB">
        <w:rPr>
          <w:rFonts w:cs="Arial"/>
          <w:lang w:val="fr-CA"/>
        </w:rPr>
        <w:t>la section</w:t>
      </w:r>
      <w:r w:rsidR="00A607CB" w:rsidRPr="00C856EB">
        <w:rPr>
          <w:rFonts w:cs="Arial"/>
          <w:lang w:val="fr-CA"/>
        </w:rPr>
        <w:t> </w:t>
      </w:r>
      <w:hyperlink r:id="rId8" w:history="1">
        <w:r w:rsidR="00211D5F" w:rsidRPr="00007268">
          <w:rPr>
            <w:rStyle w:val="Lienhypertexte"/>
            <w:rFonts w:cs="Arial"/>
            <w:lang w:val="fr-FR"/>
          </w:rPr>
          <w:t>BVG Audit 7030</w:t>
        </w:r>
      </w:hyperlink>
      <w:r w:rsidR="00211D5F" w:rsidRPr="00007268">
        <w:rPr>
          <w:rStyle w:val="Lienhypertexte"/>
          <w:rFonts w:cs="Arial"/>
          <w:color w:val="auto"/>
          <w:u w:val="none"/>
          <w:lang w:val="fr-CA"/>
        </w:rPr>
        <w:t xml:space="preserve"> </w:t>
      </w:r>
      <w:r w:rsidR="00EF169D" w:rsidRPr="00C856EB">
        <w:rPr>
          <w:rFonts w:cs="Arial"/>
          <w:lang w:val="fr-CA"/>
        </w:rPr>
        <w:t>du Manuel.</w:t>
      </w:r>
    </w:p>
    <w:p w14:paraId="27829961" w14:textId="2C252D5E" w:rsidR="00EF169D" w:rsidRPr="00C856EB" w:rsidRDefault="00800EBC" w:rsidP="00211D5F">
      <w:pPr>
        <w:spacing w:before="100" w:beforeAutospacing="1" w:after="120"/>
        <w:rPr>
          <w:rFonts w:cs="Arial"/>
          <w:lang w:val="fr-CA"/>
        </w:rPr>
      </w:pPr>
      <w:r w:rsidRPr="00C856EB">
        <w:rPr>
          <w:lang w:val="fr-FR"/>
        </w:rPr>
        <w:t xml:space="preserve">À l'étape d'approbation du contenu du rapport, le responsable de mission (RM) doit certifier que le travail d'audit a été effectué conformément aux normes, y compris les normes </w:t>
      </w:r>
      <w:r w:rsidR="00D82035" w:rsidRPr="00C856EB">
        <w:rPr>
          <w:lang w:val="fr-CA"/>
        </w:rPr>
        <w:t xml:space="preserve">en matière de </w:t>
      </w:r>
      <w:r w:rsidR="00211D5F" w:rsidRPr="00C856EB">
        <w:rPr>
          <w:lang w:val="fr-CA"/>
        </w:rPr>
        <w:t>pr</w:t>
      </w:r>
      <w:r w:rsidR="00211D5F">
        <w:rPr>
          <w:lang w:val="fr-CA"/>
        </w:rPr>
        <w:t>éparation du rapport</w:t>
      </w:r>
      <w:r w:rsidRPr="00C856EB">
        <w:rPr>
          <w:lang w:val="fr-FR"/>
        </w:rPr>
        <w:t>. Le responsable de la mission est donc responsable de signer cette liste de contrôle.</w:t>
      </w:r>
      <w:r w:rsidRPr="00C856EB">
        <w:rPr>
          <w:rFonts w:cs="Arial"/>
          <w:lang w:val="fr-CA"/>
        </w:rPr>
        <w:t xml:space="preserve"> </w:t>
      </w:r>
      <w:r w:rsidR="00BC0894" w:rsidRPr="00C856EB">
        <w:rPr>
          <w:rFonts w:cs="Arial"/>
          <w:lang w:val="fr-CA"/>
        </w:rPr>
        <w:t>T</w:t>
      </w:r>
      <w:r w:rsidR="00864086" w:rsidRPr="00C856EB">
        <w:rPr>
          <w:rFonts w:cs="Arial"/>
          <w:lang w:val="fr-CA"/>
        </w:rPr>
        <w:t>ous les problèmes doivent être résolus avant que l</w:t>
      </w:r>
      <w:r w:rsidR="00A607CB" w:rsidRPr="00C856EB">
        <w:rPr>
          <w:rFonts w:cs="Arial"/>
          <w:lang w:val="fr-CA"/>
        </w:rPr>
        <w:t>’</w:t>
      </w:r>
      <w:r w:rsidR="00864086" w:rsidRPr="00C856EB">
        <w:rPr>
          <w:rFonts w:cs="Arial"/>
          <w:lang w:val="fr-CA"/>
        </w:rPr>
        <w:t xml:space="preserve">ébauche </w:t>
      </w:r>
      <w:r w:rsidR="00F83773" w:rsidRPr="00C856EB">
        <w:rPr>
          <w:rFonts w:cs="Arial"/>
          <w:lang w:val="fr-CA"/>
        </w:rPr>
        <w:t>de transmission</w:t>
      </w:r>
      <w:r w:rsidR="00864086" w:rsidRPr="00C856EB">
        <w:rPr>
          <w:rFonts w:cs="Arial"/>
          <w:lang w:val="fr-CA"/>
        </w:rPr>
        <w:t xml:space="preserve"> soit envoyée.</w:t>
      </w:r>
    </w:p>
    <w:p w14:paraId="65735D46" w14:textId="624E3F7C" w:rsidR="001E1721" w:rsidRPr="004F1F36" w:rsidRDefault="001E1721" w:rsidP="00211D5F">
      <w:pPr>
        <w:spacing w:before="240" w:after="360"/>
        <w:jc w:val="center"/>
        <w:rPr>
          <w:rFonts w:asciiTheme="minorHAnsi" w:hAnsiTheme="minorHAnsi" w:cs="Arial"/>
          <w:b/>
          <w:lang w:val="fr-CA"/>
        </w:rPr>
      </w:pPr>
      <w:r w:rsidRPr="004F1F36">
        <w:rPr>
          <w:rFonts w:asciiTheme="minorHAnsi" w:hAnsiTheme="minorHAnsi" w:cs="Arial"/>
          <w:b/>
          <w:lang w:val="fr-CA"/>
        </w:rPr>
        <w:t>[</w:t>
      </w:r>
      <w:r w:rsidR="006D3BF4">
        <w:rPr>
          <w:rFonts w:cs="Arial"/>
          <w:b/>
          <w:color w:val="0000FF"/>
          <w:lang w:val="fr-CA"/>
        </w:rPr>
        <w:fldChar w:fldCharType="begin">
          <w:ffData>
            <w:name w:val="Text1"/>
            <w:enabled/>
            <w:calcOnExit w:val="0"/>
            <w:textInput>
              <w:default w:val="TITRE DU RAPPORT D’AUDIT"/>
            </w:textInput>
          </w:ffData>
        </w:fldChar>
      </w:r>
      <w:bookmarkStart w:id="1" w:name="Text1"/>
      <w:r w:rsidR="006D3BF4">
        <w:rPr>
          <w:rFonts w:cs="Arial"/>
          <w:b/>
          <w:color w:val="0000FF"/>
          <w:lang w:val="fr-CA"/>
        </w:rPr>
        <w:instrText xml:space="preserve"> FORMTEXT </w:instrText>
      </w:r>
      <w:r w:rsidR="006D3BF4">
        <w:rPr>
          <w:rFonts w:cs="Arial"/>
          <w:b/>
          <w:color w:val="0000FF"/>
          <w:lang w:val="fr-CA"/>
        </w:rPr>
      </w:r>
      <w:r w:rsidR="006D3BF4">
        <w:rPr>
          <w:rFonts w:cs="Arial"/>
          <w:b/>
          <w:color w:val="0000FF"/>
          <w:lang w:val="fr-CA"/>
        </w:rPr>
        <w:fldChar w:fldCharType="separate"/>
      </w:r>
      <w:r w:rsidR="006D3BF4">
        <w:rPr>
          <w:rFonts w:cs="Arial"/>
          <w:b/>
          <w:noProof/>
          <w:color w:val="0000FF"/>
          <w:lang w:val="fr-CA"/>
        </w:rPr>
        <w:t>TITRE DU RAPPORT D’AUDIT</w:t>
      </w:r>
      <w:r w:rsidR="006D3BF4">
        <w:rPr>
          <w:rFonts w:cs="Arial"/>
          <w:b/>
          <w:color w:val="0000FF"/>
          <w:lang w:val="fr-CA"/>
        </w:rPr>
        <w:fldChar w:fldCharType="end"/>
      </w:r>
      <w:bookmarkEnd w:id="1"/>
      <w:r w:rsidRPr="004F1F36">
        <w:rPr>
          <w:rFonts w:asciiTheme="minorHAnsi" w:hAnsiTheme="minorHAnsi" w:cs="Arial"/>
          <w:b/>
          <w:lang w:val="fr-CA"/>
        </w:rPr>
        <w:t>]</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8217"/>
        <w:gridCol w:w="1133"/>
      </w:tblGrid>
      <w:tr w:rsidR="00800EBC" w:rsidRPr="0077239B" w14:paraId="4227C125" w14:textId="27BDD3E4" w:rsidTr="00EA3626">
        <w:trPr>
          <w:tblHeader/>
        </w:trPr>
        <w:tc>
          <w:tcPr>
            <w:tcW w:w="8217" w:type="dxa"/>
            <w:tcMar>
              <w:top w:w="58" w:type="dxa"/>
              <w:bottom w:w="58" w:type="dxa"/>
            </w:tcMar>
            <w:vAlign w:val="bottom"/>
          </w:tcPr>
          <w:p w14:paraId="16D39E86" w14:textId="5C1526F1" w:rsidR="00800EBC" w:rsidRPr="0077239B" w:rsidRDefault="00800EBC" w:rsidP="00E029F5">
            <w:pPr>
              <w:pStyle w:val="IFACListStyle2"/>
              <w:numPr>
                <w:ilvl w:val="0"/>
                <w:numId w:val="0"/>
              </w:numPr>
              <w:spacing w:after="120" w:line="240" w:lineRule="auto"/>
              <w:jc w:val="left"/>
              <w:rPr>
                <w:rFonts w:cs="Arial"/>
                <w:b/>
                <w:sz w:val="22"/>
                <w:szCs w:val="22"/>
                <w:lang w:val="fr-CA"/>
              </w:rPr>
            </w:pPr>
            <w:r w:rsidRPr="0077239B">
              <w:rPr>
                <w:rFonts w:cs="Arial"/>
                <w:b/>
                <w:sz w:val="22"/>
                <w:szCs w:val="22"/>
                <w:lang w:val="fr-CA"/>
              </w:rPr>
              <w:t>Confirmer que le rapport d’audit comporte les éléments suivants:</w:t>
            </w:r>
          </w:p>
        </w:tc>
        <w:tc>
          <w:tcPr>
            <w:tcW w:w="1133" w:type="dxa"/>
            <w:tcMar>
              <w:top w:w="58" w:type="dxa"/>
              <w:bottom w:w="58" w:type="dxa"/>
            </w:tcMar>
            <w:vAlign w:val="bottom"/>
          </w:tcPr>
          <w:p w14:paraId="5C843132" w14:textId="77777777" w:rsidR="00800EBC" w:rsidRPr="0077239B" w:rsidRDefault="00800EBC" w:rsidP="00E029F5">
            <w:pPr>
              <w:spacing w:before="120" w:after="120"/>
              <w:jc w:val="center"/>
              <w:rPr>
                <w:rFonts w:cs="Arial"/>
                <w:lang w:val="fr-CA"/>
              </w:rPr>
            </w:pPr>
            <w:r w:rsidRPr="0077239B">
              <w:rPr>
                <w:rFonts w:cs="Arial"/>
                <w:lang w:val="fr-CA"/>
              </w:rPr>
              <w:t>RM</w:t>
            </w:r>
          </w:p>
        </w:tc>
      </w:tr>
      <w:tr w:rsidR="00800EBC" w:rsidRPr="0077239B" w14:paraId="3A2CF5B1" w14:textId="392C2D3F" w:rsidTr="00EA3626">
        <w:tc>
          <w:tcPr>
            <w:tcW w:w="8217" w:type="dxa"/>
            <w:tcMar>
              <w:top w:w="58" w:type="dxa"/>
              <w:bottom w:w="58" w:type="dxa"/>
            </w:tcMar>
            <w:vAlign w:val="center"/>
          </w:tcPr>
          <w:p w14:paraId="0A2992FE" w14:textId="07E4CF23"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b/>
                <w:sz w:val="22"/>
                <w:szCs w:val="22"/>
                <w:lang w:val="fr-CA"/>
              </w:rPr>
              <w:t>L</w:t>
            </w:r>
            <w:r w:rsidR="00E029F5">
              <w:rPr>
                <w:rFonts w:cs="Arial"/>
                <w:b/>
                <w:sz w:val="22"/>
                <w:szCs w:val="22"/>
                <w:lang w:val="fr-CA"/>
              </w:rPr>
              <w:t>’utilisation du</w:t>
            </w:r>
            <w:r w:rsidRPr="0077239B">
              <w:rPr>
                <w:rFonts w:cs="Arial"/>
                <w:b/>
                <w:sz w:val="22"/>
                <w:szCs w:val="22"/>
                <w:lang w:val="fr-CA"/>
              </w:rPr>
              <w:t xml:space="preserve"> modèle de rapport le plus récent</w:t>
            </w:r>
            <w:r w:rsidR="00211D5F" w:rsidRPr="0077239B">
              <w:rPr>
                <w:rFonts w:cs="Arial"/>
                <w:b/>
                <w:sz w:val="22"/>
                <w:szCs w:val="22"/>
                <w:lang w:val="fr-CA"/>
              </w:rPr>
              <w:t>.</w:t>
            </w:r>
          </w:p>
          <w:p w14:paraId="77F8D8FC" w14:textId="6F5A3319"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Le rapport est préparé avec le modèle de rapport approprié le plus récent. Tout changement au modèle a été approuvé par l</w:t>
            </w:r>
            <w:r w:rsidR="00B47BCC" w:rsidRPr="0077239B">
              <w:rPr>
                <w:rFonts w:cs="Arial"/>
                <w:sz w:val="22"/>
                <w:szCs w:val="22"/>
                <w:lang w:val="fr-CA"/>
              </w:rPr>
              <w:t>es Services d’audit</w:t>
            </w:r>
            <w:r w:rsidRPr="0077239B">
              <w:rPr>
                <w:rFonts w:cs="Arial"/>
                <w:sz w:val="22"/>
                <w:szCs w:val="22"/>
                <w:lang w:val="fr-CA"/>
              </w:rPr>
              <w:t>.</w:t>
            </w:r>
          </w:p>
          <w:p w14:paraId="20A93D06" w14:textId="242C17D2" w:rsidR="00800EBC" w:rsidRPr="0077239B" w:rsidDel="004F6CAE"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 xml:space="preserve">Les exigences en ce qui a trait aux missions d’assurance limitée (examens) et aux études sont différentes de celles ayant trait aux examens spéciaux et aux audits de performance standard. Le libellé standard des modèles de rapport reflète ces différences. Voir </w:t>
            </w:r>
            <w:hyperlink r:id="rId9" w:history="1">
              <w:r w:rsidRPr="0077239B">
                <w:rPr>
                  <w:rStyle w:val="Lienhypertexte"/>
                  <w:rFonts w:cs="Arial"/>
                  <w:sz w:val="22"/>
                  <w:szCs w:val="22"/>
                  <w:lang w:val="fr-CA"/>
                </w:rPr>
                <w:t>BVG Audit 11000</w:t>
              </w:r>
            </w:hyperlink>
            <w:r w:rsidRPr="0077239B">
              <w:rPr>
                <w:rFonts w:cs="Arial"/>
                <w:sz w:val="22"/>
                <w:szCs w:val="22"/>
                <w:lang w:val="fr-CA"/>
              </w:rPr>
              <w:t xml:space="preserve"> — Études; </w:t>
            </w:r>
            <w:hyperlink r:id="rId10" w:history="1">
              <w:r w:rsidRPr="0077239B">
                <w:rPr>
                  <w:rStyle w:val="Lienhypertexte"/>
                  <w:rFonts w:cs="Arial"/>
                  <w:sz w:val="22"/>
                  <w:szCs w:val="22"/>
                  <w:lang w:val="fr-CA"/>
                </w:rPr>
                <w:t>BVG Audit 10010</w:t>
              </w:r>
            </w:hyperlink>
            <w:r w:rsidRPr="0077239B">
              <w:rPr>
                <w:rFonts w:cs="Arial"/>
                <w:sz w:val="22"/>
                <w:szCs w:val="22"/>
                <w:lang w:val="fr-CA"/>
              </w:rPr>
              <w:t> — Missions d’assurance limitée</w:t>
            </w:r>
            <w:r w:rsidR="00CE5CBE" w:rsidRPr="0077239B">
              <w:rPr>
                <w:rFonts w:cs="Arial"/>
                <w:sz w:val="22"/>
                <w:szCs w:val="22"/>
                <w:lang w:val="fr-CA"/>
              </w:rPr>
              <w:t xml:space="preserve"> et le</w:t>
            </w:r>
            <w:r w:rsidR="005A04E1" w:rsidRPr="0077239B">
              <w:rPr>
                <w:rFonts w:cs="Arial"/>
                <w:sz w:val="22"/>
                <w:szCs w:val="22"/>
                <w:lang w:val="fr-CA"/>
              </w:rPr>
              <w:t xml:space="preserve"> modèle de</w:t>
            </w:r>
            <w:r w:rsidR="00CE5CBE" w:rsidRPr="0077239B">
              <w:rPr>
                <w:rFonts w:cs="Arial"/>
                <w:sz w:val="22"/>
                <w:szCs w:val="22"/>
                <w:lang w:val="fr-CA"/>
              </w:rPr>
              <w:t xml:space="preserve"> rapport</w:t>
            </w:r>
            <w:r w:rsidR="005A04E1" w:rsidRPr="0077239B">
              <w:rPr>
                <w:rFonts w:cs="Arial"/>
                <w:sz w:val="22"/>
                <w:szCs w:val="22"/>
                <w:lang w:val="fr-CA"/>
              </w:rPr>
              <w:t xml:space="preserve"> approprié</w:t>
            </w:r>
            <w:r w:rsidR="00CE5CBE" w:rsidRPr="0077239B">
              <w:rPr>
                <w:rFonts w:cs="Arial"/>
                <w:sz w:val="22"/>
                <w:szCs w:val="22"/>
                <w:lang w:val="fr-CA"/>
              </w:rPr>
              <w:t xml:space="preserve"> pour ces produits</w:t>
            </w:r>
            <w:r w:rsidRPr="0077239B">
              <w:rPr>
                <w:rFonts w:cs="Arial"/>
                <w:sz w:val="22"/>
                <w:szCs w:val="22"/>
                <w:lang w:val="fr-CA"/>
              </w:rPr>
              <w:t>.</w:t>
            </w:r>
          </w:p>
        </w:tc>
        <w:tc>
          <w:tcPr>
            <w:tcW w:w="1133" w:type="dxa"/>
            <w:tcMar>
              <w:top w:w="58" w:type="dxa"/>
              <w:bottom w:w="58" w:type="dxa"/>
            </w:tcMar>
            <w:vAlign w:val="center"/>
          </w:tcPr>
          <w:p w14:paraId="1406A0A0" w14:textId="426D253D"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ed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39DAFC73" w14:textId="52F84155" w:rsidTr="00EA3626">
        <w:tc>
          <w:tcPr>
            <w:tcW w:w="8217" w:type="dxa"/>
            <w:tcMar>
              <w:top w:w="58" w:type="dxa"/>
              <w:bottom w:w="58" w:type="dxa"/>
            </w:tcMar>
            <w:vAlign w:val="center"/>
          </w:tcPr>
          <w:p w14:paraId="69DA5C7E" w14:textId="74085980" w:rsidR="00800EBC" w:rsidRPr="0077239B" w:rsidRDefault="00800EBC" w:rsidP="00E029F5">
            <w:pPr>
              <w:pStyle w:val="IFACListStyle2"/>
              <w:numPr>
                <w:ilvl w:val="0"/>
                <w:numId w:val="0"/>
              </w:numPr>
              <w:spacing w:after="120" w:line="240" w:lineRule="auto"/>
              <w:jc w:val="left"/>
              <w:rPr>
                <w:rFonts w:cs="Arial"/>
                <w:sz w:val="22"/>
                <w:szCs w:val="22"/>
                <w:highlight w:val="green"/>
                <w:lang w:val="fr-CA"/>
              </w:rPr>
            </w:pPr>
            <w:r w:rsidRPr="0077239B">
              <w:rPr>
                <w:rFonts w:cs="Arial"/>
                <w:b/>
                <w:sz w:val="22"/>
                <w:szCs w:val="22"/>
                <w:lang w:val="fr-CA"/>
              </w:rPr>
              <w:t>Un titre</w:t>
            </w:r>
            <w:r w:rsidRPr="0077239B">
              <w:rPr>
                <w:rFonts w:cs="Arial"/>
                <w:sz w:val="22"/>
                <w:szCs w:val="22"/>
                <w:lang w:val="fr-CA"/>
              </w:rPr>
              <w:t xml:space="preserve"> </w:t>
            </w:r>
            <w:r w:rsidRPr="0077239B">
              <w:rPr>
                <w:rFonts w:cs="Arial"/>
                <w:b/>
                <w:sz w:val="22"/>
                <w:szCs w:val="22"/>
                <w:lang w:val="fr-CA"/>
              </w:rPr>
              <w:t>qui indique clairement qu’il s’agit d’un rapport de mission de certification indépendant</w:t>
            </w:r>
            <w:r w:rsidR="00211D5F" w:rsidRPr="0077239B">
              <w:rPr>
                <w:rFonts w:cs="Arial"/>
                <w:b/>
                <w:sz w:val="22"/>
                <w:szCs w:val="22"/>
                <w:lang w:val="fr-CA"/>
              </w:rPr>
              <w:t>.</w:t>
            </w:r>
            <w:r w:rsidR="00211D5F" w:rsidRPr="0077239B">
              <w:rPr>
                <w:rFonts w:cs="Arial"/>
                <w:sz w:val="22"/>
                <w:szCs w:val="22"/>
                <w:lang w:val="fr-CA"/>
              </w:rPr>
              <w:t xml:space="preserve"> [73 a</w:t>
            </w:r>
            <w:r w:rsidR="00AB7762" w:rsidRPr="0077239B">
              <w:rPr>
                <w:rFonts w:cs="Arial"/>
                <w:sz w:val="22"/>
                <w:szCs w:val="22"/>
                <w:lang w:val="fr-CA"/>
              </w:rPr>
              <w:t>)</w:t>
            </w:r>
            <w:r w:rsidR="00211D5F" w:rsidRPr="0077239B">
              <w:rPr>
                <w:rFonts w:cs="Arial"/>
                <w:sz w:val="22"/>
                <w:szCs w:val="22"/>
                <w:lang w:val="fr-CA"/>
              </w:rPr>
              <w:t xml:space="preserve">; </w:t>
            </w:r>
            <w:r w:rsidRPr="0077239B">
              <w:rPr>
                <w:rFonts w:cs="Arial"/>
                <w:sz w:val="22"/>
                <w:szCs w:val="22"/>
                <w:lang w:val="fr-CA"/>
              </w:rPr>
              <w:t>Réf. : par. A16</w:t>
            </w:r>
            <w:r w:rsidR="007252D9" w:rsidRPr="0077239B">
              <w:rPr>
                <w:rFonts w:cs="Arial"/>
                <w:sz w:val="22"/>
                <w:szCs w:val="22"/>
                <w:lang w:val="fr-CA"/>
              </w:rPr>
              <w:t>2</w:t>
            </w:r>
            <w:r w:rsidRPr="0077239B">
              <w:rPr>
                <w:rFonts w:cs="Arial"/>
                <w:sz w:val="22"/>
                <w:szCs w:val="22"/>
                <w:lang w:val="fr-CA"/>
              </w:rPr>
              <w:t>]</w:t>
            </w:r>
          </w:p>
          <w:p w14:paraId="791B3BC4" w14:textId="03E42237"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La page couverture de chaque rapport comprend toujours le logo et le nom du Bureau du vérificateur général du Canada, qui est reconnu comme étant un bureau d’audit législatif indépendant.</w:t>
            </w:r>
          </w:p>
          <w:p w14:paraId="24D0C0EC" w14:textId="2AAED260"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La page couverture indique aussi que c’est un « Rapport de l’auditeur indépendant » avant le titre du rapport. Ce texte fait partie du modèle de rapport standard.</w:t>
            </w:r>
          </w:p>
        </w:tc>
        <w:tc>
          <w:tcPr>
            <w:tcW w:w="1133" w:type="dxa"/>
            <w:tcMar>
              <w:top w:w="58" w:type="dxa"/>
              <w:bottom w:w="58" w:type="dxa"/>
            </w:tcMar>
            <w:vAlign w:val="center"/>
          </w:tcPr>
          <w:p w14:paraId="4C5B77E9" w14:textId="5514E5B6"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1486FE5F" w14:textId="2AA2F6E6" w:rsidTr="00EA3626">
        <w:tc>
          <w:tcPr>
            <w:tcW w:w="8217" w:type="dxa"/>
            <w:tcMar>
              <w:top w:w="58" w:type="dxa"/>
              <w:bottom w:w="58" w:type="dxa"/>
            </w:tcMar>
            <w:vAlign w:val="center"/>
          </w:tcPr>
          <w:p w14:paraId="2113ABA9" w14:textId="2CDCE34C"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b/>
                <w:sz w:val="22"/>
                <w:szCs w:val="22"/>
                <w:lang w:val="fr-CA"/>
              </w:rPr>
              <w:lastRenderedPageBreak/>
              <w:t>Un destinataire</w:t>
            </w:r>
            <w:r w:rsidR="00AB7762" w:rsidRPr="0077239B">
              <w:rPr>
                <w:rFonts w:cs="Arial"/>
                <w:b/>
                <w:sz w:val="22"/>
                <w:szCs w:val="22"/>
                <w:lang w:val="fr-CA"/>
              </w:rPr>
              <w:t xml:space="preserve">. </w:t>
            </w:r>
            <w:r w:rsidR="00AB7762" w:rsidRPr="0077239B">
              <w:rPr>
                <w:rFonts w:cs="Arial"/>
                <w:sz w:val="22"/>
                <w:szCs w:val="22"/>
                <w:lang w:val="fr-CA"/>
              </w:rPr>
              <w:t xml:space="preserve">[73 b); </w:t>
            </w:r>
            <w:r w:rsidRPr="0077239B">
              <w:rPr>
                <w:rFonts w:cs="Arial"/>
                <w:sz w:val="22"/>
                <w:szCs w:val="22"/>
                <w:lang w:val="fr-CA"/>
              </w:rPr>
              <w:t>(</w:t>
            </w:r>
            <w:r w:rsidR="00AB7762" w:rsidRPr="0077239B">
              <w:rPr>
                <w:rFonts w:cs="Arial"/>
                <w:sz w:val="22"/>
                <w:szCs w:val="22"/>
                <w:lang w:val="fr-CA"/>
              </w:rPr>
              <w:t>Réf</w:t>
            </w:r>
            <w:r w:rsidRPr="0077239B">
              <w:rPr>
                <w:rFonts w:cs="Arial"/>
                <w:sz w:val="22"/>
                <w:szCs w:val="22"/>
                <w:lang w:val="fr-CA"/>
              </w:rPr>
              <w:t>. : par. A16</w:t>
            </w:r>
            <w:r w:rsidR="007252D9" w:rsidRPr="0077239B">
              <w:rPr>
                <w:rFonts w:cs="Arial"/>
                <w:sz w:val="22"/>
                <w:szCs w:val="22"/>
                <w:lang w:val="fr-CA"/>
              </w:rPr>
              <w:t>3</w:t>
            </w:r>
            <w:r w:rsidRPr="0077239B">
              <w:rPr>
                <w:rFonts w:cs="Arial"/>
                <w:sz w:val="22"/>
                <w:szCs w:val="22"/>
                <w:lang w:val="fr-CA"/>
              </w:rPr>
              <w:t>)]</w:t>
            </w:r>
          </w:p>
          <w:p w14:paraId="0AAD2ABF" w14:textId="53475569"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 xml:space="preserve">Les rapports d’audit de performance </w:t>
            </w:r>
            <w:r w:rsidR="00AB7762" w:rsidRPr="0077239B">
              <w:rPr>
                <w:rFonts w:cs="Arial"/>
                <w:sz w:val="22"/>
                <w:szCs w:val="22"/>
                <w:lang w:val="fr-CA"/>
              </w:rPr>
              <w:t xml:space="preserve">de la vérificatrice </w:t>
            </w:r>
            <w:r w:rsidRPr="0077239B">
              <w:rPr>
                <w:rFonts w:cs="Arial"/>
                <w:sz w:val="22"/>
                <w:szCs w:val="22"/>
                <w:lang w:val="fr-CA"/>
              </w:rPr>
              <w:t>général</w:t>
            </w:r>
            <w:r w:rsidR="00AB7762" w:rsidRPr="0077239B">
              <w:rPr>
                <w:rFonts w:cs="Arial"/>
                <w:sz w:val="22"/>
                <w:szCs w:val="22"/>
                <w:lang w:val="fr-CA"/>
              </w:rPr>
              <w:t>e</w:t>
            </w:r>
            <w:r w:rsidRPr="0077239B">
              <w:rPr>
                <w:rFonts w:cs="Arial"/>
                <w:sz w:val="22"/>
                <w:szCs w:val="22"/>
                <w:lang w:val="fr-CA"/>
              </w:rPr>
              <w:t xml:space="preserve"> et </w:t>
            </w:r>
            <w:r w:rsidR="00AB7762" w:rsidRPr="0077239B">
              <w:rPr>
                <w:rFonts w:cs="Arial"/>
                <w:sz w:val="22"/>
                <w:szCs w:val="22"/>
                <w:lang w:val="fr-CA"/>
              </w:rPr>
              <w:t>du</w:t>
            </w:r>
            <w:r w:rsidRPr="0077239B">
              <w:rPr>
                <w:rFonts w:cs="Arial"/>
                <w:sz w:val="22"/>
                <w:szCs w:val="22"/>
                <w:lang w:val="fr-CA"/>
              </w:rPr>
              <w:t xml:space="preserve"> commissaire à l’environnement et au développement durable s’adressent au Parlement.</w:t>
            </w:r>
          </w:p>
          <w:p w14:paraId="304D8547" w14:textId="6AFE9743"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Les rapports présentant les audits effectués dans les trois territoires s’adressent à l’Assemblée législative du territoire visé.</w:t>
            </w:r>
          </w:p>
          <w:p w14:paraId="28FECEDC" w14:textId="1AA194B2"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Les rapports d’examen spécial s’adressent au conseil d’administration des sociétés d’État.</w:t>
            </w:r>
          </w:p>
          <w:p w14:paraId="52528E22" w14:textId="706DC2FD" w:rsidR="00800EBC" w:rsidRPr="0077239B" w:rsidDel="004F6CAE"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Cette information est présentée sur la page couverture du rapport d’audit et fait partie du modèle de rapport standard.</w:t>
            </w:r>
          </w:p>
        </w:tc>
        <w:tc>
          <w:tcPr>
            <w:tcW w:w="1133" w:type="dxa"/>
            <w:tcMar>
              <w:top w:w="58" w:type="dxa"/>
              <w:bottom w:w="58" w:type="dxa"/>
            </w:tcMar>
            <w:vAlign w:val="center"/>
          </w:tcPr>
          <w:p w14:paraId="7CCA2576" w14:textId="1A484FB5" w:rsidR="00800EBC" w:rsidRPr="0077239B" w:rsidRDefault="00800EBC" w:rsidP="00E029F5">
            <w:pPr>
              <w:keepNext/>
              <w:keepLines/>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63C24D6B" w14:textId="51AD6C5A" w:rsidTr="00EA3626">
        <w:tc>
          <w:tcPr>
            <w:tcW w:w="8217" w:type="dxa"/>
            <w:tcMar>
              <w:top w:w="58" w:type="dxa"/>
              <w:bottom w:w="58" w:type="dxa"/>
            </w:tcMar>
            <w:vAlign w:val="center"/>
          </w:tcPr>
          <w:p w14:paraId="19D9437A" w14:textId="1C91194A" w:rsidR="00800EBC" w:rsidRPr="0077239B" w:rsidRDefault="00800EBC" w:rsidP="00E029F5">
            <w:pPr>
              <w:spacing w:before="120" w:after="120"/>
              <w:ind w:left="34"/>
              <w:rPr>
                <w:rFonts w:eastAsia="Times New Roman" w:cs="Arial"/>
                <w:lang w:val="fr-CA"/>
              </w:rPr>
            </w:pPr>
            <w:r w:rsidRPr="0077239B">
              <w:rPr>
                <w:rFonts w:eastAsia="Times New Roman" w:cs="Arial"/>
                <w:b/>
                <w:iCs/>
                <w:lang w:val="fr-CA"/>
              </w:rPr>
              <w:t>Une description de l’objectif de la mission</w:t>
            </w:r>
            <w:r w:rsidR="00AB7762" w:rsidRPr="0077239B">
              <w:rPr>
                <w:rFonts w:eastAsia="Times New Roman" w:cs="Arial"/>
                <w:b/>
                <w:iCs/>
                <w:lang w:val="fr-CA"/>
              </w:rPr>
              <w:t>.</w:t>
            </w:r>
            <w:r w:rsidR="00AB7762" w:rsidRPr="0077239B">
              <w:rPr>
                <w:rFonts w:eastAsia="Times New Roman" w:cs="Arial"/>
                <w:b/>
                <w:i/>
                <w:iCs/>
                <w:lang w:val="fr-CA"/>
              </w:rPr>
              <w:t xml:space="preserve"> </w:t>
            </w:r>
            <w:r w:rsidR="00AB7762" w:rsidRPr="0077239B">
              <w:rPr>
                <w:rFonts w:cs="Arial"/>
                <w:lang w:val="fr-CA"/>
              </w:rPr>
              <w:t>[</w:t>
            </w:r>
            <w:r w:rsidR="00AB7762" w:rsidRPr="0077239B">
              <w:rPr>
                <w:rFonts w:eastAsia="Times New Roman" w:cs="Arial"/>
                <w:iCs/>
                <w:lang w:val="fr-CA"/>
              </w:rPr>
              <w:t>73 c); R</w:t>
            </w:r>
            <w:r w:rsidRPr="0077239B">
              <w:rPr>
                <w:rFonts w:eastAsia="Times New Roman" w:cs="Arial"/>
                <w:iCs/>
                <w:lang w:val="fr-CA"/>
              </w:rPr>
              <w:t>éf. : par. 44, A2 et A3)</w:t>
            </w:r>
            <w:r w:rsidRPr="0077239B">
              <w:rPr>
                <w:rFonts w:cs="Arial"/>
                <w:lang w:val="fr-CA"/>
              </w:rPr>
              <w:t>]</w:t>
            </w:r>
          </w:p>
          <w:p w14:paraId="3EFE654E" w14:textId="3F8A1FF1" w:rsidR="00800EBC" w:rsidRPr="0077239B" w:rsidRDefault="00800EBC" w:rsidP="00E029F5">
            <w:pPr>
              <w:spacing w:before="120" w:after="120"/>
              <w:ind w:left="34"/>
              <w:rPr>
                <w:rFonts w:eastAsia="Times New Roman" w:cs="Arial"/>
                <w:lang w:val="fr-CA"/>
              </w:rPr>
            </w:pPr>
            <w:r w:rsidRPr="0077239B">
              <w:rPr>
                <w:rFonts w:eastAsia="Times New Roman" w:cs="Arial"/>
                <w:lang w:val="fr-CA"/>
              </w:rPr>
              <w:t>Cette information est incluse dans la section intitulée « À propos de l’audit » du rapport. L’objectif est déterminé à l’étape de la planification (</w:t>
            </w:r>
            <w:hyperlink r:id="rId11" w:history="1">
              <w:r w:rsidRPr="0077239B">
                <w:rPr>
                  <w:rStyle w:val="Lienhypertexte"/>
                  <w:rFonts w:eastAsia="Times New Roman" w:cs="Arial"/>
                  <w:lang w:val="fr-CA"/>
                </w:rPr>
                <w:t>BVG Audit 4041</w:t>
              </w:r>
            </w:hyperlink>
            <w:r w:rsidRPr="0077239B">
              <w:rPr>
                <w:rFonts w:eastAsia="Times New Roman" w:cs="Arial"/>
                <w:lang w:val="fr-CA"/>
              </w:rPr>
              <w:t xml:space="preserve"> — Objectif d’audit et </w:t>
            </w:r>
            <w:hyperlink r:id="rId12" w:history="1">
              <w:r w:rsidRPr="0077239B">
                <w:rPr>
                  <w:rStyle w:val="Lienhypertexte"/>
                  <w:rFonts w:eastAsia="Times New Roman" w:cs="Arial"/>
                  <w:lang w:val="fr-CA"/>
                </w:rPr>
                <w:t>BVG Audit 4042</w:t>
              </w:r>
            </w:hyperlink>
            <w:r w:rsidRPr="0077239B">
              <w:rPr>
                <w:rFonts w:eastAsia="Times New Roman" w:cs="Arial"/>
                <w:lang w:val="fr-CA"/>
              </w:rPr>
              <w:t> — Étendue et approche de l’audit).</w:t>
            </w:r>
          </w:p>
          <w:p w14:paraId="40812DD7" w14:textId="3C2013BD" w:rsidR="00800EBC" w:rsidRPr="0077239B" w:rsidRDefault="00800EBC" w:rsidP="00E029F5">
            <w:pPr>
              <w:spacing w:before="120" w:after="120"/>
              <w:ind w:left="34"/>
              <w:rPr>
                <w:rFonts w:eastAsia="Times New Roman" w:cs="Arial"/>
                <w:lang w:val="fr-CA"/>
              </w:rPr>
            </w:pPr>
            <w:r w:rsidRPr="0077239B">
              <w:rPr>
                <w:rFonts w:eastAsia="Times New Roman" w:cs="Arial"/>
                <w:lang w:val="fr-CA"/>
              </w:rPr>
              <w:t>La section « Objet de l’audit » contient aussi un énoncé paraphrasant l’objectif de l’audit. L’énoncé devrait être cohérent avec l’objectif énoncé dans la section « À propos de l’audit ».</w:t>
            </w:r>
          </w:p>
        </w:tc>
        <w:tc>
          <w:tcPr>
            <w:tcW w:w="1133" w:type="dxa"/>
            <w:tcMar>
              <w:top w:w="58" w:type="dxa"/>
              <w:bottom w:w="58" w:type="dxa"/>
            </w:tcMar>
            <w:vAlign w:val="center"/>
          </w:tcPr>
          <w:p w14:paraId="1E4C2BDD" w14:textId="08133ACD"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70619587" w14:textId="18B2F696" w:rsidTr="00EA3626">
        <w:tc>
          <w:tcPr>
            <w:tcW w:w="8217" w:type="dxa"/>
            <w:tcMar>
              <w:top w:w="58" w:type="dxa"/>
              <w:bottom w:w="58" w:type="dxa"/>
            </w:tcMar>
            <w:vAlign w:val="center"/>
          </w:tcPr>
          <w:p w14:paraId="3020DC50" w14:textId="4CC6C53C"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b/>
                <w:sz w:val="22"/>
                <w:szCs w:val="22"/>
                <w:lang w:val="fr-CA"/>
              </w:rPr>
              <w:t>La mention ou la description du niveau d’assurance obtenu par le professionnel en exercice</w:t>
            </w:r>
            <w:r w:rsidRPr="0077239B">
              <w:rPr>
                <w:rFonts w:cs="Arial"/>
                <w:sz w:val="22"/>
                <w:szCs w:val="22"/>
                <w:lang w:val="fr-CA"/>
              </w:rPr>
              <w:t xml:space="preserve"> […]</w:t>
            </w:r>
            <w:r w:rsidR="005A04E1" w:rsidRPr="0077239B">
              <w:rPr>
                <w:rFonts w:cs="Arial"/>
                <w:sz w:val="22"/>
                <w:szCs w:val="22"/>
                <w:lang w:val="fr-CA"/>
              </w:rPr>
              <w:t>.</w:t>
            </w:r>
            <w:r w:rsidR="00AB7762" w:rsidRPr="0077239B">
              <w:rPr>
                <w:rFonts w:cs="Arial"/>
                <w:sz w:val="22"/>
                <w:szCs w:val="22"/>
                <w:lang w:val="fr-CA"/>
              </w:rPr>
              <w:t xml:space="preserve"> [73 d); R</w:t>
            </w:r>
            <w:r w:rsidRPr="0077239B">
              <w:rPr>
                <w:rFonts w:cs="Arial"/>
                <w:sz w:val="22"/>
                <w:szCs w:val="22"/>
                <w:lang w:val="fr-CA"/>
              </w:rPr>
              <w:t>éf. : par. A16</w:t>
            </w:r>
            <w:r w:rsidR="007252D9" w:rsidRPr="0077239B">
              <w:rPr>
                <w:rFonts w:cs="Arial"/>
                <w:sz w:val="22"/>
                <w:szCs w:val="22"/>
                <w:lang w:val="fr-CA"/>
              </w:rPr>
              <w:t>4</w:t>
            </w:r>
            <w:r w:rsidRPr="0077239B">
              <w:rPr>
                <w:rFonts w:cs="Arial"/>
                <w:sz w:val="22"/>
                <w:szCs w:val="22"/>
                <w:lang w:val="fr-CA"/>
              </w:rPr>
              <w:t>]</w:t>
            </w:r>
          </w:p>
          <w:p w14:paraId="77B0A5C0" w14:textId="3E8442E7"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La section « À propos de l’audit » contient un paragraphe indiquant que l’audit a été exécuté à un niveau d’assurance raisonnable (soit le niveau requis pour un audit de performance ou pour un examen spécial standard).</w:t>
            </w:r>
          </w:p>
          <w:p w14:paraId="11378701" w14:textId="00896891"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De plus, pour transmettre un niveau d’assurance raisonnable, les modèles standards de rapport d’audit de performance et de rapport d’examen spécial précisent en plusieurs endroits qu’un audit a été effectué. Il est aussi indiqué précisément sur la page couverture qu’il s’agit d’un « </w:t>
            </w:r>
            <w:r w:rsidR="00AB7762" w:rsidRPr="0077239B">
              <w:rPr>
                <w:rFonts w:cs="Arial"/>
                <w:sz w:val="22"/>
                <w:szCs w:val="22"/>
                <w:lang w:val="fr-CA"/>
              </w:rPr>
              <w:t xml:space="preserve">Rapport </w:t>
            </w:r>
            <w:r w:rsidRPr="0077239B">
              <w:rPr>
                <w:rFonts w:cs="Arial"/>
                <w:sz w:val="22"/>
                <w:szCs w:val="22"/>
                <w:lang w:val="fr-CA"/>
              </w:rPr>
              <w:t>de l’auditeur indépendant ».</w:t>
            </w:r>
          </w:p>
          <w:p w14:paraId="2BDC37DA" w14:textId="43C0B682"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 xml:space="preserve">Le modèle de rapport d’examen et celui du rapport d’étude sont rédigés en des termes qui font une distinction nette quant au niveau d’assurance. (Voir </w:t>
            </w:r>
            <w:hyperlink r:id="rId13" w:history="1">
              <w:r w:rsidRPr="0077239B">
                <w:rPr>
                  <w:rStyle w:val="Lienhypertexte"/>
                  <w:rFonts w:cs="Arial"/>
                  <w:sz w:val="22"/>
                  <w:szCs w:val="22"/>
                  <w:lang w:val="fr-CA"/>
                </w:rPr>
                <w:t>BVG Audit 11000</w:t>
              </w:r>
            </w:hyperlink>
            <w:r w:rsidRPr="0077239B">
              <w:rPr>
                <w:rFonts w:cs="Arial"/>
                <w:sz w:val="22"/>
                <w:szCs w:val="22"/>
                <w:lang w:val="fr-CA"/>
              </w:rPr>
              <w:t xml:space="preserve"> — Études; </w:t>
            </w:r>
            <w:hyperlink r:id="rId14" w:history="1">
              <w:r w:rsidRPr="0077239B">
                <w:rPr>
                  <w:rStyle w:val="Lienhypertexte"/>
                  <w:rFonts w:cs="Arial"/>
                  <w:sz w:val="22"/>
                  <w:szCs w:val="22"/>
                  <w:lang w:val="fr-CA"/>
                </w:rPr>
                <w:t>BVG Audit 10010</w:t>
              </w:r>
            </w:hyperlink>
            <w:r w:rsidRPr="0077239B">
              <w:rPr>
                <w:rFonts w:cs="Arial"/>
                <w:sz w:val="22"/>
                <w:szCs w:val="22"/>
                <w:lang w:val="fr-CA"/>
              </w:rPr>
              <w:t> — Missions d’assurance limitée.)</w:t>
            </w:r>
          </w:p>
        </w:tc>
        <w:tc>
          <w:tcPr>
            <w:tcW w:w="1133" w:type="dxa"/>
            <w:tcMar>
              <w:top w:w="58" w:type="dxa"/>
              <w:bottom w:w="58" w:type="dxa"/>
            </w:tcMar>
            <w:vAlign w:val="center"/>
          </w:tcPr>
          <w:p w14:paraId="1EA326FE" w14:textId="5F53CAE5"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72D0B080" w14:textId="3D21C244" w:rsidTr="00EA3626">
        <w:tc>
          <w:tcPr>
            <w:tcW w:w="8217" w:type="dxa"/>
            <w:tcMar>
              <w:top w:w="58" w:type="dxa"/>
              <w:bottom w:w="58" w:type="dxa"/>
            </w:tcMar>
            <w:vAlign w:val="center"/>
          </w:tcPr>
          <w:p w14:paraId="6AB2514E" w14:textId="26D0CB8A" w:rsidR="00800EBC" w:rsidRPr="0077239B" w:rsidRDefault="00800EBC" w:rsidP="00E029F5">
            <w:pPr>
              <w:keepNext/>
              <w:keepLines/>
              <w:spacing w:before="120" w:after="120"/>
              <w:ind w:left="29"/>
              <w:rPr>
                <w:rFonts w:eastAsia="Times New Roman" w:cs="Arial"/>
                <w:iCs/>
                <w:lang w:val="fr-CA"/>
              </w:rPr>
            </w:pPr>
            <w:r w:rsidRPr="0077239B">
              <w:rPr>
                <w:rFonts w:eastAsia="Times New Roman" w:cs="Arial"/>
                <w:b/>
                <w:iCs/>
                <w:lang w:val="fr-CA"/>
              </w:rPr>
              <w:lastRenderedPageBreak/>
              <w:t>La mention ou la description [...] de l’objet considéré</w:t>
            </w:r>
            <w:r w:rsidR="00AB7762" w:rsidRPr="0077239B">
              <w:rPr>
                <w:rFonts w:eastAsia="Times New Roman" w:cs="Arial"/>
                <w:iCs/>
                <w:lang w:val="fr-CA"/>
              </w:rPr>
              <w:t>. [73 d); R</w:t>
            </w:r>
            <w:r w:rsidRPr="0077239B">
              <w:rPr>
                <w:rFonts w:eastAsia="Times New Roman" w:cs="Arial"/>
                <w:iCs/>
                <w:lang w:val="fr-CA"/>
              </w:rPr>
              <w:t>éf. : par. A16</w:t>
            </w:r>
            <w:r w:rsidR="001A3CF4" w:rsidRPr="0077239B">
              <w:rPr>
                <w:rFonts w:eastAsia="Times New Roman" w:cs="Arial"/>
                <w:iCs/>
                <w:lang w:val="fr-CA"/>
              </w:rPr>
              <w:t>4</w:t>
            </w:r>
            <w:r w:rsidRPr="0077239B">
              <w:rPr>
                <w:rFonts w:eastAsia="Times New Roman" w:cs="Arial"/>
                <w:iCs/>
                <w:lang w:val="fr-CA"/>
              </w:rPr>
              <w:t>]</w:t>
            </w:r>
          </w:p>
          <w:p w14:paraId="73D4F92B" w14:textId="52F932BD" w:rsidR="00800EBC" w:rsidRPr="0077239B" w:rsidRDefault="00800EBC" w:rsidP="00E029F5">
            <w:pPr>
              <w:keepNext/>
              <w:keepLines/>
              <w:spacing w:before="120" w:after="120"/>
              <w:ind w:left="29"/>
              <w:rPr>
                <w:rFonts w:eastAsia="Times New Roman" w:cs="Arial"/>
                <w:iCs/>
                <w:lang w:val="fr-CA"/>
              </w:rPr>
            </w:pPr>
            <w:r w:rsidRPr="0077239B">
              <w:rPr>
                <w:rFonts w:eastAsia="Times New Roman" w:cs="Arial"/>
                <w:iCs/>
                <w:lang w:val="fr-CA"/>
              </w:rPr>
              <w:t>Cette information se trouve dans la section « </w:t>
            </w:r>
            <w:r w:rsidR="00AB7762" w:rsidRPr="0077239B">
              <w:rPr>
                <w:rFonts w:eastAsia="Times New Roman" w:cs="Arial"/>
                <w:iCs/>
                <w:lang w:val="fr-CA"/>
              </w:rPr>
              <w:t>Contexte</w:t>
            </w:r>
            <w:r w:rsidRPr="0077239B">
              <w:rPr>
                <w:rFonts w:eastAsia="Times New Roman" w:cs="Arial"/>
                <w:iCs/>
                <w:lang w:val="fr-CA"/>
              </w:rPr>
              <w:t>», au début de l’introduction du rapport d’audit.</w:t>
            </w:r>
          </w:p>
          <w:p w14:paraId="4C67ED1E" w14:textId="6C966481" w:rsidR="00800EBC" w:rsidRPr="0077239B" w:rsidRDefault="00800EBC" w:rsidP="00E029F5">
            <w:pPr>
              <w:pStyle w:val="Paragraphedeliste"/>
              <w:numPr>
                <w:ilvl w:val="0"/>
                <w:numId w:val="16"/>
              </w:numPr>
              <w:spacing w:before="120" w:after="120"/>
              <w:contextualSpacing w:val="0"/>
              <w:rPr>
                <w:rFonts w:eastAsia="Times New Roman" w:cs="Arial"/>
                <w:iCs/>
                <w:lang w:val="fr-CA"/>
              </w:rPr>
            </w:pPr>
            <w:r w:rsidRPr="0077239B">
              <w:rPr>
                <w:rFonts w:eastAsia="Times New Roman" w:cs="Arial"/>
                <w:iCs/>
                <w:lang w:val="fr-CA"/>
              </w:rPr>
              <w:t>Le rapport d’audit de performance donne une description des rôles de l’entité ou des entités concernées par rapport à l’objet de l’audit.</w:t>
            </w:r>
          </w:p>
          <w:p w14:paraId="4A007389" w14:textId="0A75395F" w:rsidR="00800EBC" w:rsidRPr="0077239B" w:rsidRDefault="00800EBC" w:rsidP="00E029F5">
            <w:pPr>
              <w:pStyle w:val="Paragraphedeliste"/>
              <w:numPr>
                <w:ilvl w:val="0"/>
                <w:numId w:val="16"/>
              </w:numPr>
              <w:spacing w:before="120" w:after="120"/>
              <w:contextualSpacing w:val="0"/>
              <w:rPr>
                <w:rFonts w:eastAsia="Times New Roman" w:cs="Arial"/>
                <w:iCs/>
                <w:lang w:val="fr-CA"/>
              </w:rPr>
            </w:pPr>
            <w:r w:rsidRPr="0077239B">
              <w:rPr>
                <w:rFonts w:eastAsia="Times New Roman" w:cs="Arial"/>
                <w:iCs/>
                <w:lang w:val="fr-CA"/>
              </w:rPr>
              <w:t>Le rapport d’examen spécial explique le rôle et le mandat de la société d’État et décrit la nature de ses activités et du contexte opérationnel.</w:t>
            </w:r>
          </w:p>
        </w:tc>
        <w:tc>
          <w:tcPr>
            <w:tcW w:w="1133" w:type="dxa"/>
            <w:tcMar>
              <w:top w:w="58" w:type="dxa"/>
              <w:bottom w:w="58" w:type="dxa"/>
            </w:tcMar>
            <w:vAlign w:val="center"/>
          </w:tcPr>
          <w:p w14:paraId="7F6AB768" w14:textId="4CAA634A"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7BA9248D" w14:textId="08F98BB0" w:rsidTr="00EA3626">
        <w:tc>
          <w:tcPr>
            <w:tcW w:w="8217" w:type="dxa"/>
            <w:tcMar>
              <w:top w:w="58" w:type="dxa"/>
              <w:bottom w:w="58" w:type="dxa"/>
            </w:tcMar>
            <w:vAlign w:val="center"/>
          </w:tcPr>
          <w:p w14:paraId="4B101A48" w14:textId="3D1C5D78" w:rsidR="00800EBC" w:rsidRPr="0077239B" w:rsidRDefault="00800EBC" w:rsidP="00E029F5">
            <w:pPr>
              <w:spacing w:before="120" w:after="120"/>
              <w:ind w:left="34"/>
              <w:rPr>
                <w:rFonts w:eastAsia="Times New Roman" w:cs="Arial"/>
                <w:b/>
                <w:iCs/>
                <w:lang w:val="fr-CA"/>
              </w:rPr>
            </w:pPr>
            <w:r w:rsidRPr="0077239B">
              <w:rPr>
                <w:rFonts w:eastAsia="Times New Roman" w:cs="Arial"/>
                <w:b/>
                <w:iCs/>
                <w:lang w:val="fr-CA"/>
              </w:rPr>
              <w:t>La période visée par l’audit</w:t>
            </w:r>
            <w:r w:rsidR="00AB7762" w:rsidRPr="0077239B">
              <w:rPr>
                <w:rFonts w:eastAsia="Times New Roman" w:cs="Arial"/>
                <w:b/>
                <w:iCs/>
                <w:lang w:val="fr-CA"/>
              </w:rPr>
              <w:t>.</w:t>
            </w:r>
          </w:p>
          <w:p w14:paraId="43CD18B1" w14:textId="17B018F0" w:rsidR="00800EBC" w:rsidRPr="0077239B" w:rsidRDefault="00800EBC" w:rsidP="00E029F5">
            <w:pPr>
              <w:spacing w:before="120" w:after="120"/>
              <w:ind w:left="34"/>
              <w:rPr>
                <w:rFonts w:eastAsia="Times New Roman" w:cs="Arial"/>
                <w:iCs/>
                <w:lang w:val="fr-CA"/>
              </w:rPr>
            </w:pPr>
            <w:r w:rsidRPr="0077239B">
              <w:rPr>
                <w:rFonts w:eastAsia="Times New Roman" w:cs="Arial"/>
                <w:iCs/>
                <w:lang w:val="fr-CA"/>
              </w:rPr>
              <w:t xml:space="preserve">Dans la section « À propos de l’audit », il y a une sous-section intitulée « Période visée par l’audit » qui contient cette information. La conclusion et les éléments </w:t>
            </w:r>
            <w:r w:rsidR="00AB7762" w:rsidRPr="0077239B">
              <w:rPr>
                <w:rFonts w:eastAsia="Times New Roman" w:cs="Arial"/>
                <w:iCs/>
                <w:lang w:val="fr-CA"/>
              </w:rPr>
              <w:t xml:space="preserve">probants </w:t>
            </w:r>
            <w:r w:rsidRPr="0077239B">
              <w:rPr>
                <w:rFonts w:eastAsia="Times New Roman" w:cs="Arial"/>
                <w:iCs/>
                <w:lang w:val="fr-CA"/>
              </w:rPr>
              <w:t xml:space="preserve">présentés dans le corps du rapport </w:t>
            </w:r>
            <w:r w:rsidR="00E029F5">
              <w:rPr>
                <w:rFonts w:eastAsia="Times New Roman" w:cs="Arial"/>
                <w:iCs/>
                <w:lang w:val="fr-CA"/>
              </w:rPr>
              <w:t xml:space="preserve">se rapportent à cette période. </w:t>
            </w:r>
            <w:r w:rsidRPr="0077239B">
              <w:rPr>
                <w:rFonts w:eastAsia="Times New Roman" w:cs="Arial"/>
                <w:iCs/>
                <w:lang w:val="fr-CA"/>
              </w:rPr>
              <w:t xml:space="preserve">Voir </w:t>
            </w:r>
            <w:hyperlink r:id="rId15" w:history="1">
              <w:r w:rsidRPr="0077239B">
                <w:rPr>
                  <w:rStyle w:val="Lienhypertexte"/>
                  <w:rFonts w:eastAsia="Times New Roman" w:cs="Arial"/>
                  <w:iCs/>
                  <w:lang w:val="fr-CA"/>
                </w:rPr>
                <w:t>BVG Audit 4042</w:t>
              </w:r>
            </w:hyperlink>
            <w:r w:rsidRPr="0077239B">
              <w:rPr>
                <w:rFonts w:eastAsia="Times New Roman" w:cs="Arial"/>
                <w:iCs/>
                <w:lang w:val="fr-CA"/>
              </w:rPr>
              <w:t xml:space="preserve"> — </w:t>
            </w:r>
            <w:r w:rsidR="00E029F5">
              <w:rPr>
                <w:rFonts w:eastAsia="Times New Roman" w:cs="Arial"/>
                <w:iCs/>
                <w:lang w:val="fr-CA"/>
              </w:rPr>
              <w:t>Étendue et approche de l’audit.</w:t>
            </w:r>
          </w:p>
        </w:tc>
        <w:tc>
          <w:tcPr>
            <w:tcW w:w="1133" w:type="dxa"/>
            <w:tcMar>
              <w:top w:w="58" w:type="dxa"/>
              <w:bottom w:w="58" w:type="dxa"/>
            </w:tcMar>
            <w:vAlign w:val="center"/>
          </w:tcPr>
          <w:p w14:paraId="5D224394" w14:textId="2458F9A5"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374A85BA" w14:textId="416E8106" w:rsidTr="00EA3626">
        <w:tc>
          <w:tcPr>
            <w:tcW w:w="8217" w:type="dxa"/>
            <w:tcMar>
              <w:top w:w="58" w:type="dxa"/>
              <w:bottom w:w="58" w:type="dxa"/>
            </w:tcMar>
            <w:vAlign w:val="center"/>
          </w:tcPr>
          <w:p w14:paraId="22EC2DC9" w14:textId="7B5CFECE" w:rsidR="00800EBC" w:rsidRPr="0077239B" w:rsidRDefault="00800EBC" w:rsidP="00E029F5">
            <w:pPr>
              <w:spacing w:before="120" w:after="120"/>
              <w:ind w:left="34"/>
              <w:rPr>
                <w:rFonts w:eastAsia="Times New Roman" w:cs="Arial"/>
                <w:lang w:val="fr-CA"/>
              </w:rPr>
            </w:pPr>
            <w:r w:rsidRPr="0077239B">
              <w:rPr>
                <w:rFonts w:eastAsia="Times New Roman" w:cs="Arial"/>
                <w:b/>
                <w:iCs/>
                <w:lang w:val="fr-CA"/>
              </w:rPr>
              <w:t xml:space="preserve">La mention </w:t>
            </w:r>
            <w:r w:rsidR="008316FC" w:rsidRPr="0077239B">
              <w:rPr>
                <w:rFonts w:eastAsia="Times New Roman" w:cs="Arial"/>
                <w:b/>
                <w:iCs/>
                <w:lang w:val="fr-CA"/>
              </w:rPr>
              <w:t xml:space="preserve">ou la description </w:t>
            </w:r>
            <w:r w:rsidRPr="0077239B">
              <w:rPr>
                <w:rFonts w:eastAsia="Times New Roman" w:cs="Arial"/>
                <w:b/>
                <w:iCs/>
                <w:lang w:val="fr-CA"/>
              </w:rPr>
              <w:t>des critères applicables et leurs sources</w:t>
            </w:r>
            <w:r w:rsidR="00AB7762" w:rsidRPr="0077239B">
              <w:rPr>
                <w:rFonts w:eastAsia="Times New Roman" w:cs="Arial"/>
                <w:iCs/>
                <w:lang w:val="fr-CA"/>
              </w:rPr>
              <w:t>.</w:t>
            </w:r>
            <w:r w:rsidRPr="0077239B">
              <w:rPr>
                <w:rFonts w:eastAsia="Times New Roman" w:cs="Arial"/>
                <w:iCs/>
                <w:lang w:val="fr-CA"/>
              </w:rPr>
              <w:t xml:space="preserve"> </w:t>
            </w:r>
            <w:r w:rsidR="00AB7762" w:rsidRPr="0077239B">
              <w:rPr>
                <w:rFonts w:eastAsia="Times New Roman" w:cs="Arial"/>
                <w:iCs/>
                <w:lang w:val="fr-CA"/>
              </w:rPr>
              <w:t>[73 e)</w:t>
            </w:r>
            <w:r w:rsidR="00F13209" w:rsidRPr="0077239B">
              <w:rPr>
                <w:rFonts w:eastAsia="Times New Roman" w:cs="Arial"/>
                <w:iCs/>
                <w:lang w:val="fr-CA"/>
              </w:rPr>
              <w:t>; R</w:t>
            </w:r>
            <w:r w:rsidRPr="0077239B">
              <w:rPr>
                <w:rFonts w:eastAsia="Times New Roman" w:cs="Arial"/>
                <w:iCs/>
                <w:lang w:val="fr-CA"/>
              </w:rPr>
              <w:t>éf. : par. A14</w:t>
            </w:r>
            <w:r w:rsidR="001A3CF4" w:rsidRPr="0077239B">
              <w:rPr>
                <w:rFonts w:eastAsia="Times New Roman" w:cs="Arial"/>
                <w:iCs/>
                <w:lang w:val="fr-CA"/>
              </w:rPr>
              <w:t>4</w:t>
            </w:r>
            <w:r w:rsidRPr="0077239B">
              <w:rPr>
                <w:rFonts w:eastAsia="Times New Roman" w:cs="Arial"/>
                <w:iCs/>
                <w:lang w:val="fr-CA"/>
              </w:rPr>
              <w:t> à A14</w:t>
            </w:r>
            <w:r w:rsidR="001A3CF4" w:rsidRPr="0077239B">
              <w:rPr>
                <w:rFonts w:eastAsia="Times New Roman" w:cs="Arial"/>
                <w:iCs/>
                <w:lang w:val="fr-CA"/>
              </w:rPr>
              <w:t>6</w:t>
            </w:r>
            <w:r w:rsidRPr="0077239B">
              <w:rPr>
                <w:rFonts w:eastAsia="Times New Roman" w:cs="Arial"/>
                <w:iCs/>
                <w:lang w:val="fr-CA"/>
              </w:rPr>
              <w:t xml:space="preserve"> et A16</w:t>
            </w:r>
            <w:r w:rsidR="001A3CF4" w:rsidRPr="0077239B">
              <w:rPr>
                <w:rFonts w:eastAsia="Times New Roman" w:cs="Arial"/>
                <w:iCs/>
                <w:lang w:val="fr-CA"/>
              </w:rPr>
              <w:t>5</w:t>
            </w:r>
            <w:r w:rsidRPr="0077239B">
              <w:rPr>
                <w:rFonts w:eastAsia="Times New Roman" w:cs="Arial"/>
                <w:iCs/>
                <w:lang w:val="fr-CA"/>
              </w:rPr>
              <w:t>]</w:t>
            </w:r>
          </w:p>
          <w:p w14:paraId="59A53589" w14:textId="7905EBB7"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Dans le cas d’un audit de performance, les critères et leurs sources sont présentés sous forme de tableau à la section « À propos de l’audit »; ils devraient correspondre aux critères présentés dans le corps du rapport d’audit.</w:t>
            </w:r>
          </w:p>
          <w:p w14:paraId="3203A77B" w14:textId="5889A3D2"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Pour l’examen spécial, les critères sont présentés dans divers tableaux du rapport. Les sources des critères sont présentées à la section « À propos de l’audit ».</w:t>
            </w:r>
          </w:p>
        </w:tc>
        <w:tc>
          <w:tcPr>
            <w:tcW w:w="1133" w:type="dxa"/>
            <w:tcMar>
              <w:top w:w="58" w:type="dxa"/>
              <w:bottom w:w="58" w:type="dxa"/>
            </w:tcMar>
            <w:vAlign w:val="center"/>
          </w:tcPr>
          <w:p w14:paraId="0F5A0165" w14:textId="399C51D5"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662D88B8" w14:textId="2F920336" w:rsidTr="00EA3626">
        <w:tc>
          <w:tcPr>
            <w:tcW w:w="8217" w:type="dxa"/>
            <w:tcMar>
              <w:top w:w="58" w:type="dxa"/>
              <w:bottom w:w="58" w:type="dxa"/>
            </w:tcMar>
            <w:vAlign w:val="center"/>
          </w:tcPr>
          <w:p w14:paraId="40F90551" w14:textId="39B4524A" w:rsidR="00800EBC" w:rsidRPr="0077239B" w:rsidRDefault="00E029F5" w:rsidP="00E029F5">
            <w:pPr>
              <w:spacing w:before="120" w:after="120"/>
              <w:ind w:left="34"/>
              <w:rPr>
                <w:rFonts w:eastAsia="Times New Roman" w:cs="Arial"/>
                <w:iCs/>
                <w:lang w:val="fr-CA"/>
              </w:rPr>
            </w:pPr>
            <w:r>
              <w:rPr>
                <w:rFonts w:eastAsia="Times New Roman" w:cs="Arial"/>
                <w:b/>
                <w:iCs/>
                <w:lang w:val="fr-CA"/>
              </w:rPr>
              <w:t xml:space="preserve">S’il y </w:t>
            </w:r>
            <w:r w:rsidR="00800EBC" w:rsidRPr="0077239B">
              <w:rPr>
                <w:rFonts w:eastAsia="Times New Roman" w:cs="Arial"/>
                <w:b/>
                <w:iCs/>
                <w:lang w:val="fr-CA"/>
              </w:rPr>
              <w:t xml:space="preserve">a lieu, une description des limites inhérentes importantes </w:t>
            </w:r>
            <w:r w:rsidR="00800EBC" w:rsidRPr="0077239B">
              <w:rPr>
                <w:rFonts w:eastAsia="Times New Roman" w:cs="Arial"/>
                <w:iCs/>
                <w:lang w:val="fr-CA"/>
              </w:rPr>
              <w:t>associées à la mesure ou à l’évaluation de l’objet considéré au regard des critères applicables</w:t>
            </w:r>
            <w:r w:rsidR="00F13209" w:rsidRPr="0077239B">
              <w:rPr>
                <w:rFonts w:eastAsia="Times New Roman" w:cs="Arial"/>
                <w:iCs/>
                <w:lang w:val="fr-CA"/>
              </w:rPr>
              <w:t>. [73 f); R</w:t>
            </w:r>
            <w:r w:rsidR="00800EBC" w:rsidRPr="0077239B">
              <w:rPr>
                <w:rFonts w:eastAsia="Times New Roman" w:cs="Arial"/>
                <w:iCs/>
                <w:lang w:val="fr-CA"/>
              </w:rPr>
              <w:t>éf. : par. A16</w:t>
            </w:r>
            <w:r w:rsidR="001A3CF4" w:rsidRPr="0077239B">
              <w:rPr>
                <w:rFonts w:eastAsia="Times New Roman" w:cs="Arial"/>
                <w:iCs/>
                <w:lang w:val="fr-CA"/>
              </w:rPr>
              <w:t>6</w:t>
            </w:r>
            <w:r w:rsidR="00800EBC" w:rsidRPr="0077239B">
              <w:rPr>
                <w:rFonts w:eastAsia="Times New Roman" w:cs="Arial"/>
                <w:iCs/>
                <w:lang w:val="fr-CA"/>
              </w:rPr>
              <w:t>]</w:t>
            </w:r>
          </w:p>
          <w:p w14:paraId="2C4DB89D" w14:textId="3E24D317" w:rsidR="00800EBC" w:rsidRPr="0077239B" w:rsidRDefault="00800EBC" w:rsidP="00E029F5">
            <w:pPr>
              <w:spacing w:before="120" w:after="120"/>
              <w:ind w:left="34"/>
              <w:rPr>
                <w:rFonts w:eastAsia="Times New Roman" w:cs="Arial"/>
                <w:iCs/>
                <w:lang w:val="fr-CA"/>
              </w:rPr>
            </w:pPr>
            <w:r w:rsidRPr="0077239B">
              <w:rPr>
                <w:rFonts w:eastAsia="Times New Roman" w:cs="Arial"/>
                <w:iCs/>
                <w:lang w:val="fr-CA"/>
              </w:rPr>
              <w:t xml:space="preserve">Cette information est fournie </w:t>
            </w:r>
            <w:r w:rsidRPr="0077239B">
              <w:rPr>
                <w:rFonts w:eastAsia="Times New Roman" w:cs="Arial"/>
                <w:b/>
                <w:iCs/>
                <w:lang w:val="fr-CA"/>
              </w:rPr>
              <w:t>au besoin seulement</w:t>
            </w:r>
            <w:r w:rsidRPr="0077239B">
              <w:rPr>
                <w:rFonts w:eastAsia="Times New Roman" w:cs="Arial"/>
                <w:iCs/>
                <w:lang w:val="fr-CA"/>
              </w:rPr>
              <w:t>. Elle pourrait faire partie du corps du rapport ou être incluse dans la section « À propos de l’audit » (p. ex. les cas de limitation de l’étendue).</w:t>
            </w:r>
          </w:p>
        </w:tc>
        <w:tc>
          <w:tcPr>
            <w:tcW w:w="1133" w:type="dxa"/>
            <w:tcMar>
              <w:top w:w="58" w:type="dxa"/>
              <w:bottom w:w="58" w:type="dxa"/>
            </w:tcMar>
            <w:vAlign w:val="center"/>
          </w:tcPr>
          <w:p w14:paraId="68601205" w14:textId="70F8A57A"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22A9FF97" w14:textId="6E5B9931" w:rsidTr="00EA3626">
        <w:tc>
          <w:tcPr>
            <w:tcW w:w="8217" w:type="dxa"/>
            <w:tcMar>
              <w:top w:w="58" w:type="dxa"/>
              <w:bottom w:w="58" w:type="dxa"/>
            </w:tcMar>
            <w:vAlign w:val="center"/>
          </w:tcPr>
          <w:p w14:paraId="7BE2E829" w14:textId="0A437C6B" w:rsidR="00800EBC" w:rsidRPr="0077239B" w:rsidRDefault="00800EBC" w:rsidP="00E029F5">
            <w:pPr>
              <w:keepNext/>
              <w:keepLines/>
              <w:spacing w:before="120" w:after="120"/>
              <w:ind w:left="34"/>
              <w:rPr>
                <w:rFonts w:eastAsia="Times New Roman" w:cs="Arial"/>
                <w:iCs/>
                <w:lang w:val="fr-CA"/>
              </w:rPr>
            </w:pPr>
            <w:r w:rsidRPr="0077239B">
              <w:rPr>
                <w:rFonts w:eastAsia="Times New Roman" w:cs="Arial"/>
                <w:b/>
                <w:iCs/>
                <w:lang w:val="fr-CA"/>
              </w:rPr>
              <w:lastRenderedPageBreak/>
              <w:t xml:space="preserve">Un énoncé identifiant la partie responsable et définissant ses responsabilités </w:t>
            </w:r>
            <w:r w:rsidR="00F13209" w:rsidRPr="0077239B">
              <w:rPr>
                <w:rFonts w:eastAsia="Times New Roman" w:cs="Arial"/>
                <w:iCs/>
                <w:lang w:val="fr-CA"/>
              </w:rPr>
              <w:t>[…]. [73 g); R</w:t>
            </w:r>
            <w:r w:rsidRPr="0077239B">
              <w:rPr>
                <w:rFonts w:eastAsia="Times New Roman" w:cs="Arial"/>
                <w:iCs/>
                <w:lang w:val="fr-CA"/>
              </w:rPr>
              <w:t>éf. : par. A16</w:t>
            </w:r>
            <w:r w:rsidR="001A3CF4" w:rsidRPr="0077239B">
              <w:rPr>
                <w:rFonts w:eastAsia="Times New Roman" w:cs="Arial"/>
                <w:iCs/>
                <w:lang w:val="fr-CA"/>
              </w:rPr>
              <w:t>7</w:t>
            </w:r>
            <w:r w:rsidRPr="0077239B">
              <w:rPr>
                <w:rFonts w:eastAsia="Times New Roman" w:cs="Arial"/>
                <w:iCs/>
                <w:lang w:val="fr-CA"/>
              </w:rPr>
              <w:t>]</w:t>
            </w:r>
          </w:p>
          <w:p w14:paraId="4AF16D9F" w14:textId="408D214F" w:rsidR="00800EBC" w:rsidRPr="0077239B" w:rsidRDefault="00800EBC" w:rsidP="00E029F5">
            <w:pPr>
              <w:pStyle w:val="IFACListStyle2"/>
              <w:keepNext/>
              <w:keepLines/>
              <w:numPr>
                <w:ilvl w:val="0"/>
                <w:numId w:val="0"/>
              </w:numPr>
              <w:spacing w:after="120" w:line="240" w:lineRule="auto"/>
              <w:ind w:left="22"/>
              <w:jc w:val="left"/>
              <w:rPr>
                <w:rFonts w:cs="Arial"/>
                <w:sz w:val="22"/>
                <w:szCs w:val="22"/>
                <w:lang w:val="fr-CA"/>
              </w:rPr>
            </w:pPr>
            <w:r w:rsidRPr="0077239B">
              <w:rPr>
                <w:rFonts w:cs="Arial"/>
                <w:sz w:val="22"/>
                <w:szCs w:val="22"/>
                <w:lang w:val="fr-CA"/>
              </w:rPr>
              <w:t>La partie responsable est celle qui est chargée de l’objet considéré. Les responsabilités de la direction de l’entité sont décrites à la section « </w:t>
            </w:r>
            <w:r w:rsidR="00F13209" w:rsidRPr="0077239B">
              <w:rPr>
                <w:rFonts w:cs="Arial"/>
                <w:sz w:val="22"/>
                <w:szCs w:val="22"/>
                <w:lang w:val="fr-CA"/>
              </w:rPr>
              <w:t>Contexte</w:t>
            </w:r>
            <w:r w:rsidRPr="0077239B">
              <w:rPr>
                <w:rFonts w:cs="Arial"/>
                <w:sz w:val="22"/>
                <w:szCs w:val="22"/>
                <w:lang w:val="fr-CA"/>
              </w:rPr>
              <w:t> », qui se trouve dans l’introduction du rapport.</w:t>
            </w:r>
          </w:p>
          <w:p w14:paraId="2B074900" w14:textId="06496171" w:rsidR="00800EBC" w:rsidRPr="0077239B" w:rsidRDefault="00800EBC" w:rsidP="00E029F5">
            <w:pPr>
              <w:pStyle w:val="IFACListStyle2"/>
              <w:numPr>
                <w:ilvl w:val="0"/>
                <w:numId w:val="0"/>
              </w:numPr>
              <w:spacing w:after="120" w:line="240" w:lineRule="auto"/>
              <w:ind w:left="22"/>
              <w:jc w:val="left"/>
              <w:rPr>
                <w:rFonts w:cs="Arial"/>
                <w:sz w:val="22"/>
                <w:szCs w:val="22"/>
                <w:lang w:val="fr-CA"/>
              </w:rPr>
            </w:pPr>
            <w:r w:rsidRPr="0077239B">
              <w:rPr>
                <w:rFonts w:cs="Arial"/>
                <w:sz w:val="22"/>
                <w:szCs w:val="22"/>
                <w:lang w:val="fr-CA"/>
              </w:rPr>
              <w:t xml:space="preserve">De plus, dans le cas des examens spéciaux, les responsabilités de la direction de la société d’État qui sont établies par la </w:t>
            </w:r>
            <w:r w:rsidRPr="0077239B">
              <w:rPr>
                <w:rFonts w:cs="Arial"/>
                <w:i/>
                <w:sz w:val="22"/>
                <w:szCs w:val="22"/>
                <w:lang w:val="fr-CA"/>
              </w:rPr>
              <w:t>Loi sur la gestion des finances publiques</w:t>
            </w:r>
            <w:r w:rsidRPr="0077239B">
              <w:rPr>
                <w:rFonts w:cs="Arial"/>
                <w:sz w:val="22"/>
                <w:szCs w:val="22"/>
                <w:lang w:val="fr-CA"/>
              </w:rPr>
              <w:t xml:space="preserve"> sont décrites dans deux paragraphes distincts à la section « À propos de l’audit ».</w:t>
            </w:r>
          </w:p>
        </w:tc>
        <w:tc>
          <w:tcPr>
            <w:tcW w:w="1133" w:type="dxa"/>
            <w:tcMar>
              <w:top w:w="58" w:type="dxa"/>
              <w:bottom w:w="58" w:type="dxa"/>
            </w:tcMar>
            <w:vAlign w:val="center"/>
          </w:tcPr>
          <w:p w14:paraId="5E56D4CE" w14:textId="0A3BCD1D"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2FD2B539" w14:textId="640209DE" w:rsidTr="00EA3626">
        <w:tc>
          <w:tcPr>
            <w:tcW w:w="8217" w:type="dxa"/>
            <w:tcMar>
              <w:top w:w="58" w:type="dxa"/>
              <w:bottom w:w="58" w:type="dxa"/>
            </w:tcMar>
            <w:vAlign w:val="center"/>
          </w:tcPr>
          <w:p w14:paraId="6EBF081D" w14:textId="424BACBC" w:rsidR="00800EBC" w:rsidRPr="0077239B" w:rsidRDefault="00800EBC" w:rsidP="00E029F5">
            <w:pPr>
              <w:spacing w:before="120" w:after="120"/>
              <w:ind w:left="34"/>
              <w:rPr>
                <w:rFonts w:eastAsia="Times New Roman" w:cs="Arial"/>
                <w:iCs/>
                <w:lang w:val="fr-CA"/>
              </w:rPr>
            </w:pPr>
            <w:r w:rsidRPr="0077239B">
              <w:rPr>
                <w:rFonts w:eastAsia="Times New Roman" w:cs="Arial"/>
                <w:b/>
                <w:iCs/>
                <w:lang w:val="fr-CA"/>
              </w:rPr>
              <w:t xml:space="preserve">Un énoncé </w:t>
            </w:r>
            <w:r w:rsidRPr="0077239B">
              <w:rPr>
                <w:rFonts w:eastAsia="Times New Roman" w:cs="Arial"/>
                <w:iCs/>
                <w:lang w:val="fr-CA"/>
              </w:rPr>
              <w:t>[…]</w:t>
            </w:r>
            <w:r w:rsidRPr="0077239B">
              <w:rPr>
                <w:rFonts w:eastAsia="Times New Roman" w:cs="Arial"/>
                <w:b/>
                <w:iCs/>
                <w:lang w:val="fr-CA"/>
              </w:rPr>
              <w:t xml:space="preserve"> définissant [les] responsabilités </w:t>
            </w:r>
            <w:r w:rsidRPr="0077239B">
              <w:rPr>
                <w:rFonts w:eastAsia="Times New Roman" w:cs="Arial"/>
                <w:iCs/>
                <w:lang w:val="fr-CA"/>
              </w:rPr>
              <w:t>[…]</w:t>
            </w:r>
            <w:r w:rsidRPr="0077239B">
              <w:rPr>
                <w:rFonts w:eastAsia="Times New Roman" w:cs="Arial"/>
                <w:b/>
                <w:iCs/>
                <w:lang w:val="fr-CA"/>
              </w:rPr>
              <w:t xml:space="preserve"> du professionnel en exercice</w:t>
            </w:r>
            <w:r w:rsidR="00F13209" w:rsidRPr="0077239B">
              <w:rPr>
                <w:rFonts w:eastAsia="Times New Roman" w:cs="Arial"/>
                <w:iCs/>
                <w:lang w:val="fr-CA"/>
              </w:rPr>
              <w:t>. [73 g); R</w:t>
            </w:r>
            <w:r w:rsidRPr="0077239B">
              <w:rPr>
                <w:rFonts w:eastAsia="Times New Roman" w:cs="Arial"/>
                <w:iCs/>
                <w:lang w:val="fr-CA"/>
              </w:rPr>
              <w:t>éf. : par. A16</w:t>
            </w:r>
            <w:r w:rsidR="00EA6AB1" w:rsidRPr="0077239B">
              <w:rPr>
                <w:rFonts w:eastAsia="Times New Roman" w:cs="Arial"/>
                <w:iCs/>
                <w:lang w:val="fr-CA"/>
              </w:rPr>
              <w:t>7</w:t>
            </w:r>
            <w:r w:rsidRPr="0077239B">
              <w:rPr>
                <w:rFonts w:eastAsia="Times New Roman" w:cs="Arial"/>
                <w:iCs/>
                <w:lang w:val="fr-CA"/>
              </w:rPr>
              <w:t>]</w:t>
            </w:r>
          </w:p>
          <w:p w14:paraId="75662744" w14:textId="51042E08" w:rsidR="00800EBC" w:rsidRPr="0077239B" w:rsidRDefault="00800EBC" w:rsidP="00E029F5">
            <w:pPr>
              <w:spacing w:before="120" w:after="120"/>
              <w:ind w:left="34"/>
              <w:rPr>
                <w:rFonts w:eastAsia="Times New Roman" w:cs="Arial"/>
                <w:b/>
                <w:i/>
                <w:iCs/>
                <w:lang w:val="fr-CA"/>
              </w:rPr>
            </w:pPr>
            <w:r w:rsidRPr="0077239B">
              <w:rPr>
                <w:rFonts w:eastAsia="Times New Roman" w:cs="Arial"/>
                <w:iCs/>
                <w:lang w:val="fr-CA"/>
              </w:rPr>
              <w:t>Les responsabilités du professionnel en exercice (soit le BVG) sont énoncées au premier paragraphe de la section « À propos de l’audit ». Il s’agit d’un texte standard qui se trouve dans le modèle de rapport.</w:t>
            </w:r>
          </w:p>
        </w:tc>
        <w:tc>
          <w:tcPr>
            <w:tcW w:w="1133" w:type="dxa"/>
            <w:tcMar>
              <w:top w:w="58" w:type="dxa"/>
              <w:bottom w:w="58" w:type="dxa"/>
            </w:tcMar>
            <w:vAlign w:val="center"/>
          </w:tcPr>
          <w:p w14:paraId="54619AEB" w14:textId="527386FC"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47868A90" w14:textId="117599DE" w:rsidTr="00EA3626">
        <w:tc>
          <w:tcPr>
            <w:tcW w:w="8217" w:type="dxa"/>
            <w:tcMar>
              <w:top w:w="58" w:type="dxa"/>
              <w:bottom w:w="58" w:type="dxa"/>
            </w:tcMar>
            <w:vAlign w:val="center"/>
          </w:tcPr>
          <w:p w14:paraId="417F1E6E" w14:textId="266CA4BF" w:rsidR="00800EBC" w:rsidRPr="0077239B" w:rsidRDefault="00800EBC" w:rsidP="00E029F5">
            <w:pPr>
              <w:keepNext/>
              <w:keepLines/>
              <w:spacing w:before="120" w:after="120"/>
              <w:ind w:left="34"/>
              <w:rPr>
                <w:rFonts w:eastAsia="Times New Roman" w:cs="Arial"/>
                <w:b/>
                <w:i/>
                <w:iCs/>
                <w:lang w:val="fr-CA"/>
              </w:rPr>
            </w:pPr>
            <w:r w:rsidRPr="0077239B">
              <w:rPr>
                <w:rFonts w:eastAsia="Times New Roman" w:cs="Arial"/>
                <w:b/>
                <w:iCs/>
                <w:lang w:val="fr-CA"/>
              </w:rPr>
              <w:t>Un énoncé indiquant que la mission a été réalisée conformément à la  NCMC</w:t>
            </w:r>
            <w:r w:rsidR="008316FC" w:rsidRPr="0077239B">
              <w:rPr>
                <w:rFonts w:eastAsia="Times New Roman" w:cs="Arial"/>
                <w:b/>
                <w:iCs/>
                <w:lang w:val="fr-CA"/>
              </w:rPr>
              <w:t xml:space="preserve"> 3001</w:t>
            </w:r>
            <w:r w:rsidRPr="0077239B">
              <w:rPr>
                <w:rFonts w:eastAsia="Times New Roman" w:cs="Arial"/>
                <w:b/>
                <w:iCs/>
                <w:lang w:val="fr-CA"/>
              </w:rPr>
              <w:t xml:space="preserve"> ou, dans le cas où une NCMC portant sur un sujet particulier s’applique, à cette NCMC</w:t>
            </w:r>
            <w:r w:rsidR="00F13209" w:rsidRPr="0077239B">
              <w:rPr>
                <w:rFonts w:eastAsia="Times New Roman" w:cs="Arial"/>
                <w:iCs/>
                <w:lang w:val="fr-CA"/>
              </w:rPr>
              <w:t>.</w:t>
            </w:r>
            <w:r w:rsidRPr="0077239B">
              <w:rPr>
                <w:rFonts w:eastAsia="Times New Roman" w:cs="Arial"/>
                <w:iCs/>
                <w:lang w:val="fr-CA"/>
              </w:rPr>
              <w:t xml:space="preserve"> </w:t>
            </w:r>
            <w:r w:rsidR="00F13209" w:rsidRPr="0077239B">
              <w:rPr>
                <w:rFonts w:eastAsia="Times New Roman" w:cs="Arial"/>
                <w:iCs/>
                <w:lang w:val="fr-CA"/>
              </w:rPr>
              <w:t>[73 h); R</w:t>
            </w:r>
            <w:r w:rsidRPr="0077239B">
              <w:rPr>
                <w:rFonts w:eastAsia="Times New Roman" w:cs="Arial"/>
                <w:iCs/>
                <w:lang w:val="fr-CA"/>
              </w:rPr>
              <w:t>éf. : par. A16</w:t>
            </w:r>
            <w:r w:rsidR="00EA6AB1" w:rsidRPr="0077239B">
              <w:rPr>
                <w:rFonts w:eastAsia="Times New Roman" w:cs="Arial"/>
                <w:iCs/>
                <w:lang w:val="fr-CA"/>
              </w:rPr>
              <w:t>8</w:t>
            </w:r>
            <w:r w:rsidRPr="0077239B">
              <w:rPr>
                <w:rFonts w:eastAsia="Times New Roman" w:cs="Arial"/>
                <w:iCs/>
                <w:lang w:val="fr-CA"/>
              </w:rPr>
              <w:t xml:space="preserve"> et A16</w:t>
            </w:r>
            <w:r w:rsidR="00EA6AB1" w:rsidRPr="0077239B">
              <w:rPr>
                <w:rFonts w:eastAsia="Times New Roman" w:cs="Arial"/>
                <w:iCs/>
                <w:lang w:val="fr-CA"/>
              </w:rPr>
              <w:t>9</w:t>
            </w:r>
            <w:r w:rsidRPr="0077239B">
              <w:rPr>
                <w:rFonts w:eastAsia="Times New Roman" w:cs="Arial"/>
                <w:iCs/>
                <w:lang w:val="fr-CA"/>
              </w:rPr>
              <w:t>]</w:t>
            </w:r>
          </w:p>
          <w:p w14:paraId="44BF29D1" w14:textId="0DEAC85B"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Une phrase à cet effet est incluse à la section « À propos de l’audit ». Il s’agit d’un texte standard qui se trouve dans le modèle de rapport.</w:t>
            </w:r>
          </w:p>
        </w:tc>
        <w:tc>
          <w:tcPr>
            <w:tcW w:w="1133" w:type="dxa"/>
            <w:tcMar>
              <w:top w:w="58" w:type="dxa"/>
              <w:bottom w:w="58" w:type="dxa"/>
            </w:tcMar>
            <w:vAlign w:val="center"/>
          </w:tcPr>
          <w:p w14:paraId="13582BC8" w14:textId="2224924E" w:rsidR="00800EBC" w:rsidRPr="0077239B" w:rsidRDefault="00800EBC" w:rsidP="00E029F5">
            <w:pPr>
              <w:keepNext/>
              <w:keepLines/>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6EFB7B49" w14:textId="7EC1950E" w:rsidTr="00EA3626">
        <w:tc>
          <w:tcPr>
            <w:tcW w:w="8217" w:type="dxa"/>
            <w:tcMar>
              <w:top w:w="58" w:type="dxa"/>
              <w:bottom w:w="58" w:type="dxa"/>
            </w:tcMar>
            <w:vAlign w:val="center"/>
          </w:tcPr>
          <w:p w14:paraId="0F7E9CBE" w14:textId="3E7A8F52" w:rsidR="00800EBC" w:rsidRPr="0077239B" w:rsidRDefault="00800EBC" w:rsidP="00E029F5">
            <w:pPr>
              <w:spacing w:before="120" w:after="120"/>
              <w:ind w:left="34"/>
              <w:rPr>
                <w:rFonts w:eastAsia="Times New Roman" w:cs="Arial"/>
                <w:iCs/>
                <w:lang w:val="fr-CA"/>
              </w:rPr>
            </w:pPr>
            <w:r w:rsidRPr="0077239B">
              <w:rPr>
                <w:rFonts w:eastAsia="Times New Roman" w:cs="Arial"/>
                <w:b/>
                <w:iCs/>
                <w:lang w:val="fr-CA"/>
              </w:rPr>
              <w:t>Un énoncé indiquant que le cabinet dont le professionnel en exercice est membre applique la NC</w:t>
            </w:r>
            <w:r w:rsidR="008316FC" w:rsidRPr="0077239B">
              <w:rPr>
                <w:rFonts w:eastAsia="Times New Roman" w:cs="Arial"/>
                <w:b/>
                <w:iCs/>
                <w:lang w:val="fr-CA"/>
              </w:rPr>
              <w:t>G</w:t>
            </w:r>
            <w:r w:rsidRPr="0077239B">
              <w:rPr>
                <w:rFonts w:eastAsia="Times New Roman" w:cs="Arial"/>
                <w:b/>
                <w:iCs/>
                <w:lang w:val="fr-CA"/>
              </w:rPr>
              <w:t>Q 1 </w:t>
            </w:r>
            <w:r w:rsidRPr="0077239B">
              <w:rPr>
                <w:rFonts w:eastAsia="Times New Roman" w:cs="Arial"/>
                <w:iCs/>
                <w:lang w:val="fr-CA"/>
              </w:rPr>
              <w:t>[…]</w:t>
            </w:r>
            <w:r w:rsidR="008316FC" w:rsidRPr="0077239B">
              <w:rPr>
                <w:rFonts w:eastAsia="Times New Roman" w:cs="Arial"/>
                <w:iCs/>
                <w:lang w:val="fr-CA"/>
              </w:rPr>
              <w:t>.</w:t>
            </w:r>
            <w:r w:rsidR="00F13209" w:rsidRPr="0077239B">
              <w:rPr>
                <w:rFonts w:eastAsia="Times New Roman" w:cs="Arial"/>
                <w:iCs/>
                <w:lang w:val="fr-CA"/>
              </w:rPr>
              <w:t xml:space="preserve"> [73 i); R</w:t>
            </w:r>
            <w:r w:rsidRPr="0077239B">
              <w:rPr>
                <w:rFonts w:eastAsia="Times New Roman" w:cs="Arial"/>
                <w:iCs/>
                <w:lang w:val="fr-CA"/>
              </w:rPr>
              <w:t xml:space="preserve">éf. : par. </w:t>
            </w:r>
            <w:r w:rsidR="00EA6AB1" w:rsidRPr="0077239B">
              <w:rPr>
                <w:rFonts w:eastAsia="Times New Roman" w:cs="Arial"/>
                <w:iCs/>
                <w:lang w:val="fr-CA"/>
              </w:rPr>
              <w:t>A170</w:t>
            </w:r>
            <w:r w:rsidRPr="0077239B">
              <w:rPr>
                <w:rFonts w:eastAsia="Times New Roman" w:cs="Arial"/>
                <w:iCs/>
                <w:lang w:val="fr-CA"/>
              </w:rPr>
              <w:t>]</w:t>
            </w:r>
          </w:p>
          <w:p w14:paraId="074FE41E" w14:textId="586CD451" w:rsidR="00800EBC" w:rsidRPr="0077239B" w:rsidRDefault="00800EBC" w:rsidP="00E029F5">
            <w:pPr>
              <w:spacing w:before="120" w:after="120"/>
              <w:ind w:left="34"/>
              <w:rPr>
                <w:rFonts w:eastAsia="Times New Roman" w:cs="Arial"/>
                <w:iCs/>
                <w:lang w:val="fr-CA"/>
              </w:rPr>
            </w:pPr>
            <w:r w:rsidRPr="0077239B">
              <w:rPr>
                <w:rFonts w:eastAsia="Times New Roman" w:cs="Arial"/>
                <w:iCs/>
                <w:lang w:val="fr-CA"/>
              </w:rPr>
              <w:t>Une phrase à cet effet est incluse à la section « À propos de l’audit ». Il s’agit d’un texte standard qui se trouve dans le modèle de rapport.</w:t>
            </w:r>
          </w:p>
        </w:tc>
        <w:tc>
          <w:tcPr>
            <w:tcW w:w="1133" w:type="dxa"/>
            <w:tcMar>
              <w:top w:w="58" w:type="dxa"/>
              <w:bottom w:w="58" w:type="dxa"/>
            </w:tcMar>
            <w:vAlign w:val="center"/>
          </w:tcPr>
          <w:p w14:paraId="429784B0" w14:textId="750D5099"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45CAD221" w14:textId="4B79817C" w:rsidTr="00EA3626">
        <w:tc>
          <w:tcPr>
            <w:tcW w:w="8217" w:type="dxa"/>
            <w:tcMar>
              <w:top w:w="58" w:type="dxa"/>
              <w:bottom w:w="58" w:type="dxa"/>
            </w:tcMar>
            <w:vAlign w:val="center"/>
          </w:tcPr>
          <w:p w14:paraId="40B59A07" w14:textId="7E7B40D1" w:rsidR="00800EBC" w:rsidRPr="0077239B" w:rsidRDefault="00800EBC" w:rsidP="00E029F5">
            <w:pPr>
              <w:spacing w:before="120" w:after="120"/>
              <w:ind w:left="34"/>
              <w:rPr>
                <w:rFonts w:eastAsia="Times New Roman" w:cs="Arial"/>
                <w:iCs/>
                <w:lang w:val="fr-CA"/>
              </w:rPr>
            </w:pPr>
            <w:r w:rsidRPr="0077239B">
              <w:rPr>
                <w:rFonts w:eastAsia="Times New Roman" w:cs="Arial"/>
                <w:b/>
                <w:iCs/>
                <w:lang w:val="fr-CA"/>
              </w:rPr>
              <w:t xml:space="preserve">Un énoncé indiquant que le professionnel en exercice se conforme aux règles sur l’indépendance et aux autres règles de déontologie </w:t>
            </w:r>
            <w:r w:rsidRPr="0077239B">
              <w:rPr>
                <w:rFonts w:eastAsia="Times New Roman" w:cs="Arial"/>
                <w:iCs/>
                <w:lang w:val="fr-CA"/>
              </w:rPr>
              <w:t>[…]</w:t>
            </w:r>
            <w:r w:rsidRPr="0077239B">
              <w:rPr>
                <w:rFonts w:eastAsia="Times New Roman" w:cs="Arial"/>
                <w:b/>
                <w:iCs/>
                <w:lang w:val="fr-CA"/>
              </w:rPr>
              <w:t xml:space="preserve"> applicables</w:t>
            </w:r>
            <w:r w:rsidR="00F13209" w:rsidRPr="0077239B">
              <w:rPr>
                <w:rFonts w:eastAsia="Times New Roman" w:cs="Arial"/>
                <w:b/>
                <w:iCs/>
                <w:lang w:val="fr-CA"/>
              </w:rPr>
              <w:t>.</w:t>
            </w:r>
            <w:r w:rsidRPr="0077239B">
              <w:rPr>
                <w:rFonts w:eastAsia="Times New Roman" w:cs="Arial"/>
                <w:iCs/>
                <w:lang w:val="fr-CA"/>
              </w:rPr>
              <w:t xml:space="preserve"> </w:t>
            </w:r>
            <w:r w:rsidR="00F13209" w:rsidRPr="0077239B">
              <w:rPr>
                <w:rFonts w:eastAsia="Times New Roman" w:cs="Arial"/>
                <w:iCs/>
                <w:lang w:val="fr-CA"/>
              </w:rPr>
              <w:t>[73 j); R</w:t>
            </w:r>
            <w:r w:rsidRPr="0077239B">
              <w:rPr>
                <w:rFonts w:eastAsia="Times New Roman" w:cs="Arial"/>
                <w:iCs/>
                <w:lang w:val="fr-CA"/>
              </w:rPr>
              <w:t>éf. : par. A17</w:t>
            </w:r>
            <w:r w:rsidR="00EA6AB1" w:rsidRPr="0077239B">
              <w:rPr>
                <w:rFonts w:eastAsia="Times New Roman" w:cs="Arial"/>
                <w:iCs/>
                <w:lang w:val="fr-CA"/>
              </w:rPr>
              <w:t>1</w:t>
            </w:r>
            <w:r w:rsidRPr="0077239B">
              <w:rPr>
                <w:rFonts w:eastAsia="Times New Roman" w:cs="Arial"/>
                <w:iCs/>
                <w:lang w:val="fr-CA"/>
              </w:rPr>
              <w:t>]</w:t>
            </w:r>
          </w:p>
          <w:p w14:paraId="37CFA9C1" w14:textId="5755FD88" w:rsidR="00800EBC" w:rsidRPr="0077239B" w:rsidRDefault="00800EBC" w:rsidP="00E029F5">
            <w:pPr>
              <w:spacing w:before="120" w:after="120"/>
              <w:ind w:left="34"/>
              <w:rPr>
                <w:rFonts w:eastAsia="Times New Roman" w:cs="Arial"/>
                <w:iCs/>
                <w:lang w:val="fr-CA"/>
              </w:rPr>
            </w:pPr>
            <w:r w:rsidRPr="0077239B">
              <w:rPr>
                <w:rFonts w:eastAsia="Times New Roman" w:cs="Arial"/>
                <w:iCs/>
                <w:lang w:val="fr-CA"/>
              </w:rPr>
              <w:t>Une phrase à cet effet est incluse dans « À propos de l’audit ». Il s’agit d’un texte standard inclus dans le modèle de rapport.</w:t>
            </w:r>
          </w:p>
        </w:tc>
        <w:tc>
          <w:tcPr>
            <w:tcW w:w="1133" w:type="dxa"/>
            <w:tcMar>
              <w:top w:w="58" w:type="dxa"/>
              <w:bottom w:w="58" w:type="dxa"/>
            </w:tcMar>
            <w:vAlign w:val="center"/>
          </w:tcPr>
          <w:p w14:paraId="54A848FB" w14:textId="3421256D"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275E3348" w14:textId="57E41A5D" w:rsidTr="00EA3626">
        <w:tc>
          <w:tcPr>
            <w:tcW w:w="8217" w:type="dxa"/>
            <w:tcMar>
              <w:top w:w="58" w:type="dxa"/>
              <w:bottom w:w="58" w:type="dxa"/>
            </w:tcMar>
            <w:vAlign w:val="center"/>
          </w:tcPr>
          <w:p w14:paraId="10EC0BB7" w14:textId="0B047856" w:rsidR="00800EBC" w:rsidRPr="0077239B" w:rsidRDefault="00800EBC" w:rsidP="00E029F5">
            <w:pPr>
              <w:spacing w:before="120" w:after="120"/>
              <w:ind w:left="34"/>
              <w:rPr>
                <w:rFonts w:eastAsia="Times New Roman" w:cs="Arial"/>
                <w:b/>
                <w:i/>
                <w:iCs/>
                <w:lang w:val="fr-CA"/>
              </w:rPr>
            </w:pPr>
            <w:r w:rsidRPr="0077239B">
              <w:rPr>
                <w:rFonts w:eastAsia="Times New Roman" w:cs="Arial"/>
                <w:b/>
                <w:iCs/>
                <w:lang w:val="fr-CA"/>
              </w:rPr>
              <w:t>Un résumé informatif des travaux sur lesquels repose la conclusion du professionnel en exercice</w:t>
            </w:r>
            <w:r w:rsidR="004E5D15" w:rsidRPr="0077239B">
              <w:rPr>
                <w:rFonts w:eastAsia="Times New Roman" w:cs="Arial"/>
                <w:b/>
                <w:iCs/>
                <w:lang w:val="fr-CA"/>
              </w:rPr>
              <w:t>.</w:t>
            </w:r>
            <w:r w:rsidR="00F13209" w:rsidRPr="0077239B">
              <w:rPr>
                <w:rFonts w:eastAsia="Times New Roman" w:cs="Arial"/>
                <w:iCs/>
                <w:lang w:val="fr-CA"/>
              </w:rPr>
              <w:t xml:space="preserve"> [73 k); R</w:t>
            </w:r>
            <w:r w:rsidRPr="0077239B">
              <w:rPr>
                <w:rFonts w:eastAsia="Times New Roman" w:cs="Arial"/>
                <w:iCs/>
                <w:lang w:val="fr-CA"/>
              </w:rPr>
              <w:t>éf. : par. </w:t>
            </w:r>
            <w:r w:rsidR="00EA6AB1" w:rsidRPr="0077239B">
              <w:rPr>
                <w:rFonts w:eastAsia="Times New Roman" w:cs="Arial"/>
                <w:iCs/>
                <w:lang w:val="fr-CA"/>
              </w:rPr>
              <w:t xml:space="preserve">A8, </w:t>
            </w:r>
            <w:r w:rsidRPr="0077239B">
              <w:rPr>
                <w:rFonts w:eastAsia="Times New Roman" w:cs="Arial"/>
                <w:iCs/>
                <w:lang w:val="fr-CA"/>
              </w:rPr>
              <w:t>A17</w:t>
            </w:r>
            <w:r w:rsidR="00EA6AB1" w:rsidRPr="0077239B">
              <w:rPr>
                <w:rFonts w:eastAsia="Times New Roman" w:cs="Arial"/>
                <w:iCs/>
                <w:lang w:val="fr-CA"/>
              </w:rPr>
              <w:t>2-A177</w:t>
            </w:r>
            <w:r w:rsidRPr="0077239B">
              <w:rPr>
                <w:rFonts w:eastAsia="Times New Roman" w:cs="Arial"/>
                <w:iCs/>
                <w:lang w:val="fr-CA"/>
              </w:rPr>
              <w:t>]</w:t>
            </w:r>
          </w:p>
          <w:p w14:paraId="4A8A2925" w14:textId="74DBB376"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Cette information est incluse à la sous-section « Étendue et méthode », dans la section « À propos de l’audit ».</w:t>
            </w:r>
          </w:p>
          <w:p w14:paraId="31595D17" w14:textId="496D0815"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Le résumé informatif doit inclure des renseignements sur la nature, l’étendue et le calendrier des tests effectués.</w:t>
            </w:r>
          </w:p>
          <w:p w14:paraId="4C54FD5E" w14:textId="7D0C9E60"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S’il y a lieu, la description de la méthode d’audit devrait inclure de l’information sur la sélection et la taille de l’échantillon, ainsi que le total de la population.</w:t>
            </w:r>
          </w:p>
          <w:p w14:paraId="7388D9F5" w14:textId="38AA3359"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lastRenderedPageBreak/>
              <w:t xml:space="preserve">Les exigences concernant les missions d’assurance limitée (examens) et les études sont différentes de celles concernant les audits de performance et les examens spéciaux standards. Un texte standard qui fait état de ces différences est ajouté dans les modèles de rapport d’étude et de rapport d’examen. Voir </w:t>
            </w:r>
            <w:hyperlink r:id="rId16" w:history="1">
              <w:r w:rsidRPr="0077239B">
                <w:rPr>
                  <w:rStyle w:val="Lienhypertexte"/>
                  <w:rFonts w:cs="Arial"/>
                  <w:sz w:val="22"/>
                  <w:szCs w:val="22"/>
                  <w:lang w:val="fr-CA"/>
                </w:rPr>
                <w:t>BVG Audit 11000</w:t>
              </w:r>
            </w:hyperlink>
            <w:r w:rsidRPr="0077239B">
              <w:rPr>
                <w:rFonts w:cs="Arial"/>
                <w:sz w:val="22"/>
                <w:szCs w:val="22"/>
                <w:lang w:val="fr-CA"/>
              </w:rPr>
              <w:t xml:space="preserve"> — Études; </w:t>
            </w:r>
            <w:hyperlink r:id="rId17" w:history="1">
              <w:r w:rsidRPr="0077239B">
                <w:rPr>
                  <w:rStyle w:val="Lienhypertexte"/>
                  <w:rFonts w:cs="Arial"/>
                  <w:sz w:val="22"/>
                  <w:szCs w:val="22"/>
                  <w:lang w:val="fr-CA"/>
                </w:rPr>
                <w:t>BVG Audit 10010</w:t>
              </w:r>
            </w:hyperlink>
            <w:r w:rsidRPr="0077239B">
              <w:rPr>
                <w:rFonts w:cs="Arial"/>
                <w:sz w:val="22"/>
                <w:szCs w:val="22"/>
                <w:lang w:val="fr-CA"/>
              </w:rPr>
              <w:t xml:space="preserve"> — Missions d’assurance limitée. </w:t>
            </w:r>
          </w:p>
        </w:tc>
        <w:tc>
          <w:tcPr>
            <w:tcW w:w="1133" w:type="dxa"/>
            <w:tcMar>
              <w:top w:w="58" w:type="dxa"/>
              <w:bottom w:w="58" w:type="dxa"/>
            </w:tcMar>
            <w:vAlign w:val="center"/>
          </w:tcPr>
          <w:p w14:paraId="58F21F10" w14:textId="15CFFF3A" w:rsidR="00800EBC" w:rsidRPr="0077239B" w:rsidRDefault="00800EBC" w:rsidP="00E029F5">
            <w:pPr>
              <w:spacing w:before="120" w:after="120"/>
              <w:jc w:val="center"/>
              <w:rPr>
                <w:rFonts w:cs="Arial"/>
                <w:lang w:val="fr-CA"/>
              </w:rPr>
            </w:pPr>
            <w:r w:rsidRPr="0077239B">
              <w:rPr>
                <w:rFonts w:cs="Arial"/>
                <w:lang w:val="fr-CA"/>
              </w:rPr>
              <w:lastRenderedPageBreak/>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70624B36" w14:textId="4152E902" w:rsidTr="00EA3626">
        <w:tc>
          <w:tcPr>
            <w:tcW w:w="8217" w:type="dxa"/>
            <w:tcMar>
              <w:top w:w="58" w:type="dxa"/>
              <w:bottom w:w="58" w:type="dxa"/>
            </w:tcMar>
            <w:vAlign w:val="center"/>
          </w:tcPr>
          <w:p w14:paraId="63E21723" w14:textId="3CC71E5A" w:rsidR="00800EBC" w:rsidRPr="0077239B" w:rsidRDefault="00EE2462" w:rsidP="00E029F5">
            <w:pPr>
              <w:spacing w:before="120" w:after="120"/>
              <w:ind w:left="34"/>
              <w:rPr>
                <w:rFonts w:eastAsia="Times New Roman" w:cs="Arial"/>
                <w:lang w:val="fr-CA"/>
              </w:rPr>
            </w:pPr>
            <w:r w:rsidRPr="0077239B">
              <w:rPr>
                <w:rFonts w:eastAsia="Times New Roman" w:cs="Arial"/>
                <w:b/>
                <w:iCs/>
                <w:lang w:val="fr-CA"/>
              </w:rPr>
              <w:t xml:space="preserve">La </w:t>
            </w:r>
            <w:r w:rsidR="00800EBC" w:rsidRPr="0077239B">
              <w:rPr>
                <w:rFonts w:eastAsia="Times New Roman" w:cs="Arial"/>
                <w:b/>
                <w:iCs/>
                <w:lang w:val="fr-CA"/>
              </w:rPr>
              <w:t xml:space="preserve">conclusion </w:t>
            </w:r>
            <w:r w:rsidR="00A405BA" w:rsidRPr="0077239B">
              <w:rPr>
                <w:rFonts w:eastAsia="Times New Roman" w:cs="Arial"/>
                <w:b/>
                <w:iCs/>
                <w:lang w:val="fr-CA"/>
              </w:rPr>
              <w:t xml:space="preserve">du professionnel en exercice </w:t>
            </w:r>
            <w:r w:rsidR="00800EBC" w:rsidRPr="0077239B">
              <w:rPr>
                <w:rFonts w:eastAsia="Times New Roman" w:cs="Arial"/>
                <w:iCs/>
                <w:lang w:val="fr-CA"/>
              </w:rPr>
              <w:t>sur l’objectif de la mission</w:t>
            </w:r>
            <w:r w:rsidR="00F13209" w:rsidRPr="0077239B">
              <w:rPr>
                <w:rFonts w:eastAsia="Times New Roman" w:cs="Arial"/>
                <w:iCs/>
                <w:lang w:val="fr-CA"/>
              </w:rPr>
              <w:t>.</w:t>
            </w:r>
            <w:r w:rsidR="00800EBC" w:rsidRPr="0077239B">
              <w:rPr>
                <w:rFonts w:eastAsia="Times New Roman" w:cs="Arial"/>
                <w:iCs/>
                <w:lang w:val="fr-CA"/>
              </w:rPr>
              <w:t xml:space="preserve"> </w:t>
            </w:r>
            <w:r w:rsidR="00F13209" w:rsidRPr="0077239B">
              <w:rPr>
                <w:rFonts w:eastAsia="Times New Roman" w:cs="Arial"/>
                <w:iCs/>
                <w:lang w:val="fr-CA"/>
              </w:rPr>
              <w:t>[72, 73 l), 76, 78, 79, 80; R</w:t>
            </w:r>
            <w:r w:rsidR="00800EBC" w:rsidRPr="0077239B">
              <w:rPr>
                <w:rFonts w:eastAsia="Times New Roman" w:cs="Arial"/>
                <w:iCs/>
                <w:lang w:val="fr-CA"/>
              </w:rPr>
              <w:t>éf. : par.</w:t>
            </w:r>
            <w:r w:rsidR="00800EBC" w:rsidRPr="0077239B">
              <w:rPr>
                <w:rFonts w:eastAsia="Times New Roman" w:cs="Arial"/>
                <w:lang w:val="fr-CA"/>
              </w:rPr>
              <w:t xml:space="preserve"> A2 à A4</w:t>
            </w:r>
            <w:r w:rsidR="0078519C" w:rsidRPr="0077239B">
              <w:rPr>
                <w:rFonts w:eastAsia="Times New Roman" w:cs="Arial"/>
                <w:lang w:val="fr-CA"/>
              </w:rPr>
              <w:t>, A159 à A161,</w:t>
            </w:r>
            <w:r w:rsidR="00800EBC" w:rsidRPr="0077239B">
              <w:rPr>
                <w:rFonts w:eastAsia="Times New Roman" w:cs="Arial"/>
                <w:lang w:val="fr-CA"/>
              </w:rPr>
              <w:t xml:space="preserve"> A17</w:t>
            </w:r>
            <w:r w:rsidR="0078519C" w:rsidRPr="0077239B">
              <w:rPr>
                <w:rFonts w:eastAsia="Times New Roman" w:cs="Arial"/>
                <w:lang w:val="fr-CA"/>
              </w:rPr>
              <w:t>6</w:t>
            </w:r>
            <w:r w:rsidR="00800EBC" w:rsidRPr="0077239B">
              <w:rPr>
                <w:rFonts w:eastAsia="Times New Roman" w:cs="Arial"/>
                <w:lang w:val="fr-CA"/>
              </w:rPr>
              <w:t> à A18</w:t>
            </w:r>
            <w:r w:rsidR="0078519C" w:rsidRPr="0077239B">
              <w:rPr>
                <w:rFonts w:eastAsia="Times New Roman" w:cs="Arial"/>
                <w:lang w:val="fr-CA"/>
              </w:rPr>
              <w:t>1</w:t>
            </w:r>
            <w:r w:rsidR="00C57325" w:rsidRPr="0077239B">
              <w:rPr>
                <w:rFonts w:eastAsia="Times New Roman" w:cs="Arial"/>
                <w:lang w:val="fr-CA"/>
              </w:rPr>
              <w:t xml:space="preserve">, </w:t>
            </w:r>
            <w:r w:rsidR="00DA5E7E" w:rsidRPr="0077239B">
              <w:rPr>
                <w:rFonts w:eastAsia="Times New Roman" w:cs="Arial"/>
                <w:lang w:val="fr-CA"/>
              </w:rPr>
              <w:t>et</w:t>
            </w:r>
            <w:r w:rsidR="00C57325" w:rsidRPr="0077239B">
              <w:rPr>
                <w:rFonts w:eastAsia="Times New Roman" w:cs="Arial"/>
                <w:lang w:val="fr-CA"/>
              </w:rPr>
              <w:t xml:space="preserve"> A187 à A190</w:t>
            </w:r>
            <w:r w:rsidR="00800EBC" w:rsidRPr="0077239B">
              <w:rPr>
                <w:rFonts w:eastAsia="Times New Roman" w:cs="Arial"/>
                <w:lang w:val="fr-CA"/>
              </w:rPr>
              <w:t>]</w:t>
            </w:r>
          </w:p>
          <w:p w14:paraId="739E8C94" w14:textId="26999664"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La conclusion, située dans une section distincte à la fin du rapport d’audit, porte sur l’objectif de l’audit et exprime toutes les réserves. Elle devrait se rapporter explicitement à l’objectif de l’audit et, dans la mesure du possible, en reprendre le libellé.</w:t>
            </w:r>
          </w:p>
          <w:p w14:paraId="73C7C505" w14:textId="3DE43EA2" w:rsidR="00800EBC" w:rsidRPr="0077239B" w:rsidRDefault="00800EBC" w:rsidP="00E029F5">
            <w:pPr>
              <w:autoSpaceDE w:val="0"/>
              <w:autoSpaceDN w:val="0"/>
              <w:adjustRightInd w:val="0"/>
              <w:spacing w:before="120" w:after="120"/>
              <w:rPr>
                <w:rFonts w:eastAsia="Times New Roman" w:cs="Arial"/>
                <w:kern w:val="8"/>
                <w:lang w:val="fr-CA" w:bidi="he-IL"/>
              </w:rPr>
            </w:pPr>
            <w:r w:rsidRPr="0077239B">
              <w:rPr>
                <w:rFonts w:eastAsia="Times New Roman" w:cs="Arial"/>
                <w:kern w:val="8"/>
                <w:lang w:val="fr-CA" w:bidi="he-IL"/>
              </w:rPr>
              <w:t>Dans le cas des examens spéciaux, aux termes de l’alinéa 139(2)</w:t>
            </w:r>
            <w:r w:rsidRPr="0077239B">
              <w:rPr>
                <w:rFonts w:eastAsia="Times New Roman" w:cs="Arial"/>
                <w:i/>
                <w:kern w:val="8"/>
                <w:lang w:val="fr-CA" w:bidi="he-IL"/>
              </w:rPr>
              <w:t>a</w:t>
            </w:r>
            <w:r w:rsidRPr="0077239B">
              <w:rPr>
                <w:rFonts w:eastAsia="Times New Roman" w:cs="Arial"/>
                <w:kern w:val="8"/>
                <w:lang w:val="fr-CA" w:bidi="he-IL"/>
              </w:rPr>
              <w:t xml:space="preserve">) de la </w:t>
            </w:r>
            <w:r w:rsidRPr="0077239B">
              <w:rPr>
                <w:rFonts w:eastAsia="Times New Roman" w:cs="Arial"/>
                <w:i/>
                <w:kern w:val="8"/>
                <w:lang w:val="fr-CA" w:bidi="he-IL"/>
              </w:rPr>
              <w:t>Loi sur la gestion des finances publiques</w:t>
            </w:r>
            <w:r w:rsidRPr="0077239B">
              <w:rPr>
                <w:rFonts w:eastAsia="Times New Roman" w:cs="Arial"/>
                <w:kern w:val="8"/>
                <w:lang w:val="fr-CA" w:bidi="he-IL"/>
              </w:rPr>
              <w:t>, le rapport devrait inclure « un énoncé indiquant si, selon l’examinateur, […] il peut être garanti que, dans la mesure du possible, les moyens et méthodes étudiés n’ont pas de défauts graves ». Cette opinion fait partie de la conclusion du rapport. Le libellé des différents types de conclusions d’un examen spécial est fourni dans le modèle de rapport.</w:t>
            </w:r>
            <w:r w:rsidR="00EE2462" w:rsidRPr="0077239B">
              <w:rPr>
                <w:rFonts w:eastAsia="Times New Roman" w:cs="Arial"/>
                <w:kern w:val="8"/>
                <w:lang w:val="fr-CA" w:bidi="he-IL"/>
              </w:rPr>
              <w:t xml:space="preserve"> </w:t>
            </w:r>
            <w:r w:rsidRPr="0077239B">
              <w:rPr>
                <w:rFonts w:eastAsia="Times New Roman" w:cs="Arial"/>
                <w:kern w:val="8"/>
                <w:lang w:val="fr-CA" w:bidi="he-IL"/>
              </w:rPr>
              <w:t xml:space="preserve">Voir </w:t>
            </w:r>
            <w:hyperlink r:id="rId18" w:history="1">
              <w:r w:rsidRPr="0077239B">
                <w:rPr>
                  <w:rStyle w:val="Lienhypertexte"/>
                  <w:rFonts w:eastAsia="Times New Roman" w:cs="Arial"/>
                  <w:kern w:val="8"/>
                  <w:lang w:val="fr-CA" w:bidi="he-IL"/>
                </w:rPr>
                <w:t>BVG Audit 7040</w:t>
              </w:r>
            </w:hyperlink>
            <w:r w:rsidRPr="0077239B">
              <w:rPr>
                <w:rFonts w:eastAsia="Times New Roman" w:cs="Arial"/>
                <w:kern w:val="8"/>
                <w:lang w:val="fr-CA" w:bidi="he-IL"/>
              </w:rPr>
              <w:t> — Conclusion de l’audit.</w:t>
            </w:r>
          </w:p>
          <w:p w14:paraId="35AA7685" w14:textId="15D637E3" w:rsidR="00800EBC" w:rsidRPr="0077239B" w:rsidRDefault="00800EBC" w:rsidP="00E029F5">
            <w:pPr>
              <w:autoSpaceDE w:val="0"/>
              <w:autoSpaceDN w:val="0"/>
              <w:adjustRightInd w:val="0"/>
              <w:spacing w:before="120" w:after="120"/>
              <w:rPr>
                <w:rFonts w:eastAsia="Times New Roman" w:cs="Arial"/>
                <w:kern w:val="8"/>
                <w:lang w:val="fr-CA" w:bidi="he-IL"/>
              </w:rPr>
            </w:pPr>
            <w:r w:rsidRPr="0077239B">
              <w:rPr>
                <w:rFonts w:eastAsia="Times New Roman" w:cs="Arial"/>
                <w:kern w:val="8"/>
                <w:lang w:val="fr-CA" w:bidi="he-IL"/>
              </w:rPr>
              <w:t xml:space="preserve">Les exigences concernant les missions d’assurance limitée (examens) et les études sont différentes de celles relatives aux audits de performance et aux examens spéciaux standards. Les modèles de rapport d’examen et d’étude font état de ces différences. (Voir </w:t>
            </w:r>
            <w:hyperlink r:id="rId19" w:history="1">
              <w:r w:rsidRPr="0077239B">
                <w:rPr>
                  <w:rStyle w:val="Lienhypertexte"/>
                  <w:rFonts w:eastAsia="Times New Roman" w:cs="Arial"/>
                  <w:kern w:val="8"/>
                  <w:lang w:val="fr-CA" w:bidi="he-IL"/>
                </w:rPr>
                <w:t>BVG Audit 11000</w:t>
              </w:r>
            </w:hyperlink>
            <w:r w:rsidRPr="0077239B">
              <w:rPr>
                <w:rFonts w:eastAsia="Times New Roman" w:cs="Arial"/>
                <w:kern w:val="8"/>
                <w:lang w:val="fr-CA" w:bidi="he-IL"/>
              </w:rPr>
              <w:t xml:space="preserve"> — Études; </w:t>
            </w:r>
            <w:hyperlink r:id="rId20" w:history="1">
              <w:r w:rsidRPr="0077239B">
                <w:rPr>
                  <w:rStyle w:val="Lienhypertexte"/>
                  <w:rFonts w:eastAsia="Times New Roman" w:cs="Arial"/>
                  <w:kern w:val="8"/>
                  <w:lang w:val="fr-CA" w:bidi="he-IL"/>
                </w:rPr>
                <w:t>BVG Audit 10010</w:t>
              </w:r>
            </w:hyperlink>
            <w:r w:rsidRPr="0077239B">
              <w:rPr>
                <w:rFonts w:eastAsia="Times New Roman" w:cs="Arial"/>
                <w:kern w:val="8"/>
                <w:lang w:val="fr-CA" w:bidi="he-IL"/>
              </w:rPr>
              <w:t> — Missions d’assurance limitée.)</w:t>
            </w:r>
          </w:p>
        </w:tc>
        <w:tc>
          <w:tcPr>
            <w:tcW w:w="1133" w:type="dxa"/>
            <w:tcMar>
              <w:top w:w="58" w:type="dxa"/>
              <w:bottom w:w="58" w:type="dxa"/>
            </w:tcMar>
            <w:vAlign w:val="center"/>
          </w:tcPr>
          <w:p w14:paraId="2CB1B304" w14:textId="5B9BA72E"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53CB91B1" w14:textId="378C03CB" w:rsidTr="00EA3626">
        <w:tc>
          <w:tcPr>
            <w:tcW w:w="8217" w:type="dxa"/>
            <w:tcMar>
              <w:top w:w="58" w:type="dxa"/>
              <w:bottom w:w="58" w:type="dxa"/>
            </w:tcMar>
            <w:vAlign w:val="center"/>
          </w:tcPr>
          <w:p w14:paraId="05EC38C7" w14:textId="53435909" w:rsidR="00800EBC" w:rsidRPr="0077239B" w:rsidRDefault="00800EBC" w:rsidP="00495884">
            <w:pPr>
              <w:spacing w:before="120" w:after="120"/>
              <w:ind w:left="34"/>
              <w:rPr>
                <w:rFonts w:eastAsia="Times New Roman" w:cs="Arial"/>
                <w:iCs/>
                <w:lang w:val="fr-CA"/>
              </w:rPr>
            </w:pPr>
            <w:r w:rsidRPr="0077239B">
              <w:rPr>
                <w:rFonts w:eastAsia="Times New Roman" w:cs="Arial"/>
                <w:b/>
                <w:iCs/>
                <w:lang w:val="fr-CA"/>
              </w:rPr>
              <w:t xml:space="preserve">Des recommandations adressées à l’entité </w:t>
            </w:r>
            <w:r w:rsidRPr="0077239B">
              <w:rPr>
                <w:rFonts w:eastAsia="Times New Roman" w:cs="Arial"/>
                <w:iCs/>
                <w:lang w:val="fr-CA"/>
              </w:rPr>
              <w:t>afin d’indiquer le type de changements positifs pouvant être effectués</w:t>
            </w:r>
            <w:r w:rsidR="00F13209" w:rsidRPr="0077239B">
              <w:rPr>
                <w:rFonts w:eastAsia="Times New Roman" w:cs="Arial"/>
                <w:iCs/>
                <w:lang w:val="fr-CA"/>
              </w:rPr>
              <w:t>.</w:t>
            </w:r>
            <w:r w:rsidR="00FC04CE" w:rsidRPr="0077239B">
              <w:rPr>
                <w:rFonts w:eastAsia="Times New Roman" w:cs="Arial"/>
                <w:iCs/>
                <w:lang w:val="fr-CA"/>
              </w:rPr>
              <w:t xml:space="preserve"> </w:t>
            </w:r>
            <w:r w:rsidRPr="0077239B">
              <w:rPr>
                <w:rFonts w:eastAsia="Times New Roman" w:cs="Arial"/>
                <w:iCs/>
                <w:lang w:val="fr-CA"/>
              </w:rPr>
              <w:t>Les recommandations doivent clairement être séparées de la conclusion.</w:t>
            </w:r>
          </w:p>
          <w:p w14:paraId="524ADBF8" w14:textId="04635D2D" w:rsidR="00800EBC" w:rsidRPr="0077239B" w:rsidRDefault="00800EBC" w:rsidP="00495884">
            <w:pPr>
              <w:spacing w:before="120" w:after="120"/>
              <w:ind w:left="34"/>
              <w:rPr>
                <w:rFonts w:eastAsia="Times New Roman" w:cs="Arial"/>
                <w:iCs/>
                <w:lang w:val="fr-CA"/>
              </w:rPr>
            </w:pPr>
            <w:r w:rsidRPr="0077239B">
              <w:rPr>
                <w:rFonts w:eastAsia="Times New Roman" w:cs="Arial"/>
                <w:iCs/>
                <w:lang w:val="fr-CA"/>
              </w:rPr>
              <w:t>Une constatation d’audit ne donne pas nécessairement lieu à</w:t>
            </w:r>
            <w:r w:rsidR="00495884">
              <w:rPr>
                <w:rFonts w:eastAsia="Times New Roman" w:cs="Arial"/>
                <w:iCs/>
                <w:lang w:val="fr-CA"/>
              </w:rPr>
              <w:t xml:space="preserve"> </w:t>
            </w:r>
            <w:r w:rsidRPr="0077239B">
              <w:rPr>
                <w:rFonts w:eastAsia="Times New Roman" w:cs="Arial"/>
                <w:iCs/>
                <w:lang w:val="fr-CA"/>
              </w:rPr>
              <w:t>des</w:t>
            </w:r>
            <w:r w:rsidR="00495884">
              <w:rPr>
                <w:rFonts w:eastAsia="Times New Roman" w:cs="Arial"/>
                <w:iCs/>
                <w:lang w:val="fr-CA"/>
              </w:rPr>
              <w:t xml:space="preserve"> </w:t>
            </w:r>
            <w:r w:rsidRPr="0077239B">
              <w:rPr>
                <w:rFonts w:eastAsia="Times New Roman" w:cs="Arial"/>
                <w:iCs/>
                <w:lang w:val="fr-CA"/>
              </w:rPr>
              <w:t>recommandations.</w:t>
            </w:r>
          </w:p>
          <w:p w14:paraId="1CE5A358" w14:textId="5F783EA3" w:rsidR="00800EBC" w:rsidRPr="0077239B" w:rsidRDefault="00800EBC" w:rsidP="00495884">
            <w:pPr>
              <w:spacing w:before="120" w:after="120"/>
              <w:ind w:left="34"/>
              <w:rPr>
                <w:rFonts w:eastAsia="Times New Roman" w:cs="Arial"/>
                <w:iCs/>
                <w:lang w:val="fr-CA"/>
              </w:rPr>
            </w:pPr>
            <w:r w:rsidRPr="0077239B">
              <w:rPr>
                <w:rFonts w:eastAsia="Times New Roman" w:cs="Arial"/>
                <w:iCs/>
                <w:lang w:val="fr-CA"/>
              </w:rPr>
              <w:t>Dans le cas des audits de performance, les recommandations visent à tenir compte des risques importants et à combler les lacunes. Il s’agit de suggestion de mesures correctives nécessaires pour régler les problèmes identifiés.</w:t>
            </w:r>
          </w:p>
          <w:p w14:paraId="30B8302D" w14:textId="7DFEDBFF" w:rsidR="00800EBC" w:rsidRPr="0077239B" w:rsidRDefault="00800EBC" w:rsidP="00495884">
            <w:pPr>
              <w:spacing w:before="120" w:after="120"/>
              <w:ind w:left="34"/>
              <w:rPr>
                <w:rFonts w:eastAsia="Times New Roman" w:cs="Arial"/>
                <w:iCs/>
                <w:lang w:val="fr-CA"/>
              </w:rPr>
            </w:pPr>
            <w:r w:rsidRPr="0077239B">
              <w:rPr>
                <w:rFonts w:eastAsia="Times New Roman" w:cs="Arial"/>
                <w:iCs/>
                <w:lang w:val="fr-CA"/>
              </w:rPr>
              <w:t>Dans le cas des examens spéciaux, les recommandations visent à améliorer les moyens et les méthodes mis en œuvre par la société d’État afin que cette dernière assure la protection des biens publics, utilise les ressources de façon économique et efficiente, et mène ses activités efficacement.</w:t>
            </w:r>
          </w:p>
          <w:p w14:paraId="251CF395" w14:textId="4A751508" w:rsidR="00800EBC" w:rsidRPr="0077239B" w:rsidRDefault="00800EBC" w:rsidP="00495884">
            <w:pPr>
              <w:spacing w:before="120" w:after="120"/>
              <w:ind w:left="34"/>
              <w:rPr>
                <w:rFonts w:eastAsia="Times New Roman" w:cs="Arial"/>
                <w:iCs/>
                <w:lang w:val="fr-CA"/>
              </w:rPr>
            </w:pPr>
            <w:r w:rsidRPr="0077239B">
              <w:rPr>
                <w:rFonts w:eastAsia="Times New Roman" w:cs="Arial"/>
                <w:iCs/>
                <w:lang w:val="fr-CA"/>
              </w:rPr>
              <w:t>Les recommandations sont adressées à une entité précise; s’il y a plus d’une entité concernée, les entités concernées sont clairement définies.</w:t>
            </w:r>
          </w:p>
          <w:p w14:paraId="62B96EAC" w14:textId="21659D20" w:rsidR="00800EBC" w:rsidRPr="0077239B" w:rsidRDefault="00800EBC" w:rsidP="00495884">
            <w:pPr>
              <w:spacing w:before="120" w:after="120"/>
              <w:ind w:left="34"/>
              <w:rPr>
                <w:rFonts w:eastAsia="Times New Roman" w:cs="Arial"/>
                <w:iCs/>
                <w:lang w:val="fr-CA"/>
              </w:rPr>
            </w:pPr>
            <w:r w:rsidRPr="0077239B">
              <w:rPr>
                <w:rFonts w:eastAsia="Times New Roman" w:cs="Arial"/>
                <w:iCs/>
                <w:lang w:val="fr-CA"/>
              </w:rPr>
              <w:t xml:space="preserve">Voir </w:t>
            </w:r>
            <w:hyperlink r:id="rId21" w:history="1">
              <w:r w:rsidRPr="0077239B">
                <w:rPr>
                  <w:rStyle w:val="Lienhypertexte"/>
                  <w:rFonts w:eastAsia="Times New Roman" w:cs="Arial"/>
                  <w:iCs/>
                  <w:lang w:val="fr-CA"/>
                </w:rPr>
                <w:t>BVG Audit 8020</w:t>
              </w:r>
            </w:hyperlink>
            <w:r w:rsidRPr="0077239B">
              <w:rPr>
                <w:rFonts w:eastAsia="Times New Roman" w:cs="Arial"/>
                <w:iCs/>
                <w:lang w:val="fr-CA"/>
              </w:rPr>
              <w:t> — Recommandations et réponses de l’entité.</w:t>
            </w:r>
          </w:p>
        </w:tc>
        <w:tc>
          <w:tcPr>
            <w:tcW w:w="1133" w:type="dxa"/>
            <w:tcMar>
              <w:top w:w="58" w:type="dxa"/>
              <w:bottom w:w="58" w:type="dxa"/>
            </w:tcMar>
            <w:vAlign w:val="center"/>
          </w:tcPr>
          <w:p w14:paraId="7B817047" w14:textId="5481EF7E"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664077C3" w14:textId="1A2B471D" w:rsidTr="00EA3626">
        <w:tc>
          <w:tcPr>
            <w:tcW w:w="8217" w:type="dxa"/>
            <w:tcMar>
              <w:top w:w="58" w:type="dxa"/>
              <w:bottom w:w="58" w:type="dxa"/>
            </w:tcMar>
            <w:vAlign w:val="center"/>
          </w:tcPr>
          <w:p w14:paraId="43A1189B" w14:textId="6FF5301A" w:rsidR="00800EBC" w:rsidRPr="0077239B" w:rsidRDefault="00800EBC" w:rsidP="00E029F5">
            <w:pPr>
              <w:spacing w:before="120" w:after="120"/>
              <w:rPr>
                <w:rFonts w:eastAsia="Times New Roman" w:cs="Arial"/>
                <w:b/>
                <w:i/>
                <w:iCs/>
                <w:lang w:val="fr-CA"/>
              </w:rPr>
            </w:pPr>
            <w:r w:rsidRPr="0077239B">
              <w:rPr>
                <w:rFonts w:eastAsia="Times New Roman" w:cs="Arial"/>
                <w:b/>
                <w:iCs/>
                <w:lang w:val="fr-CA"/>
              </w:rPr>
              <w:lastRenderedPageBreak/>
              <w:t>Une signature</w:t>
            </w:r>
            <w:r w:rsidR="00F13209" w:rsidRPr="0077239B">
              <w:rPr>
                <w:rFonts w:eastAsia="Times New Roman" w:cs="Arial"/>
                <w:b/>
                <w:iCs/>
                <w:lang w:val="fr-CA"/>
              </w:rPr>
              <w:t xml:space="preserve">. </w:t>
            </w:r>
            <w:r w:rsidR="00F13209" w:rsidRPr="0077239B">
              <w:rPr>
                <w:rFonts w:cs="Arial"/>
                <w:lang w:val="fr-CA"/>
              </w:rPr>
              <w:t>[73 m); R</w:t>
            </w:r>
            <w:r w:rsidRPr="0077239B">
              <w:rPr>
                <w:rFonts w:cs="Arial"/>
                <w:lang w:val="fr-CA"/>
              </w:rPr>
              <w:t>éf. : par. A18</w:t>
            </w:r>
            <w:r w:rsidR="0078519C" w:rsidRPr="0077239B">
              <w:rPr>
                <w:rFonts w:cs="Arial"/>
                <w:lang w:val="fr-CA"/>
              </w:rPr>
              <w:t>2</w:t>
            </w:r>
            <w:r w:rsidRPr="0077239B">
              <w:rPr>
                <w:rFonts w:cs="Arial"/>
                <w:lang w:val="fr-CA"/>
              </w:rPr>
              <w:t>]</w:t>
            </w:r>
          </w:p>
          <w:p w14:paraId="1639BBF7" w14:textId="0653DC51" w:rsidR="00800EBC" w:rsidRPr="0077239B" w:rsidRDefault="00800EBC" w:rsidP="00E029F5">
            <w:pPr>
              <w:spacing w:before="120" w:after="120"/>
              <w:rPr>
                <w:rFonts w:cs="Arial"/>
                <w:lang w:val="fr-CA"/>
              </w:rPr>
            </w:pPr>
            <w:r w:rsidRPr="0077239B">
              <w:rPr>
                <w:rFonts w:cs="Arial"/>
                <w:lang w:val="fr-CA"/>
              </w:rPr>
              <w:t xml:space="preserve">Les rapports d’audit de performance et d’examen spécial sont délivrés par le vérificateur général du Canada. </w:t>
            </w:r>
            <w:r w:rsidR="00313720" w:rsidRPr="0077239B">
              <w:rPr>
                <w:rFonts w:cs="Arial"/>
                <w:lang w:val="fr-CA"/>
              </w:rPr>
              <w:t xml:space="preserve">Il n’y a pas de bloc-signature </w:t>
            </w:r>
            <w:r w:rsidRPr="0077239B">
              <w:rPr>
                <w:rFonts w:cs="Arial"/>
                <w:lang w:val="fr-CA"/>
              </w:rPr>
              <w:t>requérant une signature manuscrite</w:t>
            </w:r>
            <w:r w:rsidR="00313720" w:rsidRPr="0077239B">
              <w:rPr>
                <w:rFonts w:cs="Arial"/>
                <w:lang w:val="fr-CA"/>
              </w:rPr>
              <w:t xml:space="preserve"> dans le rapport d’audit</w:t>
            </w:r>
            <w:r w:rsidRPr="0077239B">
              <w:rPr>
                <w:rFonts w:cs="Arial"/>
                <w:lang w:val="fr-CA"/>
              </w:rPr>
              <w:t>.</w:t>
            </w:r>
          </w:p>
          <w:p w14:paraId="1A596526" w14:textId="77777777" w:rsidR="00800EBC" w:rsidRPr="0077239B" w:rsidRDefault="00800EBC" w:rsidP="00E029F5">
            <w:pPr>
              <w:spacing w:before="120" w:after="120"/>
              <w:rPr>
                <w:rFonts w:cs="Arial"/>
                <w:lang w:val="fr-CA"/>
              </w:rPr>
            </w:pPr>
            <w:r w:rsidRPr="0077239B">
              <w:rPr>
                <w:rFonts w:cs="Arial"/>
                <w:lang w:val="fr-CA"/>
              </w:rPr>
              <w:t>Le logo du BVG sur la page couverture fournit la signature requise.</w:t>
            </w:r>
          </w:p>
          <w:p w14:paraId="35A563EB" w14:textId="77777777" w:rsidR="00800EBC" w:rsidRPr="0077239B" w:rsidRDefault="00800EBC" w:rsidP="00E029F5">
            <w:pPr>
              <w:spacing w:before="120" w:after="120"/>
              <w:rPr>
                <w:rFonts w:cs="Arial"/>
                <w:lang w:val="fr-CA"/>
              </w:rPr>
            </w:pPr>
            <w:r w:rsidRPr="0077239B">
              <w:rPr>
                <w:rFonts w:cs="Arial"/>
                <w:noProof/>
                <w:lang w:val="fr-FR" w:eastAsia="fr-FR"/>
              </w:rPr>
              <w:drawing>
                <wp:inline distT="0" distB="0" distL="0" distR="0" wp14:anchorId="1C864918" wp14:editId="005115F3">
                  <wp:extent cx="2044800" cy="511200"/>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2"/>
                          <a:stretch>
                            <a:fillRect/>
                          </a:stretch>
                        </pic:blipFill>
                        <pic:spPr>
                          <a:xfrm>
                            <a:off x="0" y="0"/>
                            <a:ext cx="2044800" cy="511200"/>
                          </a:xfrm>
                          <a:prstGeom prst="rect">
                            <a:avLst/>
                          </a:prstGeom>
                        </pic:spPr>
                      </pic:pic>
                    </a:graphicData>
                  </a:graphic>
                </wp:inline>
              </w:drawing>
            </w:r>
          </w:p>
          <w:p w14:paraId="16B18C05" w14:textId="6D44BA81" w:rsidR="00800EBC" w:rsidRPr="0077239B" w:rsidRDefault="00313720" w:rsidP="00E029F5">
            <w:pPr>
              <w:spacing w:before="120" w:after="120"/>
              <w:ind w:left="34"/>
              <w:rPr>
                <w:rFonts w:cs="Arial"/>
                <w:lang w:val="fr-CA"/>
              </w:rPr>
            </w:pPr>
            <w:r w:rsidRPr="0077239B">
              <w:rPr>
                <w:rFonts w:cs="Arial"/>
                <w:lang w:val="fr-CA"/>
              </w:rPr>
              <w:t>À des fins d’imputabilité,</w:t>
            </w:r>
            <w:r w:rsidR="00800EBC" w:rsidRPr="0077239B">
              <w:rPr>
                <w:rFonts w:cs="Arial"/>
                <w:lang w:val="fr-CA"/>
              </w:rPr>
              <w:t xml:space="preserve"> le nom du responsable de la mission est présenté</w:t>
            </w:r>
            <w:r w:rsidRPr="0077239B">
              <w:rPr>
                <w:rFonts w:cs="Arial"/>
                <w:lang w:val="fr-CA"/>
              </w:rPr>
              <w:t xml:space="preserve"> dans la section « À propos de l’audit »</w:t>
            </w:r>
            <w:r w:rsidR="00800EBC" w:rsidRPr="0077239B">
              <w:rPr>
                <w:rFonts w:cs="Arial"/>
                <w:lang w:val="fr-CA"/>
              </w:rPr>
              <w:t>.</w:t>
            </w:r>
          </w:p>
        </w:tc>
        <w:tc>
          <w:tcPr>
            <w:tcW w:w="1133" w:type="dxa"/>
            <w:tcMar>
              <w:top w:w="58" w:type="dxa"/>
              <w:bottom w:w="58" w:type="dxa"/>
            </w:tcMar>
            <w:vAlign w:val="center"/>
          </w:tcPr>
          <w:p w14:paraId="245CFF19" w14:textId="45C57907"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588E7755" w14:textId="705280EC" w:rsidTr="00EA3626">
        <w:tc>
          <w:tcPr>
            <w:tcW w:w="8217" w:type="dxa"/>
            <w:tcMar>
              <w:top w:w="58" w:type="dxa"/>
              <w:bottom w:w="58" w:type="dxa"/>
            </w:tcMar>
            <w:vAlign w:val="center"/>
          </w:tcPr>
          <w:p w14:paraId="1229CB1A" w14:textId="00B3CDAB" w:rsidR="00800EBC" w:rsidRPr="0077239B" w:rsidRDefault="00800EBC" w:rsidP="00E029F5">
            <w:pPr>
              <w:pStyle w:val="AuditPara"/>
              <w:keepNext/>
              <w:keepLines/>
              <w:spacing w:before="120" w:after="120"/>
              <w:rPr>
                <w:rFonts w:cs="Arial"/>
                <w:b/>
                <w:szCs w:val="22"/>
                <w:lang w:val="fr-CA"/>
              </w:rPr>
            </w:pPr>
            <w:r w:rsidRPr="0077239B">
              <w:rPr>
                <w:rFonts w:cs="Arial"/>
                <w:b/>
                <w:szCs w:val="22"/>
                <w:lang w:val="fr-CA"/>
              </w:rPr>
              <w:t xml:space="preserve">Un énoncé indiquant que </w:t>
            </w:r>
            <w:r w:rsidR="00FC04CE" w:rsidRPr="0077239B">
              <w:rPr>
                <w:rFonts w:cs="Arial"/>
                <w:b/>
                <w:szCs w:val="22"/>
                <w:lang w:val="fr-CA"/>
              </w:rPr>
              <w:t xml:space="preserve">nous avons obtenu / n’avons pas obtenu de </w:t>
            </w:r>
            <w:r w:rsidRPr="0077239B">
              <w:rPr>
                <w:rFonts w:cs="Arial"/>
                <w:b/>
                <w:szCs w:val="22"/>
                <w:lang w:val="fr-CA"/>
              </w:rPr>
              <w:t>l’entité:</w:t>
            </w:r>
          </w:p>
          <w:p w14:paraId="623A9661" w14:textId="0CE5D4B1" w:rsidR="00800EBC" w:rsidRPr="0077239B" w:rsidRDefault="00FC04CE" w:rsidP="00E029F5">
            <w:pPr>
              <w:pStyle w:val="AuditBullet"/>
              <w:keepNext/>
              <w:keepLines/>
              <w:rPr>
                <w:rFonts w:cs="Arial"/>
                <w:lang w:val="fr-CA"/>
              </w:rPr>
            </w:pPr>
            <w:r w:rsidRPr="0077239B">
              <w:rPr>
                <w:rFonts w:cs="Arial"/>
                <w:lang w:val="fr-CA"/>
              </w:rPr>
              <w:t xml:space="preserve">la confirmation de </w:t>
            </w:r>
            <w:r w:rsidR="00800EBC" w:rsidRPr="0077239B">
              <w:rPr>
                <w:rFonts w:cs="Arial"/>
                <w:lang w:val="fr-CA"/>
              </w:rPr>
              <w:t>sa responsabilité à l’égard de l’objet considéré;</w:t>
            </w:r>
          </w:p>
          <w:p w14:paraId="7CA7FE25" w14:textId="681D4D49" w:rsidR="00800EBC" w:rsidRPr="0077239B" w:rsidRDefault="00FC04CE" w:rsidP="00E029F5">
            <w:pPr>
              <w:pStyle w:val="AuditBullet"/>
              <w:keepNext/>
              <w:keepLines/>
              <w:rPr>
                <w:rFonts w:cs="Arial"/>
                <w:lang w:val="fr-CA"/>
              </w:rPr>
            </w:pPr>
            <w:r w:rsidRPr="0077239B">
              <w:rPr>
                <w:rFonts w:cs="Arial"/>
                <w:lang w:val="fr-CA"/>
              </w:rPr>
              <w:t>la confirmation que</w:t>
            </w:r>
            <w:r w:rsidR="00800EBC" w:rsidRPr="0077239B">
              <w:rPr>
                <w:rFonts w:cs="Arial"/>
                <w:lang w:val="fr-CA"/>
              </w:rPr>
              <w:t xml:space="preserve"> les critères étaient valables pour la mission;</w:t>
            </w:r>
          </w:p>
          <w:p w14:paraId="53CDDBC2" w14:textId="5287D4AC" w:rsidR="00800EBC" w:rsidRPr="0077239B" w:rsidRDefault="00FC04CE" w:rsidP="00E029F5">
            <w:pPr>
              <w:pStyle w:val="AuditBullet"/>
              <w:keepNext/>
              <w:keepLines/>
              <w:rPr>
                <w:rFonts w:cs="Arial"/>
                <w:iCs/>
                <w:lang w:val="fr-CA"/>
              </w:rPr>
            </w:pPr>
            <w:r w:rsidRPr="0077239B">
              <w:rPr>
                <w:rFonts w:cs="Arial"/>
                <w:lang w:val="fr-CA"/>
              </w:rPr>
              <w:t xml:space="preserve">la </w:t>
            </w:r>
            <w:r w:rsidR="00800EBC" w:rsidRPr="0077239B">
              <w:rPr>
                <w:rFonts w:cs="Arial"/>
                <w:lang w:val="fr-CA"/>
              </w:rPr>
              <w:t>confirm</w:t>
            </w:r>
            <w:r w:rsidRPr="0077239B">
              <w:rPr>
                <w:rFonts w:cs="Arial"/>
                <w:lang w:val="fr-CA"/>
              </w:rPr>
              <w:t>ation</w:t>
            </w:r>
            <w:r w:rsidR="00800EBC" w:rsidRPr="0077239B">
              <w:rPr>
                <w:rFonts w:cs="Arial"/>
                <w:lang w:val="fr-CA"/>
              </w:rPr>
              <w:t xml:space="preserve"> qu’elle nous a fourni toutes les informations dont elle a connaissance et qui lui ont été demandées ou qui pourraient avoir une incidence importante sur les constatations ou la conclusion contenues dans le rapport;</w:t>
            </w:r>
          </w:p>
          <w:p w14:paraId="1B74874F" w14:textId="03D5AF1D" w:rsidR="00800EBC" w:rsidRPr="0077239B" w:rsidRDefault="00E03917" w:rsidP="00E029F5">
            <w:pPr>
              <w:pStyle w:val="AuditBullet"/>
              <w:rPr>
                <w:rFonts w:cs="Arial"/>
                <w:iCs/>
                <w:lang w:val="fr-CA"/>
              </w:rPr>
            </w:pPr>
            <w:r w:rsidRPr="0077239B">
              <w:rPr>
                <w:rFonts w:cs="Arial"/>
                <w:lang w:val="fr-CA"/>
              </w:rPr>
              <w:t xml:space="preserve">la </w:t>
            </w:r>
            <w:r w:rsidR="00800EBC" w:rsidRPr="0077239B">
              <w:rPr>
                <w:rFonts w:cs="Arial"/>
                <w:lang w:val="fr-CA"/>
              </w:rPr>
              <w:t>confirm</w:t>
            </w:r>
            <w:r w:rsidRPr="0077239B">
              <w:rPr>
                <w:rFonts w:cs="Arial"/>
                <w:lang w:val="fr-CA"/>
              </w:rPr>
              <w:t>ation</w:t>
            </w:r>
            <w:r w:rsidR="00800EBC" w:rsidRPr="0077239B">
              <w:rPr>
                <w:rFonts w:cs="Arial"/>
                <w:lang w:val="fr-CA"/>
              </w:rPr>
              <w:t xml:space="preserve"> que les faits présentés dans le rapport sont exacts.</w:t>
            </w:r>
          </w:p>
          <w:p w14:paraId="65C55AFA" w14:textId="4FBAB3D8" w:rsidR="00800EBC" w:rsidRPr="0077239B" w:rsidRDefault="00E03917" w:rsidP="00E029F5">
            <w:pPr>
              <w:pStyle w:val="AuditBullet"/>
              <w:numPr>
                <w:ilvl w:val="0"/>
                <w:numId w:val="0"/>
              </w:numPr>
              <w:rPr>
                <w:rFonts w:cs="Arial"/>
                <w:iCs/>
                <w:lang w:val="fr-CA"/>
              </w:rPr>
            </w:pPr>
            <w:r w:rsidRPr="0077239B">
              <w:rPr>
                <w:rFonts w:cs="Arial"/>
                <w:lang w:val="fr-CA"/>
              </w:rPr>
              <w:t>Cet énoncé</w:t>
            </w:r>
            <w:r w:rsidR="00800EBC" w:rsidRPr="0077239B">
              <w:rPr>
                <w:rFonts w:cs="Arial"/>
                <w:lang w:val="fr-CA"/>
              </w:rPr>
              <w:t xml:space="preserve"> est inclus dans la section « À propos de l’audit ».</w:t>
            </w:r>
          </w:p>
        </w:tc>
        <w:tc>
          <w:tcPr>
            <w:tcW w:w="1133" w:type="dxa"/>
            <w:tcMar>
              <w:top w:w="58" w:type="dxa"/>
              <w:bottom w:w="58" w:type="dxa"/>
            </w:tcMar>
            <w:vAlign w:val="center"/>
          </w:tcPr>
          <w:p w14:paraId="629429E3" w14:textId="0A6E2B81"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5B36270B" w14:textId="4294F4D6" w:rsidTr="00EA3626">
        <w:tc>
          <w:tcPr>
            <w:tcW w:w="8217" w:type="dxa"/>
            <w:tcMar>
              <w:top w:w="58" w:type="dxa"/>
              <w:bottom w:w="58" w:type="dxa"/>
            </w:tcMar>
            <w:vAlign w:val="center"/>
          </w:tcPr>
          <w:p w14:paraId="6C84CB1F" w14:textId="5C3007C4" w:rsidR="00800EBC" w:rsidRPr="0077239B" w:rsidRDefault="00800EBC" w:rsidP="00E029F5">
            <w:pPr>
              <w:spacing w:before="120" w:after="120"/>
              <w:ind w:left="34"/>
              <w:rPr>
                <w:rFonts w:eastAsia="Times New Roman" w:cs="Arial"/>
                <w:i/>
                <w:iCs/>
                <w:lang w:val="fr-CA"/>
              </w:rPr>
            </w:pPr>
            <w:r w:rsidRPr="0077239B">
              <w:rPr>
                <w:rFonts w:eastAsia="Times New Roman" w:cs="Arial"/>
                <w:b/>
                <w:iCs/>
                <w:lang w:val="fr-CA"/>
              </w:rPr>
              <w:t>La date du rapport</w:t>
            </w:r>
            <w:r w:rsidR="00E03917" w:rsidRPr="0077239B">
              <w:rPr>
                <w:rFonts w:eastAsia="Times New Roman" w:cs="Arial"/>
                <w:b/>
                <w:iCs/>
                <w:lang w:val="fr-CA"/>
              </w:rPr>
              <w:t xml:space="preserve"> de certification</w:t>
            </w:r>
            <w:r w:rsidR="00F13209" w:rsidRPr="0077239B">
              <w:rPr>
                <w:rFonts w:eastAsia="Times New Roman" w:cs="Arial"/>
                <w:iCs/>
                <w:lang w:val="fr-CA"/>
              </w:rPr>
              <w:t>.</w:t>
            </w:r>
            <w:r w:rsidR="00F90A33" w:rsidRPr="0077239B">
              <w:rPr>
                <w:rFonts w:eastAsia="Times New Roman" w:cs="Arial"/>
                <w:iCs/>
                <w:lang w:val="fr-CA"/>
              </w:rPr>
              <w:t xml:space="preserve"> </w:t>
            </w:r>
            <w:r w:rsidR="00F13209" w:rsidRPr="0077239B">
              <w:rPr>
                <w:rFonts w:cs="Arial"/>
                <w:lang w:val="fr-CA"/>
              </w:rPr>
              <w:t>[73 n);</w:t>
            </w:r>
            <w:r w:rsidR="00F13209" w:rsidRPr="0077239B" w:rsidDel="00F13209">
              <w:rPr>
                <w:rFonts w:cs="Arial"/>
                <w:lang w:val="fr-CA"/>
              </w:rPr>
              <w:t xml:space="preserve"> </w:t>
            </w:r>
            <w:r w:rsidR="00F13209" w:rsidRPr="0077239B">
              <w:rPr>
                <w:rFonts w:cs="Arial"/>
                <w:lang w:val="fr-CA"/>
              </w:rPr>
              <w:t>R</w:t>
            </w:r>
            <w:r w:rsidRPr="0077239B">
              <w:rPr>
                <w:rFonts w:cs="Arial"/>
                <w:lang w:val="fr-CA"/>
              </w:rPr>
              <w:t>éf. : par. A18</w:t>
            </w:r>
            <w:r w:rsidR="0078519C" w:rsidRPr="0077239B">
              <w:rPr>
                <w:rFonts w:cs="Arial"/>
                <w:lang w:val="fr-CA"/>
              </w:rPr>
              <w:t>3</w:t>
            </w:r>
            <w:r w:rsidRPr="0077239B">
              <w:rPr>
                <w:rFonts w:cs="Arial"/>
                <w:lang w:val="fr-CA"/>
              </w:rPr>
              <w:t>]</w:t>
            </w:r>
          </w:p>
          <w:p w14:paraId="7E1E44EB" w14:textId="129473B2" w:rsidR="00E770ED" w:rsidRPr="0077239B" w:rsidRDefault="00800EBC" w:rsidP="00E029F5">
            <w:pPr>
              <w:pStyle w:val="IFACListStyle2"/>
              <w:numPr>
                <w:ilvl w:val="0"/>
                <w:numId w:val="0"/>
              </w:numPr>
              <w:spacing w:after="120" w:line="240" w:lineRule="auto"/>
              <w:ind w:left="34"/>
              <w:jc w:val="left"/>
              <w:rPr>
                <w:rFonts w:cs="Arial"/>
                <w:sz w:val="22"/>
                <w:szCs w:val="22"/>
                <w:lang w:val="fr-CA"/>
              </w:rPr>
            </w:pPr>
            <w:r w:rsidRPr="0077239B">
              <w:rPr>
                <w:rFonts w:cs="Arial"/>
                <w:sz w:val="22"/>
                <w:szCs w:val="22"/>
                <w:lang w:val="fr-CA"/>
              </w:rPr>
              <w:t>Cette information se trouve à la sous-section intitulée « Date du rapport », dans la section « À propos de l’audit ».</w:t>
            </w:r>
            <w:r w:rsidR="00E770ED" w:rsidRPr="0077239B">
              <w:rPr>
                <w:rFonts w:cs="Arial"/>
                <w:sz w:val="22"/>
                <w:szCs w:val="22"/>
                <w:lang w:val="fr-CA"/>
              </w:rPr>
              <w:t xml:space="preserve"> En datant son rapport</w:t>
            </w:r>
            <w:r w:rsidR="00FD0734" w:rsidRPr="0077239B">
              <w:rPr>
                <w:rFonts w:cs="Arial"/>
                <w:sz w:val="22"/>
                <w:szCs w:val="22"/>
                <w:lang w:val="fr-CA"/>
              </w:rPr>
              <w:t>, le professionnel en exercice informe le lecteur qu’il a pris en considération l’incidence sur le rapport de certification des évènements survenus jusqu’à la date du rapport.</w:t>
            </w:r>
          </w:p>
          <w:p w14:paraId="4CF30687" w14:textId="55A61E31" w:rsidR="00E03917" w:rsidRPr="0077239B" w:rsidRDefault="00E03917" w:rsidP="00E029F5">
            <w:pPr>
              <w:pStyle w:val="IFACListStyle2"/>
              <w:numPr>
                <w:ilvl w:val="0"/>
                <w:numId w:val="0"/>
              </w:numPr>
              <w:spacing w:after="120" w:line="240" w:lineRule="auto"/>
              <w:ind w:left="34"/>
              <w:jc w:val="left"/>
              <w:rPr>
                <w:rFonts w:cs="Arial"/>
                <w:sz w:val="22"/>
                <w:szCs w:val="22"/>
                <w:lang w:val="fr-CA"/>
              </w:rPr>
            </w:pPr>
            <w:r w:rsidRPr="0077239B">
              <w:rPr>
                <w:rFonts w:cs="Arial"/>
                <w:sz w:val="22"/>
                <w:szCs w:val="22"/>
                <w:lang w:val="fr-CA"/>
              </w:rPr>
              <w:t>La</w:t>
            </w:r>
            <w:r w:rsidR="00800EBC" w:rsidRPr="0077239B">
              <w:rPr>
                <w:rFonts w:cs="Arial"/>
                <w:sz w:val="22"/>
                <w:szCs w:val="22"/>
                <w:lang w:val="fr-CA"/>
              </w:rPr>
              <w:t xml:space="preserve"> date </w:t>
            </w:r>
            <w:r w:rsidRPr="0077239B">
              <w:rPr>
                <w:rFonts w:cs="Arial"/>
                <w:sz w:val="22"/>
                <w:szCs w:val="22"/>
                <w:lang w:val="fr-CA"/>
              </w:rPr>
              <w:t xml:space="preserve">du rapport </w:t>
            </w:r>
            <w:r w:rsidR="00800EBC" w:rsidRPr="0077239B">
              <w:rPr>
                <w:rFonts w:cs="Arial"/>
                <w:sz w:val="22"/>
                <w:szCs w:val="22"/>
                <w:lang w:val="fr-CA"/>
              </w:rPr>
              <w:t xml:space="preserve">est déterminée par l’équipe et </w:t>
            </w:r>
            <w:r w:rsidR="00FD0734" w:rsidRPr="0077239B">
              <w:rPr>
                <w:rFonts w:cs="Arial"/>
                <w:sz w:val="22"/>
                <w:szCs w:val="22"/>
                <w:lang w:val="fr-CA"/>
              </w:rPr>
              <w:t>elle correspond à la date à laquelle</w:t>
            </w:r>
            <w:r w:rsidRPr="0077239B">
              <w:rPr>
                <w:rFonts w:cs="Arial"/>
                <w:sz w:val="22"/>
                <w:szCs w:val="22"/>
                <w:lang w:val="fr-CA"/>
              </w:rPr>
              <w:t> :</w:t>
            </w:r>
          </w:p>
          <w:p w14:paraId="0E2DB2C3" w14:textId="77777777" w:rsidR="00E03917" w:rsidRPr="0077239B" w:rsidRDefault="00E03917" w:rsidP="00495884">
            <w:pPr>
              <w:numPr>
                <w:ilvl w:val="0"/>
                <w:numId w:val="20"/>
              </w:numPr>
              <w:shd w:val="clear" w:color="auto" w:fill="FFFFFF"/>
              <w:spacing w:after="120"/>
              <w:ind w:left="750" w:right="300"/>
              <w:rPr>
                <w:rFonts w:eastAsia="Times New Roman" w:cs="Arial"/>
                <w:color w:val="000000"/>
                <w:lang w:val="fr-CA" w:eastAsia="en-CA"/>
              </w:rPr>
            </w:pPr>
            <w:r w:rsidRPr="0077239B">
              <w:rPr>
                <w:rFonts w:eastAsia="Times New Roman" w:cs="Arial"/>
                <w:color w:val="000000"/>
                <w:lang w:val="fr-CA" w:eastAsia="en-CA"/>
              </w:rPr>
              <w:t>l’équipe d’audit a obtenu des éléments probants suffisants et appropriés pour étayer la conclusion du rapport, et la documentation de l’audit a été revue par le responsable de la mission;</w:t>
            </w:r>
          </w:p>
          <w:p w14:paraId="0A2F9EB6" w14:textId="77777777" w:rsidR="00E03917" w:rsidRPr="0077239B" w:rsidRDefault="00E03917" w:rsidP="00495884">
            <w:pPr>
              <w:numPr>
                <w:ilvl w:val="0"/>
                <w:numId w:val="20"/>
              </w:numPr>
              <w:shd w:val="clear" w:color="auto" w:fill="FFFFFF"/>
              <w:spacing w:after="120"/>
              <w:ind w:left="750" w:right="300"/>
              <w:rPr>
                <w:rFonts w:eastAsia="Times New Roman" w:cs="Arial"/>
                <w:color w:val="000000"/>
                <w:lang w:val="fr-CA" w:eastAsia="en-CA"/>
              </w:rPr>
            </w:pPr>
            <w:r w:rsidRPr="0077239B">
              <w:rPr>
                <w:rFonts w:eastAsia="Times New Roman" w:cs="Arial"/>
                <w:color w:val="000000"/>
                <w:lang w:val="fr-CA" w:eastAsia="en-CA"/>
              </w:rPr>
              <w:t>le responsable de la revue de la qualité de la mission</w:t>
            </w:r>
            <w:r w:rsidRPr="0077239B" w:rsidDel="00B55FCC">
              <w:rPr>
                <w:rFonts w:eastAsia="Times New Roman" w:cs="Arial"/>
                <w:color w:val="000000"/>
                <w:lang w:val="fr-CA" w:eastAsia="en-CA"/>
              </w:rPr>
              <w:t xml:space="preserve"> </w:t>
            </w:r>
            <w:r w:rsidRPr="0077239B">
              <w:rPr>
                <w:rFonts w:eastAsia="Times New Roman" w:cs="Arial"/>
                <w:color w:val="000000"/>
                <w:lang w:val="fr-CA" w:eastAsia="en-CA"/>
              </w:rPr>
              <w:t>a terminé sa revue de la qualité de la mission;</w:t>
            </w:r>
          </w:p>
          <w:p w14:paraId="5FE8649D" w14:textId="0C3338CE" w:rsidR="00E03917" w:rsidRPr="0077239B" w:rsidRDefault="00E03917" w:rsidP="00495884">
            <w:pPr>
              <w:numPr>
                <w:ilvl w:val="0"/>
                <w:numId w:val="20"/>
              </w:numPr>
              <w:shd w:val="clear" w:color="auto" w:fill="FFFFFF"/>
              <w:spacing w:after="120"/>
              <w:ind w:left="750" w:right="300" w:hanging="357"/>
              <w:rPr>
                <w:rFonts w:eastAsia="Times New Roman" w:cs="Arial"/>
                <w:color w:val="000000"/>
                <w:lang w:val="fr-CA" w:eastAsia="en-CA"/>
              </w:rPr>
            </w:pPr>
            <w:r w:rsidRPr="0077239B">
              <w:rPr>
                <w:rFonts w:eastAsia="Times New Roman" w:cs="Arial"/>
                <w:color w:val="000000"/>
                <w:lang w:val="fr-CA" w:eastAsia="en-CA"/>
              </w:rPr>
              <w:t>toutes les divergences d’opinions au sein de l’équipe et avec les personnes consultées, ou entre le responsable de la mission et le responsable de la revue de la qualité de la missio</w:t>
            </w:r>
            <w:r w:rsidR="006A071F" w:rsidRPr="0077239B">
              <w:rPr>
                <w:rFonts w:eastAsia="Times New Roman" w:cs="Arial"/>
                <w:color w:val="000000"/>
                <w:lang w:val="fr-CA" w:eastAsia="en-CA"/>
              </w:rPr>
              <w:t>n, ont été abordées et résolues; et</w:t>
            </w:r>
          </w:p>
          <w:p w14:paraId="30D00342" w14:textId="4D352E04" w:rsidR="00C8060C" w:rsidRPr="0077239B" w:rsidRDefault="00E03917" w:rsidP="00495884">
            <w:pPr>
              <w:pStyle w:val="IFACListStyle2"/>
              <w:numPr>
                <w:ilvl w:val="0"/>
                <w:numId w:val="20"/>
              </w:numPr>
              <w:spacing w:before="0" w:after="120" w:line="240" w:lineRule="auto"/>
              <w:ind w:hanging="357"/>
              <w:jc w:val="left"/>
              <w:rPr>
                <w:rFonts w:cs="Arial"/>
                <w:sz w:val="22"/>
                <w:szCs w:val="22"/>
                <w:lang w:val="fr-CA"/>
              </w:rPr>
            </w:pPr>
            <w:r w:rsidRPr="0077239B">
              <w:rPr>
                <w:rFonts w:cs="Arial"/>
                <w:color w:val="000000"/>
                <w:sz w:val="22"/>
                <w:szCs w:val="22"/>
                <w:lang w:val="fr-CA" w:eastAsia="en-CA"/>
              </w:rPr>
              <w:lastRenderedPageBreak/>
              <w:t>l’équipe d’audit a obtenu une confirmation écrite que l’entité auditée a fourni toutes les informations dont elle a connaissance qui lui ont été demandées ou qui pourraient avoir une incidence importante sur les constatations ou la conclusion du rapport d’</w:t>
            </w:r>
            <w:r w:rsidR="006A071F" w:rsidRPr="0077239B">
              <w:rPr>
                <w:rFonts w:cs="Arial"/>
                <w:color w:val="000000"/>
                <w:sz w:val="22"/>
                <w:szCs w:val="22"/>
                <w:lang w:val="fr-CA" w:eastAsia="en-CA"/>
              </w:rPr>
              <w:t>audit.</w:t>
            </w:r>
          </w:p>
          <w:p w14:paraId="05A7E6D7" w14:textId="77777777" w:rsidR="00F51541" w:rsidRPr="0077239B" w:rsidRDefault="00851889" w:rsidP="00495884">
            <w:pPr>
              <w:pStyle w:val="IFACListStyle2"/>
              <w:numPr>
                <w:ilvl w:val="0"/>
                <w:numId w:val="0"/>
              </w:numPr>
              <w:spacing w:after="120" w:line="240" w:lineRule="auto"/>
              <w:ind w:left="34"/>
              <w:jc w:val="left"/>
              <w:rPr>
                <w:rFonts w:cs="Arial"/>
                <w:color w:val="000000"/>
                <w:sz w:val="22"/>
                <w:szCs w:val="22"/>
                <w:lang w:val="fr-CA" w:eastAsia="en-CA"/>
              </w:rPr>
            </w:pPr>
            <w:r w:rsidRPr="0077239B">
              <w:rPr>
                <w:rFonts w:cs="Arial"/>
                <w:color w:val="000000"/>
                <w:sz w:val="22"/>
                <w:szCs w:val="22"/>
                <w:lang w:val="fr-CA" w:eastAsia="en-CA"/>
              </w:rPr>
              <w:t xml:space="preserve">Pour les missions qui </w:t>
            </w:r>
            <w:r w:rsidRPr="0077239B">
              <w:rPr>
                <w:rFonts w:cs="Arial"/>
                <w:b/>
                <w:color w:val="000000"/>
                <w:sz w:val="22"/>
                <w:szCs w:val="22"/>
                <w:lang w:val="fr-CA" w:eastAsia="en-CA"/>
              </w:rPr>
              <w:t>débutent le 15 décembre 2022</w:t>
            </w:r>
            <w:r w:rsidRPr="0077239B">
              <w:rPr>
                <w:rFonts w:cs="Arial"/>
                <w:color w:val="000000"/>
                <w:sz w:val="22"/>
                <w:szCs w:val="22"/>
                <w:lang w:val="fr-CA" w:eastAsia="en-CA"/>
              </w:rPr>
              <w:t xml:space="preserve"> ou après, l’exigence suivante est également </w:t>
            </w:r>
            <w:r w:rsidR="00F51541" w:rsidRPr="0077239B">
              <w:rPr>
                <w:rFonts w:cs="Arial"/>
                <w:color w:val="000000"/>
                <w:sz w:val="22"/>
                <w:szCs w:val="22"/>
                <w:lang w:val="fr-CA" w:eastAsia="en-CA"/>
              </w:rPr>
              <w:t>applicable :</w:t>
            </w:r>
          </w:p>
          <w:p w14:paraId="3B58221C" w14:textId="154F8C9E" w:rsidR="00851889" w:rsidRPr="0077239B" w:rsidRDefault="00851889" w:rsidP="00495884">
            <w:pPr>
              <w:pStyle w:val="IFACListStyle2"/>
              <w:numPr>
                <w:ilvl w:val="0"/>
                <w:numId w:val="0"/>
              </w:numPr>
              <w:spacing w:after="120" w:line="240" w:lineRule="auto"/>
              <w:ind w:left="34"/>
              <w:jc w:val="left"/>
              <w:rPr>
                <w:rFonts w:cs="Arial"/>
                <w:color w:val="000000"/>
                <w:sz w:val="22"/>
                <w:szCs w:val="22"/>
                <w:lang w:val="fr-CA" w:eastAsia="en-CA"/>
              </w:rPr>
            </w:pPr>
            <w:r w:rsidRPr="0077239B">
              <w:rPr>
                <w:rFonts w:cs="Arial"/>
                <w:color w:val="000000"/>
                <w:sz w:val="22"/>
                <w:szCs w:val="22"/>
                <w:lang w:val="fr-CA" w:eastAsia="en-CA"/>
              </w:rPr>
              <w:t>Le responsable de la mission ne doit pas dater le rapport de certification tant que le responsable de la revue de la qualité de la mission ne l’ait informé que la revue de la qualité de la mission est achevée.</w:t>
            </w:r>
          </w:p>
          <w:p w14:paraId="1167593B" w14:textId="0905D49D" w:rsidR="00800EBC" w:rsidRPr="0077239B" w:rsidRDefault="00800EBC" w:rsidP="00495884">
            <w:pPr>
              <w:pStyle w:val="IFACListStyle2"/>
              <w:numPr>
                <w:ilvl w:val="0"/>
                <w:numId w:val="0"/>
              </w:numPr>
              <w:spacing w:after="120" w:line="240" w:lineRule="auto"/>
              <w:ind w:left="34"/>
              <w:jc w:val="left"/>
              <w:rPr>
                <w:rFonts w:cs="Arial"/>
                <w:sz w:val="22"/>
                <w:szCs w:val="22"/>
                <w:lang w:val="fr-CA"/>
              </w:rPr>
            </w:pPr>
            <w:r w:rsidRPr="0077239B">
              <w:rPr>
                <w:rFonts w:cs="Arial"/>
                <w:sz w:val="22"/>
                <w:szCs w:val="22"/>
                <w:lang w:val="fr-CA"/>
              </w:rPr>
              <w:t xml:space="preserve">Voir </w:t>
            </w:r>
            <w:hyperlink r:id="rId23" w:history="1">
              <w:r w:rsidRPr="0077239B">
                <w:rPr>
                  <w:rStyle w:val="Lienhypertexte"/>
                  <w:rFonts w:cs="Arial"/>
                  <w:sz w:val="22"/>
                  <w:szCs w:val="22"/>
                  <w:lang w:val="fr-CA"/>
                </w:rPr>
                <w:t>BVG Audit 8017</w:t>
              </w:r>
            </w:hyperlink>
            <w:r w:rsidRPr="0077239B">
              <w:rPr>
                <w:rFonts w:cs="Arial"/>
                <w:sz w:val="22"/>
                <w:szCs w:val="22"/>
                <w:lang w:val="fr-CA"/>
              </w:rPr>
              <w:t> — Approbation du contenu du rapport et date du rapport, pour plus d’informations à ce sujet.</w:t>
            </w:r>
          </w:p>
        </w:tc>
        <w:tc>
          <w:tcPr>
            <w:tcW w:w="1133" w:type="dxa"/>
            <w:tcMar>
              <w:top w:w="58" w:type="dxa"/>
              <w:bottom w:w="58" w:type="dxa"/>
            </w:tcMar>
            <w:vAlign w:val="center"/>
          </w:tcPr>
          <w:p w14:paraId="194A48C5" w14:textId="6848B595" w:rsidR="00800EBC" w:rsidRPr="0077239B" w:rsidRDefault="00800EBC" w:rsidP="00E029F5">
            <w:pPr>
              <w:spacing w:before="120" w:after="120"/>
              <w:jc w:val="center"/>
              <w:rPr>
                <w:rFonts w:cs="Arial"/>
                <w:lang w:val="fr-CA"/>
              </w:rPr>
            </w:pPr>
            <w:r w:rsidRPr="0077239B">
              <w:rPr>
                <w:rFonts w:cs="Arial"/>
                <w:lang w:val="fr-CA"/>
              </w:rPr>
              <w:lastRenderedPageBreak/>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48DBD333" w14:textId="6D51DC9F" w:rsidTr="00EA3626">
        <w:tc>
          <w:tcPr>
            <w:tcW w:w="8217" w:type="dxa"/>
            <w:tcMar>
              <w:top w:w="58" w:type="dxa"/>
              <w:bottom w:w="58" w:type="dxa"/>
            </w:tcMar>
            <w:vAlign w:val="center"/>
          </w:tcPr>
          <w:p w14:paraId="79C466E9" w14:textId="67FDCDA9" w:rsidR="00800EBC" w:rsidRPr="0077239B" w:rsidRDefault="00800EBC" w:rsidP="00E029F5">
            <w:pPr>
              <w:pStyle w:val="IFACListStyle2"/>
              <w:keepNext/>
              <w:keepLines/>
              <w:numPr>
                <w:ilvl w:val="0"/>
                <w:numId w:val="0"/>
              </w:numPr>
              <w:spacing w:after="120" w:line="240" w:lineRule="auto"/>
              <w:jc w:val="left"/>
              <w:rPr>
                <w:rFonts w:cs="Arial"/>
                <w:sz w:val="22"/>
                <w:szCs w:val="22"/>
                <w:highlight w:val="green"/>
                <w:lang w:val="fr-CA"/>
              </w:rPr>
            </w:pPr>
            <w:r w:rsidRPr="0077239B">
              <w:rPr>
                <w:rFonts w:cs="Arial"/>
                <w:b/>
                <w:sz w:val="22"/>
                <w:szCs w:val="22"/>
                <w:lang w:val="fr-CA"/>
              </w:rPr>
              <w:t>Le lieu, dans le pays concerné, où le professionnel en exercice exerce son activité</w:t>
            </w:r>
            <w:r w:rsidR="00F13209" w:rsidRPr="0077239B">
              <w:rPr>
                <w:rFonts w:cs="Arial"/>
                <w:b/>
                <w:sz w:val="22"/>
                <w:szCs w:val="22"/>
                <w:lang w:val="fr-CA"/>
              </w:rPr>
              <w:t>.</w:t>
            </w:r>
            <w:r w:rsidRPr="0077239B">
              <w:rPr>
                <w:rFonts w:cs="Arial"/>
                <w:sz w:val="22"/>
                <w:szCs w:val="22"/>
                <w:lang w:val="fr-CA"/>
              </w:rPr>
              <w:t xml:space="preserve"> [73 o)]</w:t>
            </w:r>
          </w:p>
          <w:p w14:paraId="305F7B31" w14:textId="339D907E" w:rsidR="00800EBC" w:rsidRPr="0077239B" w:rsidRDefault="00800EBC" w:rsidP="00E029F5">
            <w:pPr>
              <w:pStyle w:val="IFACListStyle2"/>
              <w:keepNext/>
              <w:keepLines/>
              <w:numPr>
                <w:ilvl w:val="0"/>
                <w:numId w:val="0"/>
              </w:numPr>
              <w:spacing w:after="120" w:line="240" w:lineRule="auto"/>
              <w:jc w:val="left"/>
              <w:rPr>
                <w:rFonts w:cs="Arial"/>
                <w:sz w:val="22"/>
                <w:szCs w:val="22"/>
                <w:lang w:val="fr-FR"/>
              </w:rPr>
            </w:pPr>
            <w:r w:rsidRPr="0077239B">
              <w:rPr>
                <w:rFonts w:cs="Arial"/>
                <w:sz w:val="22"/>
                <w:szCs w:val="22"/>
                <w:lang w:val="fr-CA"/>
              </w:rPr>
              <w:t xml:space="preserve">Cette information se trouve à la sous-section « Date du rapport », dans la section « À propos de l’audit ». L’équipe doit établir le lieu d’exercice et en faire mention dans la déclaration standard du rapport. Le </w:t>
            </w:r>
            <w:r w:rsidRPr="0077239B">
              <w:rPr>
                <w:rFonts w:cs="Arial"/>
                <w:sz w:val="22"/>
                <w:szCs w:val="22"/>
                <w:lang w:val="fr-FR"/>
              </w:rPr>
              <w:t>format est [</w:t>
            </w:r>
            <w:r w:rsidR="000D054E" w:rsidRPr="0077239B">
              <w:rPr>
                <w:rFonts w:cs="Arial"/>
                <w:sz w:val="22"/>
                <w:szCs w:val="22"/>
                <w:lang w:val="fr-FR"/>
              </w:rPr>
              <w:t>ville</w:t>
            </w:r>
            <w:r w:rsidRPr="0077239B">
              <w:rPr>
                <w:rFonts w:cs="Arial"/>
                <w:sz w:val="22"/>
                <w:szCs w:val="22"/>
                <w:lang w:val="fr-FR"/>
              </w:rPr>
              <w:t>], Canada.</w:t>
            </w:r>
          </w:p>
          <w:p w14:paraId="297BA8D3" w14:textId="7E0DB640" w:rsidR="00800EBC" w:rsidRPr="0077239B" w:rsidDel="006047C0" w:rsidRDefault="00800EBC" w:rsidP="00E029F5">
            <w:pPr>
              <w:pStyle w:val="IFACListStyle2"/>
              <w:keepNext/>
              <w:keepLines/>
              <w:numPr>
                <w:ilvl w:val="0"/>
                <w:numId w:val="0"/>
              </w:numPr>
              <w:spacing w:after="120" w:line="240" w:lineRule="auto"/>
              <w:jc w:val="left"/>
              <w:rPr>
                <w:rFonts w:cs="Arial"/>
                <w:iCs/>
                <w:sz w:val="22"/>
                <w:szCs w:val="22"/>
                <w:lang w:val="fr-CA"/>
              </w:rPr>
            </w:pPr>
            <w:r w:rsidRPr="0077239B">
              <w:rPr>
                <w:rFonts w:cs="Arial"/>
                <w:sz w:val="22"/>
                <w:szCs w:val="22"/>
                <w:lang w:val="fr-CA"/>
              </w:rPr>
              <w:t xml:space="preserve">Se reporter à </w:t>
            </w:r>
            <w:hyperlink r:id="rId24" w:history="1">
              <w:r w:rsidRPr="0077239B">
                <w:rPr>
                  <w:rStyle w:val="Lienhypertexte"/>
                  <w:rFonts w:cs="Arial"/>
                  <w:sz w:val="22"/>
                  <w:szCs w:val="22"/>
                  <w:lang w:val="fr-CA"/>
                </w:rPr>
                <w:t>BVG Audit 7030</w:t>
              </w:r>
            </w:hyperlink>
            <w:r w:rsidRPr="0077239B">
              <w:rPr>
                <w:rFonts w:cs="Arial"/>
                <w:sz w:val="22"/>
                <w:szCs w:val="22"/>
                <w:lang w:val="fr-CA"/>
              </w:rPr>
              <w:t> — Rédaction du rapport d’audit, pour obtenir des directives sur les facteurs à considérer au moment de désigner le lieu d’exercice. Pour les audits de performance (y compris les rapports du CEDD et les audits de performance des territoires), le lieu figurant dans le rapport est généralement « Ottawa, Canada ». Il faut faire particulièrement attention aux audits de performance des territoires qui sont réalisés par des auditeurs qui ne travaillent pas à Ottawa ou lorsque des déplacements pendant des périodes prolongées et continues sont effectués au cours d’un audit.</w:t>
            </w:r>
          </w:p>
        </w:tc>
        <w:tc>
          <w:tcPr>
            <w:tcW w:w="1133" w:type="dxa"/>
            <w:tcMar>
              <w:top w:w="58" w:type="dxa"/>
              <w:bottom w:w="58" w:type="dxa"/>
            </w:tcMar>
            <w:vAlign w:val="center"/>
          </w:tcPr>
          <w:p w14:paraId="1CA9D89B" w14:textId="5C694C82"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0DF0A68E" w14:textId="561DA958" w:rsidTr="00EA3626">
        <w:tc>
          <w:tcPr>
            <w:tcW w:w="8217" w:type="dxa"/>
            <w:tcMar>
              <w:top w:w="58" w:type="dxa"/>
              <w:bottom w:w="58" w:type="dxa"/>
            </w:tcMar>
            <w:vAlign w:val="center"/>
          </w:tcPr>
          <w:p w14:paraId="344222F8" w14:textId="2D01B55C"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b/>
                <w:sz w:val="22"/>
                <w:szCs w:val="22"/>
                <w:lang w:val="fr-CA"/>
              </w:rPr>
              <w:t>Tient compte des événements postérieurs et les divulgue</w:t>
            </w:r>
            <w:r w:rsidR="00F13209" w:rsidRPr="0077239B">
              <w:rPr>
                <w:rFonts w:cs="Arial"/>
                <w:b/>
                <w:sz w:val="22"/>
                <w:szCs w:val="22"/>
                <w:lang w:val="fr-CA"/>
              </w:rPr>
              <w:t>.</w:t>
            </w:r>
            <w:r w:rsidRPr="0077239B">
              <w:rPr>
                <w:rFonts w:cs="Arial"/>
                <w:b/>
                <w:sz w:val="22"/>
                <w:szCs w:val="22"/>
                <w:lang w:val="fr-CA"/>
              </w:rPr>
              <w:t xml:space="preserve"> </w:t>
            </w:r>
            <w:r w:rsidR="00F13209" w:rsidRPr="0077239B">
              <w:rPr>
                <w:rFonts w:cs="Arial"/>
                <w:sz w:val="22"/>
                <w:szCs w:val="22"/>
                <w:lang w:val="fr-CA"/>
              </w:rPr>
              <w:t>[66; R</w:t>
            </w:r>
            <w:r w:rsidRPr="0077239B">
              <w:rPr>
                <w:rFonts w:cs="Arial"/>
                <w:sz w:val="22"/>
                <w:szCs w:val="22"/>
                <w:lang w:val="fr-CA"/>
              </w:rPr>
              <w:t>éf. : par. A14</w:t>
            </w:r>
            <w:r w:rsidR="000D054E" w:rsidRPr="0077239B">
              <w:rPr>
                <w:rFonts w:cs="Arial"/>
                <w:sz w:val="22"/>
                <w:szCs w:val="22"/>
                <w:lang w:val="fr-CA"/>
              </w:rPr>
              <w:t>1</w:t>
            </w:r>
            <w:r w:rsidRPr="0077239B">
              <w:rPr>
                <w:rFonts w:cs="Arial"/>
                <w:sz w:val="22"/>
                <w:szCs w:val="22"/>
                <w:lang w:val="fr-CA"/>
              </w:rPr>
              <w:t>-A14</w:t>
            </w:r>
            <w:r w:rsidR="000D054E" w:rsidRPr="0077239B">
              <w:rPr>
                <w:rFonts w:cs="Arial"/>
                <w:sz w:val="22"/>
                <w:szCs w:val="22"/>
                <w:lang w:val="fr-CA"/>
              </w:rPr>
              <w:t>2</w:t>
            </w:r>
            <w:r w:rsidRPr="0077239B">
              <w:rPr>
                <w:rFonts w:cs="Arial"/>
                <w:sz w:val="22"/>
                <w:szCs w:val="22"/>
                <w:lang w:val="fr-CA"/>
              </w:rPr>
              <w:t>]</w:t>
            </w:r>
          </w:p>
          <w:p w14:paraId="21AF0D2E" w14:textId="61BF4BAA" w:rsidR="00800EBC" w:rsidRPr="0077239B" w:rsidRDefault="00800EBC"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L’équipe d’audit a tenu compte de l’incidence, sur l’objet considéré de l’audit et son rapport d’audit, des événements survenus jusqu’à la date du rapport ainsi que des faits dont elle a pris connaissance après cette date, s’il y a lieu. L’équipe d’audit a pris des mesures qui s’imposaient, notamment l’évaluation de l’incidence sur le rapport d’audit, sur ses constatations et sur ses conclusions. Au besoin, les événements postérieurs ont été divulgués dans le rapport (</w:t>
            </w:r>
            <w:r w:rsidR="008A0BBE" w:rsidRPr="0077239B">
              <w:rPr>
                <w:rFonts w:cs="Arial"/>
                <w:sz w:val="22"/>
                <w:szCs w:val="22"/>
                <w:lang w:val="fr-CA"/>
              </w:rPr>
              <w:t>habituellement</w:t>
            </w:r>
            <w:r w:rsidRPr="0077239B">
              <w:rPr>
                <w:rFonts w:cs="Arial"/>
                <w:sz w:val="22"/>
                <w:szCs w:val="22"/>
                <w:lang w:val="fr-CA"/>
              </w:rPr>
              <w:t xml:space="preserve"> dans une section intitulée « Événements postérieurs », </w:t>
            </w:r>
            <w:r w:rsidR="008A0BBE" w:rsidRPr="0077239B">
              <w:rPr>
                <w:rFonts w:cs="Arial"/>
                <w:sz w:val="22"/>
                <w:szCs w:val="22"/>
                <w:lang w:val="fr-CA"/>
              </w:rPr>
              <w:t xml:space="preserve">après la section de la conclusion </w:t>
            </w:r>
            <w:r w:rsidRPr="0077239B">
              <w:rPr>
                <w:rFonts w:cs="Arial"/>
                <w:sz w:val="22"/>
                <w:szCs w:val="22"/>
                <w:lang w:val="fr-CA"/>
              </w:rPr>
              <w:t>dans le rapport).</w:t>
            </w:r>
            <w:r w:rsidR="00920C65" w:rsidRPr="0077239B">
              <w:rPr>
                <w:rFonts w:cs="Arial"/>
                <w:sz w:val="22"/>
                <w:szCs w:val="22"/>
                <w:lang w:val="fr-CA"/>
              </w:rPr>
              <w:t xml:space="preserve"> </w:t>
            </w:r>
            <w:r w:rsidRPr="0077239B">
              <w:rPr>
                <w:rFonts w:cs="Arial"/>
                <w:sz w:val="22"/>
                <w:szCs w:val="22"/>
                <w:lang w:val="fr-CA"/>
              </w:rPr>
              <w:t xml:space="preserve">Voir </w:t>
            </w:r>
            <w:hyperlink r:id="rId25" w:history="1">
              <w:r w:rsidRPr="0077239B">
                <w:rPr>
                  <w:rStyle w:val="Lienhypertexte"/>
                  <w:rFonts w:cs="Arial"/>
                  <w:sz w:val="22"/>
                  <w:szCs w:val="22"/>
                  <w:lang w:val="fr-CA"/>
                </w:rPr>
                <w:t>BVG Audit 8030</w:t>
              </w:r>
            </w:hyperlink>
            <w:r w:rsidRPr="0077239B">
              <w:rPr>
                <w:rFonts w:cs="Arial"/>
                <w:sz w:val="22"/>
                <w:szCs w:val="22"/>
                <w:lang w:val="fr-CA"/>
              </w:rPr>
              <w:t> — Événements postérieurs pour plus d’informations.</w:t>
            </w:r>
          </w:p>
        </w:tc>
        <w:tc>
          <w:tcPr>
            <w:tcW w:w="1133" w:type="dxa"/>
            <w:tcMar>
              <w:top w:w="58" w:type="dxa"/>
              <w:bottom w:w="58" w:type="dxa"/>
            </w:tcMar>
            <w:vAlign w:val="center"/>
          </w:tcPr>
          <w:p w14:paraId="6F3CDB02" w14:textId="0EAAD5B7"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1F6A3D02" w14:textId="6B61C8BB" w:rsidTr="00EA3626">
        <w:tc>
          <w:tcPr>
            <w:tcW w:w="8217" w:type="dxa"/>
            <w:tcMar>
              <w:top w:w="58" w:type="dxa"/>
              <w:bottom w:w="58" w:type="dxa"/>
            </w:tcMar>
            <w:vAlign w:val="center"/>
          </w:tcPr>
          <w:p w14:paraId="64324623" w14:textId="012E6B65" w:rsidR="00800EBC" w:rsidRPr="0077239B" w:rsidRDefault="008A0BBE" w:rsidP="00E029F5">
            <w:pPr>
              <w:pStyle w:val="IFACListStyle2"/>
              <w:numPr>
                <w:ilvl w:val="0"/>
                <w:numId w:val="0"/>
              </w:numPr>
              <w:spacing w:after="120" w:line="240" w:lineRule="auto"/>
              <w:jc w:val="left"/>
              <w:rPr>
                <w:rFonts w:cs="Arial"/>
                <w:b/>
                <w:i/>
                <w:sz w:val="22"/>
                <w:szCs w:val="22"/>
                <w:lang w:val="fr-CA"/>
              </w:rPr>
            </w:pPr>
            <w:r w:rsidRPr="0077239B">
              <w:rPr>
                <w:rFonts w:cs="Arial"/>
                <w:b/>
                <w:sz w:val="22"/>
                <w:szCs w:val="22"/>
                <w:lang w:val="fr-CA"/>
              </w:rPr>
              <w:t>Si l’équipe de mission fait mention des travaux d’un expert qu’</w:t>
            </w:r>
            <w:r w:rsidR="00920C65" w:rsidRPr="0077239B">
              <w:rPr>
                <w:rFonts w:cs="Arial"/>
                <w:b/>
                <w:sz w:val="22"/>
                <w:szCs w:val="22"/>
                <w:lang w:val="fr-CA"/>
              </w:rPr>
              <w:t xml:space="preserve">elle </w:t>
            </w:r>
            <w:r w:rsidRPr="0077239B">
              <w:rPr>
                <w:rFonts w:cs="Arial"/>
                <w:b/>
                <w:sz w:val="22"/>
                <w:szCs w:val="22"/>
                <w:lang w:val="fr-CA"/>
              </w:rPr>
              <w:t>a choisi dans son rapport de certification</w:t>
            </w:r>
            <w:r w:rsidR="00977620" w:rsidRPr="0077239B">
              <w:rPr>
                <w:rFonts w:cs="Arial"/>
                <w:b/>
                <w:sz w:val="22"/>
                <w:szCs w:val="22"/>
                <w:lang w:val="fr-CA"/>
              </w:rPr>
              <w:t>, le libellé de ce rapport</w:t>
            </w:r>
            <w:r w:rsidR="00800EBC" w:rsidRPr="0077239B">
              <w:rPr>
                <w:rFonts w:cs="Arial"/>
                <w:b/>
                <w:sz w:val="22"/>
                <w:szCs w:val="22"/>
                <w:lang w:val="fr-CA"/>
              </w:rPr>
              <w:t xml:space="preserve"> ne </w:t>
            </w:r>
            <w:r w:rsidR="00920C65" w:rsidRPr="0077239B">
              <w:rPr>
                <w:rFonts w:cs="Arial"/>
                <w:b/>
                <w:sz w:val="22"/>
                <w:szCs w:val="22"/>
                <w:lang w:val="fr-CA"/>
              </w:rPr>
              <w:t xml:space="preserve">doit </w:t>
            </w:r>
            <w:r w:rsidR="00800EBC" w:rsidRPr="0077239B">
              <w:rPr>
                <w:rFonts w:cs="Arial"/>
                <w:b/>
                <w:sz w:val="22"/>
                <w:szCs w:val="22"/>
                <w:lang w:val="fr-CA"/>
              </w:rPr>
              <w:t xml:space="preserve">pas </w:t>
            </w:r>
            <w:r w:rsidR="00920C65" w:rsidRPr="0077239B">
              <w:rPr>
                <w:rFonts w:cs="Arial"/>
                <w:b/>
                <w:sz w:val="22"/>
                <w:szCs w:val="22"/>
                <w:lang w:val="fr-CA"/>
              </w:rPr>
              <w:t xml:space="preserve">donner </w:t>
            </w:r>
            <w:r w:rsidR="00800EBC" w:rsidRPr="0077239B">
              <w:rPr>
                <w:rFonts w:cs="Arial"/>
                <w:b/>
                <w:sz w:val="22"/>
                <w:szCs w:val="22"/>
                <w:lang w:val="fr-CA"/>
              </w:rPr>
              <w:t xml:space="preserve">à entendre que la responsabilité de l’équipe d’audit à l’égard de la conclusion exprimée se trouve </w:t>
            </w:r>
            <w:r w:rsidR="00920C65" w:rsidRPr="0077239B">
              <w:rPr>
                <w:rFonts w:cs="Arial"/>
                <w:b/>
                <w:sz w:val="22"/>
                <w:szCs w:val="22"/>
                <w:lang w:val="fr-CA"/>
              </w:rPr>
              <w:t xml:space="preserve">réduite </w:t>
            </w:r>
            <w:r w:rsidR="00800EBC" w:rsidRPr="0077239B">
              <w:rPr>
                <w:rFonts w:cs="Arial"/>
                <w:b/>
                <w:sz w:val="22"/>
                <w:szCs w:val="22"/>
                <w:lang w:val="fr-CA"/>
              </w:rPr>
              <w:t xml:space="preserve">du fait de l’intervention </w:t>
            </w:r>
            <w:r w:rsidR="00920C65" w:rsidRPr="0077239B">
              <w:rPr>
                <w:rFonts w:cs="Arial"/>
                <w:b/>
                <w:sz w:val="22"/>
                <w:szCs w:val="22"/>
                <w:lang w:val="fr-CA"/>
              </w:rPr>
              <w:t>de cet </w:t>
            </w:r>
            <w:r w:rsidR="00800EBC" w:rsidRPr="0077239B">
              <w:rPr>
                <w:rFonts w:cs="Arial"/>
                <w:b/>
                <w:sz w:val="22"/>
                <w:szCs w:val="22"/>
                <w:lang w:val="fr-CA"/>
              </w:rPr>
              <w:t>expert</w:t>
            </w:r>
            <w:r w:rsidR="00F13209" w:rsidRPr="0077239B">
              <w:rPr>
                <w:rFonts w:cs="Arial"/>
                <w:b/>
                <w:sz w:val="22"/>
                <w:szCs w:val="22"/>
                <w:lang w:val="fr-CA"/>
              </w:rPr>
              <w:t>.</w:t>
            </w:r>
            <w:r w:rsidR="00800EBC" w:rsidRPr="0077239B">
              <w:rPr>
                <w:rFonts w:cs="Arial"/>
                <w:b/>
                <w:sz w:val="22"/>
                <w:szCs w:val="22"/>
                <w:lang w:val="fr-CA"/>
              </w:rPr>
              <w:t xml:space="preserve"> </w:t>
            </w:r>
            <w:r w:rsidR="00F13209" w:rsidRPr="0077239B">
              <w:rPr>
                <w:rFonts w:cs="Arial"/>
                <w:sz w:val="22"/>
                <w:szCs w:val="22"/>
                <w:lang w:val="fr-CA"/>
              </w:rPr>
              <w:t>[74; R</w:t>
            </w:r>
            <w:r w:rsidR="00800EBC" w:rsidRPr="0077239B">
              <w:rPr>
                <w:rFonts w:cs="Arial"/>
                <w:sz w:val="22"/>
                <w:szCs w:val="22"/>
                <w:lang w:val="fr-CA"/>
              </w:rPr>
              <w:t>éf. : par. A18</w:t>
            </w:r>
            <w:r w:rsidR="000D054E" w:rsidRPr="0077239B">
              <w:rPr>
                <w:rFonts w:cs="Arial"/>
                <w:sz w:val="22"/>
                <w:szCs w:val="22"/>
                <w:lang w:val="fr-CA"/>
              </w:rPr>
              <w:t>4</w:t>
            </w:r>
            <w:r w:rsidR="00800EBC" w:rsidRPr="0077239B">
              <w:rPr>
                <w:rFonts w:cs="Arial"/>
                <w:sz w:val="22"/>
                <w:szCs w:val="22"/>
                <w:lang w:val="fr-CA"/>
              </w:rPr>
              <w:t>-A18</w:t>
            </w:r>
            <w:r w:rsidR="000D054E" w:rsidRPr="0077239B">
              <w:rPr>
                <w:rFonts w:cs="Arial"/>
                <w:sz w:val="22"/>
                <w:szCs w:val="22"/>
                <w:lang w:val="fr-CA"/>
              </w:rPr>
              <w:t>6</w:t>
            </w:r>
            <w:r w:rsidR="00800EBC" w:rsidRPr="0077239B">
              <w:rPr>
                <w:rFonts w:cs="Arial"/>
                <w:sz w:val="22"/>
                <w:szCs w:val="22"/>
                <w:lang w:val="fr-CA"/>
              </w:rPr>
              <w:t>]</w:t>
            </w:r>
          </w:p>
        </w:tc>
        <w:tc>
          <w:tcPr>
            <w:tcW w:w="1133" w:type="dxa"/>
            <w:tcMar>
              <w:top w:w="58" w:type="dxa"/>
              <w:bottom w:w="58" w:type="dxa"/>
            </w:tcMar>
            <w:vAlign w:val="center"/>
          </w:tcPr>
          <w:p w14:paraId="4BD88530" w14:textId="1FAB149E"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800EBC" w:rsidRPr="0077239B" w14:paraId="52A2408A" w14:textId="45B62435" w:rsidTr="00EA3626">
        <w:tc>
          <w:tcPr>
            <w:tcW w:w="8217" w:type="dxa"/>
            <w:tcMar>
              <w:top w:w="58" w:type="dxa"/>
              <w:bottom w:w="58" w:type="dxa"/>
            </w:tcMar>
            <w:vAlign w:val="center"/>
          </w:tcPr>
          <w:p w14:paraId="49B33AE3" w14:textId="7215468A"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b/>
                <w:sz w:val="22"/>
                <w:szCs w:val="22"/>
                <w:lang w:val="fr-CA"/>
              </w:rPr>
              <w:lastRenderedPageBreak/>
              <w:t>Communique de l’information additionnelle de manière appropriée</w:t>
            </w:r>
            <w:r w:rsidR="00F13209" w:rsidRPr="0077239B">
              <w:rPr>
                <w:rFonts w:cs="Arial"/>
                <w:b/>
                <w:sz w:val="22"/>
                <w:szCs w:val="22"/>
                <w:lang w:val="fr-CA"/>
              </w:rPr>
              <w:t>.</w:t>
            </w:r>
            <w:r w:rsidRPr="0077239B">
              <w:rPr>
                <w:rFonts w:cs="Arial"/>
                <w:sz w:val="22"/>
                <w:szCs w:val="22"/>
                <w:lang w:val="fr-CA"/>
              </w:rPr>
              <w:t xml:space="preserve"> </w:t>
            </w:r>
            <w:r w:rsidR="00F13209" w:rsidRPr="0077239B">
              <w:rPr>
                <w:rFonts w:cs="Arial"/>
                <w:sz w:val="22"/>
                <w:szCs w:val="22"/>
                <w:lang w:val="fr-CA"/>
              </w:rPr>
              <w:t>[77</w:t>
            </w:r>
            <w:r w:rsidRPr="0077239B">
              <w:rPr>
                <w:rFonts w:cs="Arial"/>
                <w:sz w:val="22"/>
                <w:szCs w:val="22"/>
                <w:lang w:val="fr-CA"/>
              </w:rPr>
              <w:t>]</w:t>
            </w:r>
          </w:p>
          <w:p w14:paraId="7BE6E30A" w14:textId="68D81F5A" w:rsidR="00800EBC" w:rsidRPr="0077239B" w:rsidRDefault="00800EBC" w:rsidP="00E029F5">
            <w:pPr>
              <w:pStyle w:val="IFACListStyle2"/>
              <w:keepNext/>
              <w:keepLines/>
              <w:numPr>
                <w:ilvl w:val="0"/>
                <w:numId w:val="0"/>
              </w:numPr>
              <w:spacing w:after="120" w:line="240" w:lineRule="auto"/>
              <w:jc w:val="left"/>
              <w:rPr>
                <w:rFonts w:cs="Arial"/>
                <w:sz w:val="22"/>
                <w:szCs w:val="22"/>
                <w:lang w:val="fr-CA"/>
              </w:rPr>
            </w:pPr>
            <w:r w:rsidRPr="0077239B">
              <w:rPr>
                <w:rFonts w:cs="Arial"/>
                <w:sz w:val="22"/>
                <w:szCs w:val="22"/>
                <w:lang w:val="fr-CA"/>
              </w:rPr>
              <w:t>Si l’équipe d’audit considère comme nécessaire de communiquer un point autre que ceux portant expressément sur l’objet considéré, qui, selon son jugement, est pertinent eu égard à la compréhension de la mission, de ses responsabilités ou de son rapport de certification par les utilisateurs visés, et qu’aucun texte légal ou réglementaire ne l’interdit, il doit le faire dans un paragraphe distinct de son rapport en employant un titre approprié et en indiquant clairement que sa conclusion n’est pas modifiée pour ce qui concerne le point en cause.</w:t>
            </w:r>
          </w:p>
        </w:tc>
        <w:tc>
          <w:tcPr>
            <w:tcW w:w="1133" w:type="dxa"/>
            <w:tcMar>
              <w:top w:w="58" w:type="dxa"/>
              <w:bottom w:w="58" w:type="dxa"/>
            </w:tcMar>
            <w:vAlign w:val="center"/>
          </w:tcPr>
          <w:p w14:paraId="566DDBE4" w14:textId="1CABAD7B" w:rsidR="00800EBC" w:rsidRPr="0077239B" w:rsidRDefault="00800EBC"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r w:rsidR="00977620" w:rsidRPr="0077239B" w14:paraId="3B7E5661" w14:textId="17A1558A" w:rsidTr="0077239B">
        <w:trPr>
          <w:trHeight w:val="344"/>
        </w:trPr>
        <w:tc>
          <w:tcPr>
            <w:tcW w:w="8217" w:type="dxa"/>
            <w:tcMar>
              <w:top w:w="58" w:type="dxa"/>
              <w:bottom w:w="58" w:type="dxa"/>
            </w:tcMar>
            <w:vAlign w:val="center"/>
          </w:tcPr>
          <w:p w14:paraId="3B4D4636" w14:textId="173C82AC" w:rsidR="00977620" w:rsidRPr="0077239B" w:rsidRDefault="00977620" w:rsidP="00E029F5">
            <w:pPr>
              <w:pStyle w:val="IFACListStyle2"/>
              <w:numPr>
                <w:ilvl w:val="0"/>
                <w:numId w:val="0"/>
              </w:numPr>
              <w:spacing w:after="120" w:line="240" w:lineRule="auto"/>
              <w:jc w:val="left"/>
              <w:rPr>
                <w:rFonts w:cs="Arial"/>
                <w:b/>
                <w:sz w:val="22"/>
                <w:szCs w:val="22"/>
                <w:lang w:val="fr-CA"/>
              </w:rPr>
            </w:pPr>
            <w:r w:rsidRPr="0077239B">
              <w:rPr>
                <w:rFonts w:cs="Arial"/>
                <w:b/>
                <w:sz w:val="22"/>
                <w:szCs w:val="22"/>
                <w:lang w:val="fr-CA"/>
              </w:rPr>
              <w:t>Confirmer que :</w:t>
            </w:r>
          </w:p>
        </w:tc>
        <w:tc>
          <w:tcPr>
            <w:tcW w:w="1133" w:type="dxa"/>
            <w:tcMar>
              <w:top w:w="58" w:type="dxa"/>
              <w:bottom w:w="58" w:type="dxa"/>
            </w:tcMar>
            <w:vAlign w:val="center"/>
          </w:tcPr>
          <w:p w14:paraId="6D7D0666" w14:textId="5D61F6E4" w:rsidR="00977620" w:rsidRPr="0077239B" w:rsidRDefault="00977620" w:rsidP="00E029F5">
            <w:pPr>
              <w:spacing w:before="120" w:after="120"/>
              <w:jc w:val="center"/>
              <w:rPr>
                <w:rFonts w:cs="Arial"/>
                <w:lang w:val="fr-CA"/>
              </w:rPr>
            </w:pPr>
            <w:r w:rsidRPr="0077239B">
              <w:rPr>
                <w:rFonts w:cs="Arial"/>
                <w:lang w:val="fr-CA"/>
              </w:rPr>
              <w:t>RM</w:t>
            </w:r>
          </w:p>
        </w:tc>
      </w:tr>
      <w:tr w:rsidR="00977620" w:rsidRPr="0077239B" w14:paraId="329DFCFD" w14:textId="77777777" w:rsidTr="00EA3626">
        <w:trPr>
          <w:trHeight w:val="2409"/>
        </w:trPr>
        <w:tc>
          <w:tcPr>
            <w:tcW w:w="8217" w:type="dxa"/>
            <w:tcMar>
              <w:top w:w="58" w:type="dxa"/>
              <w:bottom w:w="58" w:type="dxa"/>
            </w:tcMar>
            <w:vAlign w:val="center"/>
          </w:tcPr>
          <w:p w14:paraId="3D9A79C9" w14:textId="258A4E30" w:rsidR="00977620" w:rsidRPr="0077239B" w:rsidRDefault="00977620" w:rsidP="00E029F5">
            <w:pPr>
              <w:pStyle w:val="IFACListStyle2"/>
              <w:numPr>
                <w:ilvl w:val="0"/>
                <w:numId w:val="0"/>
              </w:numPr>
              <w:spacing w:after="120" w:line="240" w:lineRule="auto"/>
              <w:jc w:val="left"/>
              <w:rPr>
                <w:rFonts w:cs="Arial"/>
                <w:sz w:val="22"/>
                <w:szCs w:val="22"/>
                <w:lang w:val="fr-CA"/>
              </w:rPr>
            </w:pPr>
            <w:r w:rsidRPr="0077239B">
              <w:rPr>
                <w:rFonts w:cs="Arial"/>
                <w:b/>
                <w:sz w:val="22"/>
                <w:szCs w:val="22"/>
                <w:lang w:val="fr-CA"/>
              </w:rPr>
              <w:t>D’autres informations accompagnant le rapport d’audit publié sont cohérentes avec le rapport de certification</w:t>
            </w:r>
            <w:r w:rsidRPr="0077239B">
              <w:rPr>
                <w:rFonts w:cs="Arial"/>
                <w:sz w:val="22"/>
                <w:szCs w:val="22"/>
                <w:lang w:val="fr-CA"/>
              </w:rPr>
              <w:t xml:space="preserve">; </w:t>
            </w:r>
            <w:r w:rsidR="00F13209" w:rsidRPr="0077239B">
              <w:rPr>
                <w:rFonts w:cs="Arial"/>
                <w:sz w:val="22"/>
                <w:szCs w:val="22"/>
                <w:lang w:val="fr-CA"/>
              </w:rPr>
              <w:t>[67; R</w:t>
            </w:r>
            <w:r w:rsidRPr="0077239B">
              <w:rPr>
                <w:rFonts w:cs="Arial"/>
                <w:sz w:val="22"/>
                <w:szCs w:val="22"/>
                <w:lang w:val="fr-CA"/>
              </w:rPr>
              <w:t>éf. : par. A143]</w:t>
            </w:r>
          </w:p>
          <w:p w14:paraId="6A3EDF3F" w14:textId="77777777" w:rsidR="00977620" w:rsidRPr="0077239B" w:rsidRDefault="00977620"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Lorsque les documents contenant le rapport de certification contiennent d’autres informations, l’équipe d’audit a lu ces autres informations afin de voir s’il s’y trouve des incohérences importantes par rapport au rapport d’audit. L’équipe a pris des mesures appropriées si elle a trouvé des incohérences ou des anomalies importantes concernant des faits.</w:t>
            </w:r>
          </w:p>
          <w:p w14:paraId="09075BD1" w14:textId="44BF92D5" w:rsidR="00977620" w:rsidRPr="0077239B" w:rsidRDefault="00977620" w:rsidP="00E029F5">
            <w:pPr>
              <w:pStyle w:val="IFACListStyle2"/>
              <w:numPr>
                <w:ilvl w:val="0"/>
                <w:numId w:val="0"/>
              </w:numPr>
              <w:spacing w:after="120" w:line="240" w:lineRule="auto"/>
              <w:jc w:val="left"/>
              <w:rPr>
                <w:rFonts w:cs="Arial"/>
                <w:sz w:val="22"/>
                <w:szCs w:val="22"/>
                <w:lang w:val="fr-CA"/>
              </w:rPr>
            </w:pPr>
            <w:r w:rsidRPr="0077239B">
              <w:rPr>
                <w:rFonts w:cs="Arial"/>
                <w:sz w:val="22"/>
                <w:szCs w:val="22"/>
                <w:lang w:val="fr-CA"/>
              </w:rPr>
              <w:t>Cet</w:t>
            </w:r>
            <w:r w:rsidR="003C5DD1" w:rsidRPr="0077239B">
              <w:rPr>
                <w:rFonts w:cs="Arial"/>
                <w:sz w:val="22"/>
                <w:szCs w:val="22"/>
                <w:lang w:val="fr-CA"/>
              </w:rPr>
              <w:t>te</w:t>
            </w:r>
            <w:r w:rsidRPr="0077239B">
              <w:rPr>
                <w:rFonts w:cs="Arial"/>
                <w:sz w:val="22"/>
                <w:szCs w:val="22"/>
                <w:lang w:val="fr-CA"/>
              </w:rPr>
              <w:t xml:space="preserve"> </w:t>
            </w:r>
            <w:r w:rsidR="003C5DD1" w:rsidRPr="0077239B">
              <w:rPr>
                <w:rFonts w:cs="Arial"/>
                <w:sz w:val="22"/>
                <w:szCs w:val="22"/>
                <w:lang w:val="fr-CA"/>
              </w:rPr>
              <w:t>exigence</w:t>
            </w:r>
            <w:r w:rsidR="0077239B" w:rsidRPr="0077239B">
              <w:rPr>
                <w:rFonts w:cs="Arial"/>
                <w:sz w:val="22"/>
                <w:szCs w:val="22"/>
                <w:lang w:val="fr-CA"/>
              </w:rPr>
              <w:t xml:space="preserve"> peut</w:t>
            </w:r>
            <w:r w:rsidRPr="0077239B">
              <w:rPr>
                <w:rFonts w:cs="Arial"/>
                <w:sz w:val="22"/>
                <w:szCs w:val="22"/>
                <w:lang w:val="fr-CA"/>
              </w:rPr>
              <w:t xml:space="preserve"> s’appliquer à un examen spécial si ce rapport est reproduit à l’intérieur d’un autre rapport publié par la société d’État.</w:t>
            </w:r>
          </w:p>
          <w:p w14:paraId="4B666962" w14:textId="793FECB1" w:rsidR="00977620" w:rsidRPr="0077239B" w:rsidRDefault="00977620" w:rsidP="00E029F5">
            <w:pPr>
              <w:pStyle w:val="IFACListStyle2"/>
              <w:numPr>
                <w:ilvl w:val="0"/>
                <w:numId w:val="0"/>
              </w:numPr>
              <w:spacing w:after="120" w:line="240" w:lineRule="auto"/>
              <w:jc w:val="left"/>
              <w:rPr>
                <w:rFonts w:cs="Arial"/>
                <w:b/>
                <w:sz w:val="22"/>
                <w:szCs w:val="22"/>
                <w:lang w:val="fr-CA"/>
              </w:rPr>
            </w:pPr>
            <w:r w:rsidRPr="0077239B">
              <w:rPr>
                <w:rFonts w:cs="Arial"/>
                <w:sz w:val="22"/>
                <w:szCs w:val="22"/>
                <w:lang w:val="fr-CA"/>
              </w:rPr>
              <w:t>Ce</w:t>
            </w:r>
            <w:r w:rsidR="003C5DD1" w:rsidRPr="0077239B">
              <w:rPr>
                <w:rFonts w:cs="Arial"/>
                <w:sz w:val="22"/>
                <w:szCs w:val="22"/>
                <w:lang w:val="fr-CA"/>
              </w:rPr>
              <w:t>tte exigence</w:t>
            </w:r>
            <w:r w:rsidRPr="0077239B">
              <w:rPr>
                <w:rFonts w:cs="Arial"/>
                <w:sz w:val="22"/>
                <w:szCs w:val="22"/>
                <w:lang w:val="fr-CA"/>
              </w:rPr>
              <w:t xml:space="preserve"> sera rarement d’intérêt pour les audits de performance </w:t>
            </w:r>
            <w:r w:rsidR="003C5DD1" w:rsidRPr="0077239B">
              <w:rPr>
                <w:rFonts w:cs="Arial"/>
                <w:sz w:val="22"/>
                <w:szCs w:val="22"/>
                <w:lang w:val="fr-CA"/>
              </w:rPr>
              <w:t>délivr</w:t>
            </w:r>
            <w:r w:rsidRPr="0077239B">
              <w:rPr>
                <w:rFonts w:cs="Arial"/>
                <w:sz w:val="22"/>
                <w:szCs w:val="22"/>
                <w:lang w:val="fr-CA"/>
              </w:rPr>
              <w:t>és par le vérificateur général.</w:t>
            </w:r>
          </w:p>
        </w:tc>
        <w:tc>
          <w:tcPr>
            <w:tcW w:w="1133" w:type="dxa"/>
            <w:tcMar>
              <w:top w:w="58" w:type="dxa"/>
              <w:bottom w:w="58" w:type="dxa"/>
            </w:tcMar>
            <w:vAlign w:val="center"/>
          </w:tcPr>
          <w:p w14:paraId="32E5BD5A" w14:textId="48E620FC" w:rsidR="00977620" w:rsidRPr="0077239B" w:rsidRDefault="0077239B" w:rsidP="00E029F5">
            <w:pPr>
              <w:spacing w:before="120" w:after="120"/>
              <w:jc w:val="center"/>
              <w:rPr>
                <w:rFonts w:cs="Arial"/>
                <w:lang w:val="fr-CA"/>
              </w:rPr>
            </w:pPr>
            <w:r w:rsidRPr="0077239B">
              <w:rPr>
                <w:rFonts w:cs="Arial"/>
                <w:lang w:val="fr-CA"/>
              </w:rPr>
              <w:fldChar w:fldCharType="begin">
                <w:ffData>
                  <w:name w:val=""/>
                  <w:enabled/>
                  <w:calcOnExit w:val="0"/>
                  <w:checkBox>
                    <w:size w:val="32"/>
                    <w:default w:val="0"/>
                  </w:checkBox>
                </w:ffData>
              </w:fldChar>
            </w:r>
            <w:r w:rsidRPr="0077239B">
              <w:rPr>
                <w:rFonts w:cs="Arial"/>
                <w:lang w:val="fr-CA"/>
              </w:rPr>
              <w:instrText xml:space="preserve"> FORMCHECKBOX </w:instrText>
            </w:r>
            <w:r w:rsidR="00603D8D">
              <w:rPr>
                <w:rFonts w:cs="Arial"/>
                <w:lang w:val="fr-CA"/>
              </w:rPr>
            </w:r>
            <w:r w:rsidR="00603D8D">
              <w:rPr>
                <w:rFonts w:cs="Arial"/>
                <w:lang w:val="fr-CA"/>
              </w:rPr>
              <w:fldChar w:fldCharType="separate"/>
            </w:r>
            <w:r w:rsidRPr="0077239B">
              <w:rPr>
                <w:rFonts w:cs="Arial"/>
                <w:lang w:val="fr-CA"/>
              </w:rPr>
              <w:fldChar w:fldCharType="end"/>
            </w:r>
          </w:p>
        </w:tc>
      </w:tr>
    </w:tbl>
    <w:p w14:paraId="4692CEED" w14:textId="77777777" w:rsidR="0033000A" w:rsidRPr="004F1F36" w:rsidRDefault="0033000A" w:rsidP="00F52284">
      <w:pPr>
        <w:rPr>
          <w:lang w:val="fr-CA"/>
        </w:rPr>
      </w:pPr>
    </w:p>
    <w:sectPr w:rsidR="0033000A" w:rsidRPr="004F1F36" w:rsidSect="00815FC1">
      <w:footerReference w:type="default" r:id="rId26"/>
      <w:headerReference w:type="first" r:id="rId27"/>
      <w:footerReference w:type="first" r:id="rId28"/>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19E5" w14:textId="77777777" w:rsidR="00BE31E1" w:rsidRDefault="00BE31E1" w:rsidP="00F15B2C">
      <w:r>
        <w:separator/>
      </w:r>
    </w:p>
  </w:endnote>
  <w:endnote w:type="continuationSeparator" w:id="0">
    <w:p w14:paraId="31AA31E6" w14:textId="77777777" w:rsidR="00BE31E1" w:rsidRDefault="00BE31E1" w:rsidP="00F15B2C">
      <w:r>
        <w:continuationSeparator/>
      </w:r>
    </w:p>
  </w:endnote>
  <w:endnote w:type="continuationNotice" w:id="1">
    <w:p w14:paraId="356D76DF" w14:textId="77777777" w:rsidR="00BE31E1" w:rsidRDefault="00BE3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B4D4" w14:textId="77777777" w:rsidR="00BE31E1" w:rsidRPr="00B441E2" w:rsidRDefault="00BE31E1" w:rsidP="009A6444">
    <w:pPr>
      <w:pStyle w:val="Pieddepage"/>
      <w:tabs>
        <w:tab w:val="clear" w:pos="4680"/>
        <w:tab w:val="clear" w:pos="9360"/>
      </w:tabs>
      <w:jc w:val="right"/>
      <w:rPr>
        <w:rStyle w:val="Numrodepage"/>
        <w:rFonts w:cs="Arial"/>
        <w:sz w:val="20"/>
        <w:szCs w:val="16"/>
        <w:lang w:val="fr-CA"/>
      </w:rPr>
    </w:pPr>
    <w:r w:rsidRPr="00B441E2">
      <w:rPr>
        <w:rStyle w:val="Numrodepage"/>
        <w:rFonts w:cs="Arial"/>
        <w:sz w:val="20"/>
        <w:szCs w:val="16"/>
      </w:rPr>
      <w:fldChar w:fldCharType="begin"/>
    </w:r>
    <w:r w:rsidRPr="00B441E2">
      <w:rPr>
        <w:rStyle w:val="Numrodepage"/>
        <w:rFonts w:cs="Arial"/>
        <w:sz w:val="20"/>
        <w:szCs w:val="16"/>
        <w:lang w:val="fr-CA"/>
      </w:rPr>
      <w:instrText xml:space="preserve"> PAGE </w:instrText>
    </w:r>
    <w:r w:rsidRPr="00B441E2">
      <w:rPr>
        <w:rStyle w:val="Numrodepage"/>
        <w:rFonts w:cs="Arial"/>
        <w:sz w:val="20"/>
        <w:szCs w:val="16"/>
      </w:rPr>
      <w:fldChar w:fldCharType="separate"/>
    </w:r>
    <w:r w:rsidR="00603D8D">
      <w:rPr>
        <w:rStyle w:val="Numrodepage"/>
        <w:rFonts w:cs="Arial"/>
        <w:noProof/>
        <w:sz w:val="20"/>
        <w:szCs w:val="16"/>
        <w:lang w:val="fr-CA"/>
      </w:rPr>
      <w:t>8</w:t>
    </w:r>
    <w:r w:rsidRPr="00B441E2">
      <w:rPr>
        <w:rStyle w:val="Numrodepage"/>
        <w:rFonts w:cs="Arial"/>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F624" w14:textId="17231257" w:rsidR="00BE31E1" w:rsidRDefault="005A04E1" w:rsidP="006A596D">
    <w:pPr>
      <w:pStyle w:val="Pieddepage"/>
      <w:tabs>
        <w:tab w:val="clear" w:pos="9360"/>
        <w:tab w:val="right" w:pos="8647"/>
      </w:tabs>
      <w:rPr>
        <w:rFonts w:cs="Arial"/>
        <w:sz w:val="16"/>
        <w:szCs w:val="16"/>
        <w:lang w:val="fr-CA"/>
      </w:rPr>
    </w:pPr>
    <w:r>
      <w:rPr>
        <w:rFonts w:cs="Arial"/>
        <w:sz w:val="16"/>
        <w:szCs w:val="16"/>
        <w:lang w:val="fr-CA"/>
      </w:rPr>
      <w:t>déc</w:t>
    </w:r>
    <w:r w:rsidR="00BE31E1" w:rsidRPr="00265DA0">
      <w:rPr>
        <w:rFonts w:cs="Arial"/>
        <w:sz w:val="16"/>
        <w:szCs w:val="16"/>
        <w:lang w:val="fr-CA"/>
      </w:rPr>
      <w:t>.-20</w:t>
    </w:r>
    <w:r>
      <w:rPr>
        <w:rFonts w:cs="Arial"/>
        <w:sz w:val="16"/>
        <w:szCs w:val="16"/>
        <w:lang w:val="fr-CA"/>
      </w:rPr>
      <w:t>22</w:t>
    </w:r>
  </w:p>
  <w:p w14:paraId="30FB6B3E" w14:textId="3A01E03B" w:rsidR="00BE31E1" w:rsidRPr="004F668E" w:rsidRDefault="00BE31E1" w:rsidP="00815FC1">
    <w:pPr>
      <w:pStyle w:val="Pieddepage"/>
      <w:tabs>
        <w:tab w:val="clear" w:pos="4680"/>
      </w:tabs>
      <w:jc w:val="right"/>
      <w:rPr>
        <w:rStyle w:val="Numrodepage"/>
        <w:rFonts w:cs="Arial"/>
        <w:sz w:val="20"/>
        <w:szCs w:val="16"/>
        <w:lang w:val="fr-CA"/>
      </w:rPr>
    </w:pPr>
    <w:r w:rsidRPr="00265DA0">
      <w:rPr>
        <w:rStyle w:val="Numrodepage"/>
        <w:rFonts w:cs="Arial"/>
        <w:sz w:val="16"/>
        <w:szCs w:val="16"/>
        <w:lang w:val="fr-CA"/>
      </w:rPr>
      <w:t xml:space="preserve">Propriétaire du modèle : </w:t>
    </w:r>
    <w:r w:rsidR="00B47BCC">
      <w:rPr>
        <w:rStyle w:val="Numrodepage"/>
        <w:rFonts w:cs="Arial"/>
        <w:sz w:val="16"/>
        <w:szCs w:val="16"/>
        <w:lang w:val="fr-CA"/>
      </w:rPr>
      <w:t>Services d’audit</w:t>
    </w:r>
    <w:r>
      <w:rPr>
        <w:rStyle w:val="Numrodepage"/>
        <w:rFonts w:cs="Arial"/>
        <w:sz w:val="16"/>
        <w:szCs w:val="16"/>
        <w:lang w:val="fr-CA"/>
      </w:rPr>
      <w:tab/>
    </w:r>
    <w:r w:rsidRPr="004F668E">
      <w:rPr>
        <w:rStyle w:val="Numrodepage"/>
        <w:rFonts w:cs="Arial"/>
        <w:sz w:val="20"/>
        <w:szCs w:val="16"/>
      </w:rPr>
      <w:fldChar w:fldCharType="begin"/>
    </w:r>
    <w:r w:rsidRPr="004F668E">
      <w:rPr>
        <w:rStyle w:val="Numrodepage"/>
        <w:rFonts w:cs="Arial"/>
        <w:sz w:val="20"/>
        <w:szCs w:val="16"/>
        <w:lang w:val="fr-CA"/>
      </w:rPr>
      <w:instrText xml:space="preserve"> PAGE </w:instrText>
    </w:r>
    <w:r w:rsidRPr="004F668E">
      <w:rPr>
        <w:rStyle w:val="Numrodepage"/>
        <w:rFonts w:cs="Arial"/>
        <w:sz w:val="20"/>
        <w:szCs w:val="16"/>
      </w:rPr>
      <w:fldChar w:fldCharType="separate"/>
    </w:r>
    <w:r w:rsidR="00603D8D">
      <w:rPr>
        <w:rStyle w:val="Numrodepage"/>
        <w:rFonts w:cs="Arial"/>
        <w:noProof/>
        <w:sz w:val="20"/>
        <w:szCs w:val="16"/>
        <w:lang w:val="fr-CA"/>
      </w:rPr>
      <w:t>1</w:t>
    </w:r>
    <w:r w:rsidRPr="004F668E">
      <w:rPr>
        <w:rStyle w:val="Numrodepage"/>
        <w:rFonts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B110E" w14:textId="77777777" w:rsidR="00BE31E1" w:rsidRDefault="00BE31E1" w:rsidP="00F15B2C">
      <w:r>
        <w:separator/>
      </w:r>
    </w:p>
  </w:footnote>
  <w:footnote w:type="continuationSeparator" w:id="0">
    <w:p w14:paraId="6FE75CB4" w14:textId="77777777" w:rsidR="00BE31E1" w:rsidRDefault="00BE31E1" w:rsidP="00F15B2C">
      <w:r>
        <w:continuationSeparator/>
      </w:r>
    </w:p>
  </w:footnote>
  <w:footnote w:type="continuationNotice" w:id="1">
    <w:p w14:paraId="3557FF61" w14:textId="77777777" w:rsidR="00BE31E1" w:rsidRDefault="00BE31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369004127"/>
  <w:p w14:paraId="1F714ACB" w14:textId="77777777" w:rsidR="00C856EB" w:rsidRPr="00D54C08" w:rsidRDefault="00603D8D" w:rsidP="00C856EB">
    <w:pPr>
      <w:spacing w:before="240" w:after="240"/>
      <w:jc w:val="right"/>
      <w:rPr>
        <w:lang w:val="fr-FR"/>
      </w:rPr>
    </w:pPr>
    <w:sdt>
      <w:sdtPr>
        <w:rPr>
          <w:rFonts w:eastAsia="Times New Roman" w:cs="Arial"/>
          <w:lang w:val="fr-CA" w:eastAsia="en-CA"/>
        </w:rPr>
        <w:alias w:val="Étiquette de sécurité"/>
        <w:tag w:val="OAG-BVG-Classification"/>
        <w:id w:val="2052195265"/>
        <w:placeholder>
          <w:docPart w:val="CC1386FE32FE4A12821E0D6F09F3B17C"/>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sdtContent>
        <w:r w:rsidR="00C856EB" w:rsidRPr="00936118">
          <w:rPr>
            <w:rFonts w:eastAsia="Times New Roman" w:cs="Arial"/>
            <w:lang w:val="fr-CA" w:eastAsia="en-CA"/>
          </w:rPr>
          <w:t>PROTÉGÉ A (lorsque rempli)</w:t>
        </w:r>
      </w:sdtContent>
    </w:sdt>
    <w:r w:rsidR="00C856EB" w:rsidDel="00936118">
      <w:rPr>
        <w:noProof/>
        <w:lang w:val="fr-CA" w:eastAsia="fr-CA"/>
      </w:rPr>
      <w:t xml:space="preserve"> </w:t>
    </w:r>
  </w:p>
  <w:p w14:paraId="3DFFBA84" w14:textId="38A42091" w:rsidR="00BE31E1" w:rsidRPr="00265DA0" w:rsidRDefault="00BE31E1" w:rsidP="00155C65">
    <w:pPr>
      <w:pBdr>
        <w:bottom w:val="single" w:sz="12" w:space="1" w:color="auto"/>
      </w:pBdr>
      <w:spacing w:before="100" w:beforeAutospacing="1" w:after="360"/>
      <w:rPr>
        <w:rFonts w:eastAsia="Times New Roman" w:cs="Arial"/>
        <w:color w:val="000000"/>
        <w:sz w:val="28"/>
        <w:szCs w:val="28"/>
        <w:lang w:val="fr-CA" w:eastAsia="en-CA"/>
      </w:rPr>
    </w:pPr>
    <w:r w:rsidRPr="00E34AB7">
      <w:rPr>
        <w:rFonts w:eastAsia="Times New Roman" w:cs="Arial"/>
        <w:color w:val="000000"/>
        <w:sz w:val="28"/>
        <w:szCs w:val="28"/>
        <w:lang w:val="fr-CA" w:eastAsia="en-CA"/>
      </w:rPr>
      <w:t xml:space="preserve">Liste de contrôle </w:t>
    </w:r>
    <w:r>
      <w:rPr>
        <w:rFonts w:eastAsia="Times New Roman" w:cs="Arial"/>
        <w:color w:val="000000"/>
        <w:sz w:val="28"/>
        <w:szCs w:val="28"/>
        <w:lang w:val="fr-CA" w:eastAsia="en-CA"/>
      </w:rPr>
      <w:t xml:space="preserve">— </w:t>
    </w:r>
    <w:r w:rsidR="00D82035">
      <w:rPr>
        <w:rFonts w:eastAsia="Times New Roman" w:cs="Arial"/>
        <w:color w:val="000000"/>
        <w:sz w:val="28"/>
        <w:szCs w:val="28"/>
        <w:lang w:val="fr-CA" w:eastAsia="en-CA"/>
      </w:rPr>
      <w:t>A</w:t>
    </w:r>
    <w:r w:rsidR="00D82035" w:rsidRPr="00D82035">
      <w:rPr>
        <w:rFonts w:eastAsia="Times New Roman" w:cs="Arial"/>
        <w:color w:val="000000"/>
        <w:sz w:val="28"/>
        <w:szCs w:val="28"/>
        <w:lang w:val="fr-CA" w:eastAsia="en-CA"/>
      </w:rPr>
      <w:t>ssurance de l'application des normes professionnelles en matière de présentation</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6BE"/>
    <w:multiLevelType w:val="hybridMultilevel"/>
    <w:tmpl w:val="76B446BA"/>
    <w:lvl w:ilvl="0" w:tplc="0C0C0001">
      <w:start w:val="1"/>
      <w:numFmt w:val="bullet"/>
      <w:lvlText w:val=""/>
      <w:lvlJc w:val="left"/>
      <w:pPr>
        <w:ind w:left="754" w:hanging="360"/>
      </w:pPr>
      <w:rPr>
        <w:rFonts w:ascii="Symbol" w:hAnsi="Symbo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1" w15:restartNumberingAfterBreak="0">
    <w:nsid w:val="07BE232F"/>
    <w:multiLevelType w:val="multilevel"/>
    <w:tmpl w:val="F9FE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06941"/>
    <w:multiLevelType w:val="multilevel"/>
    <w:tmpl w:val="1B90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7B7FE5"/>
    <w:multiLevelType w:val="multilevel"/>
    <w:tmpl w:val="AFA6F6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A25D36"/>
    <w:multiLevelType w:val="multilevel"/>
    <w:tmpl w:val="B8A296AE"/>
    <w:name w:val="ListAuditBullet"/>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80436E"/>
    <w:multiLevelType w:val="multilevel"/>
    <w:tmpl w:val="18C6D1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241A0D"/>
    <w:multiLevelType w:val="multilevel"/>
    <w:tmpl w:val="F61E754C"/>
    <w:lvl w:ilvl="0">
      <w:start w:val="1"/>
      <w:numFmt w:val="decimal"/>
      <w:pStyle w:val="IFACListStyle1"/>
      <w:lvlText w:val="%1."/>
      <w:lvlJc w:val="left"/>
      <w:pPr>
        <w:ind w:left="637" w:hanging="547"/>
      </w:pPr>
      <w:rPr>
        <w:rFonts w:ascii="Arial" w:hAnsi="Arial" w:cs="Arial" w:hint="default"/>
        <w:b w:val="0"/>
        <w:i w:val="0"/>
        <w:sz w:val="20"/>
        <w:szCs w:val="20"/>
      </w:rPr>
    </w:lvl>
    <w:lvl w:ilvl="1">
      <w:start w:val="1"/>
      <w:numFmt w:val="lowerLetter"/>
      <w:pStyle w:val="IFACListStyle2"/>
      <w:lvlText w:val="(%2)"/>
      <w:lvlJc w:val="left"/>
      <w:pPr>
        <w:ind w:left="2437" w:hanging="547"/>
      </w:pPr>
      <w:rPr>
        <w:rFonts w:hint="default"/>
        <w:b w:val="0"/>
        <w:color w:val="auto"/>
        <w:sz w:val="20"/>
        <w:szCs w:val="20"/>
      </w:rPr>
    </w:lvl>
    <w:lvl w:ilvl="2">
      <w:start w:val="1"/>
      <w:numFmt w:val="lowerRoman"/>
      <w:pStyle w:val="IFACListStyle3"/>
      <w:lvlText w:val="(%3)"/>
      <w:lvlJc w:val="left"/>
      <w:pPr>
        <w:ind w:left="1641" w:hanging="547"/>
      </w:pPr>
      <w:rPr>
        <w:rFonts w:hint="default"/>
        <w:strike w:val="0"/>
        <w:sz w:val="20"/>
        <w:szCs w:val="20"/>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0"/>
  </w:num>
  <w:num w:numId="17">
    <w:abstractNumId w:val="4"/>
  </w:num>
  <w:num w:numId="18">
    <w:abstractNumId w:val="6"/>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ocumentProtection w:edit="forms" w:enforcement="0"/>
  <w:defaultTabStop w:val="720"/>
  <w:hyphenationZone w:val="425"/>
  <w:drawingGridHorizontalSpacing w:val="110"/>
  <w:displayHorizontalDrawingGridEvery w:val="2"/>
  <w:displayVerticalDrawingGridEvery w:val="2"/>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9"/>
    <w:rsid w:val="00001DA2"/>
    <w:rsid w:val="00007268"/>
    <w:rsid w:val="00022DF8"/>
    <w:rsid w:val="00023591"/>
    <w:rsid w:val="00023B39"/>
    <w:rsid w:val="000246F5"/>
    <w:rsid w:val="00031331"/>
    <w:rsid w:val="00035F47"/>
    <w:rsid w:val="00042522"/>
    <w:rsid w:val="00042A97"/>
    <w:rsid w:val="00051AFF"/>
    <w:rsid w:val="000707F6"/>
    <w:rsid w:val="00074DDE"/>
    <w:rsid w:val="00092F3C"/>
    <w:rsid w:val="000945A2"/>
    <w:rsid w:val="000A10E1"/>
    <w:rsid w:val="000A42E0"/>
    <w:rsid w:val="000A533C"/>
    <w:rsid w:val="000B6818"/>
    <w:rsid w:val="000C6821"/>
    <w:rsid w:val="000D054E"/>
    <w:rsid w:val="000D1FF7"/>
    <w:rsid w:val="000D46C5"/>
    <w:rsid w:val="000D6C08"/>
    <w:rsid w:val="000D7DCF"/>
    <w:rsid w:val="000F4589"/>
    <w:rsid w:val="00100FFE"/>
    <w:rsid w:val="0010419B"/>
    <w:rsid w:val="001066B9"/>
    <w:rsid w:val="00110238"/>
    <w:rsid w:val="00112519"/>
    <w:rsid w:val="00116643"/>
    <w:rsid w:val="001223F3"/>
    <w:rsid w:val="001248A3"/>
    <w:rsid w:val="00125268"/>
    <w:rsid w:val="001264C1"/>
    <w:rsid w:val="0013356F"/>
    <w:rsid w:val="00134304"/>
    <w:rsid w:val="00136555"/>
    <w:rsid w:val="00140892"/>
    <w:rsid w:val="00143DA0"/>
    <w:rsid w:val="00152B50"/>
    <w:rsid w:val="00155C65"/>
    <w:rsid w:val="001603F9"/>
    <w:rsid w:val="001728FA"/>
    <w:rsid w:val="0018468E"/>
    <w:rsid w:val="00184A1B"/>
    <w:rsid w:val="00190739"/>
    <w:rsid w:val="001916BB"/>
    <w:rsid w:val="00192583"/>
    <w:rsid w:val="0019628E"/>
    <w:rsid w:val="00197C70"/>
    <w:rsid w:val="001A3CF4"/>
    <w:rsid w:val="001B6B96"/>
    <w:rsid w:val="001C353A"/>
    <w:rsid w:val="001C3D2B"/>
    <w:rsid w:val="001C4EB2"/>
    <w:rsid w:val="001E051F"/>
    <w:rsid w:val="001E1721"/>
    <w:rsid w:val="001E647F"/>
    <w:rsid w:val="001F3344"/>
    <w:rsid w:val="001F349F"/>
    <w:rsid w:val="001F4F6B"/>
    <w:rsid w:val="001F5DE0"/>
    <w:rsid w:val="001F6C0B"/>
    <w:rsid w:val="002058B0"/>
    <w:rsid w:val="00211D5F"/>
    <w:rsid w:val="00213127"/>
    <w:rsid w:val="00214079"/>
    <w:rsid w:val="00217F63"/>
    <w:rsid w:val="0022423E"/>
    <w:rsid w:val="00225749"/>
    <w:rsid w:val="00231156"/>
    <w:rsid w:val="00232231"/>
    <w:rsid w:val="002351CF"/>
    <w:rsid w:val="00237008"/>
    <w:rsid w:val="00251BD9"/>
    <w:rsid w:val="00265DA0"/>
    <w:rsid w:val="002673A9"/>
    <w:rsid w:val="002842D4"/>
    <w:rsid w:val="00290D16"/>
    <w:rsid w:val="00292A8B"/>
    <w:rsid w:val="0029726E"/>
    <w:rsid w:val="002A0E79"/>
    <w:rsid w:val="002B2188"/>
    <w:rsid w:val="002C5BCD"/>
    <w:rsid w:val="002D441B"/>
    <w:rsid w:val="002D44CB"/>
    <w:rsid w:val="002D67A1"/>
    <w:rsid w:val="002F0298"/>
    <w:rsid w:val="002F29C5"/>
    <w:rsid w:val="00304167"/>
    <w:rsid w:val="00305EFC"/>
    <w:rsid w:val="00310235"/>
    <w:rsid w:val="00313720"/>
    <w:rsid w:val="0031680C"/>
    <w:rsid w:val="00321E53"/>
    <w:rsid w:val="0033000A"/>
    <w:rsid w:val="00330A7B"/>
    <w:rsid w:val="00334180"/>
    <w:rsid w:val="003348B1"/>
    <w:rsid w:val="0033781D"/>
    <w:rsid w:val="003573F7"/>
    <w:rsid w:val="00357E05"/>
    <w:rsid w:val="003624A1"/>
    <w:rsid w:val="00362914"/>
    <w:rsid w:val="003806DA"/>
    <w:rsid w:val="00384939"/>
    <w:rsid w:val="00395034"/>
    <w:rsid w:val="00396A10"/>
    <w:rsid w:val="003A1493"/>
    <w:rsid w:val="003A17D2"/>
    <w:rsid w:val="003A2054"/>
    <w:rsid w:val="003A2935"/>
    <w:rsid w:val="003B1E60"/>
    <w:rsid w:val="003B6619"/>
    <w:rsid w:val="003C01DF"/>
    <w:rsid w:val="003C5707"/>
    <w:rsid w:val="003C5DD1"/>
    <w:rsid w:val="003C76A4"/>
    <w:rsid w:val="003D1334"/>
    <w:rsid w:val="003D3015"/>
    <w:rsid w:val="003D71CD"/>
    <w:rsid w:val="003D7929"/>
    <w:rsid w:val="003F3272"/>
    <w:rsid w:val="003F3854"/>
    <w:rsid w:val="004014F6"/>
    <w:rsid w:val="00402F07"/>
    <w:rsid w:val="004042F8"/>
    <w:rsid w:val="00414C13"/>
    <w:rsid w:val="00420DEF"/>
    <w:rsid w:val="004217AD"/>
    <w:rsid w:val="0042281C"/>
    <w:rsid w:val="004350E2"/>
    <w:rsid w:val="004411BE"/>
    <w:rsid w:val="00446ED2"/>
    <w:rsid w:val="004555DB"/>
    <w:rsid w:val="004570EA"/>
    <w:rsid w:val="00483FED"/>
    <w:rsid w:val="0049394D"/>
    <w:rsid w:val="00495884"/>
    <w:rsid w:val="00497EEE"/>
    <w:rsid w:val="004A700A"/>
    <w:rsid w:val="004B084D"/>
    <w:rsid w:val="004B447A"/>
    <w:rsid w:val="004C295A"/>
    <w:rsid w:val="004C7803"/>
    <w:rsid w:val="004D0495"/>
    <w:rsid w:val="004D67A3"/>
    <w:rsid w:val="004D7782"/>
    <w:rsid w:val="004E20D8"/>
    <w:rsid w:val="004E2E05"/>
    <w:rsid w:val="004E5D15"/>
    <w:rsid w:val="004F0FCF"/>
    <w:rsid w:val="004F1AFA"/>
    <w:rsid w:val="004F1F36"/>
    <w:rsid w:val="004F668E"/>
    <w:rsid w:val="004F6CAE"/>
    <w:rsid w:val="0050113B"/>
    <w:rsid w:val="005172BF"/>
    <w:rsid w:val="00526EEE"/>
    <w:rsid w:val="005363EE"/>
    <w:rsid w:val="00555A76"/>
    <w:rsid w:val="00560E68"/>
    <w:rsid w:val="005623FF"/>
    <w:rsid w:val="00563E1B"/>
    <w:rsid w:val="00573ABA"/>
    <w:rsid w:val="00574919"/>
    <w:rsid w:val="00593409"/>
    <w:rsid w:val="00594F1B"/>
    <w:rsid w:val="005A04E1"/>
    <w:rsid w:val="005B3F6C"/>
    <w:rsid w:val="005D67BA"/>
    <w:rsid w:val="00603D8D"/>
    <w:rsid w:val="00604211"/>
    <w:rsid w:val="006047C0"/>
    <w:rsid w:val="00606BB7"/>
    <w:rsid w:val="0062574A"/>
    <w:rsid w:val="00632CD4"/>
    <w:rsid w:val="00633E86"/>
    <w:rsid w:val="00633FB4"/>
    <w:rsid w:val="00635A86"/>
    <w:rsid w:val="00647D7C"/>
    <w:rsid w:val="006537AD"/>
    <w:rsid w:val="00660345"/>
    <w:rsid w:val="006605E1"/>
    <w:rsid w:val="0066259C"/>
    <w:rsid w:val="006656E1"/>
    <w:rsid w:val="006726BF"/>
    <w:rsid w:val="00681991"/>
    <w:rsid w:val="00691035"/>
    <w:rsid w:val="006962B4"/>
    <w:rsid w:val="006964F8"/>
    <w:rsid w:val="00697C17"/>
    <w:rsid w:val="006A071F"/>
    <w:rsid w:val="006A1395"/>
    <w:rsid w:val="006A596D"/>
    <w:rsid w:val="006B5A2D"/>
    <w:rsid w:val="006C1D2B"/>
    <w:rsid w:val="006C3E44"/>
    <w:rsid w:val="006C5D04"/>
    <w:rsid w:val="006C72A0"/>
    <w:rsid w:val="006D3BF4"/>
    <w:rsid w:val="006D7CC6"/>
    <w:rsid w:val="00702923"/>
    <w:rsid w:val="00704226"/>
    <w:rsid w:val="00711CE7"/>
    <w:rsid w:val="00712FA2"/>
    <w:rsid w:val="0071558A"/>
    <w:rsid w:val="00722EC8"/>
    <w:rsid w:val="007252D9"/>
    <w:rsid w:val="007346D7"/>
    <w:rsid w:val="00741E53"/>
    <w:rsid w:val="007440FE"/>
    <w:rsid w:val="007444E9"/>
    <w:rsid w:val="00750AC5"/>
    <w:rsid w:val="007517FB"/>
    <w:rsid w:val="0075318B"/>
    <w:rsid w:val="00753344"/>
    <w:rsid w:val="007626AF"/>
    <w:rsid w:val="007718E9"/>
    <w:rsid w:val="0077239B"/>
    <w:rsid w:val="00772D78"/>
    <w:rsid w:val="00783748"/>
    <w:rsid w:val="0078519C"/>
    <w:rsid w:val="00786698"/>
    <w:rsid w:val="007A1187"/>
    <w:rsid w:val="007B2155"/>
    <w:rsid w:val="007C4BC5"/>
    <w:rsid w:val="007D0CAE"/>
    <w:rsid w:val="007D5938"/>
    <w:rsid w:val="007E13B9"/>
    <w:rsid w:val="007E2AB9"/>
    <w:rsid w:val="007E3020"/>
    <w:rsid w:val="007E3BC2"/>
    <w:rsid w:val="007F0AF1"/>
    <w:rsid w:val="007F4971"/>
    <w:rsid w:val="007F6968"/>
    <w:rsid w:val="00800EBC"/>
    <w:rsid w:val="00805E9E"/>
    <w:rsid w:val="00811236"/>
    <w:rsid w:val="00815FC1"/>
    <w:rsid w:val="008169B6"/>
    <w:rsid w:val="00817F0A"/>
    <w:rsid w:val="0082735D"/>
    <w:rsid w:val="00827540"/>
    <w:rsid w:val="008316FC"/>
    <w:rsid w:val="008342AD"/>
    <w:rsid w:val="008347A8"/>
    <w:rsid w:val="00834851"/>
    <w:rsid w:val="008374C9"/>
    <w:rsid w:val="00841A63"/>
    <w:rsid w:val="008425B6"/>
    <w:rsid w:val="00847E57"/>
    <w:rsid w:val="00851889"/>
    <w:rsid w:val="0085622E"/>
    <w:rsid w:val="0085787E"/>
    <w:rsid w:val="0086084B"/>
    <w:rsid w:val="00864086"/>
    <w:rsid w:val="0086420E"/>
    <w:rsid w:val="00870BDF"/>
    <w:rsid w:val="0087296A"/>
    <w:rsid w:val="008809EA"/>
    <w:rsid w:val="008845C4"/>
    <w:rsid w:val="00884FD3"/>
    <w:rsid w:val="00885D7B"/>
    <w:rsid w:val="00886436"/>
    <w:rsid w:val="00891065"/>
    <w:rsid w:val="00891B41"/>
    <w:rsid w:val="0089418C"/>
    <w:rsid w:val="00895EEB"/>
    <w:rsid w:val="00897FBE"/>
    <w:rsid w:val="008A0BBE"/>
    <w:rsid w:val="008B1C26"/>
    <w:rsid w:val="008B5B16"/>
    <w:rsid w:val="008B7504"/>
    <w:rsid w:val="008C4D56"/>
    <w:rsid w:val="008E717F"/>
    <w:rsid w:val="008F3B57"/>
    <w:rsid w:val="008F424F"/>
    <w:rsid w:val="008F75F5"/>
    <w:rsid w:val="00904705"/>
    <w:rsid w:val="00906A6B"/>
    <w:rsid w:val="00907D37"/>
    <w:rsid w:val="00912BD0"/>
    <w:rsid w:val="00915955"/>
    <w:rsid w:val="0091622F"/>
    <w:rsid w:val="009170B4"/>
    <w:rsid w:val="00920C65"/>
    <w:rsid w:val="00925F78"/>
    <w:rsid w:val="00926B19"/>
    <w:rsid w:val="00941B1F"/>
    <w:rsid w:val="00945E4B"/>
    <w:rsid w:val="00950BBA"/>
    <w:rsid w:val="00954687"/>
    <w:rsid w:val="00955937"/>
    <w:rsid w:val="00956174"/>
    <w:rsid w:val="009608EE"/>
    <w:rsid w:val="00961CAD"/>
    <w:rsid w:val="009643C9"/>
    <w:rsid w:val="009644A0"/>
    <w:rsid w:val="009708A9"/>
    <w:rsid w:val="00974833"/>
    <w:rsid w:val="00977620"/>
    <w:rsid w:val="00980AD9"/>
    <w:rsid w:val="009956F8"/>
    <w:rsid w:val="009A6444"/>
    <w:rsid w:val="009B79D9"/>
    <w:rsid w:val="009C4225"/>
    <w:rsid w:val="009C454A"/>
    <w:rsid w:val="009C72DE"/>
    <w:rsid w:val="009D22C7"/>
    <w:rsid w:val="009D3A23"/>
    <w:rsid w:val="009D45FA"/>
    <w:rsid w:val="009D6560"/>
    <w:rsid w:val="009F26D2"/>
    <w:rsid w:val="009F2E62"/>
    <w:rsid w:val="00A05026"/>
    <w:rsid w:val="00A058BB"/>
    <w:rsid w:val="00A27444"/>
    <w:rsid w:val="00A27613"/>
    <w:rsid w:val="00A33921"/>
    <w:rsid w:val="00A37449"/>
    <w:rsid w:val="00A375D2"/>
    <w:rsid w:val="00A405BA"/>
    <w:rsid w:val="00A44F51"/>
    <w:rsid w:val="00A474DC"/>
    <w:rsid w:val="00A517D3"/>
    <w:rsid w:val="00A607CB"/>
    <w:rsid w:val="00A656E8"/>
    <w:rsid w:val="00A73680"/>
    <w:rsid w:val="00A747A8"/>
    <w:rsid w:val="00A75C9A"/>
    <w:rsid w:val="00A76912"/>
    <w:rsid w:val="00A76D81"/>
    <w:rsid w:val="00A92CEF"/>
    <w:rsid w:val="00AA70B3"/>
    <w:rsid w:val="00AA7C7E"/>
    <w:rsid w:val="00AA7E8A"/>
    <w:rsid w:val="00AB534D"/>
    <w:rsid w:val="00AB7762"/>
    <w:rsid w:val="00AB7E2C"/>
    <w:rsid w:val="00AC4710"/>
    <w:rsid w:val="00AC4B62"/>
    <w:rsid w:val="00AD4734"/>
    <w:rsid w:val="00AF0470"/>
    <w:rsid w:val="00AF52D0"/>
    <w:rsid w:val="00B067D5"/>
    <w:rsid w:val="00B14135"/>
    <w:rsid w:val="00B14F80"/>
    <w:rsid w:val="00B16C16"/>
    <w:rsid w:val="00B16F29"/>
    <w:rsid w:val="00B20B4E"/>
    <w:rsid w:val="00B2121D"/>
    <w:rsid w:val="00B21D48"/>
    <w:rsid w:val="00B245A6"/>
    <w:rsid w:val="00B36561"/>
    <w:rsid w:val="00B40E1E"/>
    <w:rsid w:val="00B41AA2"/>
    <w:rsid w:val="00B441E2"/>
    <w:rsid w:val="00B47162"/>
    <w:rsid w:val="00B4731F"/>
    <w:rsid w:val="00B47BCC"/>
    <w:rsid w:val="00B61BC7"/>
    <w:rsid w:val="00B61D10"/>
    <w:rsid w:val="00B64191"/>
    <w:rsid w:val="00B70D61"/>
    <w:rsid w:val="00B72F07"/>
    <w:rsid w:val="00B7411A"/>
    <w:rsid w:val="00B8337E"/>
    <w:rsid w:val="00B85F0C"/>
    <w:rsid w:val="00B953A1"/>
    <w:rsid w:val="00BA254F"/>
    <w:rsid w:val="00BA571A"/>
    <w:rsid w:val="00BB10D5"/>
    <w:rsid w:val="00BB45CB"/>
    <w:rsid w:val="00BC0894"/>
    <w:rsid w:val="00BC4F45"/>
    <w:rsid w:val="00BE31E1"/>
    <w:rsid w:val="00BE4DAE"/>
    <w:rsid w:val="00BF173F"/>
    <w:rsid w:val="00BF24B0"/>
    <w:rsid w:val="00BF31B2"/>
    <w:rsid w:val="00C06BB4"/>
    <w:rsid w:val="00C07D46"/>
    <w:rsid w:val="00C12EDB"/>
    <w:rsid w:val="00C1508C"/>
    <w:rsid w:val="00C15FCB"/>
    <w:rsid w:val="00C42943"/>
    <w:rsid w:val="00C52A76"/>
    <w:rsid w:val="00C5384A"/>
    <w:rsid w:val="00C55734"/>
    <w:rsid w:val="00C572B9"/>
    <w:rsid w:val="00C57325"/>
    <w:rsid w:val="00C577F7"/>
    <w:rsid w:val="00C60B59"/>
    <w:rsid w:val="00C646BE"/>
    <w:rsid w:val="00C65832"/>
    <w:rsid w:val="00C703FC"/>
    <w:rsid w:val="00C73878"/>
    <w:rsid w:val="00C74281"/>
    <w:rsid w:val="00C8060C"/>
    <w:rsid w:val="00C856EB"/>
    <w:rsid w:val="00C96FF3"/>
    <w:rsid w:val="00CA073F"/>
    <w:rsid w:val="00CA227C"/>
    <w:rsid w:val="00CA2436"/>
    <w:rsid w:val="00CA3174"/>
    <w:rsid w:val="00CC1DCE"/>
    <w:rsid w:val="00CC2A08"/>
    <w:rsid w:val="00CC7BCD"/>
    <w:rsid w:val="00CD2D1E"/>
    <w:rsid w:val="00CE4D50"/>
    <w:rsid w:val="00CE5CBE"/>
    <w:rsid w:val="00CF5A36"/>
    <w:rsid w:val="00D30F80"/>
    <w:rsid w:val="00D411CA"/>
    <w:rsid w:val="00D50BA6"/>
    <w:rsid w:val="00D520B2"/>
    <w:rsid w:val="00D5313F"/>
    <w:rsid w:val="00D53296"/>
    <w:rsid w:val="00D54444"/>
    <w:rsid w:val="00D54999"/>
    <w:rsid w:val="00D56EF5"/>
    <w:rsid w:val="00D61D28"/>
    <w:rsid w:val="00D65047"/>
    <w:rsid w:val="00D66A27"/>
    <w:rsid w:val="00D769F9"/>
    <w:rsid w:val="00D82035"/>
    <w:rsid w:val="00D96CDA"/>
    <w:rsid w:val="00DA5E7E"/>
    <w:rsid w:val="00DC0716"/>
    <w:rsid w:val="00DE5467"/>
    <w:rsid w:val="00DE62CD"/>
    <w:rsid w:val="00E029F5"/>
    <w:rsid w:val="00E03917"/>
    <w:rsid w:val="00E20BA8"/>
    <w:rsid w:val="00E33831"/>
    <w:rsid w:val="00E33A6D"/>
    <w:rsid w:val="00E34AB7"/>
    <w:rsid w:val="00E3785C"/>
    <w:rsid w:val="00E44BDF"/>
    <w:rsid w:val="00E5466B"/>
    <w:rsid w:val="00E61443"/>
    <w:rsid w:val="00E640A8"/>
    <w:rsid w:val="00E65D36"/>
    <w:rsid w:val="00E706B5"/>
    <w:rsid w:val="00E770ED"/>
    <w:rsid w:val="00E84200"/>
    <w:rsid w:val="00E967F9"/>
    <w:rsid w:val="00EA3626"/>
    <w:rsid w:val="00EA66E5"/>
    <w:rsid w:val="00EA6AB1"/>
    <w:rsid w:val="00EA6F26"/>
    <w:rsid w:val="00ED5DCB"/>
    <w:rsid w:val="00ED7E97"/>
    <w:rsid w:val="00EE2462"/>
    <w:rsid w:val="00EE3C71"/>
    <w:rsid w:val="00EF0F4F"/>
    <w:rsid w:val="00EF169D"/>
    <w:rsid w:val="00EF53E3"/>
    <w:rsid w:val="00F10560"/>
    <w:rsid w:val="00F13209"/>
    <w:rsid w:val="00F148A0"/>
    <w:rsid w:val="00F15B2C"/>
    <w:rsid w:val="00F15EA0"/>
    <w:rsid w:val="00F23976"/>
    <w:rsid w:val="00F3087A"/>
    <w:rsid w:val="00F31433"/>
    <w:rsid w:val="00F51541"/>
    <w:rsid w:val="00F519C6"/>
    <w:rsid w:val="00F52284"/>
    <w:rsid w:val="00F660F9"/>
    <w:rsid w:val="00F70169"/>
    <w:rsid w:val="00F80F08"/>
    <w:rsid w:val="00F81188"/>
    <w:rsid w:val="00F83773"/>
    <w:rsid w:val="00F86CD6"/>
    <w:rsid w:val="00F9018E"/>
    <w:rsid w:val="00F90A33"/>
    <w:rsid w:val="00F90AB1"/>
    <w:rsid w:val="00F958D6"/>
    <w:rsid w:val="00FA7B6C"/>
    <w:rsid w:val="00FC04CE"/>
    <w:rsid w:val="00FC4A5F"/>
    <w:rsid w:val="00FC4FAA"/>
    <w:rsid w:val="00FC5BAF"/>
    <w:rsid w:val="00FD0734"/>
    <w:rsid w:val="00FD0DC6"/>
    <w:rsid w:val="00FD1B07"/>
    <w:rsid w:val="00FD6AAA"/>
    <w:rsid w:val="00FE0A70"/>
    <w:rsid w:val="00FE40FD"/>
    <w:rsid w:val="00FF2C99"/>
    <w:rsid w:val="00FF2E0E"/>
    <w:rsid w:val="00FF369A"/>
    <w:rsid w:val="00FF3C01"/>
    <w:rsid w:val="00FF3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0769C590"/>
  <w15:docId w15:val="{6BEE1D4B-DF49-4CE6-9CEB-4770484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D2"/>
    <w:pPr>
      <w:spacing w:after="0" w:line="240" w:lineRule="auto"/>
    </w:pPr>
    <w:rPr>
      <w:rFonts w:ascii="Arial" w:hAnsi="Arial"/>
      <w:lang w:bidi="ar-S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iPriority w:val="9"/>
    <w:semiHidden/>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8337E"/>
    <w:pPr>
      <w:spacing w:before="240" w:after="60"/>
      <w:outlineLvl w:val="5"/>
    </w:pPr>
    <w:rPr>
      <w:b/>
      <w:bCs/>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basedOn w:val="Normal"/>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paragraph" w:styleId="Textedebulles">
    <w:name w:val="Balloon Text"/>
    <w:basedOn w:val="Normal"/>
    <w:link w:val="TextedebullesCar"/>
    <w:uiPriority w:val="99"/>
    <w:semiHidden/>
    <w:unhideWhenUsed/>
    <w:rsid w:val="00F15B2C"/>
    <w:rPr>
      <w:rFonts w:ascii="Tahoma" w:hAnsi="Tahoma" w:cs="Tahoma"/>
      <w:sz w:val="16"/>
      <w:szCs w:val="16"/>
    </w:rPr>
  </w:style>
  <w:style w:type="character" w:customStyle="1" w:styleId="TextedebullesCar">
    <w:name w:val="Texte de bulles Car"/>
    <w:basedOn w:val="Policepardfaut"/>
    <w:link w:val="Textedebulles"/>
    <w:uiPriority w:val="99"/>
    <w:semiHidden/>
    <w:rsid w:val="00F15B2C"/>
    <w:rPr>
      <w:rFonts w:ascii="Tahoma" w:hAnsi="Tahoma" w:cs="Tahoma"/>
      <w:sz w:val="16"/>
      <w:szCs w:val="16"/>
      <w:lang w:bidi="ar-SA"/>
    </w:rPr>
  </w:style>
  <w:style w:type="paragraph" w:styleId="En-tte">
    <w:name w:val="header"/>
    <w:basedOn w:val="Normal"/>
    <w:link w:val="En-tteCar"/>
    <w:uiPriority w:val="99"/>
    <w:unhideWhenUsed/>
    <w:rsid w:val="00F15B2C"/>
    <w:pPr>
      <w:tabs>
        <w:tab w:val="center" w:pos="4680"/>
        <w:tab w:val="right" w:pos="9360"/>
      </w:tabs>
    </w:pPr>
  </w:style>
  <w:style w:type="character" w:customStyle="1" w:styleId="En-tteCar">
    <w:name w:val="En-tête Car"/>
    <w:basedOn w:val="Policepardfaut"/>
    <w:link w:val="En-tte"/>
    <w:uiPriority w:val="99"/>
    <w:rsid w:val="00F15B2C"/>
    <w:rPr>
      <w:rFonts w:ascii="Calibri" w:hAnsi="Calibri"/>
      <w:lang w:bidi="ar-SA"/>
    </w:rPr>
  </w:style>
  <w:style w:type="paragraph" w:styleId="Pieddepage">
    <w:name w:val="footer"/>
    <w:basedOn w:val="Normal"/>
    <w:link w:val="PieddepageCar"/>
    <w:unhideWhenUsed/>
    <w:rsid w:val="00F15B2C"/>
    <w:pPr>
      <w:tabs>
        <w:tab w:val="center" w:pos="4680"/>
        <w:tab w:val="right" w:pos="9360"/>
      </w:tabs>
    </w:pPr>
  </w:style>
  <w:style w:type="character" w:customStyle="1" w:styleId="PieddepageCar">
    <w:name w:val="Pied de page Car"/>
    <w:basedOn w:val="Policepardfaut"/>
    <w:link w:val="Pieddepage"/>
    <w:uiPriority w:val="99"/>
    <w:semiHidden/>
    <w:rsid w:val="00F15B2C"/>
    <w:rPr>
      <w:rFonts w:ascii="Calibri" w:hAnsi="Calibri"/>
      <w:lang w:bidi="ar-SA"/>
    </w:rPr>
  </w:style>
  <w:style w:type="character" w:styleId="Marquedecommentaire">
    <w:name w:val="annotation reference"/>
    <w:basedOn w:val="Policepardfaut"/>
    <w:uiPriority w:val="99"/>
    <w:semiHidden/>
    <w:unhideWhenUsed/>
    <w:rsid w:val="000D46C5"/>
    <w:rPr>
      <w:sz w:val="16"/>
      <w:szCs w:val="16"/>
    </w:rPr>
  </w:style>
  <w:style w:type="paragraph" w:styleId="Commentaire">
    <w:name w:val="annotation text"/>
    <w:basedOn w:val="Normal"/>
    <w:link w:val="CommentaireCar"/>
    <w:uiPriority w:val="99"/>
    <w:unhideWhenUsed/>
    <w:rsid w:val="000D46C5"/>
    <w:rPr>
      <w:sz w:val="20"/>
      <w:szCs w:val="20"/>
    </w:rPr>
  </w:style>
  <w:style w:type="character" w:customStyle="1" w:styleId="CommentaireCar">
    <w:name w:val="Commentaire Car"/>
    <w:basedOn w:val="Policepardfaut"/>
    <w:link w:val="Commentaire"/>
    <w:uiPriority w:val="99"/>
    <w:rsid w:val="000D46C5"/>
    <w:rPr>
      <w:rFonts w:ascii="Calibri" w:hAnsi="Calibri"/>
      <w:sz w:val="20"/>
      <w:szCs w:val="20"/>
      <w:lang w:bidi="ar-SA"/>
    </w:rPr>
  </w:style>
  <w:style w:type="paragraph" w:styleId="Objetducommentaire">
    <w:name w:val="annotation subject"/>
    <w:basedOn w:val="Commentaire"/>
    <w:next w:val="Commentaire"/>
    <w:link w:val="ObjetducommentaireCar"/>
    <w:uiPriority w:val="99"/>
    <w:semiHidden/>
    <w:unhideWhenUsed/>
    <w:rsid w:val="000D46C5"/>
    <w:rPr>
      <w:b/>
      <w:bCs/>
    </w:rPr>
  </w:style>
  <w:style w:type="character" w:customStyle="1" w:styleId="ObjetducommentaireCar">
    <w:name w:val="Objet du commentaire Car"/>
    <w:basedOn w:val="CommentaireCar"/>
    <w:link w:val="Objetducommentaire"/>
    <w:uiPriority w:val="99"/>
    <w:semiHidden/>
    <w:rsid w:val="000D46C5"/>
    <w:rPr>
      <w:rFonts w:ascii="Calibri" w:hAnsi="Calibri"/>
      <w:b/>
      <w:bCs/>
      <w:sz w:val="20"/>
      <w:szCs w:val="20"/>
      <w:lang w:bidi="ar-SA"/>
    </w:rPr>
  </w:style>
  <w:style w:type="table" w:styleId="Grilledutableau">
    <w:name w:val="Table Grid"/>
    <w:basedOn w:val="TableauNormal"/>
    <w:uiPriority w:val="59"/>
    <w:rsid w:val="0028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842D4"/>
    <w:rPr>
      <w:color w:val="0000FF" w:themeColor="hyperlink"/>
      <w:u w:val="single"/>
    </w:rPr>
  </w:style>
  <w:style w:type="character" w:styleId="Numrodepage">
    <w:name w:val="page number"/>
    <w:basedOn w:val="Policepardfaut"/>
    <w:rsid w:val="009C72DE"/>
  </w:style>
  <w:style w:type="paragraph" w:styleId="Rvision">
    <w:name w:val="Revision"/>
    <w:hidden/>
    <w:uiPriority w:val="99"/>
    <w:semiHidden/>
    <w:rsid w:val="00AC4710"/>
    <w:pPr>
      <w:spacing w:after="0" w:line="240" w:lineRule="auto"/>
    </w:pPr>
    <w:rPr>
      <w:rFonts w:ascii="Calibri" w:hAnsi="Calibri"/>
      <w:lang w:bidi="ar-SA"/>
    </w:rPr>
  </w:style>
  <w:style w:type="paragraph" w:customStyle="1" w:styleId="IFACListStyle1">
    <w:name w:val="IFAC ListStyle 1"/>
    <w:aliases w:val="ls1,ListStyle 1"/>
    <w:basedOn w:val="Normal"/>
    <w:qFormat/>
    <w:rsid w:val="00B41AA2"/>
    <w:pPr>
      <w:numPr>
        <w:numId w:val="4"/>
      </w:numPr>
      <w:tabs>
        <w:tab w:val="left" w:pos="1094"/>
      </w:tabs>
      <w:spacing w:before="120" w:line="280" w:lineRule="exact"/>
      <w:jc w:val="both"/>
    </w:pPr>
    <w:rPr>
      <w:rFonts w:eastAsia="Times New Roman"/>
      <w:kern w:val="8"/>
      <w:sz w:val="20"/>
      <w:szCs w:val="24"/>
      <w:lang w:bidi="he-IL"/>
    </w:rPr>
  </w:style>
  <w:style w:type="paragraph" w:customStyle="1" w:styleId="IFACListStyle2">
    <w:name w:val="IFAC ListStyle 2"/>
    <w:aliases w:val="ls2,ListStyle 2"/>
    <w:basedOn w:val="Normal"/>
    <w:qFormat/>
    <w:rsid w:val="00B41AA2"/>
    <w:pPr>
      <w:numPr>
        <w:ilvl w:val="1"/>
        <w:numId w:val="4"/>
      </w:numPr>
      <w:tabs>
        <w:tab w:val="left" w:pos="1094"/>
      </w:tabs>
      <w:spacing w:before="120" w:line="280" w:lineRule="exact"/>
      <w:jc w:val="both"/>
    </w:pPr>
    <w:rPr>
      <w:rFonts w:eastAsia="Times New Roman"/>
      <w:kern w:val="8"/>
      <w:sz w:val="20"/>
      <w:szCs w:val="24"/>
      <w:lang w:bidi="he-IL"/>
    </w:rPr>
  </w:style>
  <w:style w:type="paragraph" w:customStyle="1" w:styleId="IFACListStyle3">
    <w:name w:val="IFAC ListStyle 3"/>
    <w:aliases w:val="ls3,ListStyle 3"/>
    <w:basedOn w:val="Normal"/>
    <w:qFormat/>
    <w:rsid w:val="00B41AA2"/>
    <w:pPr>
      <w:numPr>
        <w:ilvl w:val="2"/>
        <w:numId w:val="4"/>
      </w:numPr>
      <w:tabs>
        <w:tab w:val="left" w:pos="1642"/>
      </w:tabs>
      <w:spacing w:before="120" w:line="280" w:lineRule="exact"/>
      <w:jc w:val="both"/>
    </w:pPr>
    <w:rPr>
      <w:rFonts w:eastAsia="Times New Roman"/>
      <w:kern w:val="8"/>
      <w:sz w:val="20"/>
      <w:szCs w:val="24"/>
      <w:lang w:bidi="he-IL"/>
    </w:rPr>
  </w:style>
  <w:style w:type="paragraph" w:customStyle="1" w:styleId="IFACListStyle4">
    <w:name w:val="IFAC ListStyle 4"/>
    <w:aliases w:val="ls4,ListStyle 4"/>
    <w:basedOn w:val="Normal"/>
    <w:qFormat/>
    <w:rsid w:val="00B41AA2"/>
    <w:pPr>
      <w:numPr>
        <w:ilvl w:val="3"/>
        <w:numId w:val="4"/>
      </w:numPr>
      <w:tabs>
        <w:tab w:val="left" w:pos="2189"/>
      </w:tabs>
      <w:spacing w:before="120" w:line="280" w:lineRule="exact"/>
      <w:jc w:val="both"/>
    </w:pPr>
    <w:rPr>
      <w:rFonts w:eastAsia="Times New Roman"/>
      <w:kern w:val="8"/>
      <w:sz w:val="20"/>
      <w:szCs w:val="24"/>
      <w:lang w:bidi="he-IL"/>
    </w:rPr>
  </w:style>
  <w:style w:type="paragraph" w:customStyle="1" w:styleId="IFACListStyle5">
    <w:name w:val="IFAC ListStyle 5"/>
    <w:aliases w:val="ls5,ListStyle 5"/>
    <w:basedOn w:val="Normal"/>
    <w:qFormat/>
    <w:rsid w:val="00B41AA2"/>
    <w:pPr>
      <w:numPr>
        <w:ilvl w:val="4"/>
        <w:numId w:val="4"/>
      </w:numPr>
      <w:tabs>
        <w:tab w:val="left" w:pos="2736"/>
      </w:tabs>
      <w:spacing w:before="120" w:line="280" w:lineRule="exact"/>
      <w:jc w:val="both"/>
    </w:pPr>
    <w:rPr>
      <w:rFonts w:eastAsia="Times New Roman"/>
      <w:kern w:val="8"/>
      <w:sz w:val="20"/>
      <w:szCs w:val="24"/>
      <w:lang w:bidi="he-IL"/>
    </w:rPr>
  </w:style>
  <w:style w:type="paragraph" w:customStyle="1" w:styleId="11Signature">
    <w:name w:val="11_Signature"/>
    <w:basedOn w:val="Normal"/>
    <w:next w:val="Normal"/>
    <w:qFormat/>
    <w:rsid w:val="009644A0"/>
    <w:pPr>
      <w:keepNext/>
      <w:keepLines/>
      <w:spacing w:before="360" w:after="480"/>
    </w:pPr>
    <w:rPr>
      <w:rFonts w:eastAsia="Times New Roman"/>
      <w:lang w:val="en-CA"/>
    </w:rPr>
  </w:style>
  <w:style w:type="character" w:styleId="Lienhypertextesuivivisit">
    <w:name w:val="FollowedHyperlink"/>
    <w:basedOn w:val="Policepardfaut"/>
    <w:uiPriority w:val="99"/>
    <w:semiHidden/>
    <w:unhideWhenUsed/>
    <w:rsid w:val="00BE4DAE"/>
    <w:rPr>
      <w:color w:val="800080" w:themeColor="followedHyperlink"/>
      <w:u w:val="single"/>
    </w:rPr>
  </w:style>
  <w:style w:type="paragraph" w:customStyle="1" w:styleId="AuditBullet">
    <w:name w:val="AuditBullet"/>
    <w:uiPriority w:val="25"/>
    <w:rsid w:val="00B16F29"/>
    <w:pPr>
      <w:numPr>
        <w:numId w:val="17"/>
      </w:numPr>
      <w:tabs>
        <w:tab w:val="left" w:pos="720"/>
      </w:tabs>
      <w:spacing w:before="120" w:after="120" w:line="240" w:lineRule="auto"/>
    </w:pPr>
    <w:rPr>
      <w:rFonts w:ascii="Arial" w:eastAsia="Times New Roman" w:hAnsi="Arial"/>
      <w:lang w:val="en-CA" w:bidi="ar-SA"/>
    </w:rPr>
  </w:style>
  <w:style w:type="paragraph" w:customStyle="1" w:styleId="AuditPara">
    <w:name w:val="AuditPara"/>
    <w:basedOn w:val="Normal"/>
    <w:uiPriority w:val="24"/>
    <w:rsid w:val="00B16F29"/>
    <w:pPr>
      <w:spacing w:before="240" w:after="240"/>
    </w:pPr>
    <w:rPr>
      <w:rFonts w:eastAsia="Times New Roman"/>
      <w:szCs w:val="24"/>
      <w:lang w:val="en-CA" w:eastAsia="en-CA"/>
    </w:rPr>
  </w:style>
  <w:style w:type="character" w:customStyle="1" w:styleId="rangyselectionboundary">
    <w:name w:val="rangyselectionboundary"/>
    <w:basedOn w:val="Policepardfaut"/>
    <w:rsid w:val="005623FF"/>
  </w:style>
  <w:style w:type="character" w:styleId="Textedelespacerserv">
    <w:name w:val="Placeholder Text"/>
    <w:basedOn w:val="Policepardfaut"/>
    <w:uiPriority w:val="99"/>
    <w:semiHidden/>
    <w:rsid w:val="006D3B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4394">
      <w:bodyDiv w:val="1"/>
      <w:marLeft w:val="0"/>
      <w:marRight w:val="0"/>
      <w:marTop w:val="0"/>
      <w:marBottom w:val="0"/>
      <w:divBdr>
        <w:top w:val="none" w:sz="0" w:space="0" w:color="auto"/>
        <w:left w:val="none" w:sz="0" w:space="0" w:color="auto"/>
        <w:bottom w:val="none" w:sz="0" w:space="0" w:color="auto"/>
        <w:right w:val="none" w:sz="0" w:space="0" w:color="auto"/>
      </w:divBdr>
    </w:div>
    <w:div w:id="945114601">
      <w:bodyDiv w:val="1"/>
      <w:marLeft w:val="0"/>
      <w:marRight w:val="0"/>
      <w:marTop w:val="0"/>
      <w:marBottom w:val="0"/>
      <w:divBdr>
        <w:top w:val="none" w:sz="0" w:space="0" w:color="auto"/>
        <w:left w:val="none" w:sz="0" w:space="0" w:color="auto"/>
        <w:bottom w:val="none" w:sz="0" w:space="0" w:color="auto"/>
        <w:right w:val="none" w:sz="0" w:space="0" w:color="auto"/>
      </w:divBdr>
      <w:divsChild>
        <w:div w:id="59911232">
          <w:marLeft w:val="3"/>
          <w:marRight w:val="3"/>
          <w:marTop w:val="0"/>
          <w:marBottom w:val="0"/>
          <w:divBdr>
            <w:top w:val="none" w:sz="0" w:space="0" w:color="auto"/>
            <w:left w:val="single" w:sz="48" w:space="0" w:color="FFFFFF"/>
            <w:bottom w:val="single" w:sz="48" w:space="0" w:color="FFFFFF"/>
            <w:right w:val="single" w:sz="48" w:space="0" w:color="FFFFFF"/>
          </w:divBdr>
          <w:divsChild>
            <w:div w:id="5177564">
              <w:marLeft w:val="0"/>
              <w:marRight w:val="0"/>
              <w:marTop w:val="0"/>
              <w:marBottom w:val="0"/>
              <w:divBdr>
                <w:top w:val="none" w:sz="0" w:space="0" w:color="auto"/>
                <w:left w:val="none" w:sz="0" w:space="0" w:color="auto"/>
                <w:bottom w:val="none" w:sz="0" w:space="0" w:color="auto"/>
                <w:right w:val="none" w:sz="0" w:space="0" w:color="auto"/>
              </w:divBdr>
              <w:divsChild>
                <w:div w:id="28839847">
                  <w:marLeft w:val="0"/>
                  <w:marRight w:val="-100"/>
                  <w:marTop w:val="0"/>
                  <w:marBottom w:val="0"/>
                  <w:divBdr>
                    <w:top w:val="none" w:sz="0" w:space="0" w:color="auto"/>
                    <w:left w:val="none" w:sz="0" w:space="0" w:color="auto"/>
                    <w:bottom w:val="none" w:sz="0" w:space="0" w:color="auto"/>
                    <w:right w:val="none" w:sz="0" w:space="0" w:color="auto"/>
                  </w:divBdr>
                  <w:divsChild>
                    <w:div w:id="1940674162">
                      <w:marLeft w:val="25"/>
                      <w:marRight w:val="0"/>
                      <w:marTop w:val="0"/>
                      <w:marBottom w:val="0"/>
                      <w:divBdr>
                        <w:top w:val="none" w:sz="0" w:space="0" w:color="auto"/>
                        <w:left w:val="none" w:sz="0" w:space="0" w:color="auto"/>
                        <w:bottom w:val="none" w:sz="0" w:space="0" w:color="auto"/>
                        <w:right w:val="none" w:sz="0" w:space="0" w:color="auto"/>
                      </w:divBdr>
                      <w:divsChild>
                        <w:div w:id="755249795">
                          <w:marLeft w:val="0"/>
                          <w:marRight w:val="0"/>
                          <w:marTop w:val="0"/>
                          <w:marBottom w:val="0"/>
                          <w:divBdr>
                            <w:top w:val="none" w:sz="0" w:space="0" w:color="auto"/>
                            <w:left w:val="none" w:sz="0" w:space="0" w:color="auto"/>
                            <w:bottom w:val="none" w:sz="0" w:space="0" w:color="auto"/>
                            <w:right w:val="none" w:sz="0" w:space="0" w:color="auto"/>
                          </w:divBdr>
                          <w:divsChild>
                            <w:div w:id="154957920">
                              <w:marLeft w:val="0"/>
                              <w:marRight w:val="0"/>
                              <w:marTop w:val="0"/>
                              <w:marBottom w:val="0"/>
                              <w:divBdr>
                                <w:top w:val="none" w:sz="0" w:space="0" w:color="auto"/>
                                <w:left w:val="none" w:sz="0" w:space="0" w:color="auto"/>
                                <w:bottom w:val="none" w:sz="0" w:space="0" w:color="auto"/>
                                <w:right w:val="none" w:sz="0" w:space="0" w:color="auto"/>
                              </w:divBdr>
                              <w:divsChild>
                                <w:div w:id="7370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56223">
      <w:bodyDiv w:val="1"/>
      <w:marLeft w:val="0"/>
      <w:marRight w:val="0"/>
      <w:marTop w:val="0"/>
      <w:marBottom w:val="0"/>
      <w:divBdr>
        <w:top w:val="none" w:sz="0" w:space="0" w:color="auto"/>
        <w:left w:val="none" w:sz="0" w:space="0" w:color="auto"/>
        <w:bottom w:val="none" w:sz="0" w:space="0" w:color="auto"/>
        <w:right w:val="none" w:sz="0" w:space="0" w:color="auto"/>
      </w:divBdr>
    </w:div>
    <w:div w:id="1675567414">
      <w:bodyDiv w:val="1"/>
      <w:marLeft w:val="0"/>
      <w:marRight w:val="0"/>
      <w:marTop w:val="0"/>
      <w:marBottom w:val="0"/>
      <w:divBdr>
        <w:top w:val="none" w:sz="0" w:space="0" w:color="auto"/>
        <w:left w:val="none" w:sz="0" w:space="0" w:color="auto"/>
        <w:bottom w:val="none" w:sz="0" w:space="0" w:color="auto"/>
        <w:right w:val="none" w:sz="0" w:space="0" w:color="auto"/>
      </w:divBdr>
    </w:div>
    <w:div w:id="16878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de-gestion/manuel/7030.shtm" TargetMode="External"/><Relationship Id="rId13" Type="http://schemas.openxmlformats.org/officeDocument/2006/relationships/hyperlink" Target="http://localhost/intranet/verification-de-gestion/manuel/11000.shtm" TargetMode="External"/><Relationship Id="rId18" Type="http://schemas.openxmlformats.org/officeDocument/2006/relationships/hyperlink" Target="http://localhost/intranet/verification-de-gestion/manuel/7040.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ocalhost/intranet/verification-de-gestion/manuel/8020.shtm" TargetMode="External"/><Relationship Id="rId7" Type="http://schemas.openxmlformats.org/officeDocument/2006/relationships/endnotes" Target="endnotes.xml"/><Relationship Id="rId12" Type="http://schemas.openxmlformats.org/officeDocument/2006/relationships/hyperlink" Target="http://localhost/intranet/verification-de-gestion/manuel/4042.shtm" TargetMode="External"/><Relationship Id="rId17" Type="http://schemas.openxmlformats.org/officeDocument/2006/relationships/hyperlink" Target="http://localhost/intranet/verification-de-gestion/manuel/10010.shtm" TargetMode="External"/><Relationship Id="rId25" Type="http://schemas.openxmlformats.org/officeDocument/2006/relationships/hyperlink" Target="http://localhost/intranet/verification-de-gestion/manuel/8030.shtm" TargetMode="External"/><Relationship Id="rId2" Type="http://schemas.openxmlformats.org/officeDocument/2006/relationships/numbering" Target="numbering.xml"/><Relationship Id="rId16" Type="http://schemas.openxmlformats.org/officeDocument/2006/relationships/hyperlink" Target="http://localhost/intranet/verification-de-gestion/manuel/11000.shtm" TargetMode="External"/><Relationship Id="rId20" Type="http://schemas.openxmlformats.org/officeDocument/2006/relationships/hyperlink" Target="http://localhost/intranet/verification-de-gestion/manuel/10010.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verification-de-gestion/manuel/4041.shtm" TargetMode="External"/><Relationship Id="rId24" Type="http://schemas.openxmlformats.org/officeDocument/2006/relationships/hyperlink" Target="http://localhost/intranet/verification-de-gestion/manuel/7030.shtm" TargetMode="External"/><Relationship Id="rId5" Type="http://schemas.openxmlformats.org/officeDocument/2006/relationships/webSettings" Target="webSettings.xml"/><Relationship Id="rId15" Type="http://schemas.openxmlformats.org/officeDocument/2006/relationships/hyperlink" Target="http://localhost/intranet/verification-de-gestion/manuel/4042.shtm" TargetMode="External"/><Relationship Id="rId23" Type="http://schemas.openxmlformats.org/officeDocument/2006/relationships/hyperlink" Target="http://localhost/intranet/verification-de-gestion/manuel/8017.shtm" TargetMode="External"/><Relationship Id="rId28" Type="http://schemas.openxmlformats.org/officeDocument/2006/relationships/footer" Target="footer2.xml"/><Relationship Id="rId10" Type="http://schemas.openxmlformats.org/officeDocument/2006/relationships/hyperlink" Target="http://localhost/intranet/verification-de-gestion/manuel/10010.shtm" TargetMode="External"/><Relationship Id="rId19" Type="http://schemas.openxmlformats.org/officeDocument/2006/relationships/hyperlink" Target="http://localhost/intranet/verification-de-gestion/manuel/11000.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intranet/verification-de-gestion/manuel/11000.shtm" TargetMode="External"/><Relationship Id="rId14" Type="http://schemas.openxmlformats.org/officeDocument/2006/relationships/hyperlink" Target="http://localhost/intranet/verification-de-gestion/manuel/10010.shtm" TargetMode="External"/><Relationship Id="rId22" Type="http://schemas.openxmlformats.org/officeDocument/2006/relationships/image" Target="media/image1.emf"/><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386FE32FE4A12821E0D6F09F3B17C"/>
        <w:category>
          <w:name w:val="Général"/>
          <w:gallery w:val="placeholder"/>
        </w:category>
        <w:types>
          <w:type w:val="bbPlcHdr"/>
        </w:types>
        <w:behaviors>
          <w:behavior w:val="content"/>
        </w:behaviors>
        <w:guid w:val="{DF1BCBCA-9CD8-435A-8088-47B33EE5E61A}"/>
      </w:docPartPr>
      <w:docPartBody>
        <w:p w:rsidR="00844881" w:rsidRDefault="00ED436D" w:rsidP="00ED436D">
          <w:pPr>
            <w:pStyle w:val="CC1386FE32FE4A12821E0D6F09F3B17C"/>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D"/>
    <w:rsid w:val="00844881"/>
    <w:rsid w:val="00ED4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436D"/>
    <w:rPr>
      <w:color w:val="808080"/>
    </w:rPr>
  </w:style>
  <w:style w:type="paragraph" w:customStyle="1" w:styleId="CC1386FE32FE4A12821E0D6F09F3B17C">
    <w:name w:val="CC1386FE32FE4A12821E0D6F09F3B17C"/>
    <w:rsid w:val="00ED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1625-3D03-4BA3-BB2A-D10DAC7E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2873</Words>
  <Characters>15804</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 contrôle — Assurance que le rapport a été rédigé conformément aux politiques et aux normes professionnelles</vt:lpstr>
      <vt:lpstr>Liste de contrôle — Assurance que le rapport a été rédigé conformément aux politiques et aux normes professionnelles</vt:lpstr>
    </vt:vector>
  </TitlesOfParts>
  <Company>OAG-BVG</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 Assurance que le rapport a été rédigé conformément aux politiques et aux normes professionnelles</dc:title>
  <dc:subject>Liste de contrôle — Assurance que le rapport a été rédigé conformément aux politiques et aux normes professionnelles</dc:subject>
  <dc:creator>OAG-BVG</dc:creator>
  <cp:keywords/>
  <dc:description/>
  <cp:lastModifiedBy>Legresley, Tina Lise</cp:lastModifiedBy>
  <cp:revision>6</cp:revision>
  <cp:lastPrinted>2012-08-13T15:56:00Z</cp:lastPrinted>
  <dcterms:created xsi:type="dcterms:W3CDTF">2022-12-13T19:14:00Z</dcterms:created>
  <dcterms:modified xsi:type="dcterms:W3CDTF">2022-12-15T01:58:00Z</dcterms:modified>
  <cp:category>Modèle 15674</cp:category>
  <cp:contentStatus/>
</cp:coreProperties>
</file>