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B7C13" w14:textId="77777777" w:rsidR="007652CC" w:rsidRPr="007652CC" w:rsidRDefault="007652CC" w:rsidP="00F57F59">
      <w:pPr>
        <w:pStyle w:val="Heading1"/>
      </w:pPr>
      <w:r w:rsidRPr="007652CC">
        <w:t>I</w:t>
      </w:r>
      <w:r>
        <w:t>nstruc</w:t>
      </w:r>
      <w:bookmarkStart w:id="0" w:name="_GoBack"/>
      <w:bookmarkEnd w:id="0"/>
      <w:r>
        <w:t>tions</w:t>
      </w:r>
    </w:p>
    <w:p w14:paraId="0953BFA5" w14:textId="67F42FD5" w:rsidR="004C19D6" w:rsidRPr="00E70F6E" w:rsidRDefault="004C19D6">
      <w:pPr>
        <w:rPr>
          <w:rFonts w:ascii="Arial" w:hAnsi="Arial" w:cs="Arial"/>
        </w:rPr>
      </w:pPr>
      <w:r w:rsidRPr="00442590">
        <w:rPr>
          <w:rFonts w:ascii="Arial" w:hAnsi="Arial" w:cs="Arial"/>
        </w:rPr>
        <w:t>Document for each phase of the audit</w:t>
      </w:r>
      <w:r w:rsidR="00442590" w:rsidRPr="00442590">
        <w:rPr>
          <w:rFonts w:ascii="Arial" w:hAnsi="Arial" w:cs="Arial"/>
        </w:rPr>
        <w:t xml:space="preserve"> process </w:t>
      </w:r>
      <w:r w:rsidRPr="00442590">
        <w:rPr>
          <w:rFonts w:ascii="Arial" w:hAnsi="Arial" w:cs="Arial"/>
        </w:rPr>
        <w:t xml:space="preserve">the </w:t>
      </w:r>
      <w:r w:rsidR="00A22E8D">
        <w:rPr>
          <w:rFonts w:ascii="Arial" w:hAnsi="Arial" w:cs="Arial"/>
        </w:rPr>
        <w:t xml:space="preserve">changes made to key decisions </w:t>
      </w:r>
      <w:r w:rsidR="00442590" w:rsidRPr="00442590">
        <w:rPr>
          <w:rFonts w:ascii="Arial" w:hAnsi="Arial" w:cs="Arial"/>
        </w:rPr>
        <w:t xml:space="preserve">(where appropriate). Examples </w:t>
      </w:r>
      <w:r w:rsidR="007652CC">
        <w:rPr>
          <w:rFonts w:ascii="Arial" w:hAnsi="Arial" w:cs="Arial"/>
        </w:rPr>
        <w:t xml:space="preserve">with suggested topics </w:t>
      </w:r>
      <w:r w:rsidR="00442590" w:rsidRPr="00442590">
        <w:rPr>
          <w:rFonts w:ascii="Arial" w:hAnsi="Arial" w:cs="Arial"/>
        </w:rPr>
        <w:t xml:space="preserve">are provided to help you identify the </w:t>
      </w:r>
      <w:r w:rsidR="007652CC">
        <w:rPr>
          <w:rFonts w:ascii="Arial" w:hAnsi="Arial" w:cs="Arial"/>
        </w:rPr>
        <w:t xml:space="preserve">key </w:t>
      </w:r>
      <w:r w:rsidR="00A22E8D">
        <w:rPr>
          <w:rFonts w:ascii="Arial" w:hAnsi="Arial" w:cs="Arial"/>
        </w:rPr>
        <w:t>decisions</w:t>
      </w:r>
      <w:r w:rsidR="00442590" w:rsidRPr="00442590">
        <w:rPr>
          <w:rFonts w:ascii="Arial" w:hAnsi="Arial" w:cs="Arial"/>
        </w:rPr>
        <w:t xml:space="preserve"> </w:t>
      </w:r>
      <w:r w:rsidR="00A22E8D">
        <w:rPr>
          <w:rFonts w:ascii="Arial" w:hAnsi="Arial" w:cs="Arial"/>
        </w:rPr>
        <w:t>taken</w:t>
      </w:r>
      <w:r w:rsidR="00A22E8D" w:rsidRPr="00442590">
        <w:rPr>
          <w:rFonts w:ascii="Arial" w:hAnsi="Arial" w:cs="Arial"/>
        </w:rPr>
        <w:t xml:space="preserve"> </w:t>
      </w:r>
      <w:r w:rsidR="00442590" w:rsidRPr="00442590">
        <w:rPr>
          <w:rFonts w:ascii="Arial" w:hAnsi="Arial" w:cs="Arial"/>
        </w:rPr>
        <w:t>in your audit file.</w:t>
      </w:r>
      <w:r w:rsidR="004A6BFD">
        <w:rPr>
          <w:rFonts w:ascii="Arial" w:hAnsi="Arial" w:cs="Arial"/>
        </w:rPr>
        <w:t xml:space="preserve"> </w:t>
      </w:r>
      <w:r w:rsidR="007652CC">
        <w:rPr>
          <w:rFonts w:ascii="Arial" w:hAnsi="Arial" w:cs="Arial"/>
        </w:rPr>
        <w:t>All these topics do not necessarily apply to your situation (you can remove or add additional topics</w:t>
      </w:r>
      <w:r w:rsidR="00A22E8D">
        <w:rPr>
          <w:rFonts w:ascii="Arial" w:hAnsi="Arial" w:cs="Arial"/>
        </w:rPr>
        <w:t>, as necessary</w:t>
      </w:r>
      <w:r w:rsidR="007652CC">
        <w:rPr>
          <w:rFonts w:ascii="Arial" w:hAnsi="Arial" w:cs="Arial"/>
        </w:rPr>
        <w:t xml:space="preserve">). </w:t>
      </w:r>
      <w:r w:rsidR="00FA00E1">
        <w:rPr>
          <w:rFonts w:ascii="Arial" w:hAnsi="Arial" w:cs="Arial"/>
        </w:rPr>
        <w:t>Adapt this template to your own needs</w:t>
      </w:r>
      <w:r w:rsidR="002E2025">
        <w:rPr>
          <w:rFonts w:ascii="Arial" w:hAnsi="Arial" w:cs="Arial"/>
        </w:rPr>
        <w:t xml:space="preserve"> and include links to existing working papers</w:t>
      </w:r>
      <w:r w:rsidR="008E3B23">
        <w:rPr>
          <w:rFonts w:ascii="Arial" w:hAnsi="Arial" w:cs="Arial"/>
        </w:rPr>
        <w:t xml:space="preserve"> as needed</w:t>
      </w:r>
      <w:r w:rsidR="00BD2E34">
        <w:rPr>
          <w:rFonts w:ascii="Arial" w:hAnsi="Arial" w:cs="Arial"/>
        </w:rPr>
        <w:t>.</w:t>
      </w:r>
    </w:p>
    <w:p w14:paraId="2D768CBE" w14:textId="77777777" w:rsidR="00CE3E71" w:rsidRPr="00442590" w:rsidRDefault="00CE3E71" w:rsidP="00F448C6">
      <w:pPr>
        <w:pStyle w:val="Heading1"/>
      </w:pPr>
      <w:r w:rsidRPr="00442590">
        <w:t>Engagement Management</w:t>
      </w:r>
    </w:p>
    <w:tbl>
      <w:tblPr>
        <w:tblStyle w:val="TableGrid"/>
        <w:tblW w:w="5145" w:type="pct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5395"/>
        <w:gridCol w:w="6237"/>
      </w:tblGrid>
      <w:tr w:rsidR="002E2025" w:rsidRPr="00442590" w14:paraId="4E086770" w14:textId="77777777" w:rsidTr="004703C4">
        <w:trPr>
          <w:trHeight w:val="442"/>
          <w:tblHeader/>
        </w:trPr>
        <w:tc>
          <w:tcPr>
            <w:tcW w:w="1694" w:type="dxa"/>
            <w:vAlign w:val="center"/>
          </w:tcPr>
          <w:p w14:paraId="380227D2" w14:textId="77777777" w:rsidR="002E2025" w:rsidRPr="00442590" w:rsidRDefault="002E2025" w:rsidP="000D0650">
            <w:pPr>
              <w:spacing w:before="120" w:after="120"/>
              <w:rPr>
                <w:rFonts w:ascii="Arial" w:hAnsi="Arial" w:cs="Arial"/>
                <w:b/>
              </w:rPr>
            </w:pPr>
            <w:r w:rsidRPr="00442590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395" w:type="dxa"/>
            <w:vAlign w:val="center"/>
          </w:tcPr>
          <w:p w14:paraId="362C9FAC" w14:textId="77777777" w:rsidR="002E2025" w:rsidRPr="00442590" w:rsidRDefault="002E2025" w:rsidP="000D065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Examples</w:t>
            </w:r>
          </w:p>
        </w:tc>
        <w:tc>
          <w:tcPr>
            <w:tcW w:w="6237" w:type="dxa"/>
            <w:vAlign w:val="center"/>
          </w:tcPr>
          <w:p w14:paraId="68F65ADB" w14:textId="77777777" w:rsidR="002E2025" w:rsidRPr="00442590" w:rsidRDefault="002E2025" w:rsidP="000D0650">
            <w:pPr>
              <w:spacing w:before="120" w:after="120"/>
              <w:rPr>
                <w:rFonts w:ascii="Arial" w:hAnsi="Arial" w:cs="Arial"/>
                <w:b/>
              </w:rPr>
            </w:pPr>
            <w:r w:rsidRPr="00442590">
              <w:rPr>
                <w:rFonts w:ascii="Arial" w:hAnsi="Arial" w:cs="Arial"/>
                <w:b/>
              </w:rPr>
              <w:t>Significant Judgment Decision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2E2025" w:rsidRPr="00442590" w14:paraId="10AE959C" w14:textId="77777777" w:rsidTr="004703C4">
        <w:tc>
          <w:tcPr>
            <w:tcW w:w="1694" w:type="dxa"/>
          </w:tcPr>
          <w:p w14:paraId="33751266" w14:textId="77777777" w:rsidR="002E2025" w:rsidRPr="00442590" w:rsidRDefault="002E2025" w:rsidP="000D0650">
            <w:pPr>
              <w:spacing w:before="120" w:after="120"/>
              <w:rPr>
                <w:rFonts w:ascii="Arial" w:hAnsi="Arial" w:cs="Arial"/>
              </w:rPr>
            </w:pPr>
            <w:r w:rsidRPr="00442590">
              <w:rPr>
                <w:rFonts w:ascii="Arial" w:hAnsi="Arial" w:cs="Arial"/>
              </w:rPr>
              <w:t>Budget</w:t>
            </w:r>
          </w:p>
        </w:tc>
        <w:tc>
          <w:tcPr>
            <w:tcW w:w="5395" w:type="dxa"/>
          </w:tcPr>
          <w:p w14:paraId="068C59E7" w14:textId="49C0CA82" w:rsidR="002E2025" w:rsidRPr="00BC6D7E" w:rsidRDefault="002E2025" w:rsidP="00F448C6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 w:rsidRPr="00BC6D7E">
              <w:rPr>
                <w:rFonts w:ascii="Arial" w:hAnsi="Arial" w:cs="Arial"/>
                <w:color w:val="7030A0"/>
              </w:rPr>
              <w:t>D</w:t>
            </w:r>
            <w:r>
              <w:rPr>
                <w:rFonts w:ascii="Arial" w:hAnsi="Arial" w:cs="Arial"/>
                <w:color w:val="7030A0"/>
              </w:rPr>
              <w:t>ecision</w:t>
            </w:r>
            <w:r w:rsidRPr="00BC6D7E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 xml:space="preserve">made </w:t>
            </w:r>
            <w:r w:rsidRPr="00BC6D7E">
              <w:rPr>
                <w:rFonts w:ascii="Arial" w:hAnsi="Arial" w:cs="Arial"/>
                <w:color w:val="7030A0"/>
              </w:rPr>
              <w:t>to scope out to remain on-budget;</w:t>
            </w:r>
          </w:p>
          <w:p w14:paraId="51619BE7" w14:textId="77777777" w:rsidR="002E2025" w:rsidRPr="00BC6D7E" w:rsidRDefault="002E2025" w:rsidP="00F448C6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 w:rsidRPr="00BC6D7E">
              <w:rPr>
                <w:rFonts w:ascii="Arial" w:hAnsi="Arial" w:cs="Arial"/>
                <w:color w:val="7030A0"/>
              </w:rPr>
              <w:t>D</w:t>
            </w:r>
            <w:r>
              <w:rPr>
                <w:rFonts w:ascii="Arial" w:hAnsi="Arial" w:cs="Arial"/>
                <w:color w:val="7030A0"/>
              </w:rPr>
              <w:t>ecision</w:t>
            </w:r>
            <w:r w:rsidRPr="00BC6D7E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 xml:space="preserve">made </w:t>
            </w:r>
            <w:r w:rsidRPr="00BC6D7E">
              <w:rPr>
                <w:rFonts w:ascii="Arial" w:hAnsi="Arial" w:cs="Arial"/>
                <w:color w:val="7030A0"/>
              </w:rPr>
              <w:t>to reduce travel</w:t>
            </w:r>
            <w:r>
              <w:rPr>
                <w:rFonts w:ascii="Arial" w:hAnsi="Arial" w:cs="Arial"/>
                <w:color w:val="7030A0"/>
              </w:rPr>
              <w:t xml:space="preserve"> and/or </w:t>
            </w:r>
            <w:r w:rsidRPr="00BC6D7E">
              <w:rPr>
                <w:rFonts w:ascii="Arial" w:hAnsi="Arial" w:cs="Arial"/>
                <w:color w:val="7030A0"/>
              </w:rPr>
              <w:t>contracts to remain on-budget;</w:t>
            </w:r>
          </w:p>
          <w:p w14:paraId="28A6D478" w14:textId="77777777" w:rsidR="002E2025" w:rsidRPr="00BC6D7E" w:rsidRDefault="002E2025" w:rsidP="00F448C6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 w:rsidRPr="00BC6D7E">
              <w:rPr>
                <w:rFonts w:ascii="Arial" w:hAnsi="Arial" w:cs="Arial"/>
                <w:color w:val="7030A0"/>
              </w:rPr>
              <w:t>D</w:t>
            </w:r>
            <w:r>
              <w:rPr>
                <w:rFonts w:ascii="Arial" w:hAnsi="Arial" w:cs="Arial"/>
                <w:color w:val="7030A0"/>
              </w:rPr>
              <w:t>ecisions</w:t>
            </w:r>
            <w:r w:rsidRPr="00BC6D7E">
              <w:rPr>
                <w:rFonts w:ascii="Arial" w:hAnsi="Arial" w:cs="Arial"/>
                <w:color w:val="7030A0"/>
              </w:rPr>
              <w:t xml:space="preserve"> taken when above 15% of planned budget</w:t>
            </w:r>
            <w:r>
              <w:rPr>
                <w:rFonts w:ascii="Arial" w:hAnsi="Arial" w:cs="Arial"/>
                <w:color w:val="7030A0"/>
              </w:rPr>
              <w:t xml:space="preserve"> to reduce budget impact</w:t>
            </w:r>
            <w:r w:rsidRPr="00BC6D7E">
              <w:rPr>
                <w:rFonts w:ascii="Arial" w:hAnsi="Arial" w:cs="Arial"/>
                <w:color w:val="7030A0"/>
              </w:rPr>
              <w:t>;</w:t>
            </w:r>
          </w:p>
          <w:p w14:paraId="4A97872F" w14:textId="39E7EFAF" w:rsidR="002E2025" w:rsidRPr="00BB7D16" w:rsidRDefault="00F448C6" w:rsidP="00F448C6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6237" w:type="dxa"/>
          </w:tcPr>
          <w:p w14:paraId="322A027F" w14:textId="77777777" w:rsidR="002E2025" w:rsidRPr="001D6E34" w:rsidRDefault="002E2025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E2025" w:rsidRPr="00442590" w14:paraId="7CE0006B" w14:textId="77777777" w:rsidTr="004703C4">
        <w:tc>
          <w:tcPr>
            <w:tcW w:w="1694" w:type="dxa"/>
          </w:tcPr>
          <w:p w14:paraId="14AE427D" w14:textId="77777777" w:rsidR="002E2025" w:rsidRPr="00442590" w:rsidRDefault="002E2025" w:rsidP="000D0650">
            <w:pPr>
              <w:spacing w:before="120" w:after="120"/>
              <w:rPr>
                <w:rFonts w:ascii="Arial" w:hAnsi="Arial" w:cs="Arial"/>
              </w:rPr>
            </w:pPr>
            <w:r w:rsidRPr="00442590">
              <w:rPr>
                <w:rFonts w:ascii="Arial" w:hAnsi="Arial" w:cs="Arial"/>
              </w:rPr>
              <w:t>Team Composition</w:t>
            </w:r>
          </w:p>
        </w:tc>
        <w:tc>
          <w:tcPr>
            <w:tcW w:w="5395" w:type="dxa"/>
          </w:tcPr>
          <w:p w14:paraId="2C63C70A" w14:textId="48C276B5" w:rsidR="008E3B23" w:rsidRDefault="008E3B23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Evaluation of team and engagement leader competencies</w:t>
            </w:r>
            <w:r w:rsidR="00ED2014">
              <w:rPr>
                <w:rFonts w:ascii="Arial" w:hAnsi="Arial" w:cs="Arial"/>
                <w:color w:val="7030A0"/>
              </w:rPr>
              <w:t>;</w:t>
            </w:r>
          </w:p>
          <w:p w14:paraId="4228F63F" w14:textId="77777777" w:rsidR="002E2025" w:rsidRDefault="002E202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 w:rsidRPr="00BC6D7E">
              <w:rPr>
                <w:rFonts w:ascii="Arial" w:hAnsi="Arial" w:cs="Arial"/>
                <w:color w:val="7030A0"/>
              </w:rPr>
              <w:t xml:space="preserve">Decision made </w:t>
            </w:r>
            <w:r>
              <w:rPr>
                <w:rFonts w:ascii="Arial" w:hAnsi="Arial" w:cs="Arial"/>
                <w:color w:val="7030A0"/>
              </w:rPr>
              <w:t>regarding changes to team’s composition;</w:t>
            </w:r>
          </w:p>
          <w:p w14:paraId="2F922B76" w14:textId="530109CF" w:rsidR="002E2025" w:rsidRDefault="002E202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Independence considerations;</w:t>
            </w:r>
          </w:p>
          <w:p w14:paraId="387BB983" w14:textId="77777777" w:rsidR="002E2025" w:rsidRPr="00BC6D7E" w:rsidRDefault="002E202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6237" w:type="dxa"/>
          </w:tcPr>
          <w:p w14:paraId="7D889C45" w14:textId="06D2E7ED" w:rsidR="002E2025" w:rsidRPr="001D6E34" w:rsidRDefault="008E3B23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to the Engagement Risk Assessment (ERAT) template</w:t>
            </w:r>
          </w:p>
        </w:tc>
      </w:tr>
      <w:tr w:rsidR="002E2025" w:rsidRPr="00442590" w14:paraId="20065B95" w14:textId="77777777" w:rsidTr="004703C4">
        <w:tc>
          <w:tcPr>
            <w:tcW w:w="1694" w:type="dxa"/>
          </w:tcPr>
          <w:p w14:paraId="387D04BA" w14:textId="159A1414" w:rsidR="002E2025" w:rsidRPr="00FA00E1" w:rsidRDefault="002E2025" w:rsidP="000D0650">
            <w:pPr>
              <w:keepNext/>
              <w:keepLine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Internal </w:t>
            </w:r>
            <w:r w:rsidRPr="00FA00E1">
              <w:rPr>
                <w:rFonts w:ascii="Arial" w:hAnsi="Arial" w:cs="Arial"/>
              </w:rPr>
              <w:t>Specialists</w:t>
            </w:r>
            <w:r>
              <w:rPr>
                <w:rFonts w:ascii="Arial" w:hAnsi="Arial" w:cs="Arial"/>
              </w:rPr>
              <w:t xml:space="preserve"> and experts</w:t>
            </w:r>
          </w:p>
        </w:tc>
        <w:tc>
          <w:tcPr>
            <w:tcW w:w="5395" w:type="dxa"/>
          </w:tcPr>
          <w:p w14:paraId="27EF9601" w14:textId="77777777" w:rsidR="002E2025" w:rsidRDefault="002E2025" w:rsidP="000D0650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 w:rsidRPr="00FA00E1">
              <w:rPr>
                <w:rFonts w:ascii="Arial" w:hAnsi="Arial" w:cs="Arial"/>
                <w:color w:val="7030A0"/>
              </w:rPr>
              <w:t xml:space="preserve">Decision made to include or exclude internal and/or external </w:t>
            </w:r>
            <w:r>
              <w:rPr>
                <w:rFonts w:ascii="Arial" w:hAnsi="Arial" w:cs="Arial"/>
                <w:color w:val="7030A0"/>
              </w:rPr>
              <w:t>experts (a consultant)</w:t>
            </w:r>
            <w:r w:rsidRPr="00FA00E1">
              <w:rPr>
                <w:rFonts w:ascii="Arial" w:hAnsi="Arial" w:cs="Arial"/>
                <w:color w:val="7030A0"/>
              </w:rPr>
              <w:t>;</w:t>
            </w:r>
          </w:p>
          <w:p w14:paraId="69E237C8" w14:textId="77777777" w:rsidR="002E2025" w:rsidRDefault="002E2025" w:rsidP="000D0650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Nature of supervision;</w:t>
            </w:r>
          </w:p>
          <w:p w14:paraId="2682D344" w14:textId="1C2D822C" w:rsidR="002E2025" w:rsidRPr="00FA00E1" w:rsidRDefault="002E2025" w:rsidP="000D0650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Independence considerations;</w:t>
            </w:r>
          </w:p>
          <w:p w14:paraId="2D5A7F1A" w14:textId="77777777" w:rsidR="002E2025" w:rsidRPr="00FA00E1" w:rsidRDefault="002E2025" w:rsidP="000D0650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 w:rsidRPr="00FA00E1"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6237" w:type="dxa"/>
          </w:tcPr>
          <w:p w14:paraId="07FA150D" w14:textId="078CF3CC" w:rsidR="002E2025" w:rsidRPr="00BB7D16" w:rsidRDefault="002E2025" w:rsidP="000D0650">
            <w:pPr>
              <w:keepNext/>
              <w:keepLines/>
              <w:tabs>
                <w:tab w:val="left" w:pos="5437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2E2025" w:rsidRPr="00442590" w14:paraId="5DDAE690" w14:textId="77777777" w:rsidTr="004703C4">
        <w:tc>
          <w:tcPr>
            <w:tcW w:w="1694" w:type="dxa"/>
          </w:tcPr>
          <w:p w14:paraId="2EF41E06" w14:textId="08BE5A9F" w:rsidR="002E2025" w:rsidRPr="00442590" w:rsidRDefault="002E2025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Engagement Risk Assessment</w:t>
            </w:r>
          </w:p>
        </w:tc>
        <w:tc>
          <w:tcPr>
            <w:tcW w:w="5395" w:type="dxa"/>
          </w:tcPr>
          <w:p w14:paraId="720AAEBF" w14:textId="77777777" w:rsidR="002E2025" w:rsidRDefault="002E202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Decisions made regarding a new risk factor identified during the course of the audit and that was not initially planned;</w:t>
            </w:r>
          </w:p>
          <w:p w14:paraId="1EDEC8B4" w14:textId="77777777" w:rsidR="002E2025" w:rsidRDefault="002E202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Decisions made regarding the complexity of the entity or the subject matter; the sensitivity of the audit subject;</w:t>
            </w:r>
          </w:p>
          <w:p w14:paraId="16AE81B0" w14:textId="77777777" w:rsidR="00ED2014" w:rsidRDefault="004C29C8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 w:rsidRPr="00BC6D7E">
              <w:rPr>
                <w:rFonts w:ascii="Arial" w:hAnsi="Arial" w:cs="Arial"/>
                <w:color w:val="7030A0"/>
              </w:rPr>
              <w:t>D</w:t>
            </w:r>
            <w:r>
              <w:rPr>
                <w:rFonts w:ascii="Arial" w:hAnsi="Arial" w:cs="Arial"/>
                <w:color w:val="7030A0"/>
              </w:rPr>
              <w:t>ecision</w:t>
            </w:r>
            <w:r w:rsidRPr="00BC6D7E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made regarding concerns identified about management integrity and risks of fraud;</w:t>
            </w:r>
          </w:p>
          <w:p w14:paraId="63C669D8" w14:textId="3FB1F0CA" w:rsidR="002E2025" w:rsidRPr="00BC6D7E" w:rsidRDefault="002E202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6237" w:type="dxa"/>
          </w:tcPr>
          <w:p w14:paraId="4DD7761C" w14:textId="50A476CF" w:rsidR="002E2025" w:rsidRPr="001D6E34" w:rsidRDefault="004C29C8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to the Engagement Risk Assessment (ERAT)</w:t>
            </w:r>
            <w:r w:rsidR="00EC4428">
              <w:rPr>
                <w:rFonts w:ascii="Arial" w:hAnsi="Arial" w:cs="Arial"/>
              </w:rPr>
              <w:t xml:space="preserve"> template</w:t>
            </w:r>
          </w:p>
        </w:tc>
      </w:tr>
      <w:tr w:rsidR="002E2025" w:rsidRPr="00442590" w14:paraId="6F41EC09" w14:textId="77777777" w:rsidTr="004703C4">
        <w:tc>
          <w:tcPr>
            <w:tcW w:w="1694" w:type="dxa"/>
          </w:tcPr>
          <w:p w14:paraId="2163DA99" w14:textId="77777777" w:rsidR="002E2025" w:rsidRDefault="002E2025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5395" w:type="dxa"/>
          </w:tcPr>
          <w:p w14:paraId="57A32815" w14:textId="6750E4EE" w:rsidR="002E2025" w:rsidRPr="004A3DD7" w:rsidRDefault="002E202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Other decisions made during the engagement management</w:t>
            </w:r>
            <w:r w:rsidR="00ED2014">
              <w:rPr>
                <w:rFonts w:ascii="Arial" w:hAnsi="Arial" w:cs="Arial"/>
                <w:color w:val="7030A0"/>
              </w:rPr>
              <w:t>.</w:t>
            </w:r>
          </w:p>
        </w:tc>
        <w:tc>
          <w:tcPr>
            <w:tcW w:w="6237" w:type="dxa"/>
          </w:tcPr>
          <w:p w14:paraId="2945A118" w14:textId="77777777" w:rsidR="002E2025" w:rsidRPr="001D6E34" w:rsidRDefault="002E2025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639C65E" w14:textId="77777777" w:rsidR="00845198" w:rsidRPr="00442590" w:rsidRDefault="008C3F72" w:rsidP="00F448C6">
      <w:pPr>
        <w:pStyle w:val="Heading1"/>
      </w:pPr>
      <w:r w:rsidRPr="00442590">
        <w:t>Planning Phase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5238"/>
        <w:gridCol w:w="5611"/>
      </w:tblGrid>
      <w:tr w:rsidR="004A6BFD" w:rsidRPr="00442590" w14:paraId="73042D51" w14:textId="77777777" w:rsidTr="00A677A2">
        <w:trPr>
          <w:trHeight w:val="442"/>
          <w:tblHeader/>
        </w:trPr>
        <w:tc>
          <w:tcPr>
            <w:tcW w:w="2101" w:type="dxa"/>
            <w:vAlign w:val="center"/>
          </w:tcPr>
          <w:p w14:paraId="117BC7BD" w14:textId="77777777" w:rsidR="004A6BFD" w:rsidRPr="00442590" w:rsidRDefault="004A6BFD" w:rsidP="000D0650">
            <w:pPr>
              <w:spacing w:before="120" w:after="120"/>
              <w:rPr>
                <w:rFonts w:ascii="Arial" w:hAnsi="Arial" w:cs="Arial"/>
                <w:b/>
              </w:rPr>
            </w:pPr>
            <w:r w:rsidRPr="00442590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238" w:type="dxa"/>
            <w:vAlign w:val="center"/>
          </w:tcPr>
          <w:p w14:paraId="54AA4AFE" w14:textId="77777777" w:rsidR="004A6BFD" w:rsidRPr="00442590" w:rsidRDefault="004A6BFD" w:rsidP="000D065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Examples</w:t>
            </w:r>
          </w:p>
        </w:tc>
        <w:tc>
          <w:tcPr>
            <w:tcW w:w="5611" w:type="dxa"/>
            <w:vAlign w:val="center"/>
          </w:tcPr>
          <w:p w14:paraId="240BC7FE" w14:textId="77777777" w:rsidR="004A6BFD" w:rsidRPr="00442590" w:rsidRDefault="004A6BFD" w:rsidP="000D0650">
            <w:pPr>
              <w:spacing w:before="120" w:after="120"/>
              <w:rPr>
                <w:rFonts w:ascii="Arial" w:hAnsi="Arial" w:cs="Arial"/>
                <w:b/>
              </w:rPr>
            </w:pPr>
            <w:r w:rsidRPr="00442590">
              <w:rPr>
                <w:rFonts w:ascii="Arial" w:hAnsi="Arial" w:cs="Arial"/>
                <w:b/>
              </w:rPr>
              <w:t>Significant Judgment Decision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4A6BFD" w:rsidRPr="00442590" w14:paraId="51B9632F" w14:textId="77777777" w:rsidTr="00A677A2">
        <w:tc>
          <w:tcPr>
            <w:tcW w:w="2101" w:type="dxa"/>
          </w:tcPr>
          <w:p w14:paraId="024B78A9" w14:textId="77777777" w:rsidR="004A6BFD" w:rsidRPr="00442590" w:rsidRDefault="004A6BFD" w:rsidP="000D0650">
            <w:pPr>
              <w:spacing w:before="120" w:after="120"/>
              <w:rPr>
                <w:rFonts w:ascii="Arial" w:hAnsi="Arial" w:cs="Arial"/>
              </w:rPr>
            </w:pPr>
            <w:r w:rsidRPr="00442590">
              <w:rPr>
                <w:rFonts w:ascii="Arial" w:hAnsi="Arial" w:cs="Arial"/>
              </w:rPr>
              <w:t xml:space="preserve">Audit </w:t>
            </w:r>
            <w:r w:rsidR="00B004C6">
              <w:rPr>
                <w:rFonts w:ascii="Arial" w:hAnsi="Arial" w:cs="Arial"/>
              </w:rPr>
              <w:t>S</w:t>
            </w:r>
            <w:r w:rsidRPr="00442590">
              <w:rPr>
                <w:rFonts w:ascii="Arial" w:hAnsi="Arial" w:cs="Arial"/>
              </w:rPr>
              <w:t xml:space="preserve">cope, </w:t>
            </w:r>
            <w:r w:rsidR="00B004C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bjective and </w:t>
            </w:r>
            <w:r w:rsidR="00B004C6">
              <w:rPr>
                <w:rFonts w:ascii="Arial" w:hAnsi="Arial" w:cs="Arial"/>
              </w:rPr>
              <w:t>C</w:t>
            </w:r>
            <w:r w:rsidRPr="00442590">
              <w:rPr>
                <w:rFonts w:ascii="Arial" w:hAnsi="Arial" w:cs="Arial"/>
              </w:rPr>
              <w:t>riteria</w:t>
            </w:r>
          </w:p>
        </w:tc>
        <w:tc>
          <w:tcPr>
            <w:tcW w:w="5238" w:type="dxa"/>
          </w:tcPr>
          <w:p w14:paraId="2460A52B" w14:textId="3B1FA66C" w:rsidR="004A6BFD" w:rsidRPr="004A6BFD" w:rsidRDefault="004A6BFD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 w:rsidRPr="004A6BFD">
              <w:rPr>
                <w:rFonts w:ascii="Arial" w:hAnsi="Arial" w:cs="Arial"/>
                <w:color w:val="7030A0"/>
              </w:rPr>
              <w:t>D</w:t>
            </w:r>
            <w:r w:rsidR="00971E53">
              <w:rPr>
                <w:rFonts w:ascii="Arial" w:hAnsi="Arial" w:cs="Arial"/>
                <w:color w:val="7030A0"/>
              </w:rPr>
              <w:t>ecision</w:t>
            </w:r>
            <w:r w:rsidR="00135BCD">
              <w:rPr>
                <w:rFonts w:ascii="Arial" w:hAnsi="Arial" w:cs="Arial"/>
                <w:color w:val="7030A0"/>
              </w:rPr>
              <w:t>s</w:t>
            </w:r>
            <w:r w:rsidR="00841B1F">
              <w:rPr>
                <w:rFonts w:ascii="Arial" w:hAnsi="Arial" w:cs="Arial"/>
                <w:color w:val="7030A0"/>
              </w:rPr>
              <w:t xml:space="preserve"> made </w:t>
            </w:r>
            <w:r w:rsidR="00971E53">
              <w:rPr>
                <w:rFonts w:ascii="Arial" w:hAnsi="Arial" w:cs="Arial"/>
                <w:color w:val="7030A0"/>
              </w:rPr>
              <w:t>r</w:t>
            </w:r>
            <w:r w:rsidRPr="004A6BFD">
              <w:rPr>
                <w:rFonts w:ascii="Arial" w:hAnsi="Arial" w:cs="Arial"/>
                <w:color w:val="7030A0"/>
              </w:rPr>
              <w:t xml:space="preserve">egarding </w:t>
            </w:r>
            <w:r w:rsidR="00EC4428">
              <w:rPr>
                <w:rFonts w:ascii="Arial" w:hAnsi="Arial" w:cs="Arial"/>
                <w:color w:val="7030A0"/>
              </w:rPr>
              <w:t xml:space="preserve">key scoping decisions, including </w:t>
            </w:r>
            <w:r w:rsidR="00A22E8D">
              <w:rPr>
                <w:rFonts w:ascii="Arial" w:hAnsi="Arial" w:cs="Arial"/>
                <w:color w:val="7030A0"/>
              </w:rPr>
              <w:t xml:space="preserve">changes to </w:t>
            </w:r>
            <w:r w:rsidRPr="004A6BFD">
              <w:rPr>
                <w:rFonts w:ascii="Arial" w:hAnsi="Arial" w:cs="Arial"/>
                <w:color w:val="7030A0"/>
              </w:rPr>
              <w:t xml:space="preserve">the scope of the audit, </w:t>
            </w:r>
            <w:r w:rsidR="006C5FDD">
              <w:rPr>
                <w:rFonts w:ascii="Arial" w:hAnsi="Arial" w:cs="Arial"/>
                <w:color w:val="7030A0"/>
              </w:rPr>
              <w:t xml:space="preserve">the </w:t>
            </w:r>
            <w:r w:rsidRPr="004A6BFD">
              <w:rPr>
                <w:rFonts w:ascii="Arial" w:hAnsi="Arial" w:cs="Arial"/>
                <w:color w:val="7030A0"/>
              </w:rPr>
              <w:t xml:space="preserve">objective and/or criteria; </w:t>
            </w:r>
          </w:p>
          <w:p w14:paraId="76669AF6" w14:textId="77777777" w:rsidR="00135BCD" w:rsidRDefault="004A6BFD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 w:rsidRPr="004A6BFD">
              <w:rPr>
                <w:rFonts w:ascii="Arial" w:hAnsi="Arial" w:cs="Arial"/>
                <w:color w:val="7030A0"/>
              </w:rPr>
              <w:lastRenderedPageBreak/>
              <w:t xml:space="preserve">Decision made </w:t>
            </w:r>
            <w:r w:rsidR="00841B1F">
              <w:rPr>
                <w:rFonts w:ascii="Arial" w:hAnsi="Arial" w:cs="Arial"/>
                <w:color w:val="7030A0"/>
              </w:rPr>
              <w:t>regarding</w:t>
            </w:r>
            <w:r w:rsidRPr="004A6BFD">
              <w:rPr>
                <w:rFonts w:ascii="Arial" w:hAnsi="Arial" w:cs="Arial"/>
                <w:color w:val="7030A0"/>
              </w:rPr>
              <w:t xml:space="preserve"> the </w:t>
            </w:r>
            <w:r w:rsidR="00841B1F">
              <w:rPr>
                <w:rFonts w:ascii="Arial" w:hAnsi="Arial" w:cs="Arial"/>
                <w:color w:val="7030A0"/>
              </w:rPr>
              <w:t xml:space="preserve">choice of </w:t>
            </w:r>
            <w:r w:rsidRPr="004A6BFD">
              <w:rPr>
                <w:rFonts w:ascii="Arial" w:hAnsi="Arial" w:cs="Arial"/>
                <w:color w:val="7030A0"/>
              </w:rPr>
              <w:t xml:space="preserve">selected entities; </w:t>
            </w:r>
          </w:p>
          <w:p w14:paraId="2AAD17D3" w14:textId="7E40B1F0" w:rsidR="004A6BFD" w:rsidRDefault="00135BCD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Decision made </w:t>
            </w:r>
            <w:r w:rsidR="004A6BFD" w:rsidRPr="004A6BFD">
              <w:rPr>
                <w:rFonts w:ascii="Arial" w:hAnsi="Arial" w:cs="Arial"/>
                <w:color w:val="7030A0"/>
              </w:rPr>
              <w:t>to modify the content or the number of lines of e</w:t>
            </w:r>
            <w:r w:rsidR="00971E53">
              <w:rPr>
                <w:rFonts w:ascii="Arial" w:hAnsi="Arial" w:cs="Arial"/>
                <w:color w:val="7030A0"/>
              </w:rPr>
              <w:t>nquiries;</w:t>
            </w:r>
            <w:r w:rsidR="004A6BFD" w:rsidRPr="004A6BFD">
              <w:rPr>
                <w:rFonts w:ascii="Arial" w:hAnsi="Arial" w:cs="Arial"/>
                <w:color w:val="7030A0"/>
              </w:rPr>
              <w:t xml:space="preserve"> </w:t>
            </w:r>
          </w:p>
          <w:p w14:paraId="4D53E02B" w14:textId="694E5D37" w:rsidR="00135BCD" w:rsidRDefault="00135BCD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Decisions made regarding the </w:t>
            </w:r>
            <w:r w:rsidR="008E3B23">
              <w:rPr>
                <w:rFonts w:ascii="Arial" w:hAnsi="Arial" w:cs="Arial"/>
                <w:color w:val="7030A0"/>
              </w:rPr>
              <w:t xml:space="preserve">subject matter </w:t>
            </w:r>
            <w:r>
              <w:rPr>
                <w:rFonts w:ascii="Arial" w:hAnsi="Arial" w:cs="Arial"/>
                <w:color w:val="7030A0"/>
              </w:rPr>
              <w:t xml:space="preserve">risk assessment and </w:t>
            </w:r>
            <w:r w:rsidR="007A5861">
              <w:rPr>
                <w:rFonts w:ascii="Arial" w:hAnsi="Arial" w:cs="Arial"/>
                <w:color w:val="7030A0"/>
              </w:rPr>
              <w:t>understanding</w:t>
            </w:r>
            <w:r>
              <w:rPr>
                <w:rFonts w:ascii="Arial" w:hAnsi="Arial" w:cs="Arial"/>
                <w:color w:val="7030A0"/>
              </w:rPr>
              <w:t xml:space="preserve"> of controls;</w:t>
            </w:r>
          </w:p>
          <w:p w14:paraId="1CCB3A03" w14:textId="6357E44E" w:rsidR="00A677A2" w:rsidRDefault="00EC4428" w:rsidP="00002889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Decision made regarding the period covered by </w:t>
            </w:r>
            <w:r w:rsidR="00135BCD">
              <w:rPr>
                <w:rFonts w:ascii="Arial" w:hAnsi="Arial" w:cs="Arial"/>
                <w:color w:val="7030A0"/>
              </w:rPr>
              <w:t xml:space="preserve">the </w:t>
            </w:r>
            <w:r w:rsidR="007A5861">
              <w:rPr>
                <w:rFonts w:ascii="Arial" w:hAnsi="Arial" w:cs="Arial"/>
                <w:color w:val="7030A0"/>
              </w:rPr>
              <w:t>audit</w:t>
            </w:r>
            <w:r>
              <w:rPr>
                <w:rFonts w:ascii="Arial" w:hAnsi="Arial" w:cs="Arial"/>
                <w:color w:val="7030A0"/>
              </w:rPr>
              <w:t>;</w:t>
            </w:r>
          </w:p>
          <w:p w14:paraId="4D77C2C8" w14:textId="77777777" w:rsidR="004A6BFD" w:rsidRPr="00A677A2" w:rsidRDefault="004A6BFD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 w:rsidRPr="00A677A2"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5611" w:type="dxa"/>
          </w:tcPr>
          <w:p w14:paraId="0678574A" w14:textId="05D6C66F" w:rsidR="004A6BFD" w:rsidRPr="001D6E34" w:rsidRDefault="007A5861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Link to the Risk and Control Assessment (RCAT) template</w:t>
            </w:r>
          </w:p>
        </w:tc>
      </w:tr>
      <w:tr w:rsidR="004A6BFD" w:rsidRPr="00442590" w14:paraId="3960C6E4" w14:textId="77777777" w:rsidTr="00A677A2">
        <w:tc>
          <w:tcPr>
            <w:tcW w:w="2101" w:type="dxa"/>
          </w:tcPr>
          <w:p w14:paraId="501EEFD8" w14:textId="77777777" w:rsidR="004A6BFD" w:rsidRPr="00442590" w:rsidRDefault="00E44A79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Internal </w:t>
            </w:r>
            <w:r w:rsidR="004A6BFD">
              <w:rPr>
                <w:rFonts w:ascii="Arial" w:hAnsi="Arial" w:cs="Arial"/>
              </w:rPr>
              <w:t>Consultation</w:t>
            </w:r>
            <w:r w:rsidR="004A6BFD" w:rsidRPr="00442590">
              <w:rPr>
                <w:rFonts w:ascii="Arial" w:hAnsi="Arial" w:cs="Arial"/>
              </w:rPr>
              <w:t xml:space="preserve"> </w:t>
            </w:r>
            <w:r w:rsidR="00B004C6">
              <w:rPr>
                <w:rFonts w:ascii="Arial" w:hAnsi="Arial" w:cs="Arial"/>
              </w:rPr>
              <w:t>D</w:t>
            </w:r>
            <w:r w:rsidR="004A6BFD" w:rsidRPr="00442590">
              <w:rPr>
                <w:rFonts w:ascii="Arial" w:hAnsi="Arial" w:cs="Arial"/>
              </w:rPr>
              <w:t>isagreement</w:t>
            </w:r>
          </w:p>
        </w:tc>
        <w:tc>
          <w:tcPr>
            <w:tcW w:w="5238" w:type="dxa"/>
          </w:tcPr>
          <w:p w14:paraId="4DE40F47" w14:textId="19A13590" w:rsidR="004A6BFD" w:rsidRDefault="00A22E8D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Significant</w:t>
            </w:r>
            <w:r w:rsidR="004A6BFD" w:rsidRPr="004A6BFD">
              <w:rPr>
                <w:rFonts w:ascii="Arial" w:hAnsi="Arial" w:cs="Arial"/>
                <w:color w:val="7030A0"/>
              </w:rPr>
              <w:t xml:space="preserve"> d</w:t>
            </w:r>
            <w:r w:rsidR="00991C1F">
              <w:rPr>
                <w:rFonts w:ascii="Arial" w:hAnsi="Arial" w:cs="Arial"/>
                <w:color w:val="7030A0"/>
              </w:rPr>
              <w:t>isagreement</w:t>
            </w:r>
            <w:r w:rsidR="004A6BFD" w:rsidRPr="004A6BF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 xml:space="preserve">with internal specialists </w:t>
            </w:r>
            <w:r w:rsidR="004A6BFD" w:rsidRPr="004A6BFD">
              <w:rPr>
                <w:rFonts w:ascii="Arial" w:hAnsi="Arial" w:cs="Arial"/>
                <w:color w:val="7030A0"/>
              </w:rPr>
              <w:t xml:space="preserve">that occurred during the </w:t>
            </w:r>
            <w:r>
              <w:rPr>
                <w:rFonts w:ascii="Arial" w:hAnsi="Arial" w:cs="Arial"/>
                <w:color w:val="7030A0"/>
              </w:rPr>
              <w:t xml:space="preserve">development </w:t>
            </w:r>
            <w:r w:rsidR="004A6BFD">
              <w:rPr>
                <w:rFonts w:ascii="Arial" w:hAnsi="Arial" w:cs="Arial"/>
                <w:color w:val="7030A0"/>
              </w:rPr>
              <w:t xml:space="preserve">of </w:t>
            </w:r>
            <w:r w:rsidR="00971E53">
              <w:rPr>
                <w:rFonts w:ascii="Arial" w:hAnsi="Arial" w:cs="Arial"/>
                <w:color w:val="7030A0"/>
              </w:rPr>
              <w:t>the Audit Logic Matrix</w:t>
            </w:r>
            <w:r w:rsidR="007A5861">
              <w:rPr>
                <w:rFonts w:ascii="Arial" w:hAnsi="Arial" w:cs="Arial"/>
                <w:color w:val="7030A0"/>
              </w:rPr>
              <w:t xml:space="preserve"> and/or</w:t>
            </w:r>
            <w:r w:rsidR="00971E53">
              <w:rPr>
                <w:rFonts w:ascii="Arial" w:hAnsi="Arial" w:cs="Arial"/>
                <w:color w:val="7030A0"/>
              </w:rPr>
              <w:t xml:space="preserve"> the </w:t>
            </w:r>
            <w:r w:rsidR="004A6BFD" w:rsidRPr="004A6BFD">
              <w:rPr>
                <w:rFonts w:ascii="Arial" w:hAnsi="Arial" w:cs="Arial"/>
                <w:color w:val="7030A0"/>
              </w:rPr>
              <w:t>audit programs</w:t>
            </w:r>
            <w:r w:rsidR="004A6BFD">
              <w:rPr>
                <w:rFonts w:ascii="Arial" w:hAnsi="Arial" w:cs="Arial"/>
                <w:color w:val="7030A0"/>
              </w:rPr>
              <w:t>;</w:t>
            </w:r>
          </w:p>
          <w:p w14:paraId="412B0084" w14:textId="77777777" w:rsidR="004A6BFD" w:rsidRPr="004A6BFD" w:rsidRDefault="004A6BFD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5611" w:type="dxa"/>
          </w:tcPr>
          <w:p w14:paraId="29BFAD1C" w14:textId="77777777" w:rsidR="004A6BFD" w:rsidRPr="001D6E34" w:rsidRDefault="004A6BFD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A6BFD" w:rsidRPr="00442590" w14:paraId="5EB31C64" w14:textId="77777777" w:rsidTr="00A677A2">
        <w:tc>
          <w:tcPr>
            <w:tcW w:w="2101" w:type="dxa"/>
          </w:tcPr>
          <w:p w14:paraId="50BAE9C0" w14:textId="77777777" w:rsidR="004A6BFD" w:rsidRDefault="00B004C6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Disagreement B</w:t>
            </w:r>
            <w:r w:rsidR="004A6BFD" w:rsidRPr="00442590">
              <w:rPr>
                <w:rFonts w:ascii="Arial" w:hAnsi="Arial" w:cs="Arial"/>
              </w:rPr>
              <w:t>etween the Audited Entit</w:t>
            </w:r>
            <w:r>
              <w:rPr>
                <w:rFonts w:ascii="Arial" w:hAnsi="Arial" w:cs="Arial"/>
              </w:rPr>
              <w:t>y and the T</w:t>
            </w:r>
            <w:r w:rsidR="004A6BFD" w:rsidRPr="00442590">
              <w:rPr>
                <w:rFonts w:ascii="Arial" w:hAnsi="Arial" w:cs="Arial"/>
              </w:rPr>
              <w:t>eam</w:t>
            </w:r>
          </w:p>
        </w:tc>
        <w:tc>
          <w:tcPr>
            <w:tcW w:w="5238" w:type="dxa"/>
          </w:tcPr>
          <w:p w14:paraId="2DA64B2F" w14:textId="637C44A6" w:rsidR="004A6BFD" w:rsidRDefault="00F40549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A</w:t>
            </w:r>
            <w:r w:rsidR="00A22E8D">
              <w:rPr>
                <w:rFonts w:ascii="Arial" w:hAnsi="Arial" w:cs="Arial"/>
                <w:color w:val="7030A0"/>
              </w:rPr>
              <w:t xml:space="preserve">ctions taken as a result of </w:t>
            </w:r>
            <w:r w:rsidR="004A6BFD">
              <w:rPr>
                <w:rFonts w:ascii="Arial" w:hAnsi="Arial" w:cs="Arial"/>
                <w:color w:val="7030A0"/>
              </w:rPr>
              <w:t>disagreement between the audited entity and the team on the Audit Plan Summary</w:t>
            </w:r>
            <w:r w:rsidR="00155F2E">
              <w:rPr>
                <w:rFonts w:ascii="Arial" w:hAnsi="Arial" w:cs="Arial"/>
                <w:color w:val="7030A0"/>
              </w:rPr>
              <w:t xml:space="preserve"> / Special examination plan</w:t>
            </w:r>
            <w:r w:rsidR="00CA0CBA">
              <w:rPr>
                <w:rFonts w:ascii="Arial" w:hAnsi="Arial" w:cs="Arial"/>
                <w:color w:val="7030A0"/>
              </w:rPr>
              <w:t xml:space="preserve"> (e.g. management responsibilities and suitability of criteria)</w:t>
            </w:r>
            <w:r w:rsidR="00971E53">
              <w:rPr>
                <w:rFonts w:ascii="Arial" w:hAnsi="Arial" w:cs="Arial"/>
                <w:color w:val="7030A0"/>
              </w:rPr>
              <w:t>;</w:t>
            </w:r>
          </w:p>
          <w:p w14:paraId="5F9F1B25" w14:textId="77777777" w:rsidR="004A6BFD" w:rsidRPr="004A6BFD" w:rsidRDefault="004A6BFD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5611" w:type="dxa"/>
          </w:tcPr>
          <w:p w14:paraId="75E148CF" w14:textId="77777777" w:rsidR="004A6BFD" w:rsidRPr="001D6E34" w:rsidRDefault="004A6BFD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E4A65" w:rsidRPr="00442590" w14:paraId="22726319" w14:textId="77777777" w:rsidTr="00A677A2">
        <w:tc>
          <w:tcPr>
            <w:tcW w:w="2101" w:type="dxa"/>
          </w:tcPr>
          <w:p w14:paraId="0752C43F" w14:textId="77777777" w:rsidR="00BE4A65" w:rsidRDefault="00BE4A65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5238" w:type="dxa"/>
          </w:tcPr>
          <w:p w14:paraId="0D3F5A77" w14:textId="256B5CDF" w:rsidR="00B004C6" w:rsidRPr="00B004C6" w:rsidRDefault="00BE4A6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Other decisions made during </w:t>
            </w:r>
            <w:r w:rsidR="00E44A79">
              <w:rPr>
                <w:rFonts w:ascii="Arial" w:hAnsi="Arial" w:cs="Arial"/>
                <w:color w:val="7030A0"/>
              </w:rPr>
              <w:t>the planning phase</w:t>
            </w:r>
            <w:r w:rsidR="00ED2014">
              <w:rPr>
                <w:rFonts w:ascii="Arial" w:hAnsi="Arial" w:cs="Arial"/>
                <w:color w:val="7030A0"/>
              </w:rPr>
              <w:t>.</w:t>
            </w:r>
          </w:p>
        </w:tc>
        <w:tc>
          <w:tcPr>
            <w:tcW w:w="5611" w:type="dxa"/>
          </w:tcPr>
          <w:p w14:paraId="527E35D6" w14:textId="77777777" w:rsidR="00E44A79" w:rsidRDefault="00E44A79" w:rsidP="000D0650">
            <w:pPr>
              <w:spacing w:before="120" w:after="120"/>
              <w:rPr>
                <w:rFonts w:ascii="Arial" w:hAnsi="Arial" w:cs="Arial"/>
              </w:rPr>
            </w:pPr>
          </w:p>
          <w:p w14:paraId="4EE42BD5" w14:textId="77777777" w:rsidR="00B004C6" w:rsidRPr="001D6E34" w:rsidRDefault="00B004C6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9643DA6" w14:textId="77777777" w:rsidR="008C3F72" w:rsidRPr="00442590" w:rsidRDefault="008C3F72" w:rsidP="00F448C6">
      <w:pPr>
        <w:pStyle w:val="Heading1"/>
      </w:pPr>
      <w:r w:rsidRPr="00442590">
        <w:lastRenderedPageBreak/>
        <w:t>Examination Phase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5238"/>
        <w:gridCol w:w="5611"/>
      </w:tblGrid>
      <w:tr w:rsidR="004A6BFD" w:rsidRPr="00442590" w14:paraId="28548C28" w14:textId="77777777" w:rsidTr="00574755">
        <w:trPr>
          <w:trHeight w:val="442"/>
          <w:tblHeader/>
        </w:trPr>
        <w:tc>
          <w:tcPr>
            <w:tcW w:w="2136" w:type="dxa"/>
            <w:vAlign w:val="center"/>
          </w:tcPr>
          <w:p w14:paraId="459E09E2" w14:textId="77777777" w:rsidR="004A6BFD" w:rsidRPr="00442590" w:rsidRDefault="004A6BFD" w:rsidP="000D0650">
            <w:pPr>
              <w:spacing w:before="120" w:after="120"/>
              <w:rPr>
                <w:rFonts w:ascii="Arial" w:hAnsi="Arial" w:cs="Arial"/>
                <w:b/>
              </w:rPr>
            </w:pPr>
            <w:r w:rsidRPr="00442590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330" w:type="dxa"/>
            <w:vAlign w:val="center"/>
          </w:tcPr>
          <w:p w14:paraId="5AEDF140" w14:textId="77777777" w:rsidR="004A6BFD" w:rsidRPr="00442590" w:rsidRDefault="004A6BFD" w:rsidP="000D065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Examples</w:t>
            </w:r>
          </w:p>
        </w:tc>
        <w:tc>
          <w:tcPr>
            <w:tcW w:w="5710" w:type="dxa"/>
            <w:vAlign w:val="center"/>
          </w:tcPr>
          <w:p w14:paraId="754D0F65" w14:textId="77777777" w:rsidR="004A6BFD" w:rsidRPr="00442590" w:rsidRDefault="004A6BFD" w:rsidP="000D0650">
            <w:pPr>
              <w:spacing w:before="120" w:after="120"/>
              <w:rPr>
                <w:rFonts w:ascii="Arial" w:hAnsi="Arial" w:cs="Arial"/>
                <w:b/>
              </w:rPr>
            </w:pPr>
            <w:r w:rsidRPr="00442590">
              <w:rPr>
                <w:rFonts w:ascii="Arial" w:hAnsi="Arial" w:cs="Arial"/>
                <w:b/>
              </w:rPr>
              <w:t>Significant Judgment Decision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4A6BFD" w:rsidRPr="00442590" w14:paraId="79B56A6F" w14:textId="77777777" w:rsidTr="00574755">
        <w:tc>
          <w:tcPr>
            <w:tcW w:w="2136" w:type="dxa"/>
          </w:tcPr>
          <w:p w14:paraId="4E9194C0" w14:textId="77777777" w:rsidR="004A6BFD" w:rsidRPr="00442590" w:rsidRDefault="00971E53" w:rsidP="000D0650">
            <w:pPr>
              <w:spacing w:before="120" w:after="120"/>
              <w:rPr>
                <w:rFonts w:ascii="Arial" w:hAnsi="Arial" w:cs="Arial"/>
              </w:rPr>
            </w:pPr>
            <w:r w:rsidRPr="00442590">
              <w:rPr>
                <w:rFonts w:ascii="Arial" w:hAnsi="Arial" w:cs="Arial"/>
              </w:rPr>
              <w:t>Audit programs</w:t>
            </w:r>
          </w:p>
        </w:tc>
        <w:tc>
          <w:tcPr>
            <w:tcW w:w="5330" w:type="dxa"/>
          </w:tcPr>
          <w:p w14:paraId="420468C2" w14:textId="77777777" w:rsidR="00971E53" w:rsidRDefault="004A6BFD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 w:rsidRPr="00BC6D7E">
              <w:rPr>
                <w:rFonts w:ascii="Arial" w:hAnsi="Arial" w:cs="Arial"/>
                <w:color w:val="7030A0"/>
              </w:rPr>
              <w:t>D</w:t>
            </w:r>
            <w:r w:rsidR="00971E53">
              <w:rPr>
                <w:rFonts w:ascii="Arial" w:hAnsi="Arial" w:cs="Arial"/>
                <w:color w:val="7030A0"/>
              </w:rPr>
              <w:t>ecision</w:t>
            </w:r>
            <w:r w:rsidRPr="00BC6D7E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 xml:space="preserve">made </w:t>
            </w:r>
            <w:r w:rsidR="00971E53">
              <w:rPr>
                <w:rFonts w:ascii="Arial" w:hAnsi="Arial" w:cs="Arial"/>
                <w:color w:val="7030A0"/>
              </w:rPr>
              <w:t xml:space="preserve">to </w:t>
            </w:r>
            <w:r w:rsidR="00971E53" w:rsidRPr="00971E53">
              <w:rPr>
                <w:rFonts w:ascii="Arial" w:hAnsi="Arial" w:cs="Arial"/>
                <w:color w:val="7030A0"/>
              </w:rPr>
              <w:t>change the evidence gathering methods;</w:t>
            </w:r>
          </w:p>
          <w:p w14:paraId="3E33C09B" w14:textId="77777777" w:rsidR="004A6BFD" w:rsidRDefault="00971E53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Decision made</w:t>
            </w:r>
            <w:r w:rsidRPr="00971E53">
              <w:rPr>
                <w:rFonts w:ascii="Arial" w:hAnsi="Arial" w:cs="Arial"/>
                <w:color w:val="7030A0"/>
              </w:rPr>
              <w:t xml:space="preserve"> to drop a section of the audit program or criteria;</w:t>
            </w:r>
          </w:p>
          <w:p w14:paraId="328029C5" w14:textId="27392C82" w:rsidR="005D0B59" w:rsidRPr="005D0B59" w:rsidRDefault="005D0B59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Change in approach regarding sampling;</w:t>
            </w:r>
          </w:p>
          <w:p w14:paraId="6270C3E3" w14:textId="77777777" w:rsidR="00971E53" w:rsidRPr="00BC6D7E" w:rsidRDefault="00971E53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5710" w:type="dxa"/>
          </w:tcPr>
          <w:p w14:paraId="1B17C38B" w14:textId="77777777" w:rsidR="004A6BFD" w:rsidRPr="001D6E34" w:rsidRDefault="004A6BFD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71E53" w:rsidRPr="00442590" w14:paraId="4AB1CA27" w14:textId="77777777" w:rsidTr="00574755">
        <w:tc>
          <w:tcPr>
            <w:tcW w:w="2136" w:type="dxa"/>
          </w:tcPr>
          <w:p w14:paraId="3FC11458" w14:textId="77777777" w:rsidR="00971E53" w:rsidRPr="00442590" w:rsidRDefault="00971E53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Consultation</w:t>
            </w:r>
            <w:r w:rsidRPr="00442590">
              <w:rPr>
                <w:rFonts w:ascii="Arial" w:hAnsi="Arial" w:cs="Arial"/>
              </w:rPr>
              <w:t xml:space="preserve"> </w:t>
            </w:r>
            <w:r w:rsidR="00B004C6">
              <w:rPr>
                <w:rFonts w:ascii="Arial" w:hAnsi="Arial" w:cs="Arial"/>
              </w:rPr>
              <w:t>D</w:t>
            </w:r>
            <w:r w:rsidRPr="00442590">
              <w:rPr>
                <w:rFonts w:ascii="Arial" w:hAnsi="Arial" w:cs="Arial"/>
              </w:rPr>
              <w:t>isagreement</w:t>
            </w:r>
          </w:p>
        </w:tc>
        <w:tc>
          <w:tcPr>
            <w:tcW w:w="5330" w:type="dxa"/>
          </w:tcPr>
          <w:p w14:paraId="6D363CB9" w14:textId="350806D1" w:rsidR="00F40549" w:rsidRDefault="00B6468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Significant</w:t>
            </w:r>
            <w:r w:rsidRPr="004A6BFD">
              <w:rPr>
                <w:rFonts w:ascii="Arial" w:hAnsi="Arial" w:cs="Arial"/>
                <w:color w:val="7030A0"/>
              </w:rPr>
              <w:t xml:space="preserve"> d</w:t>
            </w:r>
            <w:r>
              <w:rPr>
                <w:rFonts w:ascii="Arial" w:hAnsi="Arial" w:cs="Arial"/>
                <w:color w:val="7030A0"/>
              </w:rPr>
              <w:t>isagreement</w:t>
            </w:r>
            <w:r w:rsidRPr="004A6BF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 xml:space="preserve">with </w:t>
            </w:r>
            <w:r w:rsidR="005241A0">
              <w:rPr>
                <w:rFonts w:ascii="Arial" w:hAnsi="Arial" w:cs="Arial"/>
                <w:color w:val="7030A0"/>
              </w:rPr>
              <w:t xml:space="preserve">the </w:t>
            </w:r>
            <w:r>
              <w:rPr>
                <w:rFonts w:ascii="Arial" w:hAnsi="Arial" w:cs="Arial"/>
                <w:color w:val="7030A0"/>
              </w:rPr>
              <w:t>internal specialists</w:t>
            </w:r>
            <w:r w:rsidR="00F40549">
              <w:rPr>
                <w:rFonts w:ascii="Arial" w:hAnsi="Arial" w:cs="Arial"/>
                <w:color w:val="7030A0"/>
              </w:rPr>
              <w:t xml:space="preserve"> on the internal draft;</w:t>
            </w:r>
          </w:p>
          <w:p w14:paraId="54C46D5B" w14:textId="79290F11" w:rsidR="00971E53" w:rsidRPr="004A6BFD" w:rsidRDefault="00971E53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5710" w:type="dxa"/>
          </w:tcPr>
          <w:p w14:paraId="0EA4287C" w14:textId="77777777" w:rsidR="00971E53" w:rsidRPr="001D6E34" w:rsidRDefault="00971E53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91C1F" w:rsidRPr="00442590" w14:paraId="503C3203" w14:textId="77777777" w:rsidTr="00574755">
        <w:tc>
          <w:tcPr>
            <w:tcW w:w="2136" w:type="dxa"/>
          </w:tcPr>
          <w:p w14:paraId="21A52159" w14:textId="77777777" w:rsidR="00991C1F" w:rsidRDefault="00991C1F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information</w:t>
            </w:r>
          </w:p>
        </w:tc>
        <w:tc>
          <w:tcPr>
            <w:tcW w:w="5330" w:type="dxa"/>
          </w:tcPr>
          <w:p w14:paraId="56FD0B61" w14:textId="70422811" w:rsidR="00991C1F" w:rsidRDefault="00B6468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Action</w:t>
            </w:r>
            <w:r w:rsidR="00F40549">
              <w:rPr>
                <w:rFonts w:ascii="Arial" w:hAnsi="Arial" w:cs="Arial"/>
                <w:color w:val="7030A0"/>
              </w:rPr>
              <w:t>s</w:t>
            </w:r>
            <w:r>
              <w:rPr>
                <w:rFonts w:ascii="Arial" w:hAnsi="Arial" w:cs="Arial"/>
                <w:color w:val="7030A0"/>
              </w:rPr>
              <w:t xml:space="preserve"> taken to address </w:t>
            </w:r>
            <w:r w:rsidR="005241A0">
              <w:rPr>
                <w:rFonts w:ascii="Arial" w:hAnsi="Arial" w:cs="Arial"/>
                <w:color w:val="7030A0"/>
              </w:rPr>
              <w:t xml:space="preserve">the </w:t>
            </w:r>
            <w:r w:rsidR="00991C1F">
              <w:rPr>
                <w:rFonts w:ascii="Arial" w:hAnsi="Arial" w:cs="Arial"/>
                <w:color w:val="7030A0"/>
              </w:rPr>
              <w:t>lack of access to information;</w:t>
            </w:r>
          </w:p>
          <w:p w14:paraId="44AA5CFB" w14:textId="77777777" w:rsidR="00991C1F" w:rsidRDefault="00991C1F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5710" w:type="dxa"/>
          </w:tcPr>
          <w:p w14:paraId="56BDF3BB" w14:textId="77777777" w:rsidR="00991C1F" w:rsidRPr="001D6E34" w:rsidRDefault="00991C1F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91C1F" w:rsidRPr="00442590" w14:paraId="5E047646" w14:textId="77777777" w:rsidTr="00574755">
        <w:tc>
          <w:tcPr>
            <w:tcW w:w="2136" w:type="dxa"/>
          </w:tcPr>
          <w:p w14:paraId="30577834" w14:textId="30D67584" w:rsidR="00991C1F" w:rsidRDefault="00133AA8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</w:p>
        </w:tc>
        <w:tc>
          <w:tcPr>
            <w:tcW w:w="5330" w:type="dxa"/>
          </w:tcPr>
          <w:p w14:paraId="418EFC4D" w14:textId="77777777" w:rsidR="00ED2014" w:rsidRDefault="00991C1F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Decision made regarding data integrity; </w:t>
            </w:r>
          </w:p>
          <w:p w14:paraId="26AB37F0" w14:textId="25B2DE66" w:rsidR="00A06A79" w:rsidRPr="00A06A79" w:rsidRDefault="00ED2014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R</w:t>
            </w:r>
            <w:r w:rsidR="00991C1F">
              <w:rPr>
                <w:rFonts w:ascii="Arial" w:hAnsi="Arial" w:cs="Arial"/>
                <w:color w:val="7030A0"/>
              </w:rPr>
              <w:t>eliance on internal audit work;</w:t>
            </w:r>
          </w:p>
          <w:p w14:paraId="118DABE3" w14:textId="77777777" w:rsidR="00991C1F" w:rsidRDefault="00991C1F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5710" w:type="dxa"/>
          </w:tcPr>
          <w:p w14:paraId="0307D1B3" w14:textId="77777777" w:rsidR="00991C1F" w:rsidRPr="001D6E34" w:rsidRDefault="00991C1F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87FD7" w:rsidRPr="00442590" w14:paraId="488DE31C" w14:textId="77777777" w:rsidTr="00574755">
        <w:tc>
          <w:tcPr>
            <w:tcW w:w="2136" w:type="dxa"/>
          </w:tcPr>
          <w:p w14:paraId="6C3A48C0" w14:textId="3733EEBF" w:rsidR="00B87FD7" w:rsidRDefault="008E3B23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in scope and approach</w:t>
            </w:r>
          </w:p>
        </w:tc>
        <w:tc>
          <w:tcPr>
            <w:tcW w:w="5330" w:type="dxa"/>
          </w:tcPr>
          <w:p w14:paraId="634D54FE" w14:textId="7A7C5974" w:rsidR="00B87FD7" w:rsidRDefault="008E3B23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Decisions to changes in audit scope and/or approach since finalization of the audit plan</w:t>
            </w:r>
            <w:r w:rsidR="00ED2014">
              <w:rPr>
                <w:rFonts w:ascii="Arial" w:hAnsi="Arial" w:cs="Arial"/>
                <w:color w:val="7030A0"/>
              </w:rPr>
              <w:t>.</w:t>
            </w:r>
          </w:p>
        </w:tc>
        <w:tc>
          <w:tcPr>
            <w:tcW w:w="5710" w:type="dxa"/>
          </w:tcPr>
          <w:p w14:paraId="28C27EF9" w14:textId="77777777" w:rsidR="00B87FD7" w:rsidRPr="001D6E34" w:rsidRDefault="00B87FD7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A6D4A" w:rsidRPr="00442590" w14:paraId="1E953BE8" w14:textId="77777777" w:rsidTr="00574755">
        <w:tc>
          <w:tcPr>
            <w:tcW w:w="2136" w:type="dxa"/>
          </w:tcPr>
          <w:p w14:paraId="064E7C0C" w14:textId="77777777" w:rsidR="005A6D4A" w:rsidRDefault="00B004C6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Disagreement B</w:t>
            </w:r>
            <w:r w:rsidR="005A6D4A" w:rsidRPr="00442590">
              <w:rPr>
                <w:rFonts w:ascii="Arial" w:hAnsi="Arial" w:cs="Arial"/>
              </w:rPr>
              <w:t>etween the Audited Entit</w:t>
            </w:r>
            <w:r>
              <w:rPr>
                <w:rFonts w:ascii="Arial" w:hAnsi="Arial" w:cs="Arial"/>
              </w:rPr>
              <w:t>y and the T</w:t>
            </w:r>
            <w:r w:rsidR="005A6D4A" w:rsidRPr="00442590">
              <w:rPr>
                <w:rFonts w:ascii="Arial" w:hAnsi="Arial" w:cs="Arial"/>
              </w:rPr>
              <w:t>eam</w:t>
            </w:r>
          </w:p>
        </w:tc>
        <w:tc>
          <w:tcPr>
            <w:tcW w:w="5330" w:type="dxa"/>
          </w:tcPr>
          <w:p w14:paraId="0BF987CB" w14:textId="28B57BB0" w:rsidR="005A6D4A" w:rsidRDefault="00B6468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Significant actions taken to address entity</w:t>
            </w:r>
            <w:r w:rsidR="003642C9">
              <w:rPr>
                <w:rFonts w:ascii="Arial" w:hAnsi="Arial" w:cs="Arial"/>
                <w:color w:val="7030A0"/>
              </w:rPr>
              <w:t>’s</w:t>
            </w:r>
            <w:r>
              <w:rPr>
                <w:rFonts w:ascii="Arial" w:hAnsi="Arial" w:cs="Arial"/>
                <w:color w:val="7030A0"/>
              </w:rPr>
              <w:t xml:space="preserve"> disagreement with findings and </w:t>
            </w:r>
            <w:r w:rsidR="00300C44">
              <w:rPr>
                <w:rFonts w:ascii="Arial" w:hAnsi="Arial" w:cs="Arial"/>
                <w:color w:val="7030A0"/>
              </w:rPr>
              <w:t>key observations;</w:t>
            </w:r>
          </w:p>
          <w:p w14:paraId="7EDB2965" w14:textId="77777777" w:rsidR="00300C44" w:rsidRDefault="00300C44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5710" w:type="dxa"/>
          </w:tcPr>
          <w:p w14:paraId="38CFFFCD" w14:textId="77777777" w:rsidR="005A6D4A" w:rsidRPr="001D6E34" w:rsidRDefault="005A6D4A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E4A65" w:rsidRPr="00442590" w14:paraId="39E20D7C" w14:textId="77777777" w:rsidTr="00574755">
        <w:tc>
          <w:tcPr>
            <w:tcW w:w="2136" w:type="dxa"/>
          </w:tcPr>
          <w:p w14:paraId="5E28045A" w14:textId="77777777" w:rsidR="00BE4A65" w:rsidRDefault="00BE4A65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Other</w:t>
            </w:r>
          </w:p>
        </w:tc>
        <w:tc>
          <w:tcPr>
            <w:tcW w:w="5330" w:type="dxa"/>
          </w:tcPr>
          <w:p w14:paraId="403BDF11" w14:textId="58576C7B" w:rsidR="008E3B23" w:rsidRPr="004703C4" w:rsidRDefault="00BE4A65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Other decisions made during </w:t>
            </w:r>
            <w:r w:rsidR="00E44A79">
              <w:rPr>
                <w:rFonts w:ascii="Arial" w:hAnsi="Arial" w:cs="Arial"/>
                <w:color w:val="7030A0"/>
              </w:rPr>
              <w:t>the examination phase</w:t>
            </w:r>
            <w:r w:rsidR="00ED2014">
              <w:rPr>
                <w:rFonts w:ascii="Arial" w:hAnsi="Arial" w:cs="Arial"/>
                <w:color w:val="7030A0"/>
              </w:rPr>
              <w:t>.</w:t>
            </w:r>
          </w:p>
        </w:tc>
        <w:tc>
          <w:tcPr>
            <w:tcW w:w="5710" w:type="dxa"/>
          </w:tcPr>
          <w:p w14:paraId="53E95801" w14:textId="77777777" w:rsidR="00BE4A65" w:rsidRPr="001D6E34" w:rsidRDefault="00BE4A65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04AE34" w14:textId="77777777" w:rsidR="00CD64AD" w:rsidRPr="00CD64AD" w:rsidRDefault="008C3F72" w:rsidP="00F448C6">
      <w:pPr>
        <w:pStyle w:val="Heading1"/>
      </w:pPr>
      <w:r w:rsidRPr="00442590">
        <w:t>Reporting Phase</w:t>
      </w:r>
    </w:p>
    <w:tbl>
      <w:tblPr>
        <w:tblStyle w:val="TableGrid"/>
        <w:tblW w:w="5035" w:type="pct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5386"/>
        <w:gridCol w:w="5670"/>
      </w:tblGrid>
      <w:tr w:rsidR="00CD64AD" w:rsidRPr="00442590" w14:paraId="08756BD6" w14:textId="77777777" w:rsidTr="004703C4">
        <w:trPr>
          <w:trHeight w:val="442"/>
          <w:tblHeader/>
        </w:trPr>
        <w:tc>
          <w:tcPr>
            <w:tcW w:w="1985" w:type="dxa"/>
            <w:vAlign w:val="center"/>
          </w:tcPr>
          <w:p w14:paraId="279BC9F3" w14:textId="77777777" w:rsidR="00CD64AD" w:rsidRPr="00442590" w:rsidRDefault="00CD64AD" w:rsidP="000D0650">
            <w:pPr>
              <w:spacing w:before="120" w:after="120"/>
              <w:rPr>
                <w:rFonts w:ascii="Arial" w:hAnsi="Arial" w:cs="Arial"/>
                <w:b/>
              </w:rPr>
            </w:pPr>
            <w:r w:rsidRPr="00442590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386" w:type="dxa"/>
            <w:vAlign w:val="center"/>
          </w:tcPr>
          <w:p w14:paraId="1E9F2694" w14:textId="77777777" w:rsidR="00CD64AD" w:rsidRPr="00442590" w:rsidRDefault="00CD64AD" w:rsidP="000D065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Examples</w:t>
            </w:r>
          </w:p>
        </w:tc>
        <w:tc>
          <w:tcPr>
            <w:tcW w:w="5670" w:type="dxa"/>
            <w:vAlign w:val="center"/>
          </w:tcPr>
          <w:p w14:paraId="5A97B130" w14:textId="77777777" w:rsidR="00CD64AD" w:rsidRPr="00442590" w:rsidRDefault="00CD64AD" w:rsidP="000D0650">
            <w:pPr>
              <w:spacing w:before="120" w:after="120"/>
              <w:rPr>
                <w:rFonts w:ascii="Arial" w:hAnsi="Arial" w:cs="Arial"/>
                <w:b/>
              </w:rPr>
            </w:pPr>
            <w:r w:rsidRPr="00442590">
              <w:rPr>
                <w:rFonts w:ascii="Arial" w:hAnsi="Arial" w:cs="Arial"/>
                <w:b/>
              </w:rPr>
              <w:t>Significant Judgment Decision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B004C6" w:rsidRPr="00442590" w14:paraId="36570951" w14:textId="77777777" w:rsidTr="004703C4">
        <w:tc>
          <w:tcPr>
            <w:tcW w:w="1985" w:type="dxa"/>
          </w:tcPr>
          <w:p w14:paraId="1BB6ABB7" w14:textId="77777777" w:rsidR="00B004C6" w:rsidRDefault="00B004C6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Drafting the </w:t>
            </w:r>
            <w:r w:rsidR="00F26B34">
              <w:rPr>
                <w:rFonts w:ascii="Arial" w:hAnsi="Arial" w:cs="Arial"/>
              </w:rPr>
              <w:t>Report</w:t>
            </w:r>
          </w:p>
        </w:tc>
        <w:tc>
          <w:tcPr>
            <w:tcW w:w="5386" w:type="dxa"/>
          </w:tcPr>
          <w:p w14:paraId="49E63D15" w14:textId="55326956" w:rsidR="00B004C6" w:rsidRDefault="00B004C6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Decision made </w:t>
            </w:r>
            <w:r w:rsidR="00B64685">
              <w:rPr>
                <w:rFonts w:ascii="Arial" w:hAnsi="Arial" w:cs="Arial"/>
                <w:color w:val="7030A0"/>
              </w:rPr>
              <w:t xml:space="preserve">to exclude work </w:t>
            </w:r>
            <w:r w:rsidR="003642C9">
              <w:rPr>
                <w:rFonts w:ascii="Arial" w:hAnsi="Arial" w:cs="Arial"/>
                <w:color w:val="7030A0"/>
              </w:rPr>
              <w:t xml:space="preserve">identified in the </w:t>
            </w:r>
            <w:r w:rsidR="00B64685">
              <w:rPr>
                <w:rFonts w:ascii="Arial" w:hAnsi="Arial" w:cs="Arial"/>
                <w:color w:val="7030A0"/>
              </w:rPr>
              <w:t xml:space="preserve">audit programs from the </w:t>
            </w:r>
            <w:r w:rsidR="00F26B34">
              <w:rPr>
                <w:rFonts w:ascii="Arial" w:hAnsi="Arial" w:cs="Arial"/>
                <w:color w:val="7030A0"/>
              </w:rPr>
              <w:t>report</w:t>
            </w:r>
            <w:r w:rsidR="008F7A44">
              <w:rPr>
                <w:rFonts w:ascii="Arial" w:hAnsi="Arial" w:cs="Arial"/>
                <w:color w:val="7030A0"/>
              </w:rPr>
              <w:t>;</w:t>
            </w:r>
          </w:p>
          <w:p w14:paraId="20C231E9" w14:textId="77777777" w:rsidR="00B004C6" w:rsidRDefault="00B004C6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5670" w:type="dxa"/>
          </w:tcPr>
          <w:p w14:paraId="550184F8" w14:textId="77777777" w:rsidR="00B004C6" w:rsidRPr="001D6E34" w:rsidRDefault="00B004C6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3B23" w:rsidRPr="00442590" w14:paraId="0F4CAB59" w14:textId="77777777" w:rsidTr="004703C4">
        <w:tc>
          <w:tcPr>
            <w:tcW w:w="1985" w:type="dxa"/>
          </w:tcPr>
          <w:p w14:paraId="46F7ACCA" w14:textId="77777777" w:rsidR="008E3B23" w:rsidRDefault="008E3B23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Substantiation</w:t>
            </w:r>
          </w:p>
        </w:tc>
        <w:tc>
          <w:tcPr>
            <w:tcW w:w="5386" w:type="dxa"/>
          </w:tcPr>
          <w:p w14:paraId="488C1734" w14:textId="42948FA4" w:rsidR="008E3B23" w:rsidRDefault="008E3B23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Decisions made regarding </w:t>
            </w:r>
            <w:r w:rsidRPr="005E4C35">
              <w:rPr>
                <w:rFonts w:ascii="Arial" w:hAnsi="Arial" w:cs="Arial"/>
                <w:color w:val="7030A0"/>
              </w:rPr>
              <w:t xml:space="preserve">the </w:t>
            </w:r>
            <w:r>
              <w:rPr>
                <w:rFonts w:ascii="Arial" w:hAnsi="Arial" w:cs="Arial"/>
                <w:color w:val="7030A0"/>
              </w:rPr>
              <w:t>audit documentation supporting</w:t>
            </w:r>
            <w:r w:rsidRPr="005E4C35">
              <w:rPr>
                <w:rFonts w:ascii="Arial" w:hAnsi="Arial" w:cs="Arial"/>
                <w:color w:val="7030A0"/>
              </w:rPr>
              <w:t xml:space="preserve"> the conclusions reached by the audit team.</w:t>
            </w:r>
          </w:p>
        </w:tc>
        <w:tc>
          <w:tcPr>
            <w:tcW w:w="5670" w:type="dxa"/>
          </w:tcPr>
          <w:p w14:paraId="41630892" w14:textId="77777777" w:rsidR="008E3B23" w:rsidRPr="001D6E34" w:rsidRDefault="008E3B23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D64AD" w:rsidRPr="00442590" w14:paraId="71BC926B" w14:textId="77777777" w:rsidTr="004703C4">
        <w:tc>
          <w:tcPr>
            <w:tcW w:w="1985" w:type="dxa"/>
          </w:tcPr>
          <w:p w14:paraId="440D3F7E" w14:textId="77777777" w:rsidR="00CD64AD" w:rsidRDefault="00B004C6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Disagreement B</w:t>
            </w:r>
            <w:r w:rsidR="005A6D4A" w:rsidRPr="00442590">
              <w:rPr>
                <w:rFonts w:ascii="Arial" w:hAnsi="Arial" w:cs="Arial"/>
              </w:rPr>
              <w:t>etween the Audited Entit</w:t>
            </w:r>
            <w:r>
              <w:rPr>
                <w:rFonts w:ascii="Arial" w:hAnsi="Arial" w:cs="Arial"/>
              </w:rPr>
              <w:t>y and the T</w:t>
            </w:r>
            <w:r w:rsidR="005A6D4A" w:rsidRPr="00442590">
              <w:rPr>
                <w:rFonts w:ascii="Arial" w:hAnsi="Arial" w:cs="Arial"/>
              </w:rPr>
              <w:t>eam</w:t>
            </w:r>
          </w:p>
        </w:tc>
        <w:tc>
          <w:tcPr>
            <w:tcW w:w="5386" w:type="dxa"/>
          </w:tcPr>
          <w:p w14:paraId="4B49A129" w14:textId="7A4CB9BB" w:rsidR="008A25FA" w:rsidRDefault="008A25FA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Actions taken to address entity disagreement </w:t>
            </w:r>
            <w:r w:rsidR="003642C9">
              <w:rPr>
                <w:rFonts w:ascii="Arial" w:hAnsi="Arial" w:cs="Arial"/>
                <w:color w:val="7030A0"/>
              </w:rPr>
              <w:t xml:space="preserve">with the </w:t>
            </w:r>
            <w:r>
              <w:rPr>
                <w:rFonts w:ascii="Arial" w:hAnsi="Arial" w:cs="Arial"/>
                <w:color w:val="7030A0"/>
              </w:rPr>
              <w:t>recommendations;</w:t>
            </w:r>
          </w:p>
          <w:p w14:paraId="62B87A4F" w14:textId="4AA7210E" w:rsidR="008A25FA" w:rsidRDefault="008A25FA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Actions taken to address answers to recommendations provided by the audited entity</w:t>
            </w:r>
            <w:r w:rsidR="003642C9">
              <w:rPr>
                <w:rFonts w:ascii="Arial" w:hAnsi="Arial" w:cs="Arial"/>
                <w:color w:val="7030A0"/>
              </w:rPr>
              <w:t>;</w:t>
            </w:r>
          </w:p>
          <w:p w14:paraId="5360FFB7" w14:textId="7844931F" w:rsidR="005D0B59" w:rsidRDefault="005D0B59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Actions taken to address entity refusal to provide written confirmation that all information requested was provided and/ or that the findings are factually based;</w:t>
            </w:r>
          </w:p>
          <w:p w14:paraId="5A390F6D" w14:textId="77777777" w:rsidR="00CD64AD" w:rsidRDefault="005A6D4A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8"/>
              <w:contextualSpacing w:val="0"/>
              <w:rPr>
                <w:rFonts w:ascii="Arial" w:hAnsi="Arial" w:cs="Arial"/>
                <w:color w:val="7030A0"/>
              </w:rPr>
            </w:pPr>
            <w:r w:rsidRPr="005A6D4A"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5670" w:type="dxa"/>
          </w:tcPr>
          <w:p w14:paraId="5A11A38F" w14:textId="77777777" w:rsidR="00CD64AD" w:rsidRPr="001D6E34" w:rsidRDefault="00CD64AD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3B23" w:rsidRPr="00442590" w14:paraId="4E710BF8" w14:textId="77777777" w:rsidTr="008E3B23">
        <w:tc>
          <w:tcPr>
            <w:tcW w:w="1985" w:type="dxa"/>
          </w:tcPr>
          <w:p w14:paraId="4A6D5F79" w14:textId="61E5166A" w:rsidR="008E3B23" w:rsidRDefault="008E3B23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conclusion</w:t>
            </w:r>
          </w:p>
        </w:tc>
        <w:tc>
          <w:tcPr>
            <w:tcW w:w="5386" w:type="dxa"/>
          </w:tcPr>
          <w:p w14:paraId="47AC16C8" w14:textId="54B0C333" w:rsidR="008E3B23" w:rsidRPr="008E3B23" w:rsidRDefault="008E3B23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 w:rsidRPr="008E3B23">
              <w:rPr>
                <w:rFonts w:ascii="Arial" w:hAnsi="Arial" w:cs="Arial"/>
                <w:color w:val="7030A0"/>
              </w:rPr>
              <w:t xml:space="preserve">Decisions related to nature and type of the audit conclusion (unmodified; </w:t>
            </w:r>
            <w:r>
              <w:rPr>
                <w:rFonts w:ascii="Arial" w:hAnsi="Arial" w:cs="Arial"/>
                <w:color w:val="7030A0"/>
              </w:rPr>
              <w:t>q</w:t>
            </w:r>
            <w:r w:rsidRPr="008E3B23">
              <w:rPr>
                <w:rFonts w:ascii="Arial" w:hAnsi="Arial" w:cs="Arial"/>
                <w:color w:val="7030A0"/>
              </w:rPr>
              <w:t>ualified</w:t>
            </w:r>
            <w:r>
              <w:rPr>
                <w:rFonts w:ascii="Arial" w:hAnsi="Arial" w:cs="Arial"/>
                <w:color w:val="7030A0"/>
              </w:rPr>
              <w:t>, adverse, disclaimer)</w:t>
            </w:r>
            <w:r w:rsidR="00ED2014">
              <w:rPr>
                <w:rFonts w:ascii="Arial" w:hAnsi="Arial" w:cs="Arial"/>
                <w:color w:val="7030A0"/>
              </w:rPr>
              <w:t>;</w:t>
            </w:r>
          </w:p>
          <w:p w14:paraId="60F48503" w14:textId="1C3D5F2F" w:rsidR="008E3B23" w:rsidRPr="004703C4" w:rsidRDefault="008E3B23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lastRenderedPageBreak/>
              <w:t>Decisions related to any scope limitations</w:t>
            </w:r>
            <w:r w:rsidR="00ED2014">
              <w:rPr>
                <w:rFonts w:ascii="Arial" w:hAnsi="Arial" w:cs="Arial"/>
                <w:color w:val="7030A0"/>
              </w:rPr>
              <w:t>.</w:t>
            </w:r>
          </w:p>
        </w:tc>
        <w:tc>
          <w:tcPr>
            <w:tcW w:w="5670" w:type="dxa"/>
          </w:tcPr>
          <w:p w14:paraId="1F9FBF0D" w14:textId="77777777" w:rsidR="008E3B23" w:rsidRPr="001D6E34" w:rsidRDefault="008E3B23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0B59" w:rsidRPr="00442590" w14:paraId="6C682AC5" w14:textId="77777777" w:rsidTr="004703C4">
        <w:tc>
          <w:tcPr>
            <w:tcW w:w="1985" w:type="dxa"/>
          </w:tcPr>
          <w:p w14:paraId="7F16BBDC" w14:textId="27F36967" w:rsidR="005D0B59" w:rsidRDefault="005D0B59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the report</w:t>
            </w:r>
          </w:p>
        </w:tc>
        <w:tc>
          <w:tcPr>
            <w:tcW w:w="5386" w:type="dxa"/>
          </w:tcPr>
          <w:p w14:paraId="2631F4FD" w14:textId="28189C97" w:rsidR="005D0B59" w:rsidRDefault="005D0B59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Rationale for the date </w:t>
            </w:r>
            <w:r w:rsidR="008E3B23">
              <w:rPr>
                <w:rFonts w:ascii="Arial" w:hAnsi="Arial" w:cs="Arial"/>
                <w:color w:val="7030A0"/>
              </w:rPr>
              <w:t>chosen as date of report</w:t>
            </w:r>
            <w:r w:rsidR="005241A0">
              <w:rPr>
                <w:rFonts w:ascii="Arial" w:hAnsi="Arial" w:cs="Arial"/>
                <w:color w:val="7030A0"/>
              </w:rPr>
              <w:t>.</w:t>
            </w:r>
          </w:p>
        </w:tc>
        <w:tc>
          <w:tcPr>
            <w:tcW w:w="5670" w:type="dxa"/>
          </w:tcPr>
          <w:p w14:paraId="6590505F" w14:textId="77777777" w:rsidR="005D0B59" w:rsidRPr="001D6E34" w:rsidRDefault="005D0B59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3B23" w:rsidRPr="00442590" w14:paraId="453F1F04" w14:textId="77777777" w:rsidTr="008E3B23">
        <w:tc>
          <w:tcPr>
            <w:tcW w:w="1985" w:type="dxa"/>
          </w:tcPr>
          <w:p w14:paraId="5E1DE635" w14:textId="07D64F1F" w:rsidR="008E3B23" w:rsidRDefault="008E3B23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Jurisdiction </w:t>
            </w:r>
          </w:p>
        </w:tc>
        <w:tc>
          <w:tcPr>
            <w:tcW w:w="5386" w:type="dxa"/>
          </w:tcPr>
          <w:p w14:paraId="3C15786A" w14:textId="307BF7B9" w:rsidR="004703C4" w:rsidRDefault="00AD416A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Rationale for jurisdiction for the issuance of the audit (included as part of the report template).</w:t>
            </w:r>
          </w:p>
        </w:tc>
        <w:tc>
          <w:tcPr>
            <w:tcW w:w="5670" w:type="dxa"/>
          </w:tcPr>
          <w:p w14:paraId="1EB94956" w14:textId="77777777" w:rsidR="008E3B23" w:rsidRPr="001D6E34" w:rsidRDefault="008E3B23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D64AD" w:rsidRPr="00442590" w14:paraId="4917824A" w14:textId="77777777" w:rsidTr="004703C4">
        <w:tc>
          <w:tcPr>
            <w:tcW w:w="1985" w:type="dxa"/>
          </w:tcPr>
          <w:p w14:paraId="6A49FB2B" w14:textId="77777777" w:rsidR="00CD64AD" w:rsidRDefault="00CD64AD" w:rsidP="00B0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5386" w:type="dxa"/>
          </w:tcPr>
          <w:p w14:paraId="33359AD5" w14:textId="32FD9D02" w:rsidR="00CD64AD" w:rsidRPr="00ED2014" w:rsidRDefault="00CD64AD" w:rsidP="00ED2014">
            <w:pPr>
              <w:pStyle w:val="ListParagraph"/>
              <w:ind w:left="274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Other decisions made during the </w:t>
            </w:r>
            <w:r w:rsidR="002B1B79">
              <w:rPr>
                <w:rFonts w:ascii="Arial" w:hAnsi="Arial" w:cs="Arial"/>
                <w:color w:val="7030A0"/>
              </w:rPr>
              <w:t xml:space="preserve">reporting </w:t>
            </w:r>
            <w:r>
              <w:rPr>
                <w:rFonts w:ascii="Arial" w:hAnsi="Arial" w:cs="Arial"/>
                <w:color w:val="7030A0"/>
              </w:rPr>
              <w:t>phase</w:t>
            </w:r>
            <w:r w:rsidR="00ED2014">
              <w:rPr>
                <w:rFonts w:ascii="Arial" w:hAnsi="Arial" w:cs="Arial"/>
                <w:color w:val="7030A0"/>
              </w:rPr>
              <w:t>.</w:t>
            </w:r>
          </w:p>
        </w:tc>
        <w:tc>
          <w:tcPr>
            <w:tcW w:w="5670" w:type="dxa"/>
          </w:tcPr>
          <w:p w14:paraId="2A819AAC" w14:textId="77777777" w:rsidR="00CD64AD" w:rsidRPr="001D6E34" w:rsidRDefault="00CD64AD" w:rsidP="00B004C6">
            <w:pPr>
              <w:rPr>
                <w:rFonts w:ascii="Arial" w:hAnsi="Arial" w:cs="Arial"/>
              </w:rPr>
            </w:pPr>
          </w:p>
        </w:tc>
      </w:tr>
    </w:tbl>
    <w:p w14:paraId="3C6E3271" w14:textId="77777777" w:rsidR="00A17A62" w:rsidRPr="00CD64AD" w:rsidRDefault="00A17A62" w:rsidP="00F448C6">
      <w:pPr>
        <w:pStyle w:val="Heading1"/>
      </w:pPr>
      <w:r>
        <w:t>Post-Tabling</w:t>
      </w:r>
    </w:p>
    <w:tbl>
      <w:tblPr>
        <w:tblStyle w:val="TableGrid"/>
        <w:tblW w:w="5037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5400"/>
        <w:gridCol w:w="5671"/>
      </w:tblGrid>
      <w:tr w:rsidR="00A17A62" w:rsidRPr="00442590" w14:paraId="3BCA214C" w14:textId="77777777" w:rsidTr="009B17ED">
        <w:trPr>
          <w:trHeight w:val="442"/>
          <w:tblHeader/>
        </w:trPr>
        <w:tc>
          <w:tcPr>
            <w:tcW w:w="1975" w:type="dxa"/>
            <w:vAlign w:val="center"/>
          </w:tcPr>
          <w:p w14:paraId="6A91E3D4" w14:textId="77777777" w:rsidR="00A17A62" w:rsidRPr="00442590" w:rsidRDefault="00A17A62" w:rsidP="000D0650">
            <w:pPr>
              <w:spacing w:before="120" w:after="120"/>
              <w:rPr>
                <w:rFonts w:ascii="Arial" w:hAnsi="Arial" w:cs="Arial"/>
                <w:b/>
              </w:rPr>
            </w:pPr>
            <w:r w:rsidRPr="00442590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400" w:type="dxa"/>
            <w:vAlign w:val="center"/>
          </w:tcPr>
          <w:p w14:paraId="79DE207E" w14:textId="77777777" w:rsidR="00A17A62" w:rsidRPr="00442590" w:rsidRDefault="00A17A62" w:rsidP="000D065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Examples</w:t>
            </w:r>
          </w:p>
        </w:tc>
        <w:tc>
          <w:tcPr>
            <w:tcW w:w="5671" w:type="dxa"/>
            <w:vAlign w:val="center"/>
          </w:tcPr>
          <w:p w14:paraId="599171DD" w14:textId="77777777" w:rsidR="00A17A62" w:rsidRPr="00442590" w:rsidRDefault="00A17A62" w:rsidP="000D0650">
            <w:pPr>
              <w:spacing w:before="120" w:after="120"/>
              <w:rPr>
                <w:rFonts w:ascii="Arial" w:hAnsi="Arial" w:cs="Arial"/>
                <w:b/>
              </w:rPr>
            </w:pPr>
            <w:r w:rsidRPr="00442590">
              <w:rPr>
                <w:rFonts w:ascii="Arial" w:hAnsi="Arial" w:cs="Arial"/>
                <w:b/>
              </w:rPr>
              <w:t>Significant Judgment Decision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A17A62" w:rsidRPr="00442590" w14:paraId="16D1C273" w14:textId="77777777" w:rsidTr="009B17ED">
        <w:tc>
          <w:tcPr>
            <w:tcW w:w="1975" w:type="dxa"/>
          </w:tcPr>
          <w:p w14:paraId="546C3DAB" w14:textId="77777777" w:rsidR="00A17A62" w:rsidRPr="00442590" w:rsidRDefault="00A17A62" w:rsidP="000D06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File</w:t>
            </w:r>
          </w:p>
        </w:tc>
        <w:tc>
          <w:tcPr>
            <w:tcW w:w="5400" w:type="dxa"/>
          </w:tcPr>
          <w:p w14:paraId="5786B9E3" w14:textId="77777777" w:rsidR="00A17A62" w:rsidRDefault="009556D1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</w:t>
            </w:r>
            <w:r w:rsidR="00A17A62">
              <w:rPr>
                <w:rFonts w:ascii="Arial" w:hAnsi="Arial" w:cs="Arial"/>
                <w:color w:val="7030A0"/>
              </w:rPr>
              <w:t>xtension to finalize the audit file;</w:t>
            </w:r>
          </w:p>
          <w:p w14:paraId="66962177" w14:textId="77777777" w:rsidR="00A17A62" w:rsidRDefault="009556D1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Change to </w:t>
            </w:r>
            <w:r w:rsidR="00A17A62">
              <w:rPr>
                <w:rFonts w:ascii="Arial" w:hAnsi="Arial" w:cs="Arial"/>
                <w:color w:val="7030A0"/>
              </w:rPr>
              <w:t>audit documentation after the audit file has been finalized;</w:t>
            </w:r>
          </w:p>
          <w:p w14:paraId="288EB091" w14:textId="77777777" w:rsidR="00A17A62" w:rsidRPr="004A6BFD" w:rsidRDefault="00A17A62" w:rsidP="000D065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4" w:hanging="284"/>
              <w:contextualSpacing w:val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Etc.</w:t>
            </w:r>
          </w:p>
        </w:tc>
        <w:tc>
          <w:tcPr>
            <w:tcW w:w="5671" w:type="dxa"/>
          </w:tcPr>
          <w:p w14:paraId="05187875" w14:textId="77777777" w:rsidR="00A17A62" w:rsidRPr="001D6E34" w:rsidRDefault="00A17A62" w:rsidP="000D065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CFC8188" w14:textId="77777777" w:rsidR="00726C9B" w:rsidRPr="00442590" w:rsidRDefault="00726C9B" w:rsidP="00F448C6">
      <w:pPr>
        <w:rPr>
          <w:rFonts w:ascii="Arial" w:hAnsi="Arial" w:cs="Arial"/>
          <w:b/>
        </w:rPr>
      </w:pPr>
    </w:p>
    <w:sectPr w:rsidR="00726C9B" w:rsidRPr="00442590" w:rsidSect="00BB7D16">
      <w:footerReference w:type="default" r:id="rId8"/>
      <w:headerReference w:type="first" r:id="rId9"/>
      <w:footerReference w:type="first" r:id="rId10"/>
      <w:pgSz w:w="15840" w:h="12240" w:orient="landscape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EFA5E" w14:textId="77777777" w:rsidR="00B004C6" w:rsidRDefault="00B004C6" w:rsidP="004C19D6">
      <w:pPr>
        <w:spacing w:after="0" w:line="240" w:lineRule="auto"/>
      </w:pPr>
      <w:r>
        <w:separator/>
      </w:r>
    </w:p>
  </w:endnote>
  <w:endnote w:type="continuationSeparator" w:id="0">
    <w:p w14:paraId="23D4806B" w14:textId="77777777" w:rsidR="00B004C6" w:rsidRDefault="00B004C6" w:rsidP="004C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16"/>
      </w:rPr>
      <w:id w:val="-19072142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16"/>
          </w:rPr>
          <w:id w:val="1239671382"/>
          <w:docPartObj>
            <w:docPartGallery w:val="Page Numbers (Top of Page)"/>
            <w:docPartUnique/>
          </w:docPartObj>
        </w:sdtPr>
        <w:sdtEndPr/>
        <w:sdtContent>
          <w:p w14:paraId="3D384618" w14:textId="77777777" w:rsidR="00B004C6" w:rsidRPr="00F72ABE" w:rsidRDefault="002059CF" w:rsidP="00574755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rFonts w:ascii="Arial" w:hAnsi="Arial" w:cs="Arial"/>
                <w:sz w:val="20"/>
                <w:szCs w:val="16"/>
              </w:rPr>
            </w:pPr>
            <w:r w:rsidRPr="00F72ABE">
              <w:rPr>
                <w:rFonts w:ascii="Arial" w:hAnsi="Arial" w:cs="Arial"/>
                <w:sz w:val="20"/>
                <w:szCs w:val="16"/>
              </w:rPr>
              <w:fldChar w:fldCharType="begin"/>
            </w:r>
            <w:r w:rsidR="00B004C6" w:rsidRPr="00F72ABE">
              <w:rPr>
                <w:rFonts w:ascii="Arial" w:hAnsi="Arial" w:cs="Arial"/>
                <w:sz w:val="20"/>
                <w:szCs w:val="16"/>
              </w:rPr>
              <w:instrText xml:space="preserve"> PAGE </w:instrText>
            </w:r>
            <w:r w:rsidRPr="00F72AB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002889">
              <w:rPr>
                <w:rFonts w:ascii="Arial" w:hAnsi="Arial" w:cs="Arial"/>
                <w:noProof/>
                <w:sz w:val="20"/>
                <w:szCs w:val="16"/>
              </w:rPr>
              <w:t>4</w:t>
            </w:r>
            <w:r w:rsidRPr="00F72ABE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898163313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08966421" w14:textId="46BECBD1" w:rsidR="00B004C6" w:rsidRPr="00F456B6" w:rsidRDefault="007A5861" w:rsidP="004C19D6">
        <w:pPr>
          <w:pStyle w:val="Footer"/>
          <w:ind w:right="-342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July-2020</w:t>
        </w:r>
      </w:p>
      <w:p w14:paraId="0C8BFF16" w14:textId="1A755C6C" w:rsidR="00AE1D58" w:rsidRPr="00AE1D58" w:rsidRDefault="00B004C6" w:rsidP="00AE1D58">
        <w:pPr>
          <w:pStyle w:val="Footer"/>
          <w:tabs>
            <w:tab w:val="clear" w:pos="4680"/>
            <w:tab w:val="clear" w:pos="9360"/>
            <w:tab w:val="right" w:pos="12960"/>
          </w:tabs>
          <w:ind w:right="-342"/>
          <w:rPr>
            <w:rFonts w:ascii="Arial" w:hAnsi="Arial" w:cs="Arial"/>
            <w:sz w:val="28"/>
          </w:rPr>
        </w:pPr>
        <w:r>
          <w:rPr>
            <w:rFonts w:ascii="Arial" w:hAnsi="Arial" w:cs="Arial"/>
            <w:sz w:val="16"/>
            <w:szCs w:val="16"/>
          </w:rPr>
          <w:t xml:space="preserve">Template Owner: </w:t>
        </w:r>
        <w:r w:rsidR="00550DD9">
          <w:rPr>
            <w:rFonts w:ascii="Arial" w:hAnsi="Arial" w:cs="Arial"/>
            <w:sz w:val="16"/>
            <w:szCs w:val="16"/>
          </w:rPr>
          <w:t>Audit Services</w:t>
        </w:r>
        <w:r w:rsidR="00AE1D58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-1083758758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r w:rsidR="00AE1D58" w:rsidRPr="00AE1D58">
              <w:rPr>
                <w:rFonts w:ascii="Arial" w:hAnsi="Arial" w:cs="Arial"/>
                <w:sz w:val="20"/>
                <w:szCs w:val="16"/>
              </w:rPr>
              <w:fldChar w:fldCharType="begin"/>
            </w:r>
            <w:r w:rsidR="00AE1D58" w:rsidRPr="00AE1D58">
              <w:rPr>
                <w:rFonts w:ascii="Arial" w:hAnsi="Arial" w:cs="Arial"/>
                <w:sz w:val="20"/>
                <w:szCs w:val="16"/>
              </w:rPr>
              <w:instrText xml:space="preserve"> PAGE </w:instrText>
            </w:r>
            <w:r w:rsidR="00AE1D58" w:rsidRPr="00AE1D58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002889">
              <w:rPr>
                <w:rFonts w:ascii="Arial" w:hAnsi="Arial" w:cs="Arial"/>
                <w:noProof/>
                <w:sz w:val="20"/>
                <w:szCs w:val="16"/>
              </w:rPr>
              <w:t>1</w:t>
            </w:r>
            <w:r w:rsidR="00AE1D58" w:rsidRPr="00AE1D58">
              <w:rPr>
                <w:rFonts w:ascii="Arial" w:hAnsi="Arial" w:cs="Arial"/>
                <w:sz w:val="20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EAABA" w14:textId="77777777" w:rsidR="00B004C6" w:rsidRDefault="00B004C6" w:rsidP="004C19D6">
      <w:pPr>
        <w:spacing w:after="0" w:line="240" w:lineRule="auto"/>
      </w:pPr>
      <w:r>
        <w:separator/>
      </w:r>
    </w:p>
  </w:footnote>
  <w:footnote w:type="continuationSeparator" w:id="0">
    <w:p w14:paraId="0B5A5CE5" w14:textId="77777777" w:rsidR="00B004C6" w:rsidRDefault="00B004C6" w:rsidP="004C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779D4" w14:textId="1FE8E45D" w:rsidR="00F57F59" w:rsidRPr="007D5D38" w:rsidRDefault="00F57F59" w:rsidP="00F57F59">
    <w:pPr>
      <w:pBdr>
        <w:bottom w:val="single" w:sz="12" w:space="1" w:color="auto"/>
      </w:pBdr>
      <w:tabs>
        <w:tab w:val="right" w:pos="12956"/>
      </w:tabs>
      <w:spacing w:before="100" w:beforeAutospacing="1" w:after="100" w:afterAutospacing="1" w:line="240" w:lineRule="auto"/>
      <w:ind w:right="4"/>
      <w:rPr>
        <w:rFonts w:ascii="Arial" w:eastAsia="Times New Roman" w:hAnsi="Arial" w:cs="Arial"/>
        <w:color w:val="000000"/>
        <w:sz w:val="28"/>
        <w:szCs w:val="28"/>
      </w:rPr>
    </w:pPr>
    <w:bookmarkStart w:id="1" w:name="OLE_LINK13"/>
    <w:bookmarkStart w:id="2" w:name="OLE_LINK14"/>
    <w:r>
      <w:rPr>
        <w:rFonts w:ascii="Arial" w:eastAsia="Times New Roman" w:hAnsi="Arial" w:cs="Arial"/>
        <w:color w:val="000000"/>
        <w:sz w:val="28"/>
        <w:szCs w:val="28"/>
      </w:rPr>
      <w:t>Significant Judgments—</w:t>
    </w:r>
    <w:r w:rsidRPr="00BC6D7E">
      <w:rPr>
        <w:rFonts w:ascii="Arial" w:hAnsi="Arial" w:cs="Arial"/>
        <w:color w:val="3333CC"/>
        <w:sz w:val="28"/>
        <w:szCs w:val="28"/>
      </w:rPr>
      <w:t xml:space="preserve">[Insert Title of the </w:t>
    </w:r>
    <w:r>
      <w:rPr>
        <w:rFonts w:ascii="Arial" w:hAnsi="Arial" w:cs="Arial"/>
        <w:color w:val="3333CC"/>
        <w:sz w:val="28"/>
        <w:szCs w:val="28"/>
      </w:rPr>
      <w:t>Audit</w:t>
    </w:r>
    <w:r w:rsidRPr="00BC6D7E">
      <w:rPr>
        <w:rFonts w:ascii="Arial" w:hAnsi="Arial" w:cs="Arial"/>
        <w:color w:val="3333CC"/>
        <w:sz w:val="28"/>
        <w:szCs w:val="28"/>
      </w:rPr>
      <w:t>]</w:t>
    </w:r>
    <w:r w:rsidRPr="00F57F59">
      <w:rPr>
        <w:rFonts w:ascii="Arial" w:hAnsi="Arial" w:cs="Arial"/>
        <w:b/>
        <w:sz w:val="28"/>
        <w:szCs w:val="28"/>
      </w:rPr>
      <w:tab/>
    </w:r>
    <w:sdt>
      <w:sdtPr>
        <w:rPr>
          <w:rFonts w:ascii="Arial" w:hAnsi="Arial" w:cs="Arial"/>
          <w:b/>
        </w:rPr>
        <w:alias w:val="Security Label"/>
        <w:tag w:val="OAG-BVG-Classification"/>
        <w:id w:val="370649869"/>
        <w:placeholder>
          <w:docPart w:val="714EC24C789744BD99B0AE25ABD373D4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7D5D38" w:rsidRPr="004C226E">
          <w:rPr>
            <w:rFonts w:ascii="Arial" w:hAnsi="Arial" w:cs="Arial"/>
            <w:b/>
          </w:rPr>
          <w:t>PROTECTED A (when completed)</w:t>
        </w:r>
      </w:sdtContent>
    </w:sdt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3CD"/>
    <w:multiLevelType w:val="hybridMultilevel"/>
    <w:tmpl w:val="AFC6C052"/>
    <w:lvl w:ilvl="0" w:tplc="834C8598">
      <w:start w:val="3065"/>
      <w:numFmt w:val="bullet"/>
      <w:lvlText w:val="-"/>
      <w:lvlJc w:val="left"/>
      <w:pPr>
        <w:ind w:left="350" w:hanging="360"/>
      </w:pPr>
      <w:rPr>
        <w:rFonts w:ascii="Arial" w:eastAsia="Arial Unicode MS" w:hAnsi="Aria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474D12CD"/>
    <w:multiLevelType w:val="hybridMultilevel"/>
    <w:tmpl w:val="434E657E"/>
    <w:lvl w:ilvl="0" w:tplc="5A20D12C">
      <w:start w:val="1"/>
      <w:numFmt w:val="bullet"/>
      <w:lvlText w:val="-"/>
      <w:lvlJc w:val="left"/>
      <w:pPr>
        <w:ind w:left="350" w:hanging="360"/>
      </w:pPr>
      <w:rPr>
        <w:rFonts w:ascii="Arial" w:eastAsia="Arial Unicode M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" w15:restartNumberingAfterBreak="0">
    <w:nsid w:val="57C26F97"/>
    <w:multiLevelType w:val="hybridMultilevel"/>
    <w:tmpl w:val="73EE05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06CB"/>
    <w:multiLevelType w:val="hybridMultilevel"/>
    <w:tmpl w:val="971A5CC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F4327"/>
    <w:multiLevelType w:val="hybridMultilevel"/>
    <w:tmpl w:val="00F27F84"/>
    <w:lvl w:ilvl="0" w:tplc="DA6E2B0E">
      <w:start w:val="306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D4559"/>
    <w:multiLevelType w:val="hybridMultilevel"/>
    <w:tmpl w:val="5C4C56F6"/>
    <w:lvl w:ilvl="0" w:tplc="AA980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2"/>
    <w:rsid w:val="00001092"/>
    <w:rsid w:val="00002889"/>
    <w:rsid w:val="00054A07"/>
    <w:rsid w:val="0006269E"/>
    <w:rsid w:val="000726A4"/>
    <w:rsid w:val="000941B2"/>
    <w:rsid w:val="000A4F76"/>
    <w:rsid w:val="000D0650"/>
    <w:rsid w:val="000D2131"/>
    <w:rsid w:val="000D25A6"/>
    <w:rsid w:val="000F48E2"/>
    <w:rsid w:val="0010641F"/>
    <w:rsid w:val="00106B4F"/>
    <w:rsid w:val="00120C89"/>
    <w:rsid w:val="00126F14"/>
    <w:rsid w:val="00133AA8"/>
    <w:rsid w:val="00135BCD"/>
    <w:rsid w:val="00155F2E"/>
    <w:rsid w:val="001742CC"/>
    <w:rsid w:val="00193E25"/>
    <w:rsid w:val="001B0A14"/>
    <w:rsid w:val="001B4E53"/>
    <w:rsid w:val="001B5243"/>
    <w:rsid w:val="001D6E34"/>
    <w:rsid w:val="001D708F"/>
    <w:rsid w:val="001E744A"/>
    <w:rsid w:val="002059CF"/>
    <w:rsid w:val="0021134C"/>
    <w:rsid w:val="002162FB"/>
    <w:rsid w:val="002357C0"/>
    <w:rsid w:val="002359BA"/>
    <w:rsid w:val="00284DEF"/>
    <w:rsid w:val="0029588F"/>
    <w:rsid w:val="002B1B79"/>
    <w:rsid w:val="002B6023"/>
    <w:rsid w:val="002B61E8"/>
    <w:rsid w:val="002E2025"/>
    <w:rsid w:val="00300C44"/>
    <w:rsid w:val="00310A0F"/>
    <w:rsid w:val="00325023"/>
    <w:rsid w:val="00353E83"/>
    <w:rsid w:val="00360E11"/>
    <w:rsid w:val="003642C9"/>
    <w:rsid w:val="003648ED"/>
    <w:rsid w:val="00382229"/>
    <w:rsid w:val="00382B37"/>
    <w:rsid w:val="003960CE"/>
    <w:rsid w:val="003B6D14"/>
    <w:rsid w:val="003B79A3"/>
    <w:rsid w:val="003C4967"/>
    <w:rsid w:val="003C5030"/>
    <w:rsid w:val="00402750"/>
    <w:rsid w:val="00441F84"/>
    <w:rsid w:val="00442590"/>
    <w:rsid w:val="004519CF"/>
    <w:rsid w:val="004703C4"/>
    <w:rsid w:val="004A3DD7"/>
    <w:rsid w:val="004A6BFD"/>
    <w:rsid w:val="004C19D6"/>
    <w:rsid w:val="004C226E"/>
    <w:rsid w:val="004C29C8"/>
    <w:rsid w:val="004D5CEE"/>
    <w:rsid w:val="004D66AA"/>
    <w:rsid w:val="00523170"/>
    <w:rsid w:val="00523A49"/>
    <w:rsid w:val="005241A0"/>
    <w:rsid w:val="00550DD9"/>
    <w:rsid w:val="00563303"/>
    <w:rsid w:val="00574755"/>
    <w:rsid w:val="005830F3"/>
    <w:rsid w:val="005A6511"/>
    <w:rsid w:val="005A6D4A"/>
    <w:rsid w:val="005C497A"/>
    <w:rsid w:val="005C4E5B"/>
    <w:rsid w:val="005D0B59"/>
    <w:rsid w:val="005D1B3E"/>
    <w:rsid w:val="005E4C35"/>
    <w:rsid w:val="00606634"/>
    <w:rsid w:val="0061307F"/>
    <w:rsid w:val="00623DB2"/>
    <w:rsid w:val="006775BD"/>
    <w:rsid w:val="006B7632"/>
    <w:rsid w:val="006C5FDD"/>
    <w:rsid w:val="006F7135"/>
    <w:rsid w:val="007009A4"/>
    <w:rsid w:val="00726C9B"/>
    <w:rsid w:val="007334EE"/>
    <w:rsid w:val="00737609"/>
    <w:rsid w:val="007652CC"/>
    <w:rsid w:val="00773DD7"/>
    <w:rsid w:val="00780B09"/>
    <w:rsid w:val="007910D1"/>
    <w:rsid w:val="007A5861"/>
    <w:rsid w:val="007C311B"/>
    <w:rsid w:val="007C5515"/>
    <w:rsid w:val="007D5D38"/>
    <w:rsid w:val="007F3DBF"/>
    <w:rsid w:val="00816208"/>
    <w:rsid w:val="00841B1F"/>
    <w:rsid w:val="00845198"/>
    <w:rsid w:val="0084571F"/>
    <w:rsid w:val="00881F29"/>
    <w:rsid w:val="00891F30"/>
    <w:rsid w:val="008A25FA"/>
    <w:rsid w:val="008C3F72"/>
    <w:rsid w:val="008D0E77"/>
    <w:rsid w:val="008E3B23"/>
    <w:rsid w:val="008F58D5"/>
    <w:rsid w:val="008F7A44"/>
    <w:rsid w:val="00927AC4"/>
    <w:rsid w:val="0093139A"/>
    <w:rsid w:val="009331F7"/>
    <w:rsid w:val="00951CC2"/>
    <w:rsid w:val="009556D1"/>
    <w:rsid w:val="00971E53"/>
    <w:rsid w:val="00972DFA"/>
    <w:rsid w:val="00976EB2"/>
    <w:rsid w:val="00991C1F"/>
    <w:rsid w:val="00992A4B"/>
    <w:rsid w:val="009B17ED"/>
    <w:rsid w:val="00A04AE6"/>
    <w:rsid w:val="00A06A79"/>
    <w:rsid w:val="00A17A62"/>
    <w:rsid w:val="00A22E8D"/>
    <w:rsid w:val="00A30561"/>
    <w:rsid w:val="00A30FCC"/>
    <w:rsid w:val="00A50D11"/>
    <w:rsid w:val="00A613A4"/>
    <w:rsid w:val="00A677A2"/>
    <w:rsid w:val="00A71CA5"/>
    <w:rsid w:val="00A82D0A"/>
    <w:rsid w:val="00A90481"/>
    <w:rsid w:val="00AA3668"/>
    <w:rsid w:val="00AB06F9"/>
    <w:rsid w:val="00AC00EB"/>
    <w:rsid w:val="00AD416A"/>
    <w:rsid w:val="00AE1D58"/>
    <w:rsid w:val="00AF1B92"/>
    <w:rsid w:val="00B004C6"/>
    <w:rsid w:val="00B51171"/>
    <w:rsid w:val="00B52C2A"/>
    <w:rsid w:val="00B620CD"/>
    <w:rsid w:val="00B63276"/>
    <w:rsid w:val="00B64685"/>
    <w:rsid w:val="00B72B8B"/>
    <w:rsid w:val="00B863C5"/>
    <w:rsid w:val="00B87FD7"/>
    <w:rsid w:val="00B91AB8"/>
    <w:rsid w:val="00BB7D16"/>
    <w:rsid w:val="00BC6D7E"/>
    <w:rsid w:val="00BD2E34"/>
    <w:rsid w:val="00BE4A65"/>
    <w:rsid w:val="00C10B9C"/>
    <w:rsid w:val="00C2655E"/>
    <w:rsid w:val="00C669B0"/>
    <w:rsid w:val="00C830E1"/>
    <w:rsid w:val="00C91E7C"/>
    <w:rsid w:val="00CA0CBA"/>
    <w:rsid w:val="00CA1203"/>
    <w:rsid w:val="00CA745A"/>
    <w:rsid w:val="00CD64AD"/>
    <w:rsid w:val="00CE0288"/>
    <w:rsid w:val="00CE3E71"/>
    <w:rsid w:val="00CF5743"/>
    <w:rsid w:val="00D06FD8"/>
    <w:rsid w:val="00D20634"/>
    <w:rsid w:val="00D22899"/>
    <w:rsid w:val="00D5658D"/>
    <w:rsid w:val="00D63D04"/>
    <w:rsid w:val="00D72CC3"/>
    <w:rsid w:val="00DB6EDA"/>
    <w:rsid w:val="00DC3ED7"/>
    <w:rsid w:val="00DC7C91"/>
    <w:rsid w:val="00E04104"/>
    <w:rsid w:val="00E44A79"/>
    <w:rsid w:val="00E70F6E"/>
    <w:rsid w:val="00E72A0C"/>
    <w:rsid w:val="00EA7E5A"/>
    <w:rsid w:val="00EB7D8F"/>
    <w:rsid w:val="00EC4428"/>
    <w:rsid w:val="00ED2014"/>
    <w:rsid w:val="00ED6D89"/>
    <w:rsid w:val="00EE1FE9"/>
    <w:rsid w:val="00EF6210"/>
    <w:rsid w:val="00EF7AC0"/>
    <w:rsid w:val="00F028F9"/>
    <w:rsid w:val="00F16DAF"/>
    <w:rsid w:val="00F26B34"/>
    <w:rsid w:val="00F310DE"/>
    <w:rsid w:val="00F34DEF"/>
    <w:rsid w:val="00F40549"/>
    <w:rsid w:val="00F40E53"/>
    <w:rsid w:val="00F448C6"/>
    <w:rsid w:val="00F556B8"/>
    <w:rsid w:val="00F57F59"/>
    <w:rsid w:val="00F72ABE"/>
    <w:rsid w:val="00F76BD1"/>
    <w:rsid w:val="00F916CD"/>
    <w:rsid w:val="00FA00E1"/>
    <w:rsid w:val="00FA01F9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951417B"/>
  <w15:docId w15:val="{51A3C00F-A554-486E-B219-9DEE54F5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8C6"/>
    <w:pPr>
      <w:keepNext/>
      <w:keepLines/>
      <w:spacing w:before="480" w:after="36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D6"/>
  </w:style>
  <w:style w:type="paragraph" w:styleId="Footer">
    <w:name w:val="footer"/>
    <w:basedOn w:val="Normal"/>
    <w:link w:val="FooterChar"/>
    <w:uiPriority w:val="99"/>
    <w:unhideWhenUsed/>
    <w:rsid w:val="004C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D6"/>
  </w:style>
  <w:style w:type="table" w:styleId="TableGrid">
    <w:name w:val="Table Grid"/>
    <w:basedOn w:val="TableNormal"/>
    <w:uiPriority w:val="59"/>
    <w:rsid w:val="0044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7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D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31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48C6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4EC24C789744BD99B0AE25ABD37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0817-C690-4C28-95D9-2ADBCFDF0AE7}"/>
      </w:docPartPr>
      <w:docPartBody>
        <w:p w:rsidR="00C46FE6" w:rsidRDefault="00D06A1E" w:rsidP="00D06A1E">
          <w:pPr>
            <w:pStyle w:val="714EC24C789744BD99B0AE25ABD373D4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1E"/>
    <w:rsid w:val="00C46FE6"/>
    <w:rsid w:val="00D0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A1E"/>
    <w:rPr>
      <w:color w:val="808080"/>
    </w:rPr>
  </w:style>
  <w:style w:type="paragraph" w:customStyle="1" w:styleId="714EC24C789744BD99B0AE25ABD373D4">
    <w:name w:val="714EC24C789744BD99B0AE25ABD373D4"/>
    <w:rsid w:val="00D06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7DAC-8FA3-41E6-9F04-BF26E5AE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Judgments</vt:lpstr>
    </vt:vector>
  </TitlesOfParts>
  <Company>OAG-BVG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Judgments</dc:title>
  <dc:subject>Significant Judgments</dc:subject>
  <dc:creator>OAG-BVG</dc:creator>
  <cp:lastModifiedBy>Gauthier, Julie</cp:lastModifiedBy>
  <cp:revision>6</cp:revision>
  <cp:lastPrinted>2016-07-15T17:47:00Z</cp:lastPrinted>
  <dcterms:created xsi:type="dcterms:W3CDTF">2019-06-17T17:04:00Z</dcterms:created>
  <dcterms:modified xsi:type="dcterms:W3CDTF">2020-07-15T11:56:00Z</dcterms:modified>
  <cp:category>Template</cp:category>
  <cp:contentStatus>15683</cp:contentStatus>
</cp:coreProperties>
</file>