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7E13" w14:textId="77777777" w:rsidR="00EE2126" w:rsidRDefault="00EE2126" w:rsidP="00EE2126">
      <w:pPr>
        <w:spacing w:before="5400"/>
        <w:ind w:left="4320"/>
        <w:rPr>
          <w:b/>
        </w:rPr>
      </w:pPr>
      <w:r w:rsidRPr="00EE2126">
        <w:rPr>
          <w:b/>
          <w:color w:val="FFFFFF" w:themeColor="background1"/>
        </w:rPr>
        <w:t xml:space="preserve">Performance Audit of </w:t>
      </w:r>
      <w:r w:rsidRPr="00D56996">
        <w:rPr>
          <w:b/>
          <w:color w:val="0000FF"/>
        </w:rPr>
        <w:t>[Audit working title/</w:t>
      </w:r>
      <w:r w:rsidRPr="002B3DDF">
        <w:rPr>
          <w:b/>
          <w:color w:val="0000FF"/>
        </w:rPr>
        <w:t>Program/Entity name</w:t>
      </w:r>
      <w:r w:rsidRPr="002B3DDF">
        <w:rPr>
          <w:b/>
        </w:rPr>
        <w:t>]</w:t>
      </w:r>
    </w:p>
    <w:p w14:paraId="4E22E66B" w14:textId="16E258DF" w:rsidR="0019219C" w:rsidRDefault="00EE2126" w:rsidP="00EE2126">
      <w:pPr>
        <w:spacing w:before="360"/>
        <w:ind w:left="4320"/>
      </w:pPr>
      <w:r w:rsidRPr="00EE2126">
        <w:rPr>
          <w:b/>
          <w:color w:val="FFFFFF" w:themeColor="background1"/>
        </w:rPr>
        <w:t>To be reported in the [</w:t>
      </w:r>
      <w:r>
        <w:rPr>
          <w:b/>
          <w:color w:val="0000FF"/>
        </w:rPr>
        <w:t>Season 20XX</w:t>
      </w:r>
      <w:r w:rsidRPr="00EE2126">
        <w:rPr>
          <w:b/>
          <w:color w:val="FFFFFF" w:themeColor="background1"/>
        </w:rPr>
        <w:t>] Report of the [</w:t>
      </w:r>
      <w:r w:rsidRPr="002B3DDF">
        <w:rPr>
          <w:b/>
          <w:color w:val="0000FF"/>
        </w:rPr>
        <w:t>Auditor General/Commissioner of the Environment and Sustainable Development</w:t>
      </w:r>
      <w:r w:rsidRPr="00EE2126">
        <w:rPr>
          <w:b/>
          <w:color w:val="FFFFFF" w:themeColor="background1"/>
        </w:rPr>
        <w:t>]</w:t>
      </w:r>
      <w:r w:rsidR="0019219C"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0"/>
        <w:gridCol w:w="4950"/>
      </w:tblGrid>
      <w:tr w:rsidR="00ED0C0A" w14:paraId="54B6BB67" w14:textId="77777777" w:rsidTr="00F73DA8">
        <w:trPr>
          <w:trHeight w:val="1166"/>
        </w:trPr>
        <w:tc>
          <w:tcPr>
            <w:tcW w:w="4410" w:type="dxa"/>
            <w:hideMark/>
          </w:tcPr>
          <w:p w14:paraId="18F91CEC" w14:textId="5657AF60" w:rsidR="00ED0C0A" w:rsidRPr="00F73DA8" w:rsidRDefault="00ED0C0A" w:rsidP="00BB08D5">
            <w:pPr>
              <w:spacing w:before="60"/>
            </w:pPr>
          </w:p>
        </w:tc>
        <w:tc>
          <w:tcPr>
            <w:tcW w:w="4950" w:type="dxa"/>
          </w:tcPr>
          <w:p w14:paraId="27D74767" w14:textId="77777777" w:rsidR="00ED0C0A" w:rsidRPr="001861CC" w:rsidRDefault="00ED0C0A" w:rsidP="00F73DA8">
            <w:pPr>
              <w:spacing w:before="480" w:after="1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AUDIT PLAN SUMMARY</w:t>
            </w:r>
          </w:p>
          <w:p w14:paraId="08DB00B4" w14:textId="77777777" w:rsidR="00ED0C0A" w:rsidRPr="004B2237" w:rsidRDefault="00ED0C0A" w:rsidP="004B2237">
            <w:pPr>
              <w:spacing w:before="60" w:after="240"/>
              <w:jc w:val="right"/>
              <w:rPr>
                <w:rFonts w:cs="Arial"/>
                <w:b/>
                <w:color w:val="000000" w:themeColor="text1"/>
                <w:sz w:val="20"/>
              </w:rPr>
            </w:pPr>
            <w:r w:rsidRPr="0044210C">
              <w:rPr>
                <w:rFonts w:cs="Arial"/>
                <w:b/>
                <w:sz w:val="20"/>
              </w:rPr>
              <w:t>[</w:t>
            </w:r>
            <w:r w:rsidRPr="0044210C">
              <w:rPr>
                <w:rFonts w:cs="Arial"/>
                <w:b/>
                <w:color w:val="3333FF"/>
                <w:sz w:val="20"/>
              </w:rPr>
              <w:t>Date</w:t>
            </w:r>
            <w:r w:rsidRPr="0044210C">
              <w:rPr>
                <w:rFonts w:cs="Arial"/>
                <w:b/>
                <w:color w:val="000000" w:themeColor="text1"/>
                <w:sz w:val="20"/>
              </w:rPr>
              <w:t>]</w:t>
            </w:r>
          </w:p>
        </w:tc>
      </w:tr>
    </w:tbl>
    <w:p w14:paraId="179AD347" w14:textId="4423FC89" w:rsidR="00ED0C0A" w:rsidRPr="001861CC" w:rsidRDefault="00D56996" w:rsidP="002B3DDF">
      <w:pPr>
        <w:pStyle w:val="Para"/>
      </w:pPr>
      <w:r w:rsidRPr="00D56996">
        <w:rPr>
          <w:color w:val="0000FF"/>
        </w:rPr>
        <w:t>[</w:t>
      </w:r>
      <w:r w:rsidR="00374C2B" w:rsidRPr="00374C2B">
        <w:rPr>
          <w:color w:val="0000FF"/>
        </w:rPr>
        <w:t>Us</w:t>
      </w:r>
      <w:r w:rsidR="003F4451">
        <w:rPr>
          <w:color w:val="0000FF"/>
        </w:rPr>
        <w:t xml:space="preserve">e </w:t>
      </w:r>
      <w:r w:rsidR="00374C2B" w:rsidRPr="00374C2B">
        <w:rPr>
          <w:color w:val="0000FF"/>
        </w:rPr>
        <w:t xml:space="preserve">the final </w:t>
      </w:r>
      <w:r w:rsidR="00374C2B" w:rsidRPr="004B2237">
        <w:rPr>
          <w:color w:val="0000FF"/>
        </w:rPr>
        <w:t>Audit Logic Matrix</w:t>
      </w:r>
      <w:r w:rsidR="003F4451">
        <w:rPr>
          <w:color w:val="0000FF"/>
        </w:rPr>
        <w:t xml:space="preserve"> to complete the information requested below</w:t>
      </w:r>
      <w:r w:rsidR="00374C2B">
        <w:rPr>
          <w:color w:val="0000FF"/>
        </w:rPr>
        <w:t>.</w:t>
      </w:r>
      <w:r w:rsidR="00374C2B" w:rsidRPr="00374C2B">
        <w:rPr>
          <w:color w:val="0000FF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7383"/>
      </w:tblGrid>
      <w:tr w:rsidR="00D40D37" w:rsidRPr="002B3DDF" w14:paraId="41CE1400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72658738" w14:textId="77777777" w:rsidR="00D40D37" w:rsidRPr="00B77098" w:rsidRDefault="00D40D37" w:rsidP="006773BA">
            <w:pPr>
              <w:pStyle w:val="Para"/>
              <w:keepNext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7EAFA3A7" wp14:editId="019021BA">
                  <wp:extent cx="832104" cy="83210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7A577" w14:textId="3C017098" w:rsidR="00D40D37" w:rsidRPr="00B77098" w:rsidRDefault="00D40D37" w:rsidP="006773BA">
            <w:pPr>
              <w:pStyle w:val="Para"/>
              <w:keepNext/>
              <w:jc w:val="center"/>
              <w:rPr>
                <w:b/>
              </w:rPr>
            </w:pPr>
            <w:r w:rsidRPr="00B77098">
              <w:rPr>
                <w:b/>
                <w:color w:val="018B8F"/>
              </w:rPr>
              <w:t>SUBJECT MATTER AND CONTEXT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4567FFD3" w14:textId="30CF5EFA" w:rsidR="00D40D37" w:rsidRPr="002B3DDF" w:rsidRDefault="00D40D37" w:rsidP="004779D9">
            <w:pPr>
              <w:pStyle w:val="Para"/>
              <w:keepNext/>
              <w:ind w:left="158"/>
            </w:pPr>
            <w:r w:rsidRPr="002B3DDF">
              <w:t>[</w:t>
            </w:r>
            <w:r w:rsidRPr="002B3DDF">
              <w:rPr>
                <w:color w:val="0000FF"/>
              </w:rPr>
              <w:t xml:space="preserve">Briefly describe the </w:t>
            </w:r>
            <w:r>
              <w:rPr>
                <w:color w:val="0000FF"/>
              </w:rPr>
              <w:t xml:space="preserve">subject matter </w:t>
            </w:r>
            <w:r w:rsidRPr="002B3DDF">
              <w:rPr>
                <w:color w:val="0000FF"/>
              </w:rPr>
              <w:t>and its context</w:t>
            </w:r>
            <w:r w:rsidRPr="002B3DDF">
              <w:t>]</w:t>
            </w:r>
          </w:p>
        </w:tc>
      </w:tr>
      <w:tr w:rsidR="00D40D37" w14:paraId="0B0DCE16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CA504C9" w14:textId="77777777" w:rsidR="00D40D37" w:rsidRPr="00B77098" w:rsidRDefault="00D40D37" w:rsidP="00B77098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47380FF1" wp14:editId="065A3076">
                  <wp:extent cx="832104" cy="832104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9D380" w14:textId="131FA7EF" w:rsidR="00D40D37" w:rsidRPr="00B77098" w:rsidRDefault="00D40D37" w:rsidP="00B77098">
            <w:pPr>
              <w:pStyle w:val="Para"/>
              <w:jc w:val="center"/>
              <w:rPr>
                <w:color w:val="000000" w:themeColor="text1"/>
              </w:rPr>
            </w:pPr>
            <w:r w:rsidRPr="00B77098">
              <w:rPr>
                <w:b/>
                <w:color w:val="018B8F"/>
              </w:rPr>
              <w:t>ENTITY MANAGEMENT’S RESPONSIBILITY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E9451AB" w14:textId="1E8144BD" w:rsidR="00D40D37" w:rsidRPr="003C4FB7" w:rsidRDefault="00D40D37" w:rsidP="004779D9">
            <w:pPr>
              <w:pStyle w:val="Para"/>
              <w:ind w:left="158"/>
            </w:pPr>
            <w:r w:rsidRPr="00D56996">
              <w:rPr>
                <w:color w:val="0000FF"/>
              </w:rPr>
              <w:t>[</w:t>
            </w:r>
            <w:r w:rsidRPr="004B2237">
              <w:rPr>
                <w:color w:val="0000FF"/>
              </w:rPr>
              <w:t xml:space="preserve">Describe </w:t>
            </w:r>
            <w:r>
              <w:rPr>
                <w:color w:val="0000FF"/>
              </w:rPr>
              <w:t xml:space="preserve">entity </w:t>
            </w:r>
            <w:r w:rsidRPr="004B2237">
              <w:rPr>
                <w:color w:val="0000FF"/>
              </w:rPr>
              <w:t xml:space="preserve">management’s responsibility for the subject matter as it relates to the objectives of the audit/follow-up audit (refer to the relevant legislation </w:t>
            </w:r>
            <w:r>
              <w:rPr>
                <w:color w:val="0000FF"/>
              </w:rPr>
              <w:t>and/</w:t>
            </w:r>
            <w:r w:rsidRPr="004B2237">
              <w:rPr>
                <w:color w:val="0000FF"/>
              </w:rPr>
              <w:t>or regulation for the entity)</w:t>
            </w:r>
            <w:r>
              <w:rPr>
                <w:color w:val="0000FF"/>
              </w:rPr>
              <w:t>.</w:t>
            </w:r>
            <w:r>
              <w:rPr>
                <w:color w:val="000000" w:themeColor="text1"/>
              </w:rPr>
              <w:t>]</w:t>
            </w:r>
          </w:p>
        </w:tc>
      </w:tr>
      <w:tr w:rsidR="00B77098" w14:paraId="5B6CA9CF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143FE6D7" w14:textId="77777777" w:rsidR="00B77098" w:rsidRPr="00B77098" w:rsidRDefault="00B77098" w:rsidP="00B77098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52C315A0" wp14:editId="43803F63">
                  <wp:extent cx="832104" cy="832104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9046" w14:textId="675919AE" w:rsidR="00B77098" w:rsidRPr="00B77098" w:rsidRDefault="00B77098" w:rsidP="00B77098">
            <w:pPr>
              <w:pStyle w:val="Para"/>
              <w:jc w:val="center"/>
              <w:rPr>
                <w:color w:val="000000" w:themeColor="text1"/>
              </w:rPr>
            </w:pPr>
            <w:r w:rsidRPr="00B77098">
              <w:rPr>
                <w:b/>
                <w:color w:val="018B8F"/>
              </w:rPr>
              <w:t>OAG RESPONSIBILITY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0FC38908" w14:textId="7424D44B" w:rsidR="00B77098" w:rsidRPr="004B2237" w:rsidRDefault="00B77098" w:rsidP="004779D9">
            <w:pPr>
              <w:pStyle w:val="Para"/>
              <w:ind w:left="158"/>
            </w:pPr>
            <w:r>
              <w:t>To conduct an independent examination of [</w:t>
            </w:r>
            <w:r>
              <w:rPr>
                <w:color w:val="3333FF"/>
              </w:rPr>
              <w:t>program/activity/area</w:t>
            </w:r>
            <w:r w:rsidRPr="00F80E0A">
              <w:rPr>
                <w:color w:val="000000" w:themeColor="text1"/>
              </w:rPr>
              <w:t>]</w:t>
            </w:r>
            <w:r>
              <w:rPr>
                <w:color w:val="000000" w:themeColor="text1"/>
              </w:rPr>
              <w:t xml:space="preserve"> to provide objective information, advice, and assurance to assist Parliament in its scrutiny of the government’s management of resources and programs.</w:t>
            </w:r>
          </w:p>
        </w:tc>
      </w:tr>
      <w:tr w:rsidR="00B77098" w14:paraId="3D0B19B2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7AC2FD22" w14:textId="77777777" w:rsidR="00B77098" w:rsidRPr="00B77098" w:rsidRDefault="00B77098" w:rsidP="00B77098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3BBBEF9C" wp14:editId="3E1E2961">
                  <wp:extent cx="832104" cy="83210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AF918" w14:textId="7615F865" w:rsidR="00B77098" w:rsidRPr="00B77098" w:rsidRDefault="00B77098" w:rsidP="00B77098">
            <w:pPr>
              <w:pStyle w:val="Para"/>
              <w:jc w:val="center"/>
            </w:pPr>
            <w:r w:rsidRPr="00B77098">
              <w:rPr>
                <w:b/>
                <w:color w:val="018B8F"/>
              </w:rPr>
              <w:t>AUDIT OBJECTIVE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F0EFCF5" w14:textId="165D0037" w:rsidR="00B77098" w:rsidRDefault="00B77098" w:rsidP="004779D9">
            <w:pPr>
              <w:pStyle w:val="Para"/>
              <w:ind w:left="158"/>
            </w:pPr>
            <w:r>
              <w:t>[</w:t>
            </w:r>
            <w:r w:rsidRPr="004B2237">
              <w:rPr>
                <w:color w:val="0000FF"/>
              </w:rPr>
              <w:t xml:space="preserve">Insert </w:t>
            </w:r>
            <w:r>
              <w:rPr>
                <w:color w:val="0000FF"/>
              </w:rPr>
              <w:t xml:space="preserve">the audit </w:t>
            </w:r>
            <w:r w:rsidRPr="004B2237">
              <w:rPr>
                <w:color w:val="0000FF"/>
              </w:rPr>
              <w:t>objective</w:t>
            </w:r>
            <w:r w:rsidRPr="00374C2B">
              <w:t>]</w:t>
            </w:r>
          </w:p>
        </w:tc>
      </w:tr>
      <w:tr w:rsidR="00B77098" w14:paraId="0A23B8CC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FF0B54C" w14:textId="77777777" w:rsidR="00B77098" w:rsidRPr="00B77098" w:rsidRDefault="00B77098" w:rsidP="00B77098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7EC1E8A8" wp14:editId="6D743703">
                  <wp:extent cx="832104" cy="832104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31F2A" w14:textId="43097BBC" w:rsidR="00B77098" w:rsidRPr="00B77098" w:rsidRDefault="00B77098" w:rsidP="00B77098">
            <w:pPr>
              <w:pStyle w:val="Default"/>
              <w:jc w:val="center"/>
              <w:rPr>
                <w:sz w:val="20"/>
                <w:szCs w:val="20"/>
              </w:rPr>
            </w:pPr>
            <w:r w:rsidRPr="00B77098">
              <w:rPr>
                <w:b/>
                <w:color w:val="018B8F"/>
                <w:sz w:val="20"/>
                <w:szCs w:val="20"/>
              </w:rPr>
              <w:t>AUDIT SCOPE AND APPROACH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5504C84" w14:textId="77777777" w:rsidR="00B77098" w:rsidRDefault="00B77098" w:rsidP="004779D9">
            <w:pPr>
              <w:pStyle w:val="Para"/>
              <w:ind w:left="158"/>
              <w:rPr>
                <w:b/>
              </w:rPr>
            </w:pPr>
            <w:r w:rsidRPr="004779D9">
              <w:t>[</w:t>
            </w:r>
            <w:r w:rsidRPr="004B2237">
              <w:rPr>
                <w:color w:val="0000FF"/>
              </w:rPr>
              <w:t>Include a high-level description of the audit scope and approach</w:t>
            </w:r>
            <w:r>
              <w:rPr>
                <w:color w:val="0000FF"/>
              </w:rPr>
              <w:t>, and a paragraph on each line of enquiry.</w:t>
            </w:r>
            <w:r w:rsidRPr="004779D9">
              <w:t>]</w:t>
            </w:r>
          </w:p>
          <w:p w14:paraId="1FA14D6B" w14:textId="64943E64" w:rsidR="00B77098" w:rsidRDefault="00B77098" w:rsidP="004779D9">
            <w:pPr>
              <w:pStyle w:val="Para"/>
              <w:ind w:left="158"/>
            </w:pPr>
            <w:r w:rsidRPr="00637119">
              <w:rPr>
                <w:color w:val="000000" w:themeColor="text1"/>
              </w:rPr>
              <w:t>[</w:t>
            </w:r>
            <w:r w:rsidRPr="00864F65">
              <w:rPr>
                <w:color w:val="0000FF"/>
              </w:rPr>
              <w:t>If the following applies, you may also add:</w:t>
            </w:r>
            <w:r w:rsidRPr="00637119">
              <w:rPr>
                <w:color w:val="000000" w:themeColor="text1"/>
              </w:rPr>
              <w:t xml:space="preserve"> </w:t>
            </w:r>
            <w:r>
              <w:t>The audit scope and approach does not preclude us conducting an enquiry into other matters of significant concern, should they come to our attention during our examination.</w:t>
            </w:r>
            <w:r w:rsidRPr="00637119">
              <w:rPr>
                <w:color w:val="000000" w:themeColor="text1"/>
              </w:rPr>
              <w:t>]</w:t>
            </w:r>
          </w:p>
        </w:tc>
      </w:tr>
      <w:tr w:rsidR="00510ECA" w14:paraId="57763A18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426AF1D6" w14:textId="77777777" w:rsidR="00510ECA" w:rsidRPr="00B77098" w:rsidRDefault="00510ECA" w:rsidP="00510ECA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lastRenderedPageBreak/>
              <w:drawing>
                <wp:inline distT="0" distB="0" distL="0" distR="0" wp14:anchorId="106E2475" wp14:editId="548DB358">
                  <wp:extent cx="832104" cy="832104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03125" w14:textId="7FA9B207" w:rsidR="00510ECA" w:rsidRDefault="00510ECA" w:rsidP="00510ECA">
            <w:pPr>
              <w:pStyle w:val="Para"/>
              <w:jc w:val="center"/>
            </w:pPr>
            <w:r w:rsidRPr="00510ECA">
              <w:rPr>
                <w:b/>
                <w:color w:val="018B8F"/>
              </w:rPr>
              <w:t>AUDIT CRITERIA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5F8DE55" w14:textId="5B261A53" w:rsidR="00510ECA" w:rsidRDefault="00510ECA" w:rsidP="004779D9">
            <w:pPr>
              <w:pStyle w:val="Para"/>
              <w:ind w:left="158"/>
            </w:pPr>
            <w:r w:rsidRPr="004779D9">
              <w:t>[</w:t>
            </w:r>
            <w:r w:rsidRPr="004B2237">
              <w:rPr>
                <w:color w:val="0000FF"/>
              </w:rPr>
              <w:t xml:space="preserve">Insert </w:t>
            </w:r>
            <w:r>
              <w:rPr>
                <w:color w:val="0000FF"/>
              </w:rPr>
              <w:t xml:space="preserve">the audit </w:t>
            </w:r>
            <w:r w:rsidRPr="004B2237">
              <w:rPr>
                <w:color w:val="0000FF"/>
              </w:rPr>
              <w:t xml:space="preserve">criteria </w:t>
            </w:r>
            <w:r>
              <w:rPr>
                <w:color w:val="0000FF"/>
              </w:rPr>
              <w:t>and</w:t>
            </w:r>
            <w:r w:rsidRPr="004B2237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their </w:t>
            </w:r>
            <w:r w:rsidRPr="004B2237">
              <w:rPr>
                <w:color w:val="0000FF"/>
              </w:rPr>
              <w:t>sources</w:t>
            </w:r>
            <w:r>
              <w:rPr>
                <w:color w:val="0000FF"/>
              </w:rPr>
              <w:t>.</w:t>
            </w:r>
            <w:r w:rsidRPr="004B250A">
              <w:t>]</w:t>
            </w:r>
            <w:r w:rsidRPr="004B2237">
              <w:rPr>
                <w:color w:val="0000FF"/>
              </w:rPr>
              <w:t xml:space="preserve"> </w:t>
            </w:r>
          </w:p>
        </w:tc>
      </w:tr>
      <w:tr w:rsidR="00510ECA" w14:paraId="260ED137" w14:textId="77777777" w:rsidTr="004779D9">
        <w:trPr>
          <w:trHeight w:val="1800"/>
        </w:trPr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5B1D6AD7" w14:textId="77777777" w:rsidR="00510ECA" w:rsidRPr="00B77098" w:rsidRDefault="00510ECA" w:rsidP="00510ECA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050B5E96" wp14:editId="3E6B4657">
                  <wp:extent cx="832104" cy="82706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AE689" w14:textId="3DDF7FE7" w:rsidR="00510ECA" w:rsidRDefault="00510ECA" w:rsidP="00510ECA">
            <w:pPr>
              <w:pStyle w:val="Para"/>
              <w:jc w:val="center"/>
            </w:pPr>
            <w:r w:rsidRPr="00510ECA">
              <w:rPr>
                <w:b/>
                <w:color w:val="018B8F"/>
              </w:rPr>
              <w:t>PERIOD(S) COVERED BY THE AUDIT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B6A1AC7" w14:textId="77777777" w:rsidR="00510ECA" w:rsidRDefault="00510ECA" w:rsidP="004779D9">
            <w:pPr>
              <w:pStyle w:val="Para"/>
              <w:ind w:left="158"/>
              <w:rPr>
                <w:color w:val="000000" w:themeColor="text1"/>
              </w:rPr>
            </w:pPr>
            <w:r w:rsidRPr="006441A3">
              <w:t>[</w:t>
            </w:r>
            <w:r w:rsidRPr="004B2237">
              <w:rPr>
                <w:color w:val="0000FF"/>
              </w:rPr>
              <w:t xml:space="preserve">Insert period(s) </w:t>
            </w:r>
            <w:r>
              <w:rPr>
                <w:color w:val="0000FF"/>
              </w:rPr>
              <w:t>covered by the audit.</w:t>
            </w:r>
            <w:r w:rsidRPr="004B250A">
              <w:t>]</w:t>
            </w:r>
            <w:r w:rsidRPr="00637119">
              <w:rPr>
                <w:color w:val="000000" w:themeColor="text1"/>
              </w:rPr>
              <w:t xml:space="preserve"> </w:t>
            </w:r>
          </w:p>
          <w:p w14:paraId="1E0AF968" w14:textId="20921571" w:rsidR="00510ECA" w:rsidRPr="00F32735" w:rsidRDefault="00510ECA" w:rsidP="004779D9">
            <w:pPr>
              <w:pStyle w:val="Para"/>
              <w:ind w:left="158"/>
            </w:pPr>
            <w:r w:rsidRPr="00637119">
              <w:rPr>
                <w:color w:val="000000" w:themeColor="text1"/>
              </w:rPr>
              <w:t>[</w:t>
            </w:r>
            <w:r w:rsidRPr="006441A3">
              <w:rPr>
                <w:color w:val="0000FF"/>
              </w:rPr>
              <w:t>If the following applies, you may also add:</w:t>
            </w:r>
            <w:r w:rsidRPr="00637119">
              <w:rPr>
                <w:color w:val="000000" w:themeColor="text1"/>
              </w:rPr>
              <w:t xml:space="preserve"> However, to gain a more complete understanding of the subject matter of the audit, we may also examine certain matters that preceded this starting date.]</w:t>
            </w:r>
          </w:p>
        </w:tc>
      </w:tr>
      <w:tr w:rsidR="006773BA" w14:paraId="52B34F08" w14:textId="77777777" w:rsidTr="004779D9"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FFFFFF" w:themeFill="background1"/>
          </w:tcPr>
          <w:p w14:paraId="6B757DCC" w14:textId="77777777" w:rsidR="006773BA" w:rsidRDefault="006773BA" w:rsidP="006773BA">
            <w:pPr>
              <w:pStyle w:val="Para"/>
              <w:jc w:val="center"/>
            </w:pPr>
            <w:r w:rsidRPr="00B77098">
              <w:rPr>
                <w:noProof/>
                <w:lang w:eastAsia="en-CA"/>
              </w:rPr>
              <w:drawing>
                <wp:inline distT="0" distB="0" distL="0" distR="0" wp14:anchorId="5C03EC41" wp14:editId="4AAB40DC">
                  <wp:extent cx="832103" cy="82706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3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3CCE7" w14:textId="1CB8C93E" w:rsidR="006773BA" w:rsidRPr="00B77098" w:rsidRDefault="006773BA" w:rsidP="006773BA">
            <w:pPr>
              <w:pStyle w:val="Para"/>
              <w:jc w:val="center"/>
            </w:pPr>
            <w:r w:rsidRPr="006773BA">
              <w:rPr>
                <w:b/>
                <w:color w:val="018B8F"/>
              </w:rPr>
              <w:t>KEY AUDIT MILESTONES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FFFFFF" w:themeFill="background1"/>
          </w:tcPr>
          <w:p w14:paraId="217CFAEE" w14:textId="72EC39E2" w:rsidR="006773BA" w:rsidRPr="00F62A85" w:rsidRDefault="006773BA" w:rsidP="004779D9">
            <w:pPr>
              <w:pStyle w:val="tablehead"/>
              <w:keepNext/>
              <w:keepLines/>
              <w:ind w:left="158"/>
              <w:jc w:val="center"/>
            </w:pPr>
          </w:p>
        </w:tc>
      </w:tr>
      <w:tr w:rsidR="00ED0C0A" w14:paraId="0CA6AF70" w14:textId="77777777" w:rsidTr="006773BA">
        <w:tc>
          <w:tcPr>
            <w:tcW w:w="1975" w:type="dxa"/>
            <w:tcBorders>
              <w:top w:val="single" w:sz="8" w:space="0" w:color="018B8F"/>
              <w:left w:val="nil"/>
            </w:tcBorders>
          </w:tcPr>
          <w:p w14:paraId="43EBC630" w14:textId="77777777" w:rsidR="00ED0C0A" w:rsidRDefault="00ED0C0A" w:rsidP="009B034F">
            <w:pPr>
              <w:pStyle w:val="Para"/>
            </w:pPr>
            <w:r>
              <w:t xml:space="preserve">Principal’s </w:t>
            </w:r>
            <w:r w:rsidR="009B034F">
              <w:t xml:space="preserve">(PX) </w:t>
            </w:r>
            <w:r>
              <w:t xml:space="preserve">draft </w:t>
            </w:r>
            <w:r w:rsidR="009B034F">
              <w:t xml:space="preserve">report </w:t>
            </w:r>
            <w:r>
              <w:t>to the entity</w:t>
            </w:r>
          </w:p>
        </w:tc>
        <w:tc>
          <w:tcPr>
            <w:tcW w:w="7375" w:type="dxa"/>
            <w:tcBorders>
              <w:top w:val="single" w:sz="8" w:space="0" w:color="018B8F"/>
              <w:right w:val="nil"/>
            </w:tcBorders>
          </w:tcPr>
          <w:p w14:paraId="471F08F0" w14:textId="77777777" w:rsidR="00ED0C0A" w:rsidRDefault="00ED0C0A" w:rsidP="004779D9">
            <w:pPr>
              <w:pStyle w:val="Para"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Date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049936DD" w14:textId="77777777" w:rsidTr="006773BA">
        <w:tc>
          <w:tcPr>
            <w:tcW w:w="1975" w:type="dxa"/>
            <w:tcBorders>
              <w:left w:val="nil"/>
            </w:tcBorders>
          </w:tcPr>
          <w:p w14:paraId="71A523C4" w14:textId="77777777" w:rsidR="00ED0C0A" w:rsidRDefault="00ED0C0A" w:rsidP="004B2237">
            <w:pPr>
              <w:pStyle w:val="Para"/>
            </w:pPr>
            <w:r>
              <w:t xml:space="preserve">Entity comments on </w:t>
            </w:r>
            <w:r w:rsidR="00D72D08">
              <w:t>p</w:t>
            </w:r>
            <w:r>
              <w:t xml:space="preserve">rincipal’s </w:t>
            </w:r>
            <w:r w:rsidR="009B034F">
              <w:t xml:space="preserve">(PX) </w:t>
            </w:r>
            <w:r>
              <w:t>draft</w:t>
            </w:r>
          </w:p>
        </w:tc>
        <w:tc>
          <w:tcPr>
            <w:tcW w:w="7375" w:type="dxa"/>
            <w:tcBorders>
              <w:right w:val="nil"/>
            </w:tcBorders>
          </w:tcPr>
          <w:p w14:paraId="675A0C5D" w14:textId="77777777" w:rsidR="00ED0C0A" w:rsidRDefault="00ED0C0A" w:rsidP="004779D9">
            <w:pPr>
              <w:pStyle w:val="Para"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Date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0C00065D" w14:textId="77777777" w:rsidTr="006773BA">
        <w:tc>
          <w:tcPr>
            <w:tcW w:w="1975" w:type="dxa"/>
            <w:tcBorders>
              <w:left w:val="nil"/>
            </w:tcBorders>
          </w:tcPr>
          <w:p w14:paraId="04DA5F0E" w14:textId="77777777" w:rsidR="00ED0C0A" w:rsidRDefault="00ED0C0A" w:rsidP="004B2237">
            <w:pPr>
              <w:pStyle w:val="Para"/>
            </w:pPr>
            <w:r>
              <w:t>Transmission draft to</w:t>
            </w:r>
            <w:r w:rsidR="00D72D08">
              <w:t xml:space="preserve"> entity</w:t>
            </w:r>
            <w:r>
              <w:t xml:space="preserve"> Deputy Head</w:t>
            </w:r>
          </w:p>
        </w:tc>
        <w:tc>
          <w:tcPr>
            <w:tcW w:w="7375" w:type="dxa"/>
            <w:tcBorders>
              <w:right w:val="nil"/>
            </w:tcBorders>
          </w:tcPr>
          <w:p w14:paraId="487D5A5A" w14:textId="77777777" w:rsidR="00ED0C0A" w:rsidRDefault="00ED0C0A" w:rsidP="004779D9">
            <w:pPr>
              <w:pStyle w:val="Para"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Date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2E1E5866" w14:textId="77777777" w:rsidTr="006773BA">
        <w:tc>
          <w:tcPr>
            <w:tcW w:w="1975" w:type="dxa"/>
            <w:tcBorders>
              <w:left w:val="nil"/>
            </w:tcBorders>
          </w:tcPr>
          <w:p w14:paraId="7800E530" w14:textId="77777777" w:rsidR="00ED0C0A" w:rsidRDefault="00ED0C0A" w:rsidP="004B2237">
            <w:pPr>
              <w:pStyle w:val="Para"/>
            </w:pPr>
            <w:r>
              <w:t xml:space="preserve">Sign-off by </w:t>
            </w:r>
            <w:r w:rsidR="00D72D08">
              <w:t xml:space="preserve">the </w:t>
            </w:r>
            <w:r w:rsidR="006D76A6">
              <w:t xml:space="preserve">entity </w:t>
            </w:r>
            <w:r>
              <w:t>Deputy Head</w:t>
            </w:r>
          </w:p>
        </w:tc>
        <w:tc>
          <w:tcPr>
            <w:tcW w:w="7375" w:type="dxa"/>
            <w:tcBorders>
              <w:right w:val="nil"/>
            </w:tcBorders>
          </w:tcPr>
          <w:p w14:paraId="5565669C" w14:textId="77777777" w:rsidR="00ED0C0A" w:rsidRDefault="00ED0C0A" w:rsidP="004779D9">
            <w:pPr>
              <w:pStyle w:val="Para"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Date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08966926" w14:textId="77777777" w:rsidTr="004779D9">
        <w:tc>
          <w:tcPr>
            <w:tcW w:w="1975" w:type="dxa"/>
            <w:tcBorders>
              <w:left w:val="nil"/>
              <w:bottom w:val="single" w:sz="8" w:space="0" w:color="018B8F"/>
            </w:tcBorders>
          </w:tcPr>
          <w:p w14:paraId="5D31FFD8" w14:textId="77777777" w:rsidR="00ED0C0A" w:rsidRDefault="00ED0C0A" w:rsidP="004B2237">
            <w:pPr>
              <w:pStyle w:val="Para"/>
            </w:pPr>
            <w:r>
              <w:t>Tabling in Parliament</w:t>
            </w:r>
          </w:p>
        </w:tc>
        <w:tc>
          <w:tcPr>
            <w:tcW w:w="7375" w:type="dxa"/>
            <w:tcBorders>
              <w:bottom w:val="single" w:sz="8" w:space="0" w:color="018B8F"/>
              <w:right w:val="nil"/>
            </w:tcBorders>
          </w:tcPr>
          <w:p w14:paraId="6230E38C" w14:textId="77777777" w:rsidR="00ED0C0A" w:rsidRDefault="00ED0C0A" w:rsidP="004779D9">
            <w:pPr>
              <w:pStyle w:val="Para"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Date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6773BA" w14:paraId="4D5EB272" w14:textId="77777777" w:rsidTr="004779D9">
        <w:tc>
          <w:tcPr>
            <w:tcW w:w="19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auto"/>
          </w:tcPr>
          <w:p w14:paraId="40B160F3" w14:textId="77777777" w:rsidR="006773BA" w:rsidRDefault="006773BA" w:rsidP="006773BA">
            <w:pPr>
              <w:pStyle w:val="Para"/>
              <w:keepNext/>
              <w:keepLines/>
              <w:jc w:val="center"/>
            </w:pPr>
            <w:r w:rsidRPr="00B77098">
              <w:rPr>
                <w:noProof/>
                <w:lang w:eastAsia="en-CA"/>
              </w:rPr>
              <w:lastRenderedPageBreak/>
              <w:drawing>
                <wp:inline distT="0" distB="0" distL="0" distR="0" wp14:anchorId="28AF818B" wp14:editId="1844E399">
                  <wp:extent cx="832103" cy="82706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3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6D884" w14:textId="0038BB69" w:rsidR="006773BA" w:rsidRPr="00650990" w:rsidRDefault="006773BA" w:rsidP="006773BA">
            <w:pPr>
              <w:pStyle w:val="Para"/>
              <w:keepNext/>
              <w:keepLines/>
              <w:jc w:val="center"/>
            </w:pPr>
            <w:r w:rsidRPr="006773BA">
              <w:rPr>
                <w:b/>
                <w:color w:val="018B8F"/>
              </w:rPr>
              <w:t>AUDIT TEAM</w:t>
            </w:r>
          </w:p>
        </w:tc>
        <w:tc>
          <w:tcPr>
            <w:tcW w:w="7375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auto"/>
          </w:tcPr>
          <w:p w14:paraId="0D4C90E1" w14:textId="3052C406" w:rsidR="006773BA" w:rsidRPr="00650990" w:rsidRDefault="006773BA" w:rsidP="004779D9">
            <w:pPr>
              <w:pStyle w:val="tablehead"/>
              <w:keepNext/>
              <w:keepLines/>
              <w:ind w:left="158"/>
            </w:pPr>
          </w:p>
        </w:tc>
      </w:tr>
      <w:tr w:rsidR="00ED0C0A" w14:paraId="09472E8D" w14:textId="77777777" w:rsidTr="004779D9">
        <w:tc>
          <w:tcPr>
            <w:tcW w:w="1975" w:type="dxa"/>
            <w:tcBorders>
              <w:top w:val="single" w:sz="8" w:space="0" w:color="018B8F"/>
              <w:left w:val="nil"/>
            </w:tcBorders>
          </w:tcPr>
          <w:p w14:paraId="0ADBD96E" w14:textId="77777777" w:rsidR="00ED0C0A" w:rsidRDefault="00ED0C0A" w:rsidP="006773BA">
            <w:pPr>
              <w:pStyle w:val="Para"/>
              <w:keepNext/>
              <w:keepLines/>
            </w:pPr>
            <w:r>
              <w:t>Principal</w:t>
            </w:r>
          </w:p>
        </w:tc>
        <w:tc>
          <w:tcPr>
            <w:tcW w:w="7375" w:type="dxa"/>
            <w:tcBorders>
              <w:top w:val="single" w:sz="8" w:space="0" w:color="018B8F"/>
              <w:right w:val="nil"/>
            </w:tcBorders>
          </w:tcPr>
          <w:p w14:paraId="2F3116DF" w14:textId="77777777" w:rsidR="00ED0C0A" w:rsidRDefault="00ED0C0A" w:rsidP="004779D9">
            <w:pPr>
              <w:pStyle w:val="Para"/>
              <w:keepNext/>
              <w:keepLines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Insert Name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04B0F2EA" w14:textId="77777777" w:rsidTr="004779D9">
        <w:tc>
          <w:tcPr>
            <w:tcW w:w="1975" w:type="dxa"/>
            <w:tcBorders>
              <w:left w:val="nil"/>
              <w:bottom w:val="single" w:sz="4" w:space="0" w:color="auto"/>
            </w:tcBorders>
          </w:tcPr>
          <w:p w14:paraId="0AD179EB" w14:textId="77777777" w:rsidR="00ED0C0A" w:rsidRDefault="00ED0C0A" w:rsidP="006773BA">
            <w:pPr>
              <w:pStyle w:val="Para"/>
              <w:keepNext/>
              <w:keepLines/>
            </w:pPr>
            <w:r>
              <w:t>Director</w:t>
            </w:r>
          </w:p>
        </w:tc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213EE3AC" w14:textId="77777777" w:rsidR="00ED0C0A" w:rsidRDefault="00ED0C0A" w:rsidP="004779D9">
            <w:pPr>
              <w:pStyle w:val="Para"/>
              <w:keepNext/>
              <w:keepLines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Insert Name</w:t>
            </w:r>
            <w:r w:rsidRPr="00E1781F">
              <w:rPr>
                <w:color w:val="000000" w:themeColor="text1"/>
              </w:rPr>
              <w:t>]</w:t>
            </w:r>
          </w:p>
        </w:tc>
      </w:tr>
      <w:tr w:rsidR="00ED0C0A" w14:paraId="226445AE" w14:textId="77777777" w:rsidTr="004779D9">
        <w:tc>
          <w:tcPr>
            <w:tcW w:w="1975" w:type="dxa"/>
            <w:tcBorders>
              <w:left w:val="nil"/>
              <w:bottom w:val="single" w:sz="8" w:space="0" w:color="018B8F"/>
            </w:tcBorders>
          </w:tcPr>
          <w:p w14:paraId="13639BAE" w14:textId="77777777" w:rsidR="00ED0C0A" w:rsidRDefault="00ED0C0A" w:rsidP="006773BA">
            <w:pPr>
              <w:pStyle w:val="Para"/>
              <w:keepNext/>
              <w:keepLines/>
            </w:pPr>
            <w:r>
              <w:t>Auditors</w:t>
            </w:r>
          </w:p>
        </w:tc>
        <w:tc>
          <w:tcPr>
            <w:tcW w:w="7375" w:type="dxa"/>
            <w:tcBorders>
              <w:bottom w:val="single" w:sz="8" w:space="0" w:color="018B8F"/>
              <w:right w:val="nil"/>
            </w:tcBorders>
          </w:tcPr>
          <w:p w14:paraId="6F581D2D" w14:textId="77777777" w:rsidR="00ED0C0A" w:rsidRDefault="00ED0C0A" w:rsidP="004779D9">
            <w:pPr>
              <w:pStyle w:val="Para"/>
              <w:keepNext/>
              <w:keepLines/>
              <w:ind w:left="158"/>
            </w:pPr>
            <w:r w:rsidRPr="00E1781F">
              <w:rPr>
                <w:color w:val="000000" w:themeColor="text1"/>
              </w:rPr>
              <w:t>[</w:t>
            </w:r>
            <w:r w:rsidRPr="002D1569">
              <w:rPr>
                <w:color w:val="3333FF"/>
              </w:rPr>
              <w:t>Insert Name</w:t>
            </w:r>
            <w:r>
              <w:rPr>
                <w:color w:val="3333FF"/>
              </w:rPr>
              <w:t>s</w:t>
            </w:r>
            <w:r w:rsidRPr="00E1781F">
              <w:rPr>
                <w:color w:val="000000" w:themeColor="text1"/>
              </w:rPr>
              <w:t>]</w:t>
            </w:r>
          </w:p>
        </w:tc>
      </w:tr>
    </w:tbl>
    <w:p w14:paraId="7BD1E146" w14:textId="77777777" w:rsidR="00ED0C0A" w:rsidRPr="00DB70FE" w:rsidRDefault="00ED0C0A" w:rsidP="00BB08D5">
      <w:pPr>
        <w:spacing w:before="60"/>
        <w:rPr>
          <w:rFonts w:cs="Arial"/>
          <w:b/>
          <w:sz w:val="20"/>
        </w:rPr>
      </w:pPr>
    </w:p>
    <w:sectPr w:rsidR="00ED0C0A" w:rsidRPr="00DB70FE" w:rsidSect="00232C9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6699" w14:textId="77777777" w:rsidR="00F86D51" w:rsidRDefault="00F86D51" w:rsidP="00035051">
      <w:r>
        <w:separator/>
      </w:r>
    </w:p>
  </w:endnote>
  <w:endnote w:type="continuationSeparator" w:id="0">
    <w:p w14:paraId="647F0AC5" w14:textId="77777777" w:rsidR="00F86D51" w:rsidRDefault="00F86D51" w:rsidP="000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0A7A" w14:textId="77777777" w:rsidR="009E0F1A" w:rsidRDefault="009E0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428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40029608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58210439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</w:rPr>
            </w:sdtEndPr>
            <w:sdtContent>
              <w:p w14:paraId="0C7D43A2" w14:textId="13F72111" w:rsidR="00F86D51" w:rsidRPr="00E51C2A" w:rsidRDefault="00232C95" w:rsidP="00305377">
                <w:pPr>
                  <w:pStyle w:val="Footer"/>
                  <w:jc w:val="right"/>
                </w:pPr>
                <w:r w:rsidRPr="002368FB">
                  <w:rPr>
                    <w:sz w:val="20"/>
                  </w:rPr>
                  <w:fldChar w:fldCharType="begin"/>
                </w:r>
                <w:r w:rsidRPr="002368FB">
                  <w:rPr>
                    <w:sz w:val="20"/>
                  </w:rPr>
                  <w:instrText xml:space="preserve"> PAGE   \* MERGEFORMAT </w:instrText>
                </w:r>
                <w:r w:rsidRPr="002368FB">
                  <w:rPr>
                    <w:sz w:val="20"/>
                  </w:rPr>
                  <w:fldChar w:fldCharType="separate"/>
                </w:r>
                <w:r w:rsidR="00720B31">
                  <w:rPr>
                    <w:noProof/>
                    <w:sz w:val="20"/>
                  </w:rPr>
                  <w:t>3</w:t>
                </w:r>
                <w:r w:rsidRPr="002368FB">
                  <w:rPr>
                    <w:noProof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1B8D" w14:textId="0937B196" w:rsidR="0035120B" w:rsidRPr="00821845" w:rsidRDefault="009E0F1A" w:rsidP="00305377">
    <w:pPr>
      <w:pStyle w:val="Footer"/>
      <w:rPr>
        <w:sz w:val="16"/>
        <w:szCs w:val="16"/>
      </w:rPr>
    </w:pPr>
    <w:r>
      <w:rPr>
        <w:sz w:val="16"/>
        <w:szCs w:val="16"/>
      </w:rPr>
      <w:t>Dec</w:t>
    </w:r>
    <w:r w:rsidR="00E73795">
      <w:rPr>
        <w:sz w:val="16"/>
        <w:szCs w:val="16"/>
      </w:rPr>
      <w:t>-202</w:t>
    </w:r>
    <w:r w:rsidR="00856B20">
      <w:rPr>
        <w:sz w:val="16"/>
        <w:szCs w:val="16"/>
      </w:rPr>
      <w:t>2</w:t>
    </w:r>
  </w:p>
  <w:p w14:paraId="3B2BBD2D" w14:textId="6362CCF3" w:rsidR="0035120B" w:rsidRPr="00305377" w:rsidRDefault="0035120B" w:rsidP="00305377">
    <w:pPr>
      <w:pStyle w:val="Footer"/>
      <w:tabs>
        <w:tab w:val="clear" w:pos="4680"/>
      </w:tabs>
      <w:spacing w:line="200" w:lineRule="exact"/>
      <w:rPr>
        <w:sz w:val="16"/>
        <w:szCs w:val="16"/>
      </w:rPr>
    </w:pPr>
    <w:r w:rsidRPr="00821845">
      <w:rPr>
        <w:sz w:val="16"/>
        <w:szCs w:val="16"/>
      </w:rPr>
      <w:t>Template Owner:</w:t>
    </w:r>
    <w:r w:rsidR="00232C95">
      <w:rPr>
        <w:sz w:val="16"/>
        <w:szCs w:val="16"/>
      </w:rPr>
      <w:t xml:space="preserve"> </w:t>
    </w:r>
    <w:r w:rsidR="00C85194">
      <w:rPr>
        <w:sz w:val="16"/>
        <w:szCs w:val="16"/>
      </w:rPr>
      <w:t>Audit Services</w:t>
    </w:r>
    <w:r w:rsidR="00232C95">
      <w:rPr>
        <w:sz w:val="16"/>
        <w:szCs w:val="16"/>
      </w:rPr>
      <w:br/>
    </w:r>
    <w:r w:rsidR="00232C95" w:rsidRPr="00232C95">
      <w:rPr>
        <w:sz w:val="16"/>
        <w:szCs w:val="16"/>
      </w:rPr>
      <w:t>Maintained by: Design and Publishing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FFC0" w14:textId="77777777" w:rsidR="00F86D51" w:rsidRDefault="00F86D51" w:rsidP="00035051">
      <w:r>
        <w:separator/>
      </w:r>
    </w:p>
  </w:footnote>
  <w:footnote w:type="continuationSeparator" w:id="0">
    <w:p w14:paraId="58B57D14" w14:textId="77777777" w:rsidR="00F86D51" w:rsidRDefault="00F86D51" w:rsidP="000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A889A" w14:textId="77777777" w:rsidR="009E0F1A" w:rsidRDefault="009E0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C124" w14:textId="77777777" w:rsidR="009E0F1A" w:rsidRDefault="009E0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F975" w14:textId="0C57B175" w:rsidR="0035120B" w:rsidRPr="00AB150A" w:rsidRDefault="009E0F1A" w:rsidP="00EE2126">
    <w:pPr>
      <w:pStyle w:val="Header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1651942762"/>
        <w:placeholder>
          <w:docPart w:val="A80E0BA945CC4851A154B22E2ED9D4DA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EE2126">
          <w:rPr>
            <w:rFonts w:cs="Arial"/>
            <w:b/>
            <w:lang w:val="fr-CA"/>
          </w:rPr>
          <w:t>PROTECTED A</w:t>
        </w:r>
      </w:sdtContent>
    </w:sdt>
    <w:r w:rsidR="00EE2126">
      <w:rPr>
        <w:noProof/>
        <w:lang w:eastAsia="en-CA"/>
      </w:rPr>
      <w:t xml:space="preserve"> </w:t>
    </w:r>
    <w:r w:rsidR="00AB150A">
      <w:rPr>
        <w:noProof/>
        <w:lang w:eastAsia="en-CA"/>
      </w:rPr>
      <w:drawing>
        <wp:anchor distT="0" distB="0" distL="114300" distR="114300" simplePos="0" relativeHeight="251658240" behindDoc="1" locked="1" layoutInCell="1" allowOverlap="1" wp14:anchorId="10A52286" wp14:editId="47DA66C5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762875" cy="1004633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BA9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02173"/>
    <w:multiLevelType w:val="multilevel"/>
    <w:tmpl w:val="062AF118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B5D6AC0"/>
    <w:multiLevelType w:val="hybridMultilevel"/>
    <w:tmpl w:val="CEC84488"/>
    <w:lvl w:ilvl="0" w:tplc="8EEA4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02260">
    <w:abstractNumId w:val="2"/>
  </w:num>
  <w:num w:numId="2" w16cid:durableId="428545757">
    <w:abstractNumId w:val="0"/>
  </w:num>
  <w:num w:numId="3" w16cid:durableId="115005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51"/>
    <w:rsid w:val="00001ACF"/>
    <w:rsid w:val="00001D2E"/>
    <w:rsid w:val="00012458"/>
    <w:rsid w:val="00012D17"/>
    <w:rsid w:val="00017D82"/>
    <w:rsid w:val="00021427"/>
    <w:rsid w:val="00022DF8"/>
    <w:rsid w:val="00026F51"/>
    <w:rsid w:val="00027532"/>
    <w:rsid w:val="00030526"/>
    <w:rsid w:val="00035051"/>
    <w:rsid w:val="00050C9A"/>
    <w:rsid w:val="00056855"/>
    <w:rsid w:val="0005779B"/>
    <w:rsid w:val="00071017"/>
    <w:rsid w:val="000842D4"/>
    <w:rsid w:val="000844D7"/>
    <w:rsid w:val="00090328"/>
    <w:rsid w:val="00090846"/>
    <w:rsid w:val="00092BC6"/>
    <w:rsid w:val="0009305B"/>
    <w:rsid w:val="000945A2"/>
    <w:rsid w:val="000A6529"/>
    <w:rsid w:val="000B4BEB"/>
    <w:rsid w:val="000B6818"/>
    <w:rsid w:val="000C6821"/>
    <w:rsid w:val="000E5A91"/>
    <w:rsid w:val="000F350A"/>
    <w:rsid w:val="00103186"/>
    <w:rsid w:val="001037FB"/>
    <w:rsid w:val="00103DEE"/>
    <w:rsid w:val="001066B9"/>
    <w:rsid w:val="00116E1C"/>
    <w:rsid w:val="00134304"/>
    <w:rsid w:val="0014734A"/>
    <w:rsid w:val="001537DA"/>
    <w:rsid w:val="00162483"/>
    <w:rsid w:val="00173990"/>
    <w:rsid w:val="00184A1B"/>
    <w:rsid w:val="001861CC"/>
    <w:rsid w:val="001866A6"/>
    <w:rsid w:val="00187EA5"/>
    <w:rsid w:val="0019219C"/>
    <w:rsid w:val="001A26D0"/>
    <w:rsid w:val="001C353A"/>
    <w:rsid w:val="001E0093"/>
    <w:rsid w:val="0020420C"/>
    <w:rsid w:val="002127A5"/>
    <w:rsid w:val="00223965"/>
    <w:rsid w:val="00231156"/>
    <w:rsid w:val="00232231"/>
    <w:rsid w:val="00232C95"/>
    <w:rsid w:val="00240B6D"/>
    <w:rsid w:val="00242D4F"/>
    <w:rsid w:val="00247947"/>
    <w:rsid w:val="00255875"/>
    <w:rsid w:val="00255D82"/>
    <w:rsid w:val="002673A9"/>
    <w:rsid w:val="00295EE5"/>
    <w:rsid w:val="002A22A8"/>
    <w:rsid w:val="002A3D91"/>
    <w:rsid w:val="002B26EE"/>
    <w:rsid w:val="002B2B72"/>
    <w:rsid w:val="002B3DDF"/>
    <w:rsid w:val="002C1982"/>
    <w:rsid w:val="002D1569"/>
    <w:rsid w:val="002D67A1"/>
    <w:rsid w:val="002F2B63"/>
    <w:rsid w:val="00305377"/>
    <w:rsid w:val="00316871"/>
    <w:rsid w:val="003202B2"/>
    <w:rsid w:val="00321E53"/>
    <w:rsid w:val="00324284"/>
    <w:rsid w:val="0033036C"/>
    <w:rsid w:val="0035090A"/>
    <w:rsid w:val="0035120B"/>
    <w:rsid w:val="0035187B"/>
    <w:rsid w:val="003519AE"/>
    <w:rsid w:val="00361EF2"/>
    <w:rsid w:val="00362914"/>
    <w:rsid w:val="00363B18"/>
    <w:rsid w:val="00366BDF"/>
    <w:rsid w:val="00367F50"/>
    <w:rsid w:val="00373C38"/>
    <w:rsid w:val="00374C2B"/>
    <w:rsid w:val="00375191"/>
    <w:rsid w:val="00377B75"/>
    <w:rsid w:val="003876DE"/>
    <w:rsid w:val="003A2935"/>
    <w:rsid w:val="003B5293"/>
    <w:rsid w:val="003B55A9"/>
    <w:rsid w:val="003C01DF"/>
    <w:rsid w:val="003C4FB7"/>
    <w:rsid w:val="003C76A4"/>
    <w:rsid w:val="003C778B"/>
    <w:rsid w:val="003D25EE"/>
    <w:rsid w:val="003F4451"/>
    <w:rsid w:val="003F6D87"/>
    <w:rsid w:val="004014F6"/>
    <w:rsid w:val="00407461"/>
    <w:rsid w:val="00420DEF"/>
    <w:rsid w:val="0042243F"/>
    <w:rsid w:val="004344F3"/>
    <w:rsid w:val="00436641"/>
    <w:rsid w:val="0044210C"/>
    <w:rsid w:val="0044251B"/>
    <w:rsid w:val="004450AB"/>
    <w:rsid w:val="00457002"/>
    <w:rsid w:val="004570EA"/>
    <w:rsid w:val="004572A9"/>
    <w:rsid w:val="0047716D"/>
    <w:rsid w:val="004779D9"/>
    <w:rsid w:val="00494D30"/>
    <w:rsid w:val="004A3D40"/>
    <w:rsid w:val="004B0F50"/>
    <w:rsid w:val="004B1845"/>
    <w:rsid w:val="004B2237"/>
    <w:rsid w:val="004B250A"/>
    <w:rsid w:val="004B7DE7"/>
    <w:rsid w:val="004E20D8"/>
    <w:rsid w:val="004E2E05"/>
    <w:rsid w:val="004E34F1"/>
    <w:rsid w:val="004E5566"/>
    <w:rsid w:val="004F3990"/>
    <w:rsid w:val="004F6357"/>
    <w:rsid w:val="00501756"/>
    <w:rsid w:val="00510ECA"/>
    <w:rsid w:val="00517FC0"/>
    <w:rsid w:val="00520FA9"/>
    <w:rsid w:val="0052722E"/>
    <w:rsid w:val="005363EE"/>
    <w:rsid w:val="00537CCB"/>
    <w:rsid w:val="005460BA"/>
    <w:rsid w:val="00550763"/>
    <w:rsid w:val="00551F84"/>
    <w:rsid w:val="00582E02"/>
    <w:rsid w:val="005911E4"/>
    <w:rsid w:val="005913A9"/>
    <w:rsid w:val="00592677"/>
    <w:rsid w:val="00593409"/>
    <w:rsid w:val="005B060B"/>
    <w:rsid w:val="005B3F6C"/>
    <w:rsid w:val="005B4762"/>
    <w:rsid w:val="005C2E03"/>
    <w:rsid w:val="005C3DDB"/>
    <w:rsid w:val="005D058B"/>
    <w:rsid w:val="005D371B"/>
    <w:rsid w:val="005F236A"/>
    <w:rsid w:val="005F320B"/>
    <w:rsid w:val="00605BAE"/>
    <w:rsid w:val="00635A86"/>
    <w:rsid w:val="00635AF4"/>
    <w:rsid w:val="006363F2"/>
    <w:rsid w:val="00637119"/>
    <w:rsid w:val="00643EB6"/>
    <w:rsid w:val="006441A3"/>
    <w:rsid w:val="00647F38"/>
    <w:rsid w:val="006508FE"/>
    <w:rsid w:val="00650990"/>
    <w:rsid w:val="00653774"/>
    <w:rsid w:val="00660345"/>
    <w:rsid w:val="00671272"/>
    <w:rsid w:val="0067292B"/>
    <w:rsid w:val="006773BA"/>
    <w:rsid w:val="00681991"/>
    <w:rsid w:val="00684FB6"/>
    <w:rsid w:val="0068599B"/>
    <w:rsid w:val="00691DB0"/>
    <w:rsid w:val="00695707"/>
    <w:rsid w:val="006977D9"/>
    <w:rsid w:val="006A1405"/>
    <w:rsid w:val="006A2EF8"/>
    <w:rsid w:val="006A7FE8"/>
    <w:rsid w:val="006B666D"/>
    <w:rsid w:val="006D13AA"/>
    <w:rsid w:val="006D76A6"/>
    <w:rsid w:val="00711CE7"/>
    <w:rsid w:val="007209AD"/>
    <w:rsid w:val="00720B31"/>
    <w:rsid w:val="007240C1"/>
    <w:rsid w:val="00774079"/>
    <w:rsid w:val="0077652E"/>
    <w:rsid w:val="007A02E0"/>
    <w:rsid w:val="007B43D8"/>
    <w:rsid w:val="007B5F8F"/>
    <w:rsid w:val="007B61AC"/>
    <w:rsid w:val="007B6FFB"/>
    <w:rsid w:val="007C3B1B"/>
    <w:rsid w:val="007C4B1A"/>
    <w:rsid w:val="007D0CAE"/>
    <w:rsid w:val="007D1230"/>
    <w:rsid w:val="007D1C98"/>
    <w:rsid w:val="007D575D"/>
    <w:rsid w:val="007E3020"/>
    <w:rsid w:val="007F4971"/>
    <w:rsid w:val="00800180"/>
    <w:rsid w:val="00816D91"/>
    <w:rsid w:val="008179BA"/>
    <w:rsid w:val="00821840"/>
    <w:rsid w:val="0082735D"/>
    <w:rsid w:val="00833A00"/>
    <w:rsid w:val="008347A8"/>
    <w:rsid w:val="00837165"/>
    <w:rsid w:val="00840215"/>
    <w:rsid w:val="00841170"/>
    <w:rsid w:val="00847E57"/>
    <w:rsid w:val="00856B20"/>
    <w:rsid w:val="008608FC"/>
    <w:rsid w:val="008656D4"/>
    <w:rsid w:val="00871FBC"/>
    <w:rsid w:val="00872262"/>
    <w:rsid w:val="00877078"/>
    <w:rsid w:val="00880D33"/>
    <w:rsid w:val="008845C4"/>
    <w:rsid w:val="00885D7B"/>
    <w:rsid w:val="00886436"/>
    <w:rsid w:val="00892C61"/>
    <w:rsid w:val="008937B8"/>
    <w:rsid w:val="0089418C"/>
    <w:rsid w:val="00897CF7"/>
    <w:rsid w:val="008A496A"/>
    <w:rsid w:val="008A792E"/>
    <w:rsid w:val="008B1C26"/>
    <w:rsid w:val="008D4542"/>
    <w:rsid w:val="008D65A4"/>
    <w:rsid w:val="008F3B57"/>
    <w:rsid w:val="008F5D6F"/>
    <w:rsid w:val="008F74BC"/>
    <w:rsid w:val="009170B4"/>
    <w:rsid w:val="0091792D"/>
    <w:rsid w:val="0092766B"/>
    <w:rsid w:val="00942F5D"/>
    <w:rsid w:val="00945E4B"/>
    <w:rsid w:val="00962A59"/>
    <w:rsid w:val="009707A1"/>
    <w:rsid w:val="00980AD9"/>
    <w:rsid w:val="00986DB1"/>
    <w:rsid w:val="009B034F"/>
    <w:rsid w:val="009C4225"/>
    <w:rsid w:val="009D2C12"/>
    <w:rsid w:val="009D4FE1"/>
    <w:rsid w:val="009E0F1A"/>
    <w:rsid w:val="009F42E6"/>
    <w:rsid w:val="00A144ED"/>
    <w:rsid w:val="00A27E7D"/>
    <w:rsid w:val="00A343C3"/>
    <w:rsid w:val="00A35381"/>
    <w:rsid w:val="00A414C6"/>
    <w:rsid w:val="00A47B29"/>
    <w:rsid w:val="00A55277"/>
    <w:rsid w:val="00A63BF8"/>
    <w:rsid w:val="00A65A79"/>
    <w:rsid w:val="00A75C9A"/>
    <w:rsid w:val="00A84DB2"/>
    <w:rsid w:val="00A9211D"/>
    <w:rsid w:val="00A92A81"/>
    <w:rsid w:val="00A9345D"/>
    <w:rsid w:val="00A943DD"/>
    <w:rsid w:val="00AA2767"/>
    <w:rsid w:val="00AA2F43"/>
    <w:rsid w:val="00AA6794"/>
    <w:rsid w:val="00AB150A"/>
    <w:rsid w:val="00AB2D53"/>
    <w:rsid w:val="00AB534D"/>
    <w:rsid w:val="00AC5D97"/>
    <w:rsid w:val="00AD3CE5"/>
    <w:rsid w:val="00AD4540"/>
    <w:rsid w:val="00AD76FF"/>
    <w:rsid w:val="00AE66D1"/>
    <w:rsid w:val="00AF0470"/>
    <w:rsid w:val="00AF1E3D"/>
    <w:rsid w:val="00AF2A6D"/>
    <w:rsid w:val="00B14135"/>
    <w:rsid w:val="00B14F80"/>
    <w:rsid w:val="00B16C16"/>
    <w:rsid w:val="00B20B4E"/>
    <w:rsid w:val="00B31CDC"/>
    <w:rsid w:val="00B45556"/>
    <w:rsid w:val="00B5792D"/>
    <w:rsid w:val="00B65052"/>
    <w:rsid w:val="00B71600"/>
    <w:rsid w:val="00B7411A"/>
    <w:rsid w:val="00B77098"/>
    <w:rsid w:val="00B7719C"/>
    <w:rsid w:val="00B8337E"/>
    <w:rsid w:val="00B953A1"/>
    <w:rsid w:val="00BA48C7"/>
    <w:rsid w:val="00BA5CD6"/>
    <w:rsid w:val="00BB08D5"/>
    <w:rsid w:val="00BB2EEB"/>
    <w:rsid w:val="00BB40C0"/>
    <w:rsid w:val="00BC47CE"/>
    <w:rsid w:val="00BF24B0"/>
    <w:rsid w:val="00BF7413"/>
    <w:rsid w:val="00C07D46"/>
    <w:rsid w:val="00C12EDB"/>
    <w:rsid w:val="00C173E1"/>
    <w:rsid w:val="00C17B02"/>
    <w:rsid w:val="00C204F6"/>
    <w:rsid w:val="00C22CCB"/>
    <w:rsid w:val="00C43824"/>
    <w:rsid w:val="00C43985"/>
    <w:rsid w:val="00C7145E"/>
    <w:rsid w:val="00C71A2B"/>
    <w:rsid w:val="00C73878"/>
    <w:rsid w:val="00C81E3A"/>
    <w:rsid w:val="00C830B7"/>
    <w:rsid w:val="00C85194"/>
    <w:rsid w:val="00CC1DCE"/>
    <w:rsid w:val="00CD143E"/>
    <w:rsid w:val="00CD15FD"/>
    <w:rsid w:val="00CD3DFF"/>
    <w:rsid w:val="00CD654B"/>
    <w:rsid w:val="00CF5A36"/>
    <w:rsid w:val="00CF5FC9"/>
    <w:rsid w:val="00D22015"/>
    <w:rsid w:val="00D277CF"/>
    <w:rsid w:val="00D324CA"/>
    <w:rsid w:val="00D40D37"/>
    <w:rsid w:val="00D44B88"/>
    <w:rsid w:val="00D47D2E"/>
    <w:rsid w:val="00D5313F"/>
    <w:rsid w:val="00D567A2"/>
    <w:rsid w:val="00D56996"/>
    <w:rsid w:val="00D61D28"/>
    <w:rsid w:val="00D62DCF"/>
    <w:rsid w:val="00D6378A"/>
    <w:rsid w:val="00D66BF9"/>
    <w:rsid w:val="00D72D08"/>
    <w:rsid w:val="00DA3E7D"/>
    <w:rsid w:val="00DA717B"/>
    <w:rsid w:val="00DB4A7E"/>
    <w:rsid w:val="00DB57AD"/>
    <w:rsid w:val="00DB70FE"/>
    <w:rsid w:val="00DB74C8"/>
    <w:rsid w:val="00DD4037"/>
    <w:rsid w:val="00DE1C9E"/>
    <w:rsid w:val="00DE4B05"/>
    <w:rsid w:val="00DE62CD"/>
    <w:rsid w:val="00DF014A"/>
    <w:rsid w:val="00DF3B5D"/>
    <w:rsid w:val="00DF577F"/>
    <w:rsid w:val="00E113A6"/>
    <w:rsid w:val="00E13F6D"/>
    <w:rsid w:val="00E1781F"/>
    <w:rsid w:val="00E20BA8"/>
    <w:rsid w:val="00E42D2F"/>
    <w:rsid w:val="00E51C2A"/>
    <w:rsid w:val="00E5466B"/>
    <w:rsid w:val="00E5524D"/>
    <w:rsid w:val="00E556E8"/>
    <w:rsid w:val="00E65D36"/>
    <w:rsid w:val="00E73795"/>
    <w:rsid w:val="00E74AF6"/>
    <w:rsid w:val="00E828D7"/>
    <w:rsid w:val="00E82F19"/>
    <w:rsid w:val="00E91E9C"/>
    <w:rsid w:val="00EA46D0"/>
    <w:rsid w:val="00EA5C37"/>
    <w:rsid w:val="00EA7326"/>
    <w:rsid w:val="00EB1DD2"/>
    <w:rsid w:val="00EB3424"/>
    <w:rsid w:val="00ED036D"/>
    <w:rsid w:val="00ED0C0A"/>
    <w:rsid w:val="00ED5FFA"/>
    <w:rsid w:val="00ED70BB"/>
    <w:rsid w:val="00EE2126"/>
    <w:rsid w:val="00EE3C71"/>
    <w:rsid w:val="00EF11C9"/>
    <w:rsid w:val="00EF615F"/>
    <w:rsid w:val="00EF795D"/>
    <w:rsid w:val="00F04967"/>
    <w:rsid w:val="00F1387E"/>
    <w:rsid w:val="00F23976"/>
    <w:rsid w:val="00F25DA0"/>
    <w:rsid w:val="00F3087A"/>
    <w:rsid w:val="00F32735"/>
    <w:rsid w:val="00F429CB"/>
    <w:rsid w:val="00F55CB7"/>
    <w:rsid w:val="00F62A85"/>
    <w:rsid w:val="00F668C2"/>
    <w:rsid w:val="00F73DA8"/>
    <w:rsid w:val="00F74A45"/>
    <w:rsid w:val="00F752B6"/>
    <w:rsid w:val="00F752E0"/>
    <w:rsid w:val="00F80E0A"/>
    <w:rsid w:val="00F80F08"/>
    <w:rsid w:val="00F844F0"/>
    <w:rsid w:val="00F86D51"/>
    <w:rsid w:val="00F86F2A"/>
    <w:rsid w:val="00F97D01"/>
    <w:rsid w:val="00FA02E3"/>
    <w:rsid w:val="00FA41C0"/>
    <w:rsid w:val="00FA52FF"/>
    <w:rsid w:val="00FB4FB5"/>
    <w:rsid w:val="00FC0326"/>
    <w:rsid w:val="00FC3F3C"/>
    <w:rsid w:val="00FC449E"/>
    <w:rsid w:val="00FC4FAA"/>
    <w:rsid w:val="00FD0DC6"/>
    <w:rsid w:val="00FD4F96"/>
    <w:rsid w:val="00FE0A70"/>
    <w:rsid w:val="00FF2E0E"/>
    <w:rsid w:val="00FF4121"/>
    <w:rsid w:val="00FF5B8D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37F342"/>
  <w15:docId w15:val="{AED9F37F-19DD-46B3-AB70-0A799AF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86D51"/>
    <w:pPr>
      <w:spacing w:after="0" w:line="240" w:lineRule="auto"/>
    </w:pPr>
    <w:rPr>
      <w:rFonts w:ascii="Arial" w:eastAsia="Times New Roman" w:hAnsi="Arial"/>
      <w:szCs w:val="20"/>
      <w:lang w:val="en-C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8337E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rFonts w:eastAsiaTheme="minorHAnsi"/>
      <w:b/>
      <w:bCs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  <w:rPr>
      <w:rFonts w:eastAsia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rFonts w:eastAsia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D51"/>
    <w:rPr>
      <w:rFonts w:ascii="Arial" w:hAnsi="Arial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86D51"/>
    <w:rPr>
      <w:rFonts w:asciiTheme="majorHAnsi" w:eastAsiaTheme="majorEastAsia" w:hAnsiTheme="majorHAnsi"/>
      <w:b/>
      <w:bCs/>
      <w:kern w:val="28"/>
      <w:sz w:val="32"/>
      <w:szCs w:val="32"/>
      <w:lang w:val="en-C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6D51"/>
    <w:rPr>
      <w:rFonts w:asciiTheme="majorHAnsi" w:eastAsiaTheme="majorEastAsia" w:hAnsiTheme="majorHAnsi"/>
      <w:szCs w:val="24"/>
      <w:lang w:val="en-CA"/>
    </w:rPr>
  </w:style>
  <w:style w:type="character" w:styleId="Strong">
    <w:name w:val="Strong"/>
    <w:basedOn w:val="DefaultParagraphFont"/>
    <w:uiPriority w:val="22"/>
    <w:semiHidden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rFonts w:eastAsiaTheme="minorHAnsi"/>
      <w:szCs w:val="32"/>
      <w:lang w:bidi="en-US"/>
    </w:rPr>
  </w:style>
  <w:style w:type="paragraph" w:styleId="ListParagraph">
    <w:name w:val="List Paragraph"/>
    <w:basedOn w:val="Normal"/>
    <w:uiPriority w:val="34"/>
    <w:semiHidden/>
    <w:qFormat/>
    <w:rsid w:val="00B8337E"/>
    <w:pPr>
      <w:ind w:left="720"/>
      <w:contextualSpacing/>
    </w:pPr>
    <w:rPr>
      <w:rFonts w:eastAsia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8337E"/>
    <w:rPr>
      <w:rFonts w:eastAsia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6D51"/>
    <w:rPr>
      <w:rFonts w:ascii="Arial" w:hAnsi="Arial"/>
      <w:i/>
      <w:szCs w:val="24"/>
      <w:lang w:val="en-CA"/>
    </w:rPr>
  </w:style>
  <w:style w:type="paragraph" w:styleId="ListBullet">
    <w:name w:val="List Bullet"/>
    <w:basedOn w:val="Normal"/>
    <w:uiPriority w:val="99"/>
    <w:qFormat/>
    <w:rsid w:val="00F86D51"/>
    <w:pPr>
      <w:numPr>
        <w:numId w:val="2"/>
      </w:numPr>
      <w:tabs>
        <w:tab w:val="clear" w:pos="360"/>
        <w:tab w:val="left" w:pos="720"/>
      </w:tabs>
      <w:spacing w:before="60" w:after="60"/>
      <w:ind w:left="720"/>
    </w:pPr>
    <w:rPr>
      <w:sz w:val="20"/>
    </w:rPr>
  </w:style>
  <w:style w:type="paragraph" w:styleId="List">
    <w:name w:val="List"/>
    <w:basedOn w:val="Normal"/>
    <w:uiPriority w:val="99"/>
    <w:qFormat/>
    <w:rsid w:val="002B3DDF"/>
    <w:pPr>
      <w:numPr>
        <w:numId w:val="3"/>
      </w:numPr>
      <w:spacing w:before="60" w:after="60"/>
    </w:pPr>
    <w:rPr>
      <w:sz w:val="20"/>
    </w:rPr>
  </w:style>
  <w:style w:type="character" w:styleId="SubtleEmphasis">
    <w:name w:val="Subtle Emphasis"/>
    <w:uiPriority w:val="19"/>
    <w:semiHidden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semiHidden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semiHidden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paragraph" w:styleId="FootnoteText">
    <w:name w:val="footnote text"/>
    <w:basedOn w:val="Normal"/>
    <w:link w:val="FootnoteTextChar"/>
    <w:semiHidden/>
    <w:unhideWhenUsed/>
    <w:rsid w:val="00035051"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35051"/>
    <w:rPr>
      <w:rFonts w:ascii="Times New Roman" w:eastAsia="Times New Roman" w:hAnsi="Times New Roman"/>
      <w:sz w:val="24"/>
      <w:szCs w:val="20"/>
      <w:lang w:val="en-CA" w:bidi="ar-SA"/>
    </w:rPr>
  </w:style>
  <w:style w:type="character" w:styleId="FootnoteReference">
    <w:name w:val="footnote reference"/>
    <w:basedOn w:val="DefaultParagraphFont"/>
    <w:semiHidden/>
    <w:unhideWhenUsed/>
    <w:rsid w:val="000350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51"/>
    <w:rPr>
      <w:rFonts w:ascii="Tahoma" w:eastAsia="Times New Roman" w:hAnsi="Tahoma" w:cs="Tahoma"/>
      <w:sz w:val="16"/>
      <w:szCs w:val="16"/>
      <w:lang w:val="en-CA" w:bidi="ar-SA"/>
    </w:rPr>
  </w:style>
  <w:style w:type="paragraph" w:styleId="Header">
    <w:name w:val="header"/>
    <w:basedOn w:val="Normal"/>
    <w:link w:val="HeaderChar"/>
    <w:unhideWhenUsed/>
    <w:rsid w:val="002D1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1569"/>
    <w:rPr>
      <w:rFonts w:ascii="Arial" w:eastAsia="Times New Roman" w:hAnsi="Arial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2D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69"/>
    <w:rPr>
      <w:rFonts w:ascii="Arial" w:eastAsia="Times New Roman" w:hAnsi="Arial"/>
      <w:szCs w:val="20"/>
      <w:lang w:val="en-CA" w:bidi="ar-SA"/>
    </w:rPr>
  </w:style>
  <w:style w:type="paragraph" w:styleId="Revision">
    <w:name w:val="Revision"/>
    <w:hidden/>
    <w:uiPriority w:val="99"/>
    <w:semiHidden/>
    <w:rsid w:val="005F236A"/>
    <w:pPr>
      <w:spacing w:after="0" w:line="240" w:lineRule="auto"/>
    </w:pPr>
    <w:rPr>
      <w:rFonts w:ascii="Arial" w:eastAsia="Times New Roman" w:hAnsi="Arial"/>
      <w:szCs w:val="20"/>
      <w:lang w:val="en-CA" w:bidi="ar-SA"/>
    </w:rPr>
  </w:style>
  <w:style w:type="paragraph" w:customStyle="1" w:styleId="tablehead">
    <w:name w:val="table_head"/>
    <w:basedOn w:val="Normal"/>
    <w:qFormat/>
    <w:rsid w:val="004B2237"/>
    <w:pPr>
      <w:tabs>
        <w:tab w:val="left" w:pos="8851"/>
      </w:tabs>
      <w:spacing w:before="60" w:after="60"/>
    </w:pPr>
    <w:rPr>
      <w:rFonts w:cs="Arial"/>
      <w:b/>
      <w:color w:val="FFFFFF" w:themeColor="background1"/>
      <w:sz w:val="20"/>
    </w:rPr>
  </w:style>
  <w:style w:type="paragraph" w:customStyle="1" w:styleId="Para">
    <w:name w:val="_Para"/>
    <w:basedOn w:val="Normal"/>
    <w:qFormat/>
    <w:rsid w:val="00F86D51"/>
    <w:pPr>
      <w:spacing w:before="120" w:after="120"/>
    </w:pPr>
    <w:rPr>
      <w:rFonts w:cs="Arial"/>
      <w:sz w:val="20"/>
    </w:rPr>
  </w:style>
  <w:style w:type="paragraph" w:customStyle="1" w:styleId="Indent1">
    <w:name w:val="Indent_1"/>
    <w:basedOn w:val="Para"/>
    <w:qFormat/>
    <w:rsid w:val="000A6529"/>
    <w:pPr>
      <w:ind w:left="360"/>
    </w:pPr>
  </w:style>
  <w:style w:type="paragraph" w:customStyle="1" w:styleId="Indent2">
    <w:name w:val="Indent_2"/>
    <w:basedOn w:val="Indent1"/>
    <w:qFormat/>
    <w:rsid w:val="000A652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5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7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7A2"/>
    <w:rPr>
      <w:rFonts w:ascii="Arial" w:eastAsia="Times New Roman" w:hAnsi="Arial"/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7A2"/>
    <w:rPr>
      <w:rFonts w:ascii="Arial" w:eastAsia="Times New Roman" w:hAnsi="Arial"/>
      <w:b/>
      <w:bCs/>
      <w:sz w:val="20"/>
      <w:szCs w:val="20"/>
      <w:lang w:val="en-CA" w:bidi="ar-SA"/>
    </w:rPr>
  </w:style>
  <w:style w:type="paragraph" w:customStyle="1" w:styleId="Default">
    <w:name w:val="Default"/>
    <w:rsid w:val="00AC5D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0E0BA945CC4851A154B22E2ED9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5C0E-AD36-43E3-B02C-71F89FF53435}"/>
      </w:docPartPr>
      <w:docPartBody>
        <w:p w:rsidR="00732102" w:rsidRDefault="00836C96" w:rsidP="00836C96">
          <w:pPr>
            <w:pStyle w:val="A80E0BA945CC4851A154B22E2ED9D4DA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22"/>
    <w:rsid w:val="000D1722"/>
    <w:rsid w:val="002F2B63"/>
    <w:rsid w:val="00732102"/>
    <w:rsid w:val="00836C96"/>
    <w:rsid w:val="00A40638"/>
    <w:rsid w:val="00A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C96"/>
    <w:rPr>
      <w:color w:val="808080"/>
    </w:rPr>
  </w:style>
  <w:style w:type="paragraph" w:customStyle="1" w:styleId="A80E0BA945CC4851A154B22E2ED9D4DA">
    <w:name w:val="A80E0BA945CC4851A154B22E2ED9D4DA"/>
    <w:rsid w:val="00836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316B-A1A9-44FE-BB95-C7C691626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E5147-F58D-489D-8C7D-0AF0C8D9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 Summary</vt:lpstr>
    </vt:vector>
  </TitlesOfParts>
  <Company>OAG-BVG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 Summary</dc:title>
  <dc:subject>Audit Plan Summary</dc:subject>
  <dc:creator>OAG-BVG</dc:creator>
  <cp:keywords/>
  <dc:description/>
  <cp:lastModifiedBy>Hussey, Anita</cp:lastModifiedBy>
  <cp:revision>18</cp:revision>
  <cp:lastPrinted>2014-04-15T13:05:00Z</cp:lastPrinted>
  <dcterms:created xsi:type="dcterms:W3CDTF">2017-08-27T19:07:00Z</dcterms:created>
  <dcterms:modified xsi:type="dcterms:W3CDTF">2024-06-21T18:29:00Z</dcterms:modified>
  <cp:category>Template 15538</cp:category>
  <cp:contentStatus/>
</cp:coreProperties>
</file>