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C9EC5" w14:textId="6863F450" w:rsidR="003D687E" w:rsidRPr="00D069F0" w:rsidRDefault="009B37A8" w:rsidP="00616A97">
      <w:pPr>
        <w:pStyle w:val="Titre1"/>
        <w:rPr>
          <w:lang w:val="fr-CA"/>
        </w:rPr>
      </w:pPr>
      <w:bookmarkStart w:id="0" w:name="_Toc495984449"/>
      <w:bookmarkStart w:id="1" w:name="_Toc505610884"/>
      <w:r>
        <w:rPr>
          <w:lang w:val="fr-CA"/>
        </w:rPr>
        <w:t xml:space="preserve">Approche d’audit pour les examens spéciaux – aspects </w:t>
      </w:r>
      <w:r w:rsidR="003132E9">
        <w:rPr>
          <w:lang w:val="fr-CA"/>
        </w:rPr>
        <w:t>E</w:t>
      </w:r>
      <w:r w:rsidR="008707B1" w:rsidRPr="00D069F0">
        <w:rPr>
          <w:lang w:val="fr-CA"/>
        </w:rPr>
        <w:t xml:space="preserve">NVIRONNEMENT </w:t>
      </w:r>
      <w:r w:rsidR="00D8039F">
        <w:rPr>
          <w:lang w:val="fr-CA"/>
        </w:rPr>
        <w:t>ET DÉVELOPPEMENT DURABLE</w:t>
      </w:r>
      <w:r w:rsidR="008707B1" w:rsidRPr="00D069F0">
        <w:rPr>
          <w:lang w:val="fr-CA"/>
        </w:rPr>
        <w:t xml:space="preserve"> </w:t>
      </w:r>
      <w:bookmarkEnd w:id="0"/>
      <w:bookmarkEnd w:id="1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62"/>
        <w:gridCol w:w="7806"/>
        <w:gridCol w:w="2203"/>
        <w:gridCol w:w="2278"/>
        <w:gridCol w:w="2921"/>
      </w:tblGrid>
      <w:tr w:rsidR="000F4614" w:rsidRPr="00D069F0" w14:paraId="4B7DF606" w14:textId="77777777" w:rsidTr="00BA2F71">
        <w:tc>
          <w:tcPr>
            <w:tcW w:w="2065" w:type="dxa"/>
            <w:shd w:val="clear" w:color="auto" w:fill="D9D9D9" w:themeFill="background1" w:themeFillShade="D9"/>
            <w:vAlign w:val="bottom"/>
          </w:tcPr>
          <w:p w14:paraId="1933CCD3" w14:textId="3B669CC3" w:rsidR="003D687E" w:rsidRPr="00D069F0" w:rsidRDefault="008707B1" w:rsidP="00BA2F71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b/>
                <w:sz w:val="20"/>
                <w:szCs w:val="20"/>
                <w:lang w:val="fr-CA"/>
              </w:rPr>
              <w:t>Moyens et méthodes</w:t>
            </w:r>
          </w:p>
        </w:tc>
        <w:tc>
          <w:tcPr>
            <w:tcW w:w="7859" w:type="dxa"/>
            <w:shd w:val="clear" w:color="auto" w:fill="D9D9D9" w:themeFill="background1" w:themeFillShade="D9"/>
            <w:vAlign w:val="bottom"/>
          </w:tcPr>
          <w:p w14:paraId="73458BA6" w14:textId="7E97EFF2" w:rsidR="008707B1" w:rsidRPr="00D069F0" w:rsidRDefault="008707B1" w:rsidP="008707B1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b/>
                <w:sz w:val="20"/>
                <w:szCs w:val="20"/>
                <w:lang w:val="fr-CA"/>
              </w:rPr>
              <w:t>Critères d’audit et sources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bottom"/>
          </w:tcPr>
          <w:p w14:paraId="4E0B46B5" w14:textId="5A1B2F0C" w:rsidR="003D687E" w:rsidRPr="00D069F0" w:rsidRDefault="008707B1" w:rsidP="00BA2F71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b/>
                <w:sz w:val="20"/>
                <w:szCs w:val="20"/>
                <w:lang w:val="fr-CA"/>
              </w:rPr>
              <w:t xml:space="preserve">Questions d’audit </w:t>
            </w:r>
            <w:bookmarkStart w:id="2" w:name="_GoBack"/>
            <w:bookmarkEnd w:id="2"/>
            <w:r w:rsidRPr="00D069F0">
              <w:rPr>
                <w:rFonts w:cs="Arial"/>
                <w:b/>
                <w:sz w:val="20"/>
                <w:szCs w:val="20"/>
                <w:lang w:val="fr-CA"/>
              </w:rPr>
              <w:t>possible</w:t>
            </w:r>
            <w:r w:rsidR="009010C3">
              <w:rPr>
                <w:rFonts w:cs="Arial"/>
                <w:b/>
                <w:sz w:val="20"/>
                <w:szCs w:val="20"/>
                <w:lang w:val="fr-CA"/>
              </w:rPr>
              <w:t>s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bottom"/>
          </w:tcPr>
          <w:p w14:paraId="21A45AB5" w14:textId="5FE8D12C" w:rsidR="003D687E" w:rsidRPr="00D069F0" w:rsidRDefault="008707B1" w:rsidP="00BA2F71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b/>
                <w:sz w:val="20"/>
                <w:szCs w:val="20"/>
                <w:lang w:val="fr-CA"/>
              </w:rPr>
              <w:t>Documents de référence possible</w:t>
            </w:r>
            <w:r w:rsidR="009010C3">
              <w:rPr>
                <w:rFonts w:cs="Arial"/>
                <w:b/>
                <w:sz w:val="20"/>
                <w:szCs w:val="20"/>
                <w:lang w:val="fr-CA"/>
              </w:rPr>
              <w:t>s</w:t>
            </w:r>
          </w:p>
        </w:tc>
        <w:tc>
          <w:tcPr>
            <w:tcW w:w="2927" w:type="dxa"/>
            <w:shd w:val="clear" w:color="auto" w:fill="D9D9D9" w:themeFill="background1" w:themeFillShade="D9"/>
            <w:vAlign w:val="bottom"/>
          </w:tcPr>
          <w:p w14:paraId="39389A23" w14:textId="337D4124" w:rsidR="003D687E" w:rsidRPr="00D069F0" w:rsidRDefault="008707B1" w:rsidP="00716DF0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b/>
                <w:sz w:val="20"/>
                <w:szCs w:val="20"/>
                <w:lang w:val="fr-CA"/>
              </w:rPr>
              <w:t xml:space="preserve">Étapes d’audit </w:t>
            </w:r>
            <w:r w:rsidR="00716DF0">
              <w:rPr>
                <w:rFonts w:cs="Arial"/>
                <w:b/>
                <w:sz w:val="20"/>
                <w:szCs w:val="20"/>
                <w:lang w:val="fr-CA"/>
              </w:rPr>
              <w:t>proposées</w:t>
            </w:r>
            <w:r w:rsidRPr="00D069F0"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</w:p>
        </w:tc>
      </w:tr>
      <w:tr w:rsidR="006B1BE1" w:rsidRPr="000378A1" w14:paraId="1AB0E7D7" w14:textId="77777777" w:rsidTr="007A5982">
        <w:tc>
          <w:tcPr>
            <w:tcW w:w="17270" w:type="dxa"/>
            <w:gridSpan w:val="5"/>
            <w:shd w:val="clear" w:color="auto" w:fill="FFFFFF" w:themeFill="background1"/>
            <w:vAlign w:val="bottom"/>
          </w:tcPr>
          <w:p w14:paraId="41945FFC" w14:textId="051225EC" w:rsidR="003524AE" w:rsidRPr="005D7206" w:rsidRDefault="008707B1" w:rsidP="006B1BE1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5D7206">
              <w:rPr>
                <w:rFonts w:cs="Arial"/>
                <w:sz w:val="20"/>
                <w:szCs w:val="20"/>
                <w:lang w:val="fr-CA"/>
              </w:rPr>
              <w:t xml:space="preserve">Veuillez consulter le spécialiste interne </w:t>
            </w:r>
            <w:r w:rsidR="004C5A01" w:rsidRPr="005D7206">
              <w:rPr>
                <w:rFonts w:cs="Arial"/>
                <w:sz w:val="20"/>
                <w:szCs w:val="20"/>
                <w:lang w:val="fr-CA"/>
              </w:rPr>
              <w:t xml:space="preserve">responsable de l’environnement et du développement durable </w:t>
            </w:r>
            <w:r w:rsidRPr="005D7206">
              <w:rPr>
                <w:rFonts w:cs="Arial"/>
                <w:sz w:val="20"/>
                <w:szCs w:val="20"/>
                <w:lang w:val="fr-CA"/>
              </w:rPr>
              <w:t>pour obtenir son aide en vue de déterminer les moyens et méthodes, les critères, les questions d’audit et les étapes d’audit qui sont adaptés aux risques particuliers liés à l’environnement et au développement durable compris dans l’étendue de l’examen spécial</w:t>
            </w:r>
            <w:r w:rsidR="006B1BE1" w:rsidRPr="005D7206">
              <w:rPr>
                <w:rFonts w:cs="Arial"/>
                <w:sz w:val="20"/>
                <w:szCs w:val="20"/>
                <w:lang w:val="fr-CA"/>
              </w:rPr>
              <w:t>.</w:t>
            </w:r>
            <w:r w:rsidR="00FE715D" w:rsidRPr="005D7206">
              <w:rPr>
                <w:rFonts w:cs="Arial"/>
                <w:sz w:val="20"/>
                <w:szCs w:val="20"/>
                <w:lang w:val="fr-CA"/>
              </w:rPr>
              <w:t xml:space="preserve"> </w:t>
            </w:r>
          </w:p>
          <w:p w14:paraId="2D25B581" w14:textId="2B95EBC4" w:rsidR="006B1BE1" w:rsidRPr="00D069F0" w:rsidRDefault="008707B1">
            <w:pPr>
              <w:spacing w:before="120" w:after="120"/>
              <w:rPr>
                <w:rFonts w:cs="Arial"/>
                <w:b/>
                <w:sz w:val="20"/>
                <w:szCs w:val="20"/>
                <w:lang w:val="fr-CA"/>
              </w:rPr>
            </w:pPr>
            <w:r w:rsidRPr="005D7206">
              <w:rPr>
                <w:rFonts w:cs="Arial"/>
                <w:sz w:val="20"/>
                <w:szCs w:val="20"/>
                <w:lang w:val="fr-CA"/>
              </w:rPr>
              <w:t xml:space="preserve">Pendant l’étape de la planification, l’équipe d’examen spécial </w:t>
            </w:r>
            <w:r w:rsidR="00D8039F" w:rsidRPr="005D7206">
              <w:rPr>
                <w:rFonts w:cs="Arial"/>
                <w:sz w:val="20"/>
                <w:szCs w:val="20"/>
                <w:lang w:val="fr-CA"/>
              </w:rPr>
              <w:t xml:space="preserve">doit </w:t>
            </w:r>
            <w:r w:rsidRPr="005D7206">
              <w:rPr>
                <w:rFonts w:cs="Arial"/>
                <w:sz w:val="20"/>
                <w:szCs w:val="20"/>
                <w:lang w:val="fr-CA"/>
              </w:rPr>
              <w:t>s’informer de la mesure dans laquelle la société d’État connaît les objectifs de développement durable</w:t>
            </w:r>
            <w:r w:rsidR="004C5A01">
              <w:rPr>
                <w:rFonts w:cs="Arial"/>
                <w:sz w:val="20"/>
                <w:szCs w:val="20"/>
                <w:lang w:val="fr-CA"/>
              </w:rPr>
              <w:t xml:space="preserve"> (ODD) des Nations Unies</w:t>
            </w:r>
            <w:r w:rsidRPr="005D7206">
              <w:rPr>
                <w:rFonts w:cs="Arial"/>
                <w:sz w:val="20"/>
                <w:szCs w:val="20"/>
                <w:lang w:val="fr-CA"/>
              </w:rPr>
              <w:t xml:space="preserve">. </w:t>
            </w:r>
          </w:p>
        </w:tc>
      </w:tr>
      <w:tr w:rsidR="005D7206" w:rsidRPr="000378A1" w14:paraId="6E8A03C0" w14:textId="77777777" w:rsidTr="006D6453">
        <w:trPr>
          <w:trHeight w:val="1357"/>
        </w:trPr>
        <w:tc>
          <w:tcPr>
            <w:tcW w:w="2065" w:type="dxa"/>
            <w:vMerge w:val="restart"/>
          </w:tcPr>
          <w:p w14:paraId="482A5653" w14:textId="31D3D9B0" w:rsidR="00A46F1C" w:rsidRPr="00D069F0" w:rsidRDefault="008707B1" w:rsidP="008707B1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Cadre de gestion de l’environnement et du développement durable </w:t>
            </w:r>
          </w:p>
        </w:tc>
        <w:tc>
          <w:tcPr>
            <w:tcW w:w="7859" w:type="dxa"/>
            <w:vMerge w:val="restart"/>
          </w:tcPr>
          <w:p w14:paraId="0D4BE681" w14:textId="46A5B4EE" w:rsidR="00A46F1C" w:rsidRPr="00D069F0" w:rsidRDefault="00924B52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La société définit et met en œuvre un cadre pour gérer les questions liées à l’environnement et au développement durable. </w:t>
            </w:r>
          </w:p>
          <w:p w14:paraId="49F37D8B" w14:textId="0F12E853" w:rsidR="00A46F1C" w:rsidRPr="00826744" w:rsidRDefault="00A46F1C" w:rsidP="00A46F1C">
            <w:pPr>
              <w:spacing w:before="120" w:after="120"/>
              <w:rPr>
                <w:rFonts w:cs="Arial"/>
                <w:color w:val="000000" w:themeColor="text1"/>
                <w:sz w:val="20"/>
                <w:szCs w:val="20"/>
                <w:lang w:val="fr-CA"/>
              </w:rPr>
            </w:pPr>
            <w:r w:rsidRPr="00826744">
              <w:rPr>
                <w:rFonts w:cs="Arial"/>
                <w:color w:val="000000" w:themeColor="text1"/>
                <w:sz w:val="20"/>
                <w:szCs w:val="20"/>
                <w:lang w:val="fr-CA"/>
              </w:rPr>
              <w:t>Sources</w:t>
            </w:r>
            <w:r w:rsidR="00924B52" w:rsidRPr="00826744">
              <w:rPr>
                <w:rFonts w:cs="Arial"/>
                <w:color w:val="000000" w:themeColor="text1"/>
                <w:sz w:val="20"/>
                <w:szCs w:val="20"/>
                <w:lang w:val="fr-CA"/>
              </w:rPr>
              <w:t> </w:t>
            </w:r>
            <w:r w:rsidRPr="00826744">
              <w:rPr>
                <w:rFonts w:cs="Arial"/>
                <w:color w:val="000000" w:themeColor="text1"/>
                <w:sz w:val="20"/>
                <w:szCs w:val="20"/>
                <w:lang w:val="fr-CA"/>
              </w:rPr>
              <w:t>:</w:t>
            </w:r>
          </w:p>
          <w:p w14:paraId="0A5D22CD" w14:textId="2F8D9AD5" w:rsidR="00924B52" w:rsidRPr="00D069F0" w:rsidRDefault="00924B52" w:rsidP="00924B52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>Organisation internationale de normalisation, Norme ISO 14001 – Systèmes de management environnemental</w:t>
            </w:r>
            <w:r w:rsidR="00B4723C">
              <w:rPr>
                <w:rFonts w:cs="Arial"/>
                <w:sz w:val="20"/>
                <w:szCs w:val="20"/>
                <w:lang w:val="fr-CA"/>
              </w:rPr>
              <w:t>, 2015</w:t>
            </w:r>
          </w:p>
          <w:p w14:paraId="320CD2C3" w14:textId="2E01D7E2" w:rsidR="00924B52" w:rsidRPr="00D069F0" w:rsidRDefault="00924B52" w:rsidP="00924B52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>Commission de coopération environnementale, Améliorer la performance environnementale et la conformité à la législation sur l’environnement</w:t>
            </w:r>
            <w:r w:rsidR="009010C3">
              <w:rPr>
                <w:rFonts w:cs="Arial"/>
                <w:sz w:val="20"/>
                <w:szCs w:val="20"/>
                <w:lang w:val="fr-CA"/>
              </w:rPr>
              <w:t> 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>: Dix éléments pour des systèmes efficaces de gestion de l’environnement, 2000</w:t>
            </w:r>
          </w:p>
          <w:p w14:paraId="30FE56D6" w14:textId="5FD36DD9" w:rsidR="00924B52" w:rsidRPr="00D069F0" w:rsidRDefault="00924B52" w:rsidP="00924B52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Secrétariat du Conseil du Trésor du Canada, </w:t>
            </w:r>
            <w:r w:rsidRPr="00616A97">
              <w:rPr>
                <w:rFonts w:cs="Arial"/>
                <w:i/>
                <w:sz w:val="20"/>
                <w:szCs w:val="20"/>
                <w:lang w:val="fr-CA"/>
              </w:rPr>
              <w:t xml:space="preserve">Répondre aux attentes des Canadiennes et des Canadiens </w:t>
            </w:r>
            <w:r w:rsidR="00AF4099">
              <w:rPr>
                <w:rFonts w:cs="Arial"/>
                <w:i/>
                <w:sz w:val="20"/>
                <w:szCs w:val="20"/>
                <w:lang w:val="fr-CA"/>
              </w:rPr>
              <w:t>—</w:t>
            </w:r>
            <w:r w:rsidRPr="00616A97">
              <w:rPr>
                <w:rFonts w:cs="Arial"/>
                <w:i/>
                <w:sz w:val="20"/>
                <w:szCs w:val="20"/>
                <w:lang w:val="fr-CA"/>
              </w:rPr>
              <w:t xml:space="preserve"> Examen du cadre de gouvernance des sociétés d’État du Canada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, 2005 </w:t>
            </w:r>
          </w:p>
          <w:p w14:paraId="1DCA18C5" w14:textId="13B56AD7" w:rsidR="00A46F1C" w:rsidRPr="00D069F0" w:rsidRDefault="00924B52" w:rsidP="00A46F1C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Nations Unies, </w:t>
            </w:r>
            <w:r w:rsidR="004C5A01">
              <w:rPr>
                <w:rFonts w:cs="Arial"/>
                <w:sz w:val="20"/>
                <w:szCs w:val="20"/>
                <w:lang w:val="fr-CA"/>
              </w:rPr>
              <w:t xml:space="preserve">Transformer notre monde : Le 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>Programme de développement durable à l’horizon</w:t>
            </w:r>
            <w:r w:rsidR="009010C3">
              <w:rPr>
                <w:rFonts w:cs="Arial"/>
                <w:sz w:val="20"/>
                <w:szCs w:val="20"/>
                <w:lang w:val="fr-CA"/>
              </w:rPr>
              <w:t> 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2030, 2015 </w:t>
            </w:r>
          </w:p>
          <w:p w14:paraId="0BE6D372" w14:textId="25E20779" w:rsidR="00A46F1C" w:rsidRPr="00D069F0" w:rsidRDefault="00924B52" w:rsidP="00A46F1C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Organisation internationale de normalisation, Norme </w:t>
            </w:r>
            <w:r w:rsidR="00A46F1C" w:rsidRPr="00D069F0">
              <w:rPr>
                <w:rFonts w:cs="Arial"/>
                <w:sz w:val="20"/>
                <w:szCs w:val="20"/>
                <w:lang w:val="fr-CA"/>
              </w:rPr>
              <w:t>ISO 26000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 – Responsabilité sociétale, 2010 </w:t>
            </w:r>
          </w:p>
          <w:p w14:paraId="48B52565" w14:textId="203AAAF0" w:rsidR="00A46F1C" w:rsidRPr="00D069F0" w:rsidRDefault="00924B52" w:rsidP="00C739E4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Les </w:t>
            </w:r>
            <w:r w:rsidR="00C739E4">
              <w:rPr>
                <w:rFonts w:cs="Arial"/>
                <w:sz w:val="20"/>
                <w:szCs w:val="20"/>
                <w:lang w:val="fr-CA"/>
              </w:rPr>
              <w:t>d</w:t>
            </w:r>
            <w:r w:rsidR="00C739E4" w:rsidRPr="00D069F0">
              <w:rPr>
                <w:rFonts w:cs="Arial"/>
                <w:sz w:val="20"/>
                <w:szCs w:val="20"/>
                <w:lang w:val="fr-CA"/>
              </w:rPr>
              <w:t xml:space="preserve">ix 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principes </w:t>
            </w:r>
            <w:r w:rsidR="004C5A01">
              <w:rPr>
                <w:rFonts w:cs="Arial"/>
                <w:sz w:val="20"/>
                <w:szCs w:val="20"/>
                <w:lang w:val="fr-CA"/>
              </w:rPr>
              <w:t xml:space="preserve">du </w:t>
            </w:r>
            <w:r w:rsidR="004C5A01" w:rsidRPr="00D069F0">
              <w:rPr>
                <w:rFonts w:cs="Arial"/>
                <w:sz w:val="20"/>
                <w:szCs w:val="20"/>
                <w:lang w:val="fr-CA"/>
              </w:rPr>
              <w:t>Pacte mondial des Nations Unies</w:t>
            </w:r>
          </w:p>
        </w:tc>
        <w:tc>
          <w:tcPr>
            <w:tcW w:w="2208" w:type="dxa"/>
            <w:shd w:val="clear" w:color="auto" w:fill="auto"/>
          </w:tcPr>
          <w:p w14:paraId="16A2E16C" w14:textId="6A64792E" w:rsidR="00A46F1C" w:rsidRPr="00D069F0" w:rsidRDefault="00A46F1C" w:rsidP="004C5A01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>Q</w:t>
            </w:r>
            <w:r w:rsidR="00924B52" w:rsidRPr="00D069F0">
              <w:rPr>
                <w:rFonts w:cs="Arial"/>
                <w:sz w:val="20"/>
                <w:szCs w:val="20"/>
                <w:lang w:val="fr-CA"/>
              </w:rPr>
              <w:t>1. La société a-t-elle un cadre</w:t>
            </w:r>
            <w:r w:rsidR="005765F9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4C5A01">
              <w:rPr>
                <w:rFonts w:cs="Arial"/>
                <w:sz w:val="20"/>
                <w:szCs w:val="20"/>
                <w:lang w:val="fr-CA"/>
              </w:rPr>
              <w:t xml:space="preserve">ou </w:t>
            </w:r>
            <w:r w:rsidR="00924B52" w:rsidRPr="00D069F0">
              <w:rPr>
                <w:rFonts w:cs="Arial"/>
                <w:sz w:val="20"/>
                <w:szCs w:val="20"/>
                <w:lang w:val="fr-CA"/>
              </w:rPr>
              <w:t>des moyens pour gérer les questions liées à l’environnement et au développement durable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>?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480C5E5" w14:textId="1E70EFD3" w:rsidR="00A46F1C" w:rsidRPr="005D7206" w:rsidRDefault="008707B1" w:rsidP="005D7206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  <w:lang w:val="fr-CA"/>
              </w:rPr>
            </w:pPr>
            <w:r w:rsidRPr="005D7206">
              <w:rPr>
                <w:rFonts w:cs="Arial"/>
                <w:sz w:val="20"/>
                <w:szCs w:val="20"/>
                <w:lang w:val="fr-CA"/>
              </w:rPr>
              <w:t xml:space="preserve">Système de gestion de l’environnement </w:t>
            </w:r>
          </w:p>
          <w:p w14:paraId="4F0809BA" w14:textId="6DAD3DB4" w:rsidR="00A46F1C" w:rsidRPr="005D7206" w:rsidRDefault="008707B1" w:rsidP="005D720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r w:rsidRPr="005D7206">
              <w:rPr>
                <w:sz w:val="20"/>
                <w:szCs w:val="20"/>
                <w:lang w:val="fr-CA"/>
              </w:rPr>
              <w:t>Document sur la responsabilité sociale d</w:t>
            </w:r>
            <w:r w:rsidR="00CE0C60" w:rsidRPr="005D7206">
              <w:rPr>
                <w:sz w:val="20"/>
                <w:szCs w:val="20"/>
                <w:lang w:val="fr-CA"/>
              </w:rPr>
              <w:t>’</w:t>
            </w:r>
            <w:r w:rsidRPr="005D7206">
              <w:rPr>
                <w:sz w:val="20"/>
                <w:szCs w:val="20"/>
                <w:lang w:val="fr-CA"/>
              </w:rPr>
              <w:t xml:space="preserve">entreprise </w:t>
            </w:r>
          </w:p>
          <w:p w14:paraId="6C0A42E2" w14:textId="2A250A3E" w:rsidR="00A46F1C" w:rsidRPr="005D7206" w:rsidRDefault="008707B1" w:rsidP="005D7206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  <w:lang w:val="fr-CA"/>
              </w:rPr>
            </w:pPr>
            <w:r w:rsidRPr="005D7206">
              <w:rPr>
                <w:rFonts w:cs="Arial"/>
                <w:sz w:val="20"/>
                <w:szCs w:val="20"/>
                <w:lang w:val="fr-CA"/>
              </w:rPr>
              <w:t>Déclaration en matière</w:t>
            </w:r>
            <w:r w:rsidR="005A1F54" w:rsidRPr="005D7206">
              <w:rPr>
                <w:rFonts w:cs="Arial"/>
                <w:sz w:val="20"/>
                <w:szCs w:val="20"/>
                <w:lang w:val="fr-CA"/>
              </w:rPr>
              <w:t xml:space="preserve"> de </w:t>
            </w:r>
            <w:r w:rsidR="00365D87" w:rsidRPr="005D7206">
              <w:rPr>
                <w:rFonts w:cs="Arial"/>
                <w:sz w:val="20"/>
                <w:szCs w:val="20"/>
                <w:lang w:val="fr-CA"/>
              </w:rPr>
              <w:t>critères</w:t>
            </w:r>
            <w:r w:rsidRPr="005D7206">
              <w:rPr>
                <w:rFonts w:cs="Arial"/>
                <w:sz w:val="20"/>
                <w:szCs w:val="20"/>
                <w:lang w:val="fr-CA"/>
              </w:rPr>
              <w:t xml:space="preserve"> environnement</w:t>
            </w:r>
            <w:r w:rsidR="00365D87" w:rsidRPr="005D7206">
              <w:rPr>
                <w:rFonts w:cs="Arial"/>
                <w:sz w:val="20"/>
                <w:szCs w:val="20"/>
                <w:lang w:val="fr-CA"/>
              </w:rPr>
              <w:t>aux</w:t>
            </w:r>
            <w:r w:rsidRPr="005D7206">
              <w:rPr>
                <w:rFonts w:cs="Arial"/>
                <w:sz w:val="20"/>
                <w:szCs w:val="20"/>
                <w:lang w:val="fr-CA"/>
              </w:rPr>
              <w:t xml:space="preserve">, </w:t>
            </w:r>
            <w:r w:rsidR="00365D87" w:rsidRPr="005D7206">
              <w:rPr>
                <w:rFonts w:cs="Arial"/>
                <w:sz w:val="20"/>
                <w:szCs w:val="20"/>
                <w:lang w:val="fr-CA"/>
              </w:rPr>
              <w:t>sociaux</w:t>
            </w:r>
            <w:r w:rsidRPr="005D7206">
              <w:rPr>
                <w:rFonts w:cs="Arial"/>
                <w:sz w:val="20"/>
                <w:szCs w:val="20"/>
                <w:lang w:val="fr-CA"/>
              </w:rPr>
              <w:t xml:space="preserve"> et de gouvern</w:t>
            </w:r>
            <w:r w:rsidR="005765F9" w:rsidRPr="005D7206">
              <w:rPr>
                <w:rFonts w:cs="Arial"/>
                <w:sz w:val="20"/>
                <w:szCs w:val="20"/>
                <w:lang w:val="fr-CA"/>
              </w:rPr>
              <w:t>anc</w:t>
            </w:r>
            <w:r w:rsidRPr="005D7206">
              <w:rPr>
                <w:rFonts w:cs="Arial"/>
                <w:sz w:val="20"/>
                <w:szCs w:val="20"/>
                <w:lang w:val="fr-CA"/>
              </w:rPr>
              <w:t xml:space="preserve">e </w:t>
            </w:r>
          </w:p>
          <w:p w14:paraId="5CBF1A8A" w14:textId="7BE0AA73" w:rsidR="00BF3267" w:rsidRPr="005D7206" w:rsidRDefault="005765F9" w:rsidP="005D7206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  <w:lang w:val="fr-CA"/>
              </w:rPr>
            </w:pPr>
            <w:r w:rsidRPr="005D7206">
              <w:rPr>
                <w:rFonts w:cs="Arial"/>
                <w:sz w:val="20"/>
                <w:szCs w:val="20"/>
                <w:lang w:val="fr-CA"/>
              </w:rPr>
              <w:t xml:space="preserve">Harmonisation </w:t>
            </w:r>
            <w:r w:rsidR="004C5A01">
              <w:rPr>
                <w:rFonts w:cs="Arial"/>
                <w:sz w:val="20"/>
                <w:szCs w:val="20"/>
                <w:lang w:val="fr-CA"/>
              </w:rPr>
              <w:t>ou</w:t>
            </w:r>
            <w:r w:rsidRPr="005D7206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D35AC4" w:rsidRPr="005D7206">
              <w:rPr>
                <w:rFonts w:cs="Arial"/>
                <w:sz w:val="20"/>
                <w:szCs w:val="20"/>
                <w:lang w:val="fr-CA"/>
              </w:rPr>
              <w:t xml:space="preserve">mise en correspondance des activités de la société d’État avec les ODD </w:t>
            </w:r>
          </w:p>
          <w:p w14:paraId="75618630" w14:textId="3C81661D" w:rsidR="00A46F1C" w:rsidRPr="005D7206" w:rsidRDefault="00D35AC4" w:rsidP="005D7206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  <w:lang w:val="fr-CA"/>
              </w:rPr>
            </w:pPr>
            <w:r w:rsidRPr="005D7206">
              <w:rPr>
                <w:rFonts w:cs="Arial"/>
                <w:sz w:val="20"/>
                <w:szCs w:val="20"/>
                <w:lang w:val="fr-CA"/>
              </w:rPr>
              <w:t>Procès</w:t>
            </w:r>
            <w:r w:rsidRPr="005D7206">
              <w:rPr>
                <w:rFonts w:cs="Arial"/>
                <w:sz w:val="20"/>
                <w:szCs w:val="20"/>
                <w:lang w:val="fr-CA"/>
              </w:rPr>
              <w:noBreakHyphen/>
              <w:t xml:space="preserve">verbaux </w:t>
            </w:r>
            <w:r w:rsidR="008707B1" w:rsidRPr="005D7206">
              <w:rPr>
                <w:rFonts w:cs="Arial"/>
                <w:sz w:val="20"/>
                <w:szCs w:val="20"/>
                <w:lang w:val="fr-CA"/>
              </w:rPr>
              <w:t xml:space="preserve">des réunions du conseil d’administration </w:t>
            </w:r>
          </w:p>
          <w:p w14:paraId="323EFEEB" w14:textId="337D42CB" w:rsidR="00A46F1C" w:rsidRPr="005D7206" w:rsidRDefault="00D35AC4" w:rsidP="005D7206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  <w:lang w:val="fr-CA"/>
              </w:rPr>
            </w:pPr>
            <w:r w:rsidRPr="005D7206">
              <w:rPr>
                <w:rFonts w:cs="Arial"/>
                <w:sz w:val="20"/>
                <w:szCs w:val="20"/>
                <w:lang w:val="fr-CA"/>
              </w:rPr>
              <w:lastRenderedPageBreak/>
              <w:t>Procès</w:t>
            </w:r>
            <w:r w:rsidRPr="005D7206">
              <w:rPr>
                <w:rFonts w:cs="Arial"/>
                <w:sz w:val="20"/>
                <w:szCs w:val="20"/>
                <w:lang w:val="fr-CA"/>
              </w:rPr>
              <w:noBreakHyphen/>
              <w:t xml:space="preserve">verbaux des réunions </w:t>
            </w:r>
            <w:r w:rsidR="008707B1" w:rsidRPr="005D7206">
              <w:rPr>
                <w:rFonts w:cs="Arial"/>
                <w:sz w:val="20"/>
                <w:szCs w:val="20"/>
                <w:lang w:val="fr-CA"/>
              </w:rPr>
              <w:t xml:space="preserve">de la direction </w:t>
            </w:r>
          </w:p>
          <w:p w14:paraId="7A9066C4" w14:textId="3DC13E0F" w:rsidR="00A46F1C" w:rsidRPr="00D069F0" w:rsidRDefault="00A46F1C" w:rsidP="00A46F1C">
            <w:pPr>
              <w:spacing w:before="120"/>
              <w:rPr>
                <w:rFonts w:cs="Arial"/>
                <w:sz w:val="20"/>
                <w:szCs w:val="20"/>
                <w:lang w:val="fr-CA"/>
              </w:rPr>
            </w:pPr>
          </w:p>
          <w:p w14:paraId="01AEAD6D" w14:textId="2A32D3B8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927" w:type="dxa"/>
            <w:shd w:val="clear" w:color="auto" w:fill="auto"/>
          </w:tcPr>
          <w:p w14:paraId="3BB127AA" w14:textId="55741420" w:rsidR="00A46F1C" w:rsidRPr="00D069F0" w:rsidRDefault="00953895" w:rsidP="00A46F1C">
            <w:pPr>
              <w:spacing w:before="120" w:after="120"/>
              <w:rPr>
                <w:rFonts w:eastAsia="Times New Roman"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lastRenderedPageBreak/>
              <w:t>1a)</w:t>
            </w:r>
            <w:r w:rsidR="00D35AC4" w:rsidRPr="00D069F0">
              <w:rPr>
                <w:rFonts w:cs="Arial"/>
                <w:sz w:val="20"/>
                <w:szCs w:val="20"/>
                <w:lang w:val="fr-CA"/>
              </w:rPr>
              <w:t xml:space="preserve"> Examiner</w:t>
            </w:r>
            <w:r w:rsidR="00FF1185" w:rsidRPr="00D069F0">
              <w:rPr>
                <w:rFonts w:cs="Arial"/>
                <w:sz w:val="20"/>
                <w:szCs w:val="20"/>
                <w:lang w:val="fr-CA"/>
              </w:rPr>
              <w:t xml:space="preserve"> le </w:t>
            </w:r>
            <w:r w:rsidR="004C5A01">
              <w:rPr>
                <w:rFonts w:cs="Arial"/>
                <w:sz w:val="20"/>
                <w:szCs w:val="20"/>
                <w:lang w:val="fr-CA"/>
              </w:rPr>
              <w:t>s</w:t>
            </w:r>
            <w:r w:rsidR="004C5A01" w:rsidRPr="004C5A01">
              <w:rPr>
                <w:rFonts w:cs="Arial"/>
                <w:sz w:val="20"/>
                <w:szCs w:val="20"/>
                <w:lang w:val="fr-CA"/>
              </w:rPr>
              <w:t>ystème de gestion de l’environnement</w:t>
            </w:r>
            <w:r w:rsidR="00FF1185" w:rsidRPr="00D069F0">
              <w:rPr>
                <w:rFonts w:cs="Arial"/>
                <w:sz w:val="20"/>
                <w:szCs w:val="20"/>
                <w:lang w:val="fr-CA"/>
              </w:rPr>
              <w:t xml:space="preserve">, le document sur la </w:t>
            </w:r>
            <w:r w:rsidR="004C5A01" w:rsidRPr="004C5A01">
              <w:rPr>
                <w:rFonts w:cs="Arial"/>
                <w:sz w:val="20"/>
                <w:szCs w:val="20"/>
                <w:lang w:val="fr-CA"/>
              </w:rPr>
              <w:t>responsabilité sociale d’entreprise</w:t>
            </w:r>
            <w:r w:rsidR="00FF1185" w:rsidRPr="00D069F0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0F4614">
              <w:rPr>
                <w:rFonts w:cs="Arial"/>
                <w:sz w:val="20"/>
                <w:szCs w:val="20"/>
                <w:lang w:val="fr-CA"/>
              </w:rPr>
              <w:t>et</w:t>
            </w:r>
            <w:r w:rsidR="00FF1185" w:rsidRPr="00D069F0">
              <w:rPr>
                <w:rFonts w:cs="Arial"/>
                <w:sz w:val="20"/>
                <w:szCs w:val="20"/>
                <w:lang w:val="fr-CA"/>
              </w:rPr>
              <w:t xml:space="preserve"> la déclaration en matière </w:t>
            </w:r>
            <w:r w:rsidR="00C35610" w:rsidRPr="00C35610">
              <w:rPr>
                <w:rFonts w:cs="Arial"/>
                <w:sz w:val="20"/>
                <w:szCs w:val="20"/>
                <w:lang w:val="fr-CA"/>
              </w:rPr>
              <w:t>de critères environnementaux, sociaux et de gouvernance</w:t>
            </w:r>
            <w:r w:rsidR="00FF1185" w:rsidRPr="00D069F0">
              <w:rPr>
                <w:rFonts w:cs="Arial"/>
                <w:sz w:val="20"/>
                <w:szCs w:val="20"/>
                <w:lang w:val="fr-CA"/>
              </w:rPr>
              <w:t xml:space="preserve"> pour déterminer s’ils comportent les éléments suivants : </w:t>
            </w:r>
          </w:p>
          <w:p w14:paraId="164B7FF3" w14:textId="293B6CA3" w:rsidR="00A46F1C" w:rsidRPr="00D069F0" w:rsidRDefault="00716DF0" w:rsidP="00A46F1C">
            <w:pPr>
              <w:numPr>
                <w:ilvl w:val="0"/>
                <w:numId w:val="11"/>
              </w:numPr>
              <w:spacing w:before="120" w:after="120"/>
              <w:ind w:left="576" w:hanging="288"/>
              <w:rPr>
                <w:rFonts w:eastAsia="Calibri" w:cs="Arial"/>
                <w:sz w:val="20"/>
                <w:szCs w:val="20"/>
                <w:lang w:val="fr-CA" w:bidi="en-US"/>
              </w:rPr>
            </w:pPr>
            <w:r>
              <w:rPr>
                <w:rFonts w:eastAsia="Calibri" w:cs="Arial"/>
                <w:sz w:val="20"/>
                <w:szCs w:val="20"/>
                <w:lang w:val="fr-CA" w:bidi="en-US"/>
              </w:rPr>
              <w:t xml:space="preserve">un </w:t>
            </w:r>
            <w:r w:rsidR="00FF1185" w:rsidRPr="00D069F0">
              <w:rPr>
                <w:rFonts w:eastAsia="Calibri" w:cs="Arial"/>
                <w:sz w:val="20"/>
                <w:szCs w:val="20"/>
                <w:lang w:val="fr-CA" w:bidi="en-US"/>
              </w:rPr>
              <w:t xml:space="preserve">énoncé de politique; </w:t>
            </w:r>
          </w:p>
          <w:p w14:paraId="697842EC" w14:textId="67C36B73" w:rsidR="00A46F1C" w:rsidRPr="00D069F0" w:rsidRDefault="00716DF0" w:rsidP="00A46F1C">
            <w:pPr>
              <w:numPr>
                <w:ilvl w:val="0"/>
                <w:numId w:val="11"/>
              </w:numPr>
              <w:spacing w:before="120" w:after="120"/>
              <w:ind w:left="576" w:hanging="288"/>
              <w:rPr>
                <w:rFonts w:eastAsia="Calibri" w:cs="Arial"/>
                <w:sz w:val="20"/>
                <w:szCs w:val="20"/>
                <w:lang w:val="fr-CA" w:bidi="en-US"/>
              </w:rPr>
            </w:pPr>
            <w:r>
              <w:rPr>
                <w:rFonts w:eastAsia="Calibri" w:cs="Arial"/>
                <w:sz w:val="20"/>
                <w:szCs w:val="20"/>
                <w:lang w:val="fr-CA" w:bidi="en-US"/>
              </w:rPr>
              <w:t xml:space="preserve">la </w:t>
            </w:r>
            <w:r w:rsidR="00FF1185" w:rsidRPr="00D069F0">
              <w:rPr>
                <w:rFonts w:eastAsia="Calibri" w:cs="Arial"/>
                <w:sz w:val="20"/>
                <w:szCs w:val="20"/>
                <w:lang w:val="fr-CA" w:bidi="en-US"/>
              </w:rPr>
              <w:t xml:space="preserve">liste des exigences prévues par la loi; </w:t>
            </w:r>
          </w:p>
          <w:p w14:paraId="52AA68F9" w14:textId="49142CF8" w:rsidR="00A46F1C" w:rsidRPr="00D069F0" w:rsidRDefault="00716DF0" w:rsidP="00FF1185">
            <w:pPr>
              <w:numPr>
                <w:ilvl w:val="0"/>
                <w:numId w:val="11"/>
              </w:numPr>
              <w:spacing w:before="120" w:after="120"/>
              <w:ind w:left="576" w:hanging="288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 w:bidi="en-US"/>
              </w:rPr>
              <w:t xml:space="preserve">des </w:t>
            </w:r>
            <w:r w:rsidR="00FF1185" w:rsidRPr="00D069F0">
              <w:rPr>
                <w:rFonts w:eastAsia="Calibri" w:cs="Arial"/>
                <w:sz w:val="20"/>
                <w:szCs w:val="20"/>
                <w:lang w:val="fr-CA" w:bidi="en-US"/>
              </w:rPr>
              <w:t>objectifs et cibles mesurables en matière d</w:t>
            </w:r>
            <w:r w:rsidR="009010C3">
              <w:rPr>
                <w:rFonts w:eastAsia="Calibri" w:cs="Arial"/>
                <w:sz w:val="20"/>
                <w:szCs w:val="20"/>
                <w:lang w:val="fr-CA" w:bidi="en-US"/>
              </w:rPr>
              <w:t>’</w:t>
            </w:r>
            <w:r w:rsidR="00C35610">
              <w:rPr>
                <w:rFonts w:eastAsia="Calibri" w:cs="Arial"/>
                <w:sz w:val="20"/>
                <w:szCs w:val="20"/>
                <w:lang w:val="fr-CA" w:bidi="en-US"/>
              </w:rPr>
              <w:t>environnement et de développement durable</w:t>
            </w:r>
            <w:r w:rsidR="00FF1185" w:rsidRPr="00D069F0">
              <w:rPr>
                <w:rFonts w:eastAsia="Calibri" w:cs="Arial"/>
                <w:sz w:val="20"/>
                <w:szCs w:val="20"/>
                <w:lang w:val="fr-CA" w:bidi="en-US"/>
              </w:rPr>
              <w:t xml:space="preserve">.  </w:t>
            </w:r>
          </w:p>
        </w:tc>
      </w:tr>
      <w:tr w:rsidR="005D7206" w:rsidRPr="000378A1" w14:paraId="756C2414" w14:textId="77777777" w:rsidTr="006B1BE1">
        <w:trPr>
          <w:trHeight w:val="1356"/>
        </w:trPr>
        <w:tc>
          <w:tcPr>
            <w:tcW w:w="2065" w:type="dxa"/>
            <w:vMerge/>
          </w:tcPr>
          <w:p w14:paraId="25779175" w14:textId="14022B2C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7859" w:type="dxa"/>
            <w:vMerge/>
          </w:tcPr>
          <w:p w14:paraId="7713F617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208" w:type="dxa"/>
            <w:shd w:val="clear" w:color="auto" w:fill="auto"/>
          </w:tcPr>
          <w:p w14:paraId="5F1022C8" w14:textId="1D695EC3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Q2. </w:t>
            </w:r>
            <w:r w:rsidR="00D35AC4" w:rsidRPr="00D069F0">
              <w:rPr>
                <w:rFonts w:cs="Arial"/>
                <w:sz w:val="20"/>
                <w:szCs w:val="20"/>
                <w:lang w:val="fr-CA"/>
              </w:rPr>
              <w:t xml:space="preserve">Des rôles, attributions, pouvoirs, responsabilités et ressources appropriés </w:t>
            </w:r>
            <w:r w:rsidR="00716DF0">
              <w:rPr>
                <w:rFonts w:cs="Arial"/>
                <w:sz w:val="20"/>
                <w:szCs w:val="20"/>
                <w:lang w:val="fr-CA"/>
              </w:rPr>
              <w:t xml:space="preserve">sont-ils </w:t>
            </w:r>
            <w:r w:rsidR="00D35AC4" w:rsidRPr="00D069F0">
              <w:rPr>
                <w:rFonts w:cs="Arial"/>
                <w:sz w:val="20"/>
                <w:szCs w:val="20"/>
                <w:lang w:val="fr-CA"/>
              </w:rPr>
              <w:t xml:space="preserve">établis et </w:t>
            </w:r>
            <w:r w:rsidR="009963FA" w:rsidRPr="00B4226F">
              <w:rPr>
                <w:rFonts w:cs="Arial"/>
                <w:sz w:val="20"/>
                <w:szCs w:val="20"/>
                <w:lang w:val="fr-CA"/>
              </w:rPr>
              <w:lastRenderedPageBreak/>
              <w:t>approuvés</w:t>
            </w:r>
            <w:r w:rsidR="009963FA" w:rsidRPr="00D069F0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D35AC4" w:rsidRPr="00D069F0">
              <w:rPr>
                <w:rFonts w:cs="Arial"/>
                <w:sz w:val="20"/>
                <w:szCs w:val="20"/>
                <w:lang w:val="fr-CA"/>
              </w:rPr>
              <w:t>pour le cadre de gestion de l’</w:t>
            </w:r>
            <w:r w:rsidR="004C5A01">
              <w:rPr>
                <w:rFonts w:cs="Arial"/>
                <w:sz w:val="20"/>
                <w:szCs w:val="20"/>
                <w:lang w:val="fr-CA"/>
              </w:rPr>
              <w:t>environnement et du développement durable</w:t>
            </w:r>
            <w:r w:rsidR="00D35AC4" w:rsidRPr="00D069F0">
              <w:rPr>
                <w:rFonts w:cs="Arial"/>
                <w:sz w:val="20"/>
                <w:szCs w:val="20"/>
                <w:lang w:val="fr-CA"/>
              </w:rPr>
              <w:t>?</w:t>
            </w:r>
          </w:p>
          <w:p w14:paraId="53D4C039" w14:textId="43564133" w:rsidR="00BF3267" w:rsidRPr="00D069F0" w:rsidRDefault="00BF3267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3DF2BE4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927" w:type="dxa"/>
            <w:shd w:val="clear" w:color="auto" w:fill="auto"/>
          </w:tcPr>
          <w:p w14:paraId="3748BB6C" w14:textId="4478B877" w:rsidR="00A46F1C" w:rsidRPr="00D069F0" w:rsidRDefault="00953895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2a)</w:t>
            </w:r>
            <w:r w:rsidR="007431BD" w:rsidRPr="00D069F0">
              <w:rPr>
                <w:rFonts w:cs="Arial"/>
                <w:sz w:val="20"/>
                <w:szCs w:val="20"/>
                <w:lang w:val="fr-CA"/>
              </w:rPr>
              <w:t xml:space="preserve"> Examiner le </w:t>
            </w:r>
            <w:r w:rsidR="00C35610" w:rsidRPr="00C35610">
              <w:rPr>
                <w:rFonts w:cs="Arial"/>
                <w:sz w:val="20"/>
                <w:szCs w:val="20"/>
                <w:lang w:val="fr-CA"/>
              </w:rPr>
              <w:t>système de gestion de l’environnement</w:t>
            </w:r>
            <w:r w:rsidR="007431BD" w:rsidRPr="00D069F0">
              <w:rPr>
                <w:rFonts w:cs="Arial"/>
                <w:sz w:val="20"/>
                <w:szCs w:val="20"/>
                <w:lang w:val="fr-CA"/>
              </w:rPr>
              <w:t xml:space="preserve">, le document sur la </w:t>
            </w:r>
            <w:r w:rsidR="00C35610" w:rsidRPr="00C35610">
              <w:rPr>
                <w:rFonts w:cs="Arial"/>
                <w:sz w:val="20"/>
                <w:szCs w:val="20"/>
                <w:lang w:val="fr-CA"/>
              </w:rPr>
              <w:t>responsabilité sociale d’entreprise</w:t>
            </w:r>
            <w:r w:rsidR="007431BD" w:rsidRPr="00D069F0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0F4614">
              <w:rPr>
                <w:rFonts w:cs="Arial"/>
                <w:sz w:val="20"/>
                <w:szCs w:val="20"/>
                <w:lang w:val="fr-CA"/>
              </w:rPr>
              <w:t>et</w:t>
            </w:r>
            <w:r w:rsidR="007431BD" w:rsidRPr="00D069F0">
              <w:rPr>
                <w:rFonts w:cs="Arial"/>
                <w:sz w:val="20"/>
                <w:szCs w:val="20"/>
                <w:lang w:val="fr-CA"/>
              </w:rPr>
              <w:t xml:space="preserve"> la déclaration </w:t>
            </w:r>
            <w:r w:rsidR="007431BD" w:rsidRPr="00D069F0">
              <w:rPr>
                <w:rFonts w:cs="Arial"/>
                <w:sz w:val="20"/>
                <w:szCs w:val="20"/>
                <w:lang w:val="fr-CA"/>
              </w:rPr>
              <w:lastRenderedPageBreak/>
              <w:t xml:space="preserve">en matière </w:t>
            </w:r>
            <w:r w:rsidR="00C35610" w:rsidRPr="00C35610">
              <w:rPr>
                <w:rFonts w:cs="Arial"/>
                <w:sz w:val="20"/>
                <w:szCs w:val="20"/>
                <w:lang w:val="fr-CA"/>
              </w:rPr>
              <w:t>de critères environnementaux, sociaux et de gouvernance</w:t>
            </w:r>
            <w:r w:rsidR="007431BD" w:rsidRPr="00D069F0">
              <w:rPr>
                <w:rFonts w:cs="Arial"/>
                <w:sz w:val="20"/>
                <w:szCs w:val="20"/>
                <w:lang w:val="fr-CA"/>
              </w:rPr>
              <w:t xml:space="preserve"> pour </w:t>
            </w:r>
            <w:r w:rsidR="001D4217">
              <w:rPr>
                <w:rFonts w:cs="Arial"/>
                <w:sz w:val="20"/>
                <w:szCs w:val="20"/>
                <w:lang w:val="fr-CA"/>
              </w:rPr>
              <w:t>vérifier</w:t>
            </w:r>
            <w:r w:rsidR="001D4217" w:rsidRPr="00D069F0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7431BD" w:rsidRPr="00D069F0">
              <w:rPr>
                <w:rFonts w:cs="Arial"/>
                <w:sz w:val="20"/>
                <w:szCs w:val="20"/>
                <w:lang w:val="fr-CA"/>
              </w:rPr>
              <w:t xml:space="preserve">que les rôles, attributions, pouvoirs, responsabilités et ressources ont été établis et </w:t>
            </w:r>
            <w:r w:rsidR="00B4226F" w:rsidRPr="00B4226F">
              <w:rPr>
                <w:rFonts w:cs="Arial"/>
                <w:sz w:val="20"/>
                <w:szCs w:val="20"/>
                <w:lang w:val="fr-CA"/>
              </w:rPr>
              <w:t>approuvés</w:t>
            </w:r>
            <w:r w:rsidR="00A46F1C" w:rsidRPr="00B4226F">
              <w:rPr>
                <w:rFonts w:cs="Arial"/>
                <w:sz w:val="20"/>
                <w:szCs w:val="20"/>
                <w:lang w:val="fr-CA"/>
              </w:rPr>
              <w:t>.</w:t>
            </w:r>
          </w:p>
          <w:p w14:paraId="43A393DB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5D7206" w:rsidRPr="000378A1" w14:paraId="4DB48766" w14:textId="77777777" w:rsidTr="006B1BE1">
        <w:trPr>
          <w:trHeight w:val="1356"/>
        </w:trPr>
        <w:tc>
          <w:tcPr>
            <w:tcW w:w="2065" w:type="dxa"/>
            <w:vMerge/>
          </w:tcPr>
          <w:p w14:paraId="50B10634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7859" w:type="dxa"/>
            <w:vMerge/>
          </w:tcPr>
          <w:p w14:paraId="3247EB4F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208" w:type="dxa"/>
            <w:shd w:val="clear" w:color="auto" w:fill="auto"/>
          </w:tcPr>
          <w:p w14:paraId="0C1AF731" w14:textId="2D20371A" w:rsidR="00A46F1C" w:rsidRPr="00D069F0" w:rsidRDefault="00D35AC4" w:rsidP="004A061F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6264AD">
              <w:rPr>
                <w:rFonts w:cs="Arial"/>
                <w:sz w:val="20"/>
                <w:szCs w:val="20"/>
                <w:lang w:val="fr-CA"/>
              </w:rPr>
              <w:t>Q3. La société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 connaît-elle </w:t>
            </w:r>
            <w:r w:rsidR="00C35610">
              <w:rPr>
                <w:rFonts w:cs="Arial"/>
                <w:sz w:val="20"/>
                <w:szCs w:val="20"/>
                <w:lang w:val="fr-CA"/>
              </w:rPr>
              <w:t xml:space="preserve">les 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>ODD</w:t>
            </w:r>
            <w:r w:rsidR="00A46F1C" w:rsidRPr="00D069F0">
              <w:rPr>
                <w:rFonts w:cs="Arial"/>
                <w:sz w:val="20"/>
                <w:szCs w:val="20"/>
                <w:lang w:val="fr-CA"/>
              </w:rPr>
              <w:t>?</w:t>
            </w:r>
          </w:p>
        </w:tc>
        <w:tc>
          <w:tcPr>
            <w:tcW w:w="2211" w:type="dxa"/>
            <w:vMerge/>
            <w:shd w:val="clear" w:color="auto" w:fill="auto"/>
          </w:tcPr>
          <w:p w14:paraId="0189BCD7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927" w:type="dxa"/>
            <w:shd w:val="clear" w:color="auto" w:fill="auto"/>
          </w:tcPr>
          <w:p w14:paraId="20A545C9" w14:textId="1A675A2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>3a</w:t>
            </w:r>
            <w:r w:rsidR="00953895">
              <w:rPr>
                <w:rFonts w:cs="Arial"/>
                <w:sz w:val="20"/>
                <w:szCs w:val="20"/>
                <w:lang w:val="fr-CA"/>
              </w:rPr>
              <w:t xml:space="preserve">) </w:t>
            </w:r>
            <w:r w:rsidR="004B6AFC">
              <w:rPr>
                <w:rFonts w:cs="Arial"/>
                <w:sz w:val="20"/>
                <w:szCs w:val="20"/>
                <w:lang w:val="fr-CA"/>
              </w:rPr>
              <w:t>Vérifier</w:t>
            </w:r>
            <w:r w:rsidR="004B6AFC" w:rsidRPr="00D069F0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7431BD" w:rsidRPr="00D069F0">
              <w:rPr>
                <w:rFonts w:cs="Arial"/>
                <w:sz w:val="20"/>
                <w:szCs w:val="20"/>
                <w:lang w:val="fr-CA"/>
              </w:rPr>
              <w:t>si la société connaît les ODD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>.</w:t>
            </w:r>
          </w:p>
          <w:p w14:paraId="1C1E33C3" w14:textId="510EBEFE" w:rsidR="00A46F1C" w:rsidRPr="00D069F0" w:rsidRDefault="00A46F1C" w:rsidP="00A46F1C">
            <w:pPr>
              <w:spacing w:before="120" w:after="120"/>
              <w:rPr>
                <w:rFonts w:eastAsia="Calibri" w:cs="Arial"/>
                <w:sz w:val="20"/>
                <w:szCs w:val="20"/>
                <w:lang w:val="fr-CA" w:bidi="en-US"/>
              </w:rPr>
            </w:pPr>
          </w:p>
        </w:tc>
      </w:tr>
      <w:tr w:rsidR="005D7206" w:rsidRPr="000378A1" w14:paraId="14F2F702" w14:textId="77777777" w:rsidTr="006B1BE1">
        <w:trPr>
          <w:trHeight w:val="1356"/>
        </w:trPr>
        <w:tc>
          <w:tcPr>
            <w:tcW w:w="2065" w:type="dxa"/>
            <w:vMerge/>
          </w:tcPr>
          <w:p w14:paraId="21BB24F1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7859" w:type="dxa"/>
            <w:vMerge/>
          </w:tcPr>
          <w:p w14:paraId="2384FB48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208" w:type="dxa"/>
            <w:shd w:val="clear" w:color="auto" w:fill="auto"/>
          </w:tcPr>
          <w:p w14:paraId="38B5DC5A" w14:textId="2B87F1BE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>Q4</w:t>
            </w:r>
            <w:r w:rsidR="006264AD">
              <w:rPr>
                <w:rFonts w:cs="Arial"/>
                <w:sz w:val="20"/>
                <w:szCs w:val="20"/>
                <w:lang w:val="fr-CA"/>
              </w:rPr>
              <w:t>.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D35AC4" w:rsidRPr="00D069F0">
              <w:rPr>
                <w:rFonts w:cs="Arial"/>
                <w:sz w:val="20"/>
                <w:szCs w:val="20"/>
                <w:lang w:val="fr-CA"/>
              </w:rPr>
              <w:t>La société contribue-t-elle à l’atteinte d’ODD ou de cibles</w:t>
            </w:r>
            <w:r w:rsidR="00C35610">
              <w:rPr>
                <w:rFonts w:cs="Arial"/>
                <w:sz w:val="20"/>
                <w:szCs w:val="20"/>
                <w:lang w:val="fr-CA"/>
              </w:rPr>
              <w:t xml:space="preserve"> des ODD</w:t>
            </w:r>
            <w:r w:rsidR="00D35AC4" w:rsidRPr="00D069F0">
              <w:rPr>
                <w:rFonts w:cs="Arial"/>
                <w:sz w:val="20"/>
                <w:szCs w:val="20"/>
                <w:lang w:val="fr-CA"/>
              </w:rPr>
              <w:t xml:space="preserve">? </w:t>
            </w:r>
          </w:p>
          <w:p w14:paraId="3FA8C8CE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92C63E6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927" w:type="dxa"/>
            <w:shd w:val="clear" w:color="auto" w:fill="auto"/>
          </w:tcPr>
          <w:p w14:paraId="470138F5" w14:textId="29C9D296" w:rsidR="00A46F1C" w:rsidRPr="00D069F0" w:rsidRDefault="00953895" w:rsidP="006264AD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 xml:space="preserve">4a) </w:t>
            </w:r>
            <w:r w:rsidR="007431BD" w:rsidRPr="00D069F0">
              <w:rPr>
                <w:rFonts w:cs="Arial"/>
                <w:sz w:val="20"/>
                <w:szCs w:val="20"/>
                <w:lang w:val="fr-CA"/>
              </w:rPr>
              <w:t>Revoir le document d’</w:t>
            </w:r>
            <w:r w:rsidR="004B6AFC">
              <w:rPr>
                <w:rFonts w:cs="Arial"/>
                <w:sz w:val="20"/>
                <w:szCs w:val="20"/>
                <w:lang w:val="fr-CA"/>
              </w:rPr>
              <w:t xml:space="preserve">harmonisation </w:t>
            </w:r>
            <w:r w:rsidR="00C35610">
              <w:rPr>
                <w:rFonts w:cs="Arial"/>
                <w:sz w:val="20"/>
                <w:szCs w:val="20"/>
                <w:lang w:val="fr-CA"/>
              </w:rPr>
              <w:t xml:space="preserve">ou </w:t>
            </w:r>
            <w:r w:rsidR="007431BD" w:rsidRPr="00D069F0">
              <w:rPr>
                <w:rFonts w:cs="Arial"/>
                <w:sz w:val="20"/>
                <w:szCs w:val="20"/>
                <w:lang w:val="fr-CA"/>
              </w:rPr>
              <w:t xml:space="preserve">de mise en correspondance des ODD pour </w:t>
            </w:r>
            <w:r w:rsidR="00245270">
              <w:rPr>
                <w:rFonts w:cs="Arial"/>
                <w:sz w:val="20"/>
                <w:szCs w:val="20"/>
                <w:lang w:val="fr-CA"/>
              </w:rPr>
              <w:t>vérifier</w:t>
            </w:r>
            <w:r w:rsidR="00245270" w:rsidRPr="00D069F0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7431BD" w:rsidRPr="00D069F0">
              <w:rPr>
                <w:rFonts w:cs="Arial"/>
                <w:sz w:val="20"/>
                <w:szCs w:val="20"/>
                <w:lang w:val="fr-CA"/>
              </w:rPr>
              <w:t xml:space="preserve">quelles cibles des ODD ont été cernées </w:t>
            </w:r>
            <w:r w:rsidR="00C967ED" w:rsidRPr="00D069F0">
              <w:rPr>
                <w:rFonts w:cs="Arial"/>
                <w:sz w:val="20"/>
                <w:szCs w:val="20"/>
                <w:lang w:val="fr-CA"/>
              </w:rPr>
              <w:t xml:space="preserve">et quelles activités contribuent à la mise en œuvre des cibles </w:t>
            </w:r>
            <w:r w:rsidR="00172B62" w:rsidRPr="00D069F0">
              <w:rPr>
                <w:rFonts w:cs="Arial"/>
                <w:sz w:val="20"/>
                <w:szCs w:val="20"/>
                <w:lang w:val="fr-CA"/>
              </w:rPr>
              <w:t xml:space="preserve">des </w:t>
            </w:r>
            <w:r w:rsidR="00C967ED" w:rsidRPr="00D069F0">
              <w:rPr>
                <w:rFonts w:cs="Arial"/>
                <w:sz w:val="20"/>
                <w:szCs w:val="20"/>
                <w:lang w:val="fr-CA"/>
              </w:rPr>
              <w:t xml:space="preserve">ODD. </w:t>
            </w:r>
          </w:p>
        </w:tc>
      </w:tr>
      <w:tr w:rsidR="005D7206" w:rsidRPr="000378A1" w14:paraId="019ECBBD" w14:textId="77777777" w:rsidTr="00667E51">
        <w:trPr>
          <w:trHeight w:val="1376"/>
        </w:trPr>
        <w:tc>
          <w:tcPr>
            <w:tcW w:w="2065" w:type="dxa"/>
            <w:vMerge w:val="restart"/>
          </w:tcPr>
          <w:p w14:paraId="3FBEE126" w14:textId="4734A58B" w:rsidR="00A46F1C" w:rsidRPr="00D069F0" w:rsidRDefault="00D069F0" w:rsidP="00D069F0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Évaluation </w:t>
            </w:r>
            <w:r>
              <w:rPr>
                <w:rFonts w:cs="Arial"/>
                <w:sz w:val="20"/>
                <w:szCs w:val="20"/>
                <w:lang w:val="fr-CA"/>
              </w:rPr>
              <w:t xml:space="preserve">des risques liés à l’environnement et au développement durable </w:t>
            </w:r>
          </w:p>
        </w:tc>
        <w:tc>
          <w:tcPr>
            <w:tcW w:w="7859" w:type="dxa"/>
            <w:vMerge w:val="restart"/>
          </w:tcPr>
          <w:p w14:paraId="406A1115" w14:textId="570F439A" w:rsidR="00A46F1C" w:rsidRPr="00D069F0" w:rsidRDefault="00D069F0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La société évalue les risques </w:t>
            </w:r>
            <w:r>
              <w:rPr>
                <w:rFonts w:cs="Arial"/>
                <w:sz w:val="20"/>
                <w:szCs w:val="20"/>
                <w:lang w:val="fr-CA"/>
              </w:rPr>
              <w:t>liés à l’environnement et au développement durable, les possibilités qui se présentent à cet égard ainsi que les</w:t>
            </w:r>
            <w:r w:rsidR="00467E2C">
              <w:rPr>
                <w:rFonts w:cs="Arial"/>
                <w:sz w:val="20"/>
                <w:szCs w:val="20"/>
                <w:lang w:val="fr-CA"/>
              </w:rPr>
              <w:t xml:space="preserve"> obligations de réparer</w:t>
            </w:r>
            <w:r w:rsidR="00A46F1C" w:rsidRPr="00D069F0">
              <w:rPr>
                <w:rFonts w:cs="Arial"/>
                <w:sz w:val="20"/>
                <w:szCs w:val="20"/>
                <w:lang w:val="fr-CA"/>
              </w:rPr>
              <w:t>.</w:t>
            </w:r>
          </w:p>
          <w:p w14:paraId="5DD10977" w14:textId="4C9A6F14" w:rsidR="00A46F1C" w:rsidRPr="00D069F0" w:rsidRDefault="00A46F1C" w:rsidP="00A46F1C">
            <w:pPr>
              <w:spacing w:before="120" w:after="120"/>
              <w:rPr>
                <w:rFonts w:cs="Arial"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140153">
              <w:rPr>
                <w:rFonts w:cs="Arial"/>
                <w:color w:val="000000" w:themeColor="text1"/>
                <w:sz w:val="20"/>
                <w:szCs w:val="20"/>
                <w:lang w:val="fr-CA"/>
              </w:rPr>
              <w:t>Sources</w:t>
            </w:r>
            <w:r w:rsidR="009010C3">
              <w:rPr>
                <w:rFonts w:cs="Arial"/>
                <w:color w:val="000000" w:themeColor="text1"/>
                <w:sz w:val="20"/>
                <w:szCs w:val="20"/>
                <w:lang w:val="fr-CA"/>
              </w:rPr>
              <w:t> </w:t>
            </w:r>
            <w:r w:rsidRPr="00467E2C">
              <w:rPr>
                <w:rFonts w:cs="Arial"/>
                <w:color w:val="000000" w:themeColor="text1"/>
                <w:sz w:val="20"/>
                <w:szCs w:val="20"/>
                <w:lang w:val="fr-CA"/>
              </w:rPr>
              <w:t>:</w:t>
            </w:r>
          </w:p>
          <w:p w14:paraId="64D5DD08" w14:textId="77777777" w:rsidR="00467E2C" w:rsidRPr="00467E2C" w:rsidRDefault="00467E2C" w:rsidP="003B76A0">
            <w:pPr>
              <w:pStyle w:val="Paragraphedeliste"/>
              <w:numPr>
                <w:ilvl w:val="0"/>
                <w:numId w:val="1"/>
              </w:numPr>
              <w:spacing w:before="120"/>
              <w:ind w:hanging="270"/>
              <w:rPr>
                <w:rFonts w:cs="Arial"/>
                <w:sz w:val="20"/>
                <w:szCs w:val="20"/>
                <w:lang w:val="fr-CA"/>
              </w:rPr>
            </w:pPr>
            <w:r w:rsidRPr="00467E2C">
              <w:rPr>
                <w:rFonts w:cs="Arial"/>
                <w:sz w:val="20"/>
                <w:szCs w:val="20"/>
                <w:lang w:val="fr-CA"/>
              </w:rPr>
              <w:t>Organisation internationale de normalisation, Norme ISO 14001 – Systèmes de management environnemental</w:t>
            </w:r>
          </w:p>
          <w:p w14:paraId="7B8D6C5F" w14:textId="450EB00A" w:rsidR="00467E2C" w:rsidRPr="00467E2C" w:rsidRDefault="00467E2C" w:rsidP="003B76A0">
            <w:pPr>
              <w:pStyle w:val="Paragraphedeliste"/>
              <w:numPr>
                <w:ilvl w:val="0"/>
                <w:numId w:val="1"/>
              </w:numPr>
              <w:spacing w:before="120"/>
              <w:ind w:hanging="270"/>
              <w:rPr>
                <w:rFonts w:cs="Arial"/>
                <w:sz w:val="20"/>
                <w:szCs w:val="20"/>
                <w:lang w:val="fr-CA"/>
              </w:rPr>
            </w:pPr>
            <w:r w:rsidRPr="00467E2C">
              <w:rPr>
                <w:rFonts w:cs="Arial"/>
                <w:sz w:val="20"/>
                <w:szCs w:val="20"/>
                <w:lang w:val="fr-CA"/>
              </w:rPr>
              <w:t>Commission de coopération environnementale, Améliorer la performance environnementale et la conformité à la législation sur l’environnement</w:t>
            </w:r>
            <w:r w:rsidR="009010C3">
              <w:rPr>
                <w:rFonts w:cs="Arial"/>
                <w:sz w:val="20"/>
                <w:szCs w:val="20"/>
                <w:lang w:val="fr-CA"/>
              </w:rPr>
              <w:t> </w:t>
            </w:r>
            <w:r w:rsidRPr="00467E2C">
              <w:rPr>
                <w:rFonts w:cs="Arial"/>
                <w:sz w:val="20"/>
                <w:szCs w:val="20"/>
                <w:lang w:val="fr-CA"/>
              </w:rPr>
              <w:t>: Dix éléments pour des systèmes efficaces de gestion de l’environnement, 2000</w:t>
            </w:r>
          </w:p>
          <w:p w14:paraId="31CB64DB" w14:textId="139CBBAF" w:rsidR="00A46F1C" w:rsidRPr="00D069F0" w:rsidRDefault="00467E2C" w:rsidP="003B76A0">
            <w:pPr>
              <w:pStyle w:val="Paragraphedeliste"/>
              <w:numPr>
                <w:ilvl w:val="0"/>
                <w:numId w:val="1"/>
              </w:numPr>
              <w:spacing w:before="120"/>
              <w:ind w:left="374" w:hanging="270"/>
              <w:rPr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 xml:space="preserve">Nations Unies, </w:t>
            </w:r>
            <w:r w:rsidR="00C35610">
              <w:rPr>
                <w:rFonts w:cs="Arial"/>
                <w:sz w:val="20"/>
                <w:szCs w:val="20"/>
                <w:lang w:val="fr-CA"/>
              </w:rPr>
              <w:t xml:space="preserve">Transformer notre monde : Le </w:t>
            </w:r>
            <w:r>
              <w:rPr>
                <w:rFonts w:cs="Arial"/>
                <w:sz w:val="20"/>
                <w:szCs w:val="20"/>
                <w:lang w:val="fr-CA"/>
              </w:rPr>
              <w:t>Programme de développement durable à l’horizon</w:t>
            </w:r>
            <w:r w:rsidR="009010C3">
              <w:rPr>
                <w:rFonts w:cs="Arial"/>
                <w:sz w:val="20"/>
                <w:szCs w:val="20"/>
                <w:lang w:val="fr-CA"/>
              </w:rPr>
              <w:t> </w:t>
            </w:r>
            <w:r w:rsidR="00A46F1C" w:rsidRPr="00D069F0">
              <w:rPr>
                <w:rFonts w:cs="Arial"/>
                <w:sz w:val="20"/>
                <w:szCs w:val="20"/>
                <w:lang w:val="fr-CA"/>
              </w:rPr>
              <w:t>2030, 2015</w:t>
            </w:r>
          </w:p>
          <w:p w14:paraId="012D8148" w14:textId="692C00F0" w:rsidR="008516F9" w:rsidRPr="00D069F0" w:rsidRDefault="008516F9" w:rsidP="003B76A0">
            <w:pPr>
              <w:pStyle w:val="Paragraphedeliste"/>
              <w:numPr>
                <w:ilvl w:val="0"/>
                <w:numId w:val="1"/>
              </w:numPr>
              <w:spacing w:before="120"/>
              <w:ind w:left="374" w:hanging="27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lastRenderedPageBreak/>
              <w:t xml:space="preserve">Organisation internationale de normalisation, Norme ISO 26000 – Responsabilité sociétale, 2010 </w:t>
            </w:r>
          </w:p>
          <w:p w14:paraId="68B127A1" w14:textId="3EA080E3" w:rsidR="00A46F1C" w:rsidRPr="00D069F0" w:rsidRDefault="008516F9" w:rsidP="000F4614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Les </w:t>
            </w:r>
            <w:r w:rsidR="00245270">
              <w:rPr>
                <w:rFonts w:cs="Arial"/>
                <w:sz w:val="20"/>
                <w:szCs w:val="20"/>
                <w:lang w:val="fr-CA"/>
              </w:rPr>
              <w:t>d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>ix principes</w:t>
            </w:r>
            <w:r w:rsidR="000F4614" w:rsidRPr="005D7206">
              <w:rPr>
                <w:lang w:val="fr-CA"/>
              </w:rPr>
              <w:t xml:space="preserve"> </w:t>
            </w:r>
            <w:r w:rsidR="000F4614">
              <w:rPr>
                <w:rFonts w:cs="Arial"/>
                <w:sz w:val="20"/>
                <w:szCs w:val="20"/>
                <w:lang w:val="fr-CA"/>
              </w:rPr>
              <w:t xml:space="preserve">du </w:t>
            </w:r>
            <w:r w:rsidR="000F4614" w:rsidRPr="000F4614">
              <w:rPr>
                <w:rFonts w:cs="Arial"/>
                <w:sz w:val="20"/>
                <w:szCs w:val="20"/>
                <w:lang w:val="fr-CA"/>
              </w:rPr>
              <w:t>Pacte mondial des Nations Unies</w:t>
            </w:r>
          </w:p>
        </w:tc>
        <w:tc>
          <w:tcPr>
            <w:tcW w:w="2208" w:type="dxa"/>
          </w:tcPr>
          <w:p w14:paraId="7FB3D8AE" w14:textId="76EA9B92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lastRenderedPageBreak/>
              <w:t xml:space="preserve">Q1. </w:t>
            </w:r>
            <w:r w:rsidR="008516F9">
              <w:rPr>
                <w:rFonts w:cs="Arial"/>
                <w:sz w:val="20"/>
                <w:szCs w:val="20"/>
                <w:lang w:val="fr-CA"/>
              </w:rPr>
              <w:t>La société a</w:t>
            </w:r>
            <w:r w:rsidR="008516F9">
              <w:rPr>
                <w:rFonts w:cs="Arial"/>
                <w:sz w:val="20"/>
                <w:szCs w:val="20"/>
                <w:lang w:val="fr-CA"/>
              </w:rPr>
              <w:noBreakHyphen/>
              <w:t>t</w:t>
            </w:r>
            <w:r w:rsidR="008516F9">
              <w:rPr>
                <w:rFonts w:cs="Arial"/>
                <w:sz w:val="20"/>
                <w:szCs w:val="20"/>
                <w:lang w:val="fr-CA"/>
              </w:rPr>
              <w:noBreakHyphen/>
              <w:t xml:space="preserve">elle un processus pour </w:t>
            </w:r>
            <w:r w:rsidR="00245270">
              <w:rPr>
                <w:rFonts w:cs="Arial"/>
                <w:sz w:val="20"/>
                <w:szCs w:val="20"/>
                <w:lang w:val="fr-CA"/>
              </w:rPr>
              <w:t xml:space="preserve">recenser </w:t>
            </w:r>
            <w:r w:rsidR="008516F9">
              <w:rPr>
                <w:rFonts w:cs="Arial"/>
                <w:sz w:val="20"/>
                <w:szCs w:val="20"/>
                <w:lang w:val="fr-CA"/>
              </w:rPr>
              <w:t>et évaluer les risques liés à l’</w:t>
            </w:r>
            <w:r w:rsidR="00C35610">
              <w:rPr>
                <w:rFonts w:cs="Arial"/>
                <w:sz w:val="20"/>
                <w:szCs w:val="20"/>
                <w:lang w:val="fr-CA"/>
              </w:rPr>
              <w:t>environnement et au développement durable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? </w:t>
            </w:r>
          </w:p>
          <w:p w14:paraId="31CC72C5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  <w:p w14:paraId="0B5BB3E8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  <w:p w14:paraId="0FDF4F8A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  <w:p w14:paraId="04FB0DCB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  <w:p w14:paraId="7D586D16" w14:textId="4CB6DC7F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211" w:type="dxa"/>
            <w:vMerge w:val="restart"/>
          </w:tcPr>
          <w:p w14:paraId="2A2EA14B" w14:textId="12DB4DFC" w:rsidR="00A46F1C" w:rsidRPr="005D7206" w:rsidRDefault="008707B1" w:rsidP="005D7206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  <w:lang w:val="fr-CA"/>
              </w:rPr>
            </w:pPr>
            <w:r w:rsidRPr="005D7206">
              <w:rPr>
                <w:rFonts w:cs="Arial"/>
                <w:sz w:val="20"/>
                <w:szCs w:val="20"/>
                <w:lang w:val="fr-CA"/>
              </w:rPr>
              <w:t>Profil d</w:t>
            </w:r>
            <w:r w:rsidR="00924B52" w:rsidRPr="005D7206">
              <w:rPr>
                <w:rFonts w:cs="Arial"/>
                <w:sz w:val="20"/>
                <w:szCs w:val="20"/>
                <w:lang w:val="fr-CA"/>
              </w:rPr>
              <w:t>e</w:t>
            </w:r>
            <w:r w:rsidRPr="005D7206">
              <w:rPr>
                <w:rFonts w:cs="Arial"/>
                <w:sz w:val="20"/>
                <w:szCs w:val="20"/>
                <w:lang w:val="fr-CA"/>
              </w:rPr>
              <w:t xml:space="preserve"> risque </w:t>
            </w:r>
            <w:r w:rsidR="00924B52" w:rsidRPr="005D7206">
              <w:rPr>
                <w:rFonts w:cs="Arial"/>
                <w:sz w:val="20"/>
                <w:szCs w:val="20"/>
                <w:lang w:val="fr-CA"/>
              </w:rPr>
              <w:t xml:space="preserve">de l’organisation </w:t>
            </w:r>
          </w:p>
          <w:p w14:paraId="5E94B9FE" w14:textId="557B5196" w:rsidR="00A46F1C" w:rsidRPr="005D7206" w:rsidRDefault="00924B52" w:rsidP="005D720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r w:rsidRPr="005D7206">
              <w:rPr>
                <w:sz w:val="20"/>
                <w:szCs w:val="20"/>
                <w:lang w:val="fr-CA"/>
              </w:rPr>
              <w:t>Profil des risques liés à l’</w:t>
            </w:r>
            <w:r w:rsidR="00C35610">
              <w:rPr>
                <w:sz w:val="20"/>
                <w:szCs w:val="20"/>
                <w:lang w:val="fr-CA"/>
              </w:rPr>
              <w:t>environnement et au développement durable</w:t>
            </w:r>
            <w:r w:rsidRPr="005D7206">
              <w:rPr>
                <w:sz w:val="20"/>
                <w:szCs w:val="20"/>
                <w:lang w:val="fr-CA"/>
              </w:rPr>
              <w:t xml:space="preserve"> </w:t>
            </w:r>
          </w:p>
          <w:p w14:paraId="4A1AA7D0" w14:textId="21B13DF9" w:rsidR="00A46F1C" w:rsidRPr="005D7206" w:rsidRDefault="00D35AC4" w:rsidP="005D720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r w:rsidRPr="005D7206">
              <w:rPr>
                <w:sz w:val="20"/>
                <w:szCs w:val="20"/>
                <w:lang w:val="fr-CA"/>
              </w:rPr>
              <w:t xml:space="preserve">Procès-verbaux </w:t>
            </w:r>
            <w:r w:rsidR="00924B52" w:rsidRPr="005D7206">
              <w:rPr>
                <w:sz w:val="20"/>
                <w:szCs w:val="20"/>
                <w:lang w:val="fr-CA"/>
              </w:rPr>
              <w:t xml:space="preserve">des réunions du </w:t>
            </w:r>
            <w:r w:rsidR="00996783" w:rsidRPr="005D7206">
              <w:rPr>
                <w:sz w:val="20"/>
                <w:szCs w:val="20"/>
                <w:lang w:val="fr-CA"/>
              </w:rPr>
              <w:t>c</w:t>
            </w:r>
            <w:r w:rsidR="00924B52" w:rsidRPr="005D7206">
              <w:rPr>
                <w:sz w:val="20"/>
                <w:szCs w:val="20"/>
                <w:lang w:val="fr-CA"/>
              </w:rPr>
              <w:t xml:space="preserve">omité de gestion des risques (s’il y a lieu) </w:t>
            </w:r>
          </w:p>
          <w:p w14:paraId="2ABDF7A5" w14:textId="01C0F49F" w:rsidR="00A46F1C" w:rsidRPr="005D7206" w:rsidRDefault="00924B52" w:rsidP="005D7206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  <w:lang w:val="fr-CA"/>
              </w:rPr>
            </w:pPr>
            <w:r w:rsidRPr="005D7206">
              <w:rPr>
                <w:rFonts w:cs="Arial"/>
                <w:sz w:val="20"/>
                <w:szCs w:val="20"/>
                <w:lang w:val="fr-CA"/>
              </w:rPr>
              <w:lastRenderedPageBreak/>
              <w:t xml:space="preserve">Rapports périodiques d’évaluation des risques </w:t>
            </w:r>
          </w:p>
          <w:p w14:paraId="0BB78B7C" w14:textId="7C651DE3" w:rsidR="00A46F1C" w:rsidRPr="00D069F0" w:rsidRDefault="00924B52" w:rsidP="005D7206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  <w:r w:rsidRPr="005D7206">
              <w:rPr>
                <w:sz w:val="20"/>
                <w:szCs w:val="20"/>
                <w:lang w:val="fr-CA"/>
              </w:rPr>
              <w:t xml:space="preserve">Documents et </w:t>
            </w:r>
            <w:r w:rsidR="00D35AC4" w:rsidRPr="005D7206">
              <w:rPr>
                <w:sz w:val="20"/>
                <w:szCs w:val="20"/>
                <w:lang w:val="fr-CA"/>
              </w:rPr>
              <w:t>procès</w:t>
            </w:r>
            <w:r w:rsidR="00D35AC4" w:rsidRPr="005D7206">
              <w:rPr>
                <w:sz w:val="20"/>
                <w:szCs w:val="20"/>
                <w:lang w:val="fr-CA"/>
              </w:rPr>
              <w:noBreakHyphen/>
              <w:t xml:space="preserve">verbaux </w:t>
            </w:r>
            <w:r w:rsidRPr="005D7206">
              <w:rPr>
                <w:sz w:val="20"/>
                <w:szCs w:val="20"/>
                <w:lang w:val="fr-CA"/>
              </w:rPr>
              <w:t>des réunions du conseil d’administration</w:t>
            </w:r>
            <w:r w:rsidRPr="00D069F0">
              <w:rPr>
                <w:lang w:val="fr-CA"/>
              </w:rPr>
              <w:t xml:space="preserve"> </w:t>
            </w:r>
          </w:p>
        </w:tc>
        <w:tc>
          <w:tcPr>
            <w:tcW w:w="2927" w:type="dxa"/>
          </w:tcPr>
          <w:p w14:paraId="378495D6" w14:textId="1BC9E415" w:rsidR="00A46F1C" w:rsidRPr="00D069F0" w:rsidRDefault="00953895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lastRenderedPageBreak/>
              <w:t xml:space="preserve">1a) </w:t>
            </w:r>
            <w:r w:rsidR="00996783">
              <w:rPr>
                <w:rFonts w:cs="Arial"/>
                <w:sz w:val="20"/>
                <w:szCs w:val="20"/>
                <w:lang w:val="fr-CA"/>
              </w:rPr>
              <w:t xml:space="preserve">Vérifier </w:t>
            </w:r>
            <w:r w:rsidR="00363795">
              <w:rPr>
                <w:rFonts w:cs="Arial"/>
                <w:sz w:val="20"/>
                <w:szCs w:val="20"/>
                <w:lang w:val="fr-CA"/>
              </w:rPr>
              <w:t xml:space="preserve">que des </w:t>
            </w:r>
            <w:r w:rsidR="003B76A0">
              <w:rPr>
                <w:rFonts w:cs="Arial"/>
                <w:sz w:val="20"/>
                <w:szCs w:val="20"/>
                <w:lang w:val="fr-CA"/>
              </w:rPr>
              <w:t xml:space="preserve">processus </w:t>
            </w:r>
            <w:r w:rsidR="00996783">
              <w:rPr>
                <w:rFonts w:cs="Arial"/>
                <w:sz w:val="20"/>
                <w:szCs w:val="20"/>
                <w:lang w:val="fr-CA"/>
              </w:rPr>
              <w:t xml:space="preserve">de recensement </w:t>
            </w:r>
            <w:r w:rsidR="003B76A0">
              <w:rPr>
                <w:rFonts w:cs="Arial"/>
                <w:sz w:val="20"/>
                <w:szCs w:val="20"/>
                <w:lang w:val="fr-CA"/>
              </w:rPr>
              <w:t>et d’évaluation des risques liés à l’</w:t>
            </w:r>
            <w:r w:rsidR="000F4614">
              <w:rPr>
                <w:rFonts w:cs="Arial"/>
                <w:sz w:val="20"/>
                <w:szCs w:val="20"/>
                <w:lang w:val="fr-CA"/>
              </w:rPr>
              <w:t>environnement et au développement durable</w:t>
            </w:r>
            <w:r w:rsidR="00716DF0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363795">
              <w:rPr>
                <w:rFonts w:cs="Arial"/>
                <w:sz w:val="20"/>
                <w:szCs w:val="20"/>
                <w:lang w:val="fr-CA"/>
              </w:rPr>
              <w:t xml:space="preserve">sont </w:t>
            </w:r>
            <w:r w:rsidR="00716DF0">
              <w:rPr>
                <w:rFonts w:cs="Arial"/>
                <w:sz w:val="20"/>
                <w:szCs w:val="20"/>
                <w:lang w:val="fr-CA"/>
              </w:rPr>
              <w:t>en place</w:t>
            </w:r>
            <w:r w:rsidR="003B76A0">
              <w:rPr>
                <w:rFonts w:cs="Arial"/>
                <w:sz w:val="20"/>
                <w:szCs w:val="20"/>
                <w:lang w:val="fr-CA"/>
              </w:rPr>
              <w:t xml:space="preserve">. </w:t>
            </w:r>
          </w:p>
          <w:p w14:paraId="7475096E" w14:textId="4B7D0D3A" w:rsidR="00A46F1C" w:rsidRPr="00D069F0" w:rsidRDefault="00953895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 xml:space="preserve">1b) </w:t>
            </w:r>
            <w:r w:rsidR="00996783">
              <w:rPr>
                <w:rFonts w:cs="Arial"/>
                <w:sz w:val="20"/>
                <w:szCs w:val="20"/>
                <w:lang w:val="fr-CA"/>
              </w:rPr>
              <w:t xml:space="preserve">Vérifier </w:t>
            </w:r>
            <w:r w:rsidR="003B76A0">
              <w:rPr>
                <w:rFonts w:cs="Arial"/>
                <w:sz w:val="20"/>
                <w:szCs w:val="20"/>
                <w:lang w:val="fr-CA"/>
              </w:rPr>
              <w:t xml:space="preserve">que le conseil </w:t>
            </w:r>
            <w:r w:rsidR="00996783">
              <w:rPr>
                <w:rFonts w:cs="Arial"/>
                <w:sz w:val="20"/>
                <w:szCs w:val="20"/>
                <w:lang w:val="fr-CA"/>
              </w:rPr>
              <w:t xml:space="preserve">d’administration </w:t>
            </w:r>
            <w:r w:rsidR="003B76A0">
              <w:rPr>
                <w:rFonts w:cs="Arial"/>
                <w:sz w:val="20"/>
                <w:szCs w:val="20"/>
                <w:lang w:val="fr-CA"/>
              </w:rPr>
              <w:t>approuve l’évaluation des risques de la société</w:t>
            </w:r>
            <w:r w:rsidR="00A46F1C" w:rsidRPr="00D069F0">
              <w:rPr>
                <w:rFonts w:cs="Arial"/>
                <w:sz w:val="20"/>
                <w:szCs w:val="20"/>
                <w:lang w:val="fr-CA"/>
              </w:rPr>
              <w:t>.</w:t>
            </w:r>
          </w:p>
          <w:p w14:paraId="12FD2D46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  <w:p w14:paraId="1B6EB83D" w14:textId="7F100A8C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5D7206" w:rsidRPr="000378A1" w14:paraId="59B281F1" w14:textId="77777777" w:rsidTr="00BA2F71">
        <w:trPr>
          <w:trHeight w:val="1375"/>
        </w:trPr>
        <w:tc>
          <w:tcPr>
            <w:tcW w:w="2065" w:type="dxa"/>
            <w:vMerge/>
          </w:tcPr>
          <w:p w14:paraId="21CD865E" w14:textId="2DBA23F0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7859" w:type="dxa"/>
            <w:vMerge/>
          </w:tcPr>
          <w:p w14:paraId="64A88A6E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208" w:type="dxa"/>
          </w:tcPr>
          <w:p w14:paraId="33F0DD58" w14:textId="6B380562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>Q2.</w:t>
            </w:r>
            <w:r w:rsidR="006264AD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8516F9">
              <w:rPr>
                <w:rFonts w:cs="Arial"/>
                <w:sz w:val="20"/>
                <w:szCs w:val="20"/>
                <w:lang w:val="fr-CA"/>
              </w:rPr>
              <w:t xml:space="preserve">La société </w:t>
            </w:r>
            <w:r w:rsidR="00996783">
              <w:rPr>
                <w:rFonts w:cs="Arial"/>
                <w:sz w:val="20"/>
                <w:szCs w:val="20"/>
                <w:lang w:val="fr-CA"/>
              </w:rPr>
              <w:t>examine-t</w:t>
            </w:r>
            <w:r w:rsidR="008516F9">
              <w:rPr>
                <w:rFonts w:cs="Arial"/>
                <w:sz w:val="20"/>
                <w:szCs w:val="20"/>
                <w:lang w:val="fr-CA"/>
              </w:rPr>
              <w:noBreakHyphen/>
              <w:t xml:space="preserve">elle </w:t>
            </w:r>
            <w:r w:rsidR="003B76A0">
              <w:rPr>
                <w:rFonts w:cs="Arial"/>
                <w:sz w:val="20"/>
                <w:szCs w:val="20"/>
                <w:lang w:val="fr-CA"/>
              </w:rPr>
              <w:t xml:space="preserve">périodiquement </w:t>
            </w:r>
            <w:r w:rsidR="008516F9">
              <w:rPr>
                <w:rFonts w:cs="Arial"/>
                <w:sz w:val="20"/>
                <w:szCs w:val="20"/>
                <w:lang w:val="fr-CA"/>
              </w:rPr>
              <w:t>les risques liés à l’</w:t>
            </w:r>
            <w:r w:rsidR="00C35610">
              <w:rPr>
                <w:rFonts w:cs="Arial"/>
                <w:sz w:val="20"/>
                <w:szCs w:val="20"/>
                <w:lang w:val="fr-CA"/>
              </w:rPr>
              <w:t>environnement et au développement durable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>?</w:t>
            </w:r>
          </w:p>
          <w:p w14:paraId="30D38656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211" w:type="dxa"/>
            <w:vMerge/>
          </w:tcPr>
          <w:p w14:paraId="3DD56C0E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927" w:type="dxa"/>
          </w:tcPr>
          <w:p w14:paraId="00452EC6" w14:textId="705D83EB" w:rsidR="00A46F1C" w:rsidRPr="00D069F0" w:rsidRDefault="00953895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 xml:space="preserve">2a) </w:t>
            </w:r>
            <w:r w:rsidR="00996783">
              <w:rPr>
                <w:rFonts w:cs="Arial"/>
                <w:sz w:val="20"/>
                <w:szCs w:val="20"/>
                <w:lang w:val="fr-CA"/>
              </w:rPr>
              <w:t xml:space="preserve">Vérifier </w:t>
            </w:r>
            <w:r w:rsidR="003B76A0">
              <w:rPr>
                <w:rFonts w:cs="Arial"/>
                <w:sz w:val="20"/>
                <w:szCs w:val="20"/>
                <w:lang w:val="fr-CA"/>
              </w:rPr>
              <w:t>que les risques liés à l’</w:t>
            </w:r>
            <w:r w:rsidR="00C35610">
              <w:rPr>
                <w:rFonts w:cs="Arial"/>
                <w:sz w:val="20"/>
                <w:szCs w:val="20"/>
                <w:lang w:val="fr-CA"/>
              </w:rPr>
              <w:t>environnement et au développement durable</w:t>
            </w:r>
            <w:r w:rsidR="003B76A0">
              <w:rPr>
                <w:rFonts w:cs="Arial"/>
                <w:sz w:val="20"/>
                <w:szCs w:val="20"/>
                <w:lang w:val="fr-CA"/>
              </w:rPr>
              <w:t xml:space="preserve"> sont examinés périodiquement.</w:t>
            </w:r>
          </w:p>
          <w:p w14:paraId="4CBC5E42" w14:textId="4E9ACBBA" w:rsidR="00A46F1C" w:rsidRPr="00D069F0" w:rsidRDefault="00953895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2b)</w:t>
            </w:r>
            <w:r w:rsidR="003B76A0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996783">
              <w:rPr>
                <w:rFonts w:cs="Arial"/>
                <w:sz w:val="20"/>
                <w:szCs w:val="20"/>
                <w:lang w:val="fr-CA"/>
              </w:rPr>
              <w:t xml:space="preserve">Vérifier </w:t>
            </w:r>
            <w:r w:rsidR="003B76A0">
              <w:rPr>
                <w:rFonts w:cs="Arial"/>
                <w:sz w:val="20"/>
                <w:szCs w:val="20"/>
                <w:lang w:val="fr-CA"/>
              </w:rPr>
              <w:t xml:space="preserve">que le conseil </w:t>
            </w:r>
            <w:r w:rsidR="002C0CC5">
              <w:rPr>
                <w:rFonts w:cs="Arial"/>
                <w:sz w:val="20"/>
                <w:szCs w:val="20"/>
                <w:lang w:val="fr-CA"/>
              </w:rPr>
              <w:t xml:space="preserve">d’administration </w:t>
            </w:r>
            <w:r w:rsidR="003B76A0">
              <w:rPr>
                <w:rFonts w:cs="Arial"/>
                <w:sz w:val="20"/>
                <w:szCs w:val="20"/>
                <w:lang w:val="fr-CA"/>
              </w:rPr>
              <w:t xml:space="preserve">est informé des nouveaux risques liés à </w:t>
            </w:r>
            <w:r w:rsidR="00883981">
              <w:rPr>
                <w:rFonts w:cs="Arial"/>
                <w:sz w:val="20"/>
                <w:szCs w:val="20"/>
                <w:lang w:val="fr-CA"/>
              </w:rPr>
              <w:t xml:space="preserve">l’environnement et au développement durable </w:t>
            </w:r>
            <w:r w:rsidR="003B76A0">
              <w:rPr>
                <w:rFonts w:cs="Arial"/>
                <w:sz w:val="20"/>
                <w:szCs w:val="20"/>
                <w:lang w:val="fr-CA"/>
              </w:rPr>
              <w:t xml:space="preserve">et </w:t>
            </w:r>
            <w:r w:rsidR="00FD5241">
              <w:rPr>
                <w:rFonts w:cs="Arial"/>
                <w:sz w:val="20"/>
                <w:szCs w:val="20"/>
                <w:lang w:val="fr-CA"/>
              </w:rPr>
              <w:t xml:space="preserve">qu’il </w:t>
            </w:r>
            <w:r w:rsidR="003B76A0">
              <w:rPr>
                <w:rFonts w:cs="Arial"/>
                <w:sz w:val="20"/>
                <w:szCs w:val="20"/>
                <w:lang w:val="fr-CA"/>
              </w:rPr>
              <w:t xml:space="preserve">approuve les changements. </w:t>
            </w:r>
          </w:p>
          <w:p w14:paraId="3F9F349F" w14:textId="4C674B9C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5D7206" w:rsidRPr="000378A1" w14:paraId="12758D49" w14:textId="77777777" w:rsidTr="00124A93">
        <w:trPr>
          <w:trHeight w:val="1466"/>
        </w:trPr>
        <w:tc>
          <w:tcPr>
            <w:tcW w:w="2065" w:type="dxa"/>
            <w:vMerge w:val="restart"/>
          </w:tcPr>
          <w:p w14:paraId="05D9E7DC" w14:textId="4752A4D1" w:rsidR="00A46F1C" w:rsidRPr="00D069F0" w:rsidRDefault="008707B1" w:rsidP="008707B1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Gestion des risques liés à l’environnement et au développement durable </w:t>
            </w:r>
          </w:p>
        </w:tc>
        <w:tc>
          <w:tcPr>
            <w:tcW w:w="7859" w:type="dxa"/>
            <w:vMerge w:val="restart"/>
          </w:tcPr>
          <w:p w14:paraId="280C2C65" w14:textId="23867411" w:rsidR="00A46F1C" w:rsidRPr="00D069F0" w:rsidRDefault="003B76A0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 xml:space="preserve">La société gère les risques liés à l’environnement et au développement durable en vue de réduire ou d’éliminer toute incidence possible sur l’environnement </w:t>
            </w:r>
            <w:r w:rsidR="003503B4">
              <w:rPr>
                <w:rFonts w:cs="Arial"/>
                <w:sz w:val="20"/>
                <w:szCs w:val="20"/>
                <w:lang w:val="fr-CA"/>
              </w:rPr>
              <w:t xml:space="preserve">et </w:t>
            </w:r>
            <w:r>
              <w:rPr>
                <w:rFonts w:cs="Arial"/>
                <w:sz w:val="20"/>
                <w:szCs w:val="20"/>
                <w:lang w:val="fr-CA"/>
              </w:rPr>
              <w:t xml:space="preserve">le développement durable ou toute obligation de réparer, et de se conformer aux exigences en vigueur. </w:t>
            </w:r>
          </w:p>
          <w:p w14:paraId="5DE3A965" w14:textId="35D931E9" w:rsidR="00A46F1C" w:rsidRPr="00D069F0" w:rsidRDefault="003B76A0" w:rsidP="00A46F1C">
            <w:pPr>
              <w:spacing w:before="120" w:after="120"/>
              <w:rPr>
                <w:rFonts w:cs="Arial"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140153">
              <w:rPr>
                <w:rFonts w:cs="Arial"/>
                <w:color w:val="000000" w:themeColor="text1"/>
                <w:sz w:val="20"/>
                <w:szCs w:val="20"/>
                <w:lang w:val="fr-CA"/>
              </w:rPr>
              <w:t>Sources</w:t>
            </w:r>
            <w:r w:rsidRPr="003B76A0">
              <w:rPr>
                <w:rFonts w:cs="Arial"/>
                <w:color w:val="000000" w:themeColor="text1"/>
                <w:sz w:val="20"/>
                <w:szCs w:val="20"/>
                <w:lang w:val="fr-CA"/>
              </w:rPr>
              <w:t> :</w:t>
            </w:r>
            <w:r>
              <w:rPr>
                <w:rFonts w:cs="Arial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</w:t>
            </w:r>
          </w:p>
          <w:p w14:paraId="4F7B362E" w14:textId="77777777" w:rsidR="003B76A0" w:rsidRPr="00467E2C" w:rsidRDefault="003B76A0" w:rsidP="003B76A0">
            <w:pPr>
              <w:pStyle w:val="Paragraphedeliste"/>
              <w:numPr>
                <w:ilvl w:val="0"/>
                <w:numId w:val="1"/>
              </w:numPr>
              <w:spacing w:before="120"/>
              <w:ind w:hanging="270"/>
              <w:rPr>
                <w:rFonts w:cs="Arial"/>
                <w:sz w:val="20"/>
                <w:szCs w:val="20"/>
                <w:lang w:val="fr-CA"/>
              </w:rPr>
            </w:pPr>
            <w:r w:rsidRPr="00467E2C">
              <w:rPr>
                <w:rFonts w:cs="Arial"/>
                <w:sz w:val="20"/>
                <w:szCs w:val="20"/>
                <w:lang w:val="fr-CA"/>
              </w:rPr>
              <w:t>Organisation internationale de normalisation, Norme ISO 14001 – Systèmes de management environnemental</w:t>
            </w:r>
          </w:p>
          <w:p w14:paraId="44DA7341" w14:textId="71DB0EED" w:rsidR="003B76A0" w:rsidRPr="00467E2C" w:rsidRDefault="003B76A0" w:rsidP="003B76A0">
            <w:pPr>
              <w:pStyle w:val="Paragraphedeliste"/>
              <w:numPr>
                <w:ilvl w:val="0"/>
                <w:numId w:val="1"/>
              </w:numPr>
              <w:spacing w:before="120"/>
              <w:ind w:hanging="270"/>
              <w:rPr>
                <w:rFonts w:cs="Arial"/>
                <w:sz w:val="20"/>
                <w:szCs w:val="20"/>
                <w:lang w:val="fr-CA"/>
              </w:rPr>
            </w:pPr>
            <w:r w:rsidRPr="00467E2C">
              <w:rPr>
                <w:rFonts w:cs="Arial"/>
                <w:sz w:val="20"/>
                <w:szCs w:val="20"/>
                <w:lang w:val="fr-CA"/>
              </w:rPr>
              <w:t>Commission de coopération environnementale, Améliorer la performance environnementale et la conformité à la législation sur l’environnement</w:t>
            </w:r>
            <w:r w:rsidR="009010C3">
              <w:rPr>
                <w:rFonts w:cs="Arial"/>
                <w:sz w:val="20"/>
                <w:szCs w:val="20"/>
                <w:lang w:val="fr-CA"/>
              </w:rPr>
              <w:t> </w:t>
            </w:r>
            <w:r w:rsidRPr="00467E2C">
              <w:rPr>
                <w:rFonts w:cs="Arial"/>
                <w:sz w:val="20"/>
                <w:szCs w:val="20"/>
                <w:lang w:val="fr-CA"/>
              </w:rPr>
              <w:t>: Dix éléments pour des systèmes efficaces de gestion de l’environnement, 2000</w:t>
            </w:r>
          </w:p>
          <w:p w14:paraId="0B8457B6" w14:textId="72549BF4" w:rsidR="003B76A0" w:rsidRPr="00D069F0" w:rsidRDefault="003B76A0" w:rsidP="003B76A0">
            <w:pPr>
              <w:pStyle w:val="Paragraphedeliste"/>
              <w:numPr>
                <w:ilvl w:val="0"/>
                <w:numId w:val="1"/>
              </w:numPr>
              <w:spacing w:before="120"/>
              <w:ind w:left="374" w:hanging="270"/>
              <w:rPr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Nations Unies,</w:t>
            </w:r>
            <w:r w:rsidR="004A061F">
              <w:rPr>
                <w:rFonts w:cs="Arial"/>
                <w:sz w:val="20"/>
                <w:szCs w:val="20"/>
                <w:lang w:val="fr-CA"/>
              </w:rPr>
              <w:t xml:space="preserve"> Transformer notre monde :</w:t>
            </w:r>
            <w:r w:rsidR="00B74DBB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4A061F">
              <w:rPr>
                <w:rFonts w:cs="Arial"/>
                <w:sz w:val="20"/>
                <w:szCs w:val="20"/>
                <w:lang w:val="fr-CA"/>
              </w:rPr>
              <w:t xml:space="preserve">Le </w:t>
            </w:r>
            <w:r>
              <w:rPr>
                <w:rFonts w:cs="Arial"/>
                <w:sz w:val="20"/>
                <w:szCs w:val="20"/>
                <w:lang w:val="fr-CA"/>
              </w:rPr>
              <w:t>Programme de développement durable à l’horizon</w:t>
            </w:r>
            <w:r w:rsidR="009010C3">
              <w:rPr>
                <w:rFonts w:cs="Arial"/>
                <w:sz w:val="20"/>
                <w:szCs w:val="20"/>
                <w:lang w:val="fr-CA"/>
              </w:rPr>
              <w:t> 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>2030, 2015</w:t>
            </w:r>
          </w:p>
          <w:p w14:paraId="6F25A573" w14:textId="3EE81D2F" w:rsidR="003B76A0" w:rsidRPr="00D069F0" w:rsidRDefault="003B76A0" w:rsidP="003B76A0">
            <w:pPr>
              <w:pStyle w:val="Paragraphedeliste"/>
              <w:numPr>
                <w:ilvl w:val="0"/>
                <w:numId w:val="1"/>
              </w:numPr>
              <w:spacing w:before="120"/>
              <w:ind w:left="374" w:hanging="27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Organisation internationale de normalisation, Norme ISO 26000 – Responsabilité sociétale, 2010 </w:t>
            </w:r>
          </w:p>
          <w:p w14:paraId="18E65CCF" w14:textId="012071F8" w:rsidR="00A46F1C" w:rsidRPr="00D069F0" w:rsidRDefault="003B76A0" w:rsidP="003B76A0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198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Les </w:t>
            </w:r>
            <w:r w:rsidR="00890B40">
              <w:rPr>
                <w:rFonts w:cs="Arial"/>
                <w:sz w:val="20"/>
                <w:szCs w:val="20"/>
                <w:lang w:val="fr-CA"/>
              </w:rPr>
              <w:t>d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>ix principes</w:t>
            </w:r>
            <w:r w:rsidR="004A061F">
              <w:rPr>
                <w:rFonts w:cs="Arial"/>
                <w:sz w:val="20"/>
                <w:szCs w:val="20"/>
                <w:lang w:val="fr-CA"/>
              </w:rPr>
              <w:t xml:space="preserve"> du</w:t>
            </w:r>
            <w:r w:rsidR="004A061F" w:rsidRPr="00D069F0">
              <w:rPr>
                <w:rFonts w:cs="Arial"/>
                <w:sz w:val="20"/>
                <w:szCs w:val="20"/>
                <w:lang w:val="fr-CA"/>
              </w:rPr>
              <w:t xml:space="preserve"> Pacte mondial des Nations Unies</w:t>
            </w:r>
          </w:p>
        </w:tc>
        <w:tc>
          <w:tcPr>
            <w:tcW w:w="2208" w:type="dxa"/>
          </w:tcPr>
          <w:p w14:paraId="6B787592" w14:textId="6D392BDA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>Q1.</w:t>
            </w:r>
            <w:r w:rsidR="00924B52" w:rsidRPr="00D069F0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3B76A0">
              <w:rPr>
                <w:rFonts w:cs="Arial"/>
                <w:sz w:val="20"/>
                <w:szCs w:val="20"/>
                <w:lang w:val="fr-CA"/>
              </w:rPr>
              <w:t>La société a</w:t>
            </w:r>
            <w:r w:rsidR="00890B40">
              <w:rPr>
                <w:rFonts w:cs="Arial"/>
                <w:sz w:val="20"/>
                <w:szCs w:val="20"/>
                <w:lang w:val="fr-CA"/>
              </w:rPr>
              <w:t>pplique</w:t>
            </w:r>
            <w:r w:rsidR="003B76A0">
              <w:rPr>
                <w:rFonts w:cs="Arial"/>
                <w:sz w:val="20"/>
                <w:szCs w:val="20"/>
                <w:lang w:val="fr-CA"/>
              </w:rPr>
              <w:t>-t-elle des contrôles de la gestion des risques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>?</w:t>
            </w:r>
          </w:p>
          <w:p w14:paraId="5B6EB7B9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  <w:p w14:paraId="58833D2D" w14:textId="2D4CE1C5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211" w:type="dxa"/>
            <w:vMerge w:val="restart"/>
          </w:tcPr>
          <w:p w14:paraId="685B72B5" w14:textId="4E79F25D" w:rsidR="00A46F1C" w:rsidRPr="00D069F0" w:rsidRDefault="00924B52" w:rsidP="00A46F1C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Rapport de gestion des risques </w:t>
            </w:r>
          </w:p>
          <w:p w14:paraId="691DC0A4" w14:textId="2007FF58" w:rsidR="00A46F1C" w:rsidRPr="00D069F0" w:rsidRDefault="00A46F1C" w:rsidP="00A46F1C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>R</w:t>
            </w:r>
            <w:r w:rsidR="00924B52" w:rsidRPr="00D069F0">
              <w:rPr>
                <w:rFonts w:cs="Arial"/>
                <w:sz w:val="20"/>
                <w:szCs w:val="20"/>
                <w:lang w:val="fr-CA"/>
              </w:rPr>
              <w:t xml:space="preserve">apports de suivi des risques </w:t>
            </w:r>
          </w:p>
          <w:p w14:paraId="48520D43" w14:textId="54C0EFE3" w:rsidR="00A46F1C" w:rsidRPr="00D069F0" w:rsidRDefault="00D35AC4" w:rsidP="00A46F1C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>Procès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noBreakHyphen/>
              <w:t xml:space="preserve">verbaux </w:t>
            </w:r>
            <w:r w:rsidR="00924B52" w:rsidRPr="00D069F0">
              <w:rPr>
                <w:rFonts w:cs="Arial"/>
                <w:sz w:val="20"/>
                <w:szCs w:val="20"/>
                <w:lang w:val="fr-CA"/>
              </w:rPr>
              <w:t>des réunions du comité directeur de</w:t>
            </w:r>
            <w:r w:rsidR="00FD5241">
              <w:rPr>
                <w:rFonts w:cs="Arial"/>
                <w:sz w:val="20"/>
                <w:szCs w:val="20"/>
                <w:lang w:val="fr-CA"/>
              </w:rPr>
              <w:t xml:space="preserve"> la</w:t>
            </w:r>
            <w:r w:rsidR="00924B52" w:rsidRPr="00D069F0">
              <w:rPr>
                <w:rFonts w:cs="Arial"/>
                <w:sz w:val="20"/>
                <w:szCs w:val="20"/>
                <w:lang w:val="fr-CA"/>
              </w:rPr>
              <w:t xml:space="preserve"> gestion des risques </w:t>
            </w:r>
            <w:r w:rsidR="004A061F">
              <w:rPr>
                <w:rFonts w:cs="Arial"/>
                <w:sz w:val="20"/>
                <w:szCs w:val="20"/>
                <w:lang w:val="fr-CA"/>
              </w:rPr>
              <w:t>d’entreprise</w:t>
            </w:r>
            <w:r w:rsidR="00924B52" w:rsidRPr="00D069F0">
              <w:rPr>
                <w:rFonts w:cs="Arial"/>
                <w:sz w:val="20"/>
                <w:szCs w:val="20"/>
                <w:lang w:val="fr-CA"/>
              </w:rPr>
              <w:t xml:space="preserve"> </w:t>
            </w:r>
          </w:p>
          <w:p w14:paraId="68A09439" w14:textId="3C82A85F" w:rsidR="00A46F1C" w:rsidRPr="00D069F0" w:rsidRDefault="00890B40" w:rsidP="00A46F1C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P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>rocès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noBreakHyphen/>
              <w:t xml:space="preserve">verbaux </w:t>
            </w:r>
            <w:r>
              <w:rPr>
                <w:rFonts w:cs="Arial"/>
                <w:sz w:val="20"/>
                <w:szCs w:val="20"/>
                <w:lang w:val="fr-CA"/>
              </w:rPr>
              <w:t>et d</w:t>
            </w:r>
            <w:r w:rsidR="00924B52" w:rsidRPr="00D069F0">
              <w:rPr>
                <w:rFonts w:cs="Arial"/>
                <w:sz w:val="20"/>
                <w:szCs w:val="20"/>
                <w:lang w:val="fr-CA"/>
              </w:rPr>
              <w:t>ocuments et de</w:t>
            </w:r>
            <w:r w:rsidR="00FD5241">
              <w:rPr>
                <w:rFonts w:cs="Arial"/>
                <w:sz w:val="20"/>
                <w:szCs w:val="20"/>
                <w:lang w:val="fr-CA"/>
              </w:rPr>
              <w:t>s</w:t>
            </w:r>
            <w:r w:rsidR="00924B52" w:rsidRPr="00D069F0">
              <w:rPr>
                <w:rFonts w:cs="Arial"/>
                <w:sz w:val="20"/>
                <w:szCs w:val="20"/>
                <w:lang w:val="fr-CA"/>
              </w:rPr>
              <w:t xml:space="preserve"> réunions du conseil d’administration </w:t>
            </w:r>
          </w:p>
          <w:p w14:paraId="742BD04A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  <w:p w14:paraId="3DCEC83B" w14:textId="64E91543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927" w:type="dxa"/>
          </w:tcPr>
          <w:p w14:paraId="7AB89CE2" w14:textId="4F6BEB10" w:rsidR="00A46F1C" w:rsidRPr="00D069F0" w:rsidRDefault="00953895" w:rsidP="00A46F1C">
            <w:pPr>
              <w:spacing w:before="120" w:after="120"/>
              <w:rPr>
                <w:rFonts w:eastAsia="Times New Roman" w:cs="Arial"/>
                <w:sz w:val="20"/>
                <w:szCs w:val="20"/>
                <w:lang w:val="fr-CA"/>
              </w:rPr>
            </w:pPr>
            <w:r>
              <w:rPr>
                <w:rFonts w:eastAsia="Times New Roman" w:cs="Arial"/>
                <w:sz w:val="20"/>
                <w:szCs w:val="20"/>
                <w:lang w:val="fr-CA"/>
              </w:rPr>
              <w:t xml:space="preserve">1a) </w:t>
            </w:r>
            <w:r w:rsidR="0052729D">
              <w:rPr>
                <w:rFonts w:eastAsia="Times New Roman" w:cs="Arial"/>
                <w:sz w:val="20"/>
                <w:szCs w:val="20"/>
                <w:lang w:val="fr-CA"/>
              </w:rPr>
              <w:t xml:space="preserve">Vérifier </w:t>
            </w:r>
            <w:r>
              <w:rPr>
                <w:rFonts w:eastAsia="Times New Roman" w:cs="Arial"/>
                <w:sz w:val="20"/>
                <w:szCs w:val="20"/>
                <w:lang w:val="fr-CA"/>
              </w:rPr>
              <w:t>que des procédures de gestion des risques sont en place pour les risques liés à l’</w:t>
            </w:r>
            <w:r w:rsidR="004A061F">
              <w:rPr>
                <w:rFonts w:eastAsia="Times New Roman" w:cs="Arial"/>
                <w:sz w:val="20"/>
                <w:szCs w:val="20"/>
                <w:lang w:val="fr-CA"/>
              </w:rPr>
              <w:t>environnement et au développement durable</w:t>
            </w:r>
            <w:r>
              <w:rPr>
                <w:rFonts w:eastAsia="Times New Roman" w:cs="Arial"/>
                <w:sz w:val="20"/>
                <w:szCs w:val="20"/>
                <w:lang w:val="fr-CA"/>
              </w:rPr>
              <w:t xml:space="preserve"> qui ont été </w:t>
            </w:r>
            <w:r w:rsidR="00817F0C">
              <w:rPr>
                <w:rFonts w:eastAsia="Times New Roman" w:cs="Arial"/>
                <w:sz w:val="20"/>
                <w:szCs w:val="20"/>
                <w:lang w:val="fr-CA"/>
              </w:rPr>
              <w:t xml:space="preserve">recensés </w:t>
            </w:r>
            <w:r>
              <w:rPr>
                <w:rFonts w:eastAsia="Times New Roman" w:cs="Arial"/>
                <w:sz w:val="20"/>
                <w:szCs w:val="20"/>
                <w:lang w:val="fr-CA"/>
              </w:rPr>
              <w:t>et qu’elles sont mises à jour régulièrement</w:t>
            </w:r>
            <w:r w:rsidR="00FD5241">
              <w:rPr>
                <w:rFonts w:eastAsia="Times New Roman" w:cs="Arial"/>
                <w:sz w:val="20"/>
                <w:szCs w:val="20"/>
                <w:lang w:val="fr-CA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val="fr-CA"/>
              </w:rPr>
              <w:t xml:space="preserve"> </w:t>
            </w:r>
          </w:p>
          <w:p w14:paraId="0033DAA2" w14:textId="117F2E52" w:rsidR="00A46F1C" w:rsidRPr="00D069F0" w:rsidRDefault="00953895" w:rsidP="00A46F1C">
            <w:pPr>
              <w:spacing w:before="120" w:after="120"/>
              <w:rPr>
                <w:rFonts w:eastAsia="Times New Roman" w:cs="Arial"/>
                <w:sz w:val="20"/>
                <w:szCs w:val="20"/>
                <w:lang w:val="fr-CA"/>
              </w:rPr>
            </w:pPr>
            <w:r>
              <w:rPr>
                <w:rFonts w:eastAsia="Times New Roman" w:cs="Arial"/>
                <w:sz w:val="20"/>
                <w:szCs w:val="20"/>
                <w:lang w:val="fr-CA"/>
              </w:rPr>
              <w:t xml:space="preserve">1b) </w:t>
            </w:r>
            <w:r w:rsidR="0052729D">
              <w:rPr>
                <w:rFonts w:eastAsia="Times New Roman" w:cs="Arial"/>
                <w:sz w:val="20"/>
                <w:szCs w:val="20"/>
                <w:lang w:val="fr-CA"/>
              </w:rPr>
              <w:t xml:space="preserve">Vérifier </w:t>
            </w:r>
            <w:r>
              <w:rPr>
                <w:rFonts w:eastAsia="Times New Roman" w:cs="Arial"/>
                <w:sz w:val="20"/>
                <w:szCs w:val="20"/>
                <w:lang w:val="fr-CA"/>
              </w:rPr>
              <w:t>que les responsables des risques ont été désignés</w:t>
            </w:r>
            <w:r w:rsidR="00A46F1C" w:rsidRPr="00D069F0">
              <w:rPr>
                <w:rFonts w:eastAsia="Times New Roman" w:cs="Arial"/>
                <w:sz w:val="20"/>
                <w:szCs w:val="20"/>
                <w:lang w:val="fr-CA"/>
              </w:rPr>
              <w:t>.</w:t>
            </w:r>
          </w:p>
          <w:p w14:paraId="0D98AC5B" w14:textId="1D11234D" w:rsidR="00A46F1C" w:rsidRPr="00D069F0" w:rsidRDefault="00953895" w:rsidP="00A46F1C">
            <w:pPr>
              <w:spacing w:before="120" w:after="120"/>
              <w:rPr>
                <w:rFonts w:eastAsia="Times New Roman" w:cs="Arial"/>
                <w:sz w:val="20"/>
                <w:szCs w:val="20"/>
                <w:lang w:val="fr-CA"/>
              </w:rPr>
            </w:pPr>
            <w:r>
              <w:rPr>
                <w:rFonts w:eastAsia="Times New Roman" w:cs="Arial"/>
                <w:sz w:val="20"/>
                <w:szCs w:val="20"/>
                <w:lang w:val="fr-CA"/>
              </w:rPr>
              <w:t xml:space="preserve">1c) </w:t>
            </w:r>
            <w:r w:rsidR="0052729D">
              <w:rPr>
                <w:rFonts w:eastAsia="Times New Roman" w:cs="Arial"/>
                <w:sz w:val="20"/>
                <w:szCs w:val="20"/>
                <w:lang w:val="fr-CA"/>
              </w:rPr>
              <w:t xml:space="preserve">Vérifier </w:t>
            </w:r>
            <w:r>
              <w:rPr>
                <w:rFonts w:eastAsia="Times New Roman" w:cs="Arial"/>
                <w:sz w:val="20"/>
                <w:szCs w:val="20"/>
                <w:lang w:val="fr-CA"/>
              </w:rPr>
              <w:t xml:space="preserve">que le conseil </w:t>
            </w:r>
            <w:r w:rsidR="00817F0C">
              <w:rPr>
                <w:rFonts w:eastAsia="Times New Roman" w:cs="Arial"/>
                <w:sz w:val="20"/>
                <w:szCs w:val="20"/>
                <w:lang w:val="fr-CA"/>
              </w:rPr>
              <w:t xml:space="preserve">d’administration </w:t>
            </w:r>
            <w:r>
              <w:rPr>
                <w:rFonts w:eastAsia="Times New Roman" w:cs="Arial"/>
                <w:sz w:val="20"/>
                <w:szCs w:val="20"/>
                <w:lang w:val="fr-CA"/>
              </w:rPr>
              <w:t>approuve les contrôles de la gestion des risques</w:t>
            </w:r>
            <w:r w:rsidR="00A46F1C" w:rsidRPr="00D069F0">
              <w:rPr>
                <w:rFonts w:eastAsia="Times New Roman" w:cs="Arial"/>
                <w:sz w:val="20"/>
                <w:szCs w:val="20"/>
                <w:lang w:val="fr-CA"/>
              </w:rPr>
              <w:t>.</w:t>
            </w:r>
          </w:p>
          <w:p w14:paraId="40E453F4" w14:textId="54BB03FD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5D7206" w:rsidRPr="000378A1" w14:paraId="46EC5C87" w14:textId="77777777" w:rsidTr="00BA2F71">
        <w:trPr>
          <w:trHeight w:val="1466"/>
        </w:trPr>
        <w:tc>
          <w:tcPr>
            <w:tcW w:w="2065" w:type="dxa"/>
            <w:vMerge/>
          </w:tcPr>
          <w:p w14:paraId="46DE5D9C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7859" w:type="dxa"/>
            <w:vMerge/>
          </w:tcPr>
          <w:p w14:paraId="5BBA162B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208" w:type="dxa"/>
          </w:tcPr>
          <w:p w14:paraId="0CF14A10" w14:textId="2FEF8444" w:rsidR="00A46F1C" w:rsidRPr="00D069F0" w:rsidRDefault="00A46F1C" w:rsidP="000E73F2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>Q2.</w:t>
            </w:r>
            <w:r w:rsidR="006264AD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3B76A0">
              <w:rPr>
                <w:rFonts w:cs="Arial"/>
                <w:sz w:val="20"/>
                <w:szCs w:val="20"/>
                <w:lang w:val="fr-CA"/>
              </w:rPr>
              <w:t>La société a-t-elle des procédures de préparation et d’intervention en cas d’urgence</w:t>
            </w:r>
            <w:r w:rsidRPr="00D069F0">
              <w:rPr>
                <w:rFonts w:eastAsia="Times New Roman" w:cs="Arial"/>
                <w:sz w:val="20"/>
                <w:szCs w:val="20"/>
                <w:lang w:val="fr-CA"/>
              </w:rPr>
              <w:t xml:space="preserve">? </w:t>
            </w:r>
          </w:p>
        </w:tc>
        <w:tc>
          <w:tcPr>
            <w:tcW w:w="2211" w:type="dxa"/>
            <w:vMerge/>
          </w:tcPr>
          <w:p w14:paraId="1FB30482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927" w:type="dxa"/>
          </w:tcPr>
          <w:p w14:paraId="31C0A7A6" w14:textId="3583F220" w:rsidR="00A46F1C" w:rsidRPr="00D069F0" w:rsidRDefault="00953895" w:rsidP="000E73F2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 xml:space="preserve">2a) </w:t>
            </w:r>
            <w:r w:rsidR="0052729D">
              <w:rPr>
                <w:rFonts w:cs="Arial"/>
                <w:sz w:val="20"/>
                <w:szCs w:val="20"/>
                <w:lang w:val="fr-CA"/>
              </w:rPr>
              <w:t xml:space="preserve">Vérifier </w:t>
            </w:r>
            <w:r>
              <w:rPr>
                <w:rFonts w:cs="Arial"/>
                <w:sz w:val="20"/>
                <w:szCs w:val="20"/>
                <w:lang w:val="fr-CA"/>
              </w:rPr>
              <w:t>que l</w:t>
            </w:r>
            <w:r w:rsidR="00FD5241">
              <w:rPr>
                <w:rFonts w:cs="Arial"/>
                <w:sz w:val="20"/>
                <w:szCs w:val="20"/>
                <w:lang w:val="fr-CA"/>
              </w:rPr>
              <w:t xml:space="preserve">e processus de </w:t>
            </w:r>
            <w:r>
              <w:rPr>
                <w:rFonts w:cs="Arial"/>
                <w:sz w:val="20"/>
                <w:szCs w:val="20"/>
                <w:lang w:val="fr-CA"/>
              </w:rPr>
              <w:t xml:space="preserve">gestion des risques comprend des procédures de préparation et d’intervention en cas d’urgence. </w:t>
            </w:r>
          </w:p>
        </w:tc>
      </w:tr>
      <w:tr w:rsidR="005D7206" w:rsidRPr="000378A1" w14:paraId="45629027" w14:textId="77777777" w:rsidTr="00650CD7">
        <w:trPr>
          <w:trHeight w:val="1578"/>
        </w:trPr>
        <w:tc>
          <w:tcPr>
            <w:tcW w:w="2065" w:type="dxa"/>
            <w:vMerge w:val="restart"/>
          </w:tcPr>
          <w:p w14:paraId="72E96B91" w14:textId="3AA21A12" w:rsidR="00A46F1C" w:rsidRPr="00D069F0" w:rsidRDefault="008707B1" w:rsidP="008707B1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lastRenderedPageBreak/>
              <w:t xml:space="preserve">Processus de mesure du rendement et de communication des résultats en matière d’environnement et de développement durable </w:t>
            </w:r>
          </w:p>
        </w:tc>
        <w:tc>
          <w:tcPr>
            <w:tcW w:w="7859" w:type="dxa"/>
            <w:vMerge w:val="restart"/>
          </w:tcPr>
          <w:p w14:paraId="0996B7E6" w14:textId="21EC9576" w:rsidR="00A46F1C" w:rsidRPr="00D069F0" w:rsidRDefault="003B76A0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Afin d’assurer la communication et la transparence des résultats, l</w:t>
            </w:r>
            <w:r w:rsidR="00953895">
              <w:rPr>
                <w:rFonts w:cs="Arial"/>
                <w:sz w:val="20"/>
                <w:szCs w:val="20"/>
                <w:lang w:val="fr-CA"/>
              </w:rPr>
              <w:t xml:space="preserve">a société fait le suivi de son rendement </w:t>
            </w:r>
            <w:r>
              <w:rPr>
                <w:rFonts w:cs="Arial"/>
                <w:sz w:val="20"/>
                <w:szCs w:val="20"/>
                <w:lang w:val="fr-CA"/>
              </w:rPr>
              <w:t xml:space="preserve">en matière d’environnement et de développement durable et présente des rapports </w:t>
            </w:r>
            <w:r w:rsidR="000E73F2">
              <w:rPr>
                <w:rFonts w:cs="Arial"/>
                <w:sz w:val="20"/>
                <w:szCs w:val="20"/>
                <w:lang w:val="fr-CA"/>
              </w:rPr>
              <w:t>connexes</w:t>
            </w:r>
            <w:r w:rsidR="00896094">
              <w:rPr>
                <w:rFonts w:cs="Arial"/>
                <w:sz w:val="20"/>
                <w:szCs w:val="20"/>
                <w:lang w:val="fr-CA"/>
              </w:rPr>
              <w:t xml:space="preserve"> au conseil d’administration et au public</w:t>
            </w:r>
            <w:r w:rsidR="00A46F1C" w:rsidRPr="00D069F0">
              <w:rPr>
                <w:rFonts w:cs="Arial"/>
                <w:sz w:val="20"/>
                <w:szCs w:val="20"/>
                <w:lang w:val="fr-CA"/>
              </w:rPr>
              <w:t>.</w:t>
            </w:r>
          </w:p>
          <w:p w14:paraId="50F7D318" w14:textId="22794EFB" w:rsidR="00A46F1C" w:rsidRPr="00D069F0" w:rsidRDefault="00A46F1C" w:rsidP="00A46F1C">
            <w:pPr>
              <w:spacing w:before="120" w:after="120"/>
              <w:rPr>
                <w:rFonts w:cs="Arial"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140153">
              <w:rPr>
                <w:rFonts w:cs="Arial"/>
                <w:color w:val="000000" w:themeColor="text1"/>
                <w:sz w:val="20"/>
                <w:szCs w:val="20"/>
                <w:lang w:val="fr-CA"/>
              </w:rPr>
              <w:t>Sources</w:t>
            </w:r>
            <w:r w:rsidR="003B76A0" w:rsidRPr="003B76A0">
              <w:rPr>
                <w:rFonts w:cs="Arial"/>
                <w:color w:val="000000" w:themeColor="text1"/>
                <w:sz w:val="20"/>
                <w:szCs w:val="20"/>
                <w:lang w:val="fr-CA"/>
              </w:rPr>
              <w:t> </w:t>
            </w:r>
            <w:r w:rsidRPr="003B76A0">
              <w:rPr>
                <w:rFonts w:cs="Arial"/>
                <w:color w:val="000000" w:themeColor="text1"/>
                <w:sz w:val="20"/>
                <w:szCs w:val="20"/>
                <w:lang w:val="fr-CA"/>
              </w:rPr>
              <w:t>:</w:t>
            </w:r>
          </w:p>
          <w:p w14:paraId="3A230E74" w14:textId="065C3D33" w:rsidR="003B76A0" w:rsidRPr="00467E2C" w:rsidRDefault="003B76A0" w:rsidP="003B76A0">
            <w:pPr>
              <w:pStyle w:val="Paragraphedeliste"/>
              <w:numPr>
                <w:ilvl w:val="0"/>
                <w:numId w:val="1"/>
              </w:numPr>
              <w:spacing w:before="120"/>
              <w:ind w:hanging="270"/>
              <w:rPr>
                <w:rFonts w:cs="Arial"/>
                <w:sz w:val="20"/>
                <w:szCs w:val="20"/>
                <w:lang w:val="fr-CA"/>
              </w:rPr>
            </w:pPr>
            <w:r w:rsidRPr="00467E2C">
              <w:rPr>
                <w:rFonts w:cs="Arial"/>
                <w:sz w:val="20"/>
                <w:szCs w:val="20"/>
                <w:lang w:val="fr-CA"/>
              </w:rPr>
              <w:t>Organisation internationale de normalisation, Norme ISO 14001 – Systèmes de management environnemental</w:t>
            </w:r>
            <w:r w:rsidR="00553C8F">
              <w:rPr>
                <w:rFonts w:cs="Arial"/>
                <w:sz w:val="20"/>
                <w:szCs w:val="20"/>
                <w:lang w:val="fr-CA"/>
              </w:rPr>
              <w:t>, 2015</w:t>
            </w:r>
          </w:p>
          <w:p w14:paraId="6DEE5593" w14:textId="3F3FB22C" w:rsidR="003B76A0" w:rsidRPr="00467E2C" w:rsidRDefault="003B76A0" w:rsidP="003B76A0">
            <w:pPr>
              <w:pStyle w:val="Paragraphedeliste"/>
              <w:numPr>
                <w:ilvl w:val="0"/>
                <w:numId w:val="1"/>
              </w:numPr>
              <w:spacing w:before="120"/>
              <w:ind w:hanging="270"/>
              <w:rPr>
                <w:rFonts w:cs="Arial"/>
                <w:sz w:val="20"/>
                <w:szCs w:val="20"/>
                <w:lang w:val="fr-CA"/>
              </w:rPr>
            </w:pPr>
            <w:r w:rsidRPr="00467E2C">
              <w:rPr>
                <w:rFonts w:cs="Arial"/>
                <w:sz w:val="20"/>
                <w:szCs w:val="20"/>
                <w:lang w:val="fr-CA"/>
              </w:rPr>
              <w:t>Commission de coopération environnementale, Améliorer la performance environnementale et la conformité à la législation sur l’environnement</w:t>
            </w:r>
            <w:r w:rsidR="009010C3">
              <w:rPr>
                <w:rFonts w:cs="Arial"/>
                <w:sz w:val="20"/>
                <w:szCs w:val="20"/>
                <w:lang w:val="fr-CA"/>
              </w:rPr>
              <w:t> </w:t>
            </w:r>
            <w:r w:rsidRPr="00467E2C">
              <w:rPr>
                <w:rFonts w:cs="Arial"/>
                <w:sz w:val="20"/>
                <w:szCs w:val="20"/>
                <w:lang w:val="fr-CA"/>
              </w:rPr>
              <w:t>: Dix éléments pour des systèmes efficaces de gestion de l’environnement, 2000</w:t>
            </w:r>
          </w:p>
          <w:p w14:paraId="6B55D5A5" w14:textId="0FA7BBB2" w:rsidR="003B76A0" w:rsidRPr="00D069F0" w:rsidRDefault="003B76A0" w:rsidP="003B76A0">
            <w:pPr>
              <w:pStyle w:val="Paragraphedeliste"/>
              <w:numPr>
                <w:ilvl w:val="0"/>
                <w:numId w:val="1"/>
              </w:numPr>
              <w:spacing w:before="120"/>
              <w:ind w:left="374" w:hanging="270"/>
              <w:rPr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 xml:space="preserve">Nations Unies, </w:t>
            </w:r>
            <w:r w:rsidR="00553C8F">
              <w:rPr>
                <w:rFonts w:cs="Arial"/>
                <w:sz w:val="20"/>
                <w:szCs w:val="20"/>
                <w:lang w:val="fr-CA"/>
              </w:rPr>
              <w:t xml:space="preserve">Transformer notre monde : Le </w:t>
            </w:r>
            <w:r>
              <w:rPr>
                <w:rFonts w:cs="Arial"/>
                <w:sz w:val="20"/>
                <w:szCs w:val="20"/>
                <w:lang w:val="fr-CA"/>
              </w:rPr>
              <w:t>Programme de développement durable à l’horizon</w:t>
            </w:r>
            <w:r w:rsidR="009010C3">
              <w:rPr>
                <w:rFonts w:cs="Arial"/>
                <w:sz w:val="20"/>
                <w:szCs w:val="20"/>
                <w:lang w:val="fr-CA"/>
              </w:rPr>
              <w:t> 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>2030, 2015</w:t>
            </w:r>
          </w:p>
          <w:p w14:paraId="56F214D9" w14:textId="77777777" w:rsidR="003B76A0" w:rsidRPr="00D069F0" w:rsidRDefault="003B76A0" w:rsidP="003B76A0">
            <w:pPr>
              <w:pStyle w:val="Paragraphedeliste"/>
              <w:numPr>
                <w:ilvl w:val="0"/>
                <w:numId w:val="1"/>
              </w:numPr>
              <w:spacing w:before="120"/>
              <w:ind w:left="374" w:hanging="27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Organisation internationale de normalisation, Norme ISO 26000 – Responsabilités sociétales, 2010 </w:t>
            </w:r>
          </w:p>
          <w:p w14:paraId="64E06252" w14:textId="7FFC9313" w:rsidR="003B76A0" w:rsidRDefault="003B76A0" w:rsidP="003B76A0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>Les Dix principes</w:t>
            </w:r>
            <w:r w:rsidR="00553C8F" w:rsidRPr="00D069F0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553C8F">
              <w:rPr>
                <w:rFonts w:cs="Arial"/>
                <w:sz w:val="20"/>
                <w:szCs w:val="20"/>
                <w:lang w:val="fr-CA"/>
              </w:rPr>
              <w:t xml:space="preserve">du </w:t>
            </w:r>
            <w:r w:rsidR="00553C8F" w:rsidRPr="00D069F0">
              <w:rPr>
                <w:rFonts w:cs="Arial"/>
                <w:sz w:val="20"/>
                <w:szCs w:val="20"/>
                <w:lang w:val="fr-CA"/>
              </w:rPr>
              <w:t>Pacte mondial des Nations Unies</w:t>
            </w:r>
          </w:p>
          <w:p w14:paraId="66315273" w14:textId="6EF5A803" w:rsidR="00A46F1C" w:rsidRPr="00616A97" w:rsidRDefault="00A46F1C" w:rsidP="003B76A0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616A97">
              <w:rPr>
                <w:rFonts w:cs="Arial"/>
                <w:sz w:val="20"/>
                <w:szCs w:val="20"/>
              </w:rPr>
              <w:t xml:space="preserve">Global Reporting Initiative, </w:t>
            </w:r>
            <w:r w:rsidR="00953895" w:rsidRPr="00616A97">
              <w:rPr>
                <w:rFonts w:cs="Arial"/>
                <w:sz w:val="20"/>
                <w:szCs w:val="20"/>
              </w:rPr>
              <w:t xml:space="preserve">Sustainability Reporting Standards, </w:t>
            </w:r>
            <w:r w:rsidRPr="00616A97">
              <w:rPr>
                <w:rFonts w:cs="Arial"/>
                <w:sz w:val="20"/>
                <w:szCs w:val="20"/>
              </w:rPr>
              <w:t>2016</w:t>
            </w:r>
            <w:r w:rsidRPr="00616A97">
              <w:t xml:space="preserve"> </w:t>
            </w:r>
          </w:p>
        </w:tc>
        <w:tc>
          <w:tcPr>
            <w:tcW w:w="2208" w:type="dxa"/>
          </w:tcPr>
          <w:p w14:paraId="07612306" w14:textId="744FFD19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Q1. </w:t>
            </w:r>
            <w:r w:rsidR="003B76A0">
              <w:rPr>
                <w:rFonts w:cs="Arial"/>
                <w:sz w:val="20"/>
                <w:szCs w:val="20"/>
                <w:lang w:val="fr-CA"/>
              </w:rPr>
              <w:t>La société a-t-elle un processus de mesure du rendement</w:t>
            </w:r>
            <w:r w:rsidR="00FD5241">
              <w:rPr>
                <w:rFonts w:cs="Arial"/>
                <w:sz w:val="20"/>
                <w:szCs w:val="20"/>
                <w:lang w:val="fr-CA"/>
              </w:rPr>
              <w:t xml:space="preserve"> en matière </w:t>
            </w:r>
            <w:r w:rsidR="00FF42B5">
              <w:rPr>
                <w:rFonts w:cs="Arial"/>
                <w:sz w:val="20"/>
                <w:szCs w:val="20"/>
                <w:lang w:val="fr-CA"/>
              </w:rPr>
              <w:t>d’</w:t>
            </w:r>
            <w:r w:rsidR="00553C8F">
              <w:rPr>
                <w:rFonts w:cs="Arial"/>
                <w:sz w:val="20"/>
                <w:szCs w:val="20"/>
                <w:lang w:val="fr-CA"/>
              </w:rPr>
              <w:t>environnement et de développement durable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>?</w:t>
            </w:r>
          </w:p>
          <w:p w14:paraId="2681D1B0" w14:textId="7AEC1585" w:rsidR="00A46F1C" w:rsidRPr="00D069F0" w:rsidRDefault="00A46F1C" w:rsidP="00A46F1C">
            <w:pPr>
              <w:spacing w:before="120" w:after="120"/>
              <w:rPr>
                <w:lang w:val="fr-CA"/>
              </w:rPr>
            </w:pPr>
            <w:r w:rsidRPr="00D069F0">
              <w:rPr>
                <w:lang w:val="fr-CA"/>
              </w:rPr>
              <w:t xml:space="preserve"> </w:t>
            </w:r>
          </w:p>
          <w:p w14:paraId="0D3500B3" w14:textId="15DC0CB1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211" w:type="dxa"/>
            <w:vMerge w:val="restart"/>
          </w:tcPr>
          <w:p w14:paraId="086AE366" w14:textId="697CE7DC" w:rsidR="00A46F1C" w:rsidRPr="00D069F0" w:rsidRDefault="00924B52" w:rsidP="00616A97">
            <w:pPr>
              <w:pStyle w:val="Paragraphedeliste"/>
              <w:numPr>
                <w:ilvl w:val="0"/>
                <w:numId w:val="1"/>
              </w:numPr>
              <w:spacing w:before="120"/>
              <w:ind w:left="289" w:hanging="289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Description du processus de mesure du rendement et de communication des résultats </w:t>
            </w:r>
          </w:p>
          <w:p w14:paraId="7B93586E" w14:textId="4A5716BB" w:rsidR="00A46F1C" w:rsidRPr="00D069F0" w:rsidRDefault="00924B52" w:rsidP="00616A97">
            <w:pPr>
              <w:pStyle w:val="Paragraphedeliste"/>
              <w:numPr>
                <w:ilvl w:val="0"/>
                <w:numId w:val="1"/>
              </w:numPr>
              <w:spacing w:before="120"/>
              <w:ind w:left="289" w:hanging="289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>Plan d’entreprise</w:t>
            </w:r>
          </w:p>
          <w:p w14:paraId="0D578459" w14:textId="406C16B1" w:rsidR="00A46F1C" w:rsidRPr="00D069F0" w:rsidRDefault="00924B52" w:rsidP="00616A97">
            <w:pPr>
              <w:pStyle w:val="Paragraphedeliste"/>
              <w:numPr>
                <w:ilvl w:val="0"/>
                <w:numId w:val="1"/>
              </w:numPr>
              <w:spacing w:before="120"/>
              <w:ind w:left="289" w:hanging="289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Rapport annuel </w:t>
            </w:r>
          </w:p>
          <w:p w14:paraId="7BCAE971" w14:textId="468A4B86" w:rsidR="00A46F1C" w:rsidRPr="00D069F0" w:rsidRDefault="00924B52" w:rsidP="00616A97">
            <w:pPr>
              <w:pStyle w:val="Paragraphedeliste"/>
              <w:numPr>
                <w:ilvl w:val="0"/>
                <w:numId w:val="1"/>
              </w:numPr>
              <w:spacing w:before="120"/>
              <w:ind w:left="289" w:hanging="289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>Rapport en matière d’</w:t>
            </w:r>
            <w:r w:rsidR="00553C8F">
              <w:rPr>
                <w:rFonts w:cs="Arial"/>
                <w:sz w:val="20"/>
                <w:szCs w:val="20"/>
                <w:lang w:val="fr-CA"/>
              </w:rPr>
              <w:t>environnement et de développement durable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 </w:t>
            </w:r>
          </w:p>
          <w:p w14:paraId="26D78D5B" w14:textId="225FD66D" w:rsidR="00A46F1C" w:rsidRPr="00D069F0" w:rsidRDefault="00924B52" w:rsidP="00616A97">
            <w:pPr>
              <w:pStyle w:val="Paragraphedeliste"/>
              <w:numPr>
                <w:ilvl w:val="0"/>
                <w:numId w:val="1"/>
              </w:numPr>
              <w:spacing w:before="120"/>
              <w:ind w:left="289" w:hanging="289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Rapport sur la durabilité </w:t>
            </w:r>
          </w:p>
          <w:p w14:paraId="2AD14306" w14:textId="1DAA30BB" w:rsidR="00A46F1C" w:rsidRPr="00D069F0" w:rsidRDefault="00D35AC4" w:rsidP="00616A97">
            <w:pPr>
              <w:pStyle w:val="Paragraphedeliste"/>
              <w:numPr>
                <w:ilvl w:val="0"/>
                <w:numId w:val="1"/>
              </w:numPr>
              <w:spacing w:before="120"/>
              <w:ind w:left="289" w:hanging="289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>Procès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noBreakHyphen/>
              <w:t xml:space="preserve">verbaux </w:t>
            </w:r>
            <w:r w:rsidR="00924B52" w:rsidRPr="00D069F0">
              <w:rPr>
                <w:rFonts w:cs="Arial"/>
                <w:sz w:val="20"/>
                <w:szCs w:val="20"/>
                <w:lang w:val="fr-CA"/>
              </w:rPr>
              <w:t xml:space="preserve">des réunions du conseil d’administration </w:t>
            </w:r>
          </w:p>
          <w:p w14:paraId="7B23E33B" w14:textId="49331BDA" w:rsidR="00A46F1C" w:rsidRPr="00D069F0" w:rsidRDefault="00D35AC4" w:rsidP="00616A97">
            <w:pPr>
              <w:pStyle w:val="Paragraphedeliste"/>
              <w:numPr>
                <w:ilvl w:val="0"/>
                <w:numId w:val="1"/>
              </w:numPr>
              <w:spacing w:before="120"/>
              <w:ind w:left="289" w:hanging="289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>Procès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noBreakHyphen/>
              <w:t xml:space="preserve">verbaux </w:t>
            </w:r>
            <w:r w:rsidR="00924B52" w:rsidRPr="00D069F0">
              <w:rPr>
                <w:rFonts w:cs="Arial"/>
                <w:sz w:val="20"/>
                <w:szCs w:val="20"/>
                <w:lang w:val="fr-CA"/>
              </w:rPr>
              <w:t xml:space="preserve">des réunions du comité de la haute direction </w:t>
            </w:r>
          </w:p>
          <w:p w14:paraId="45689903" w14:textId="49C3E775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927" w:type="dxa"/>
          </w:tcPr>
          <w:p w14:paraId="616B9EA6" w14:textId="1D9E56C1" w:rsidR="00A46F1C" w:rsidRPr="00D069F0" w:rsidRDefault="00953895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 xml:space="preserve">1a) Déterminer si le processus de mesure du rendement comprend les éléments suivants : </w:t>
            </w:r>
          </w:p>
          <w:p w14:paraId="2E3A9753" w14:textId="1DD6855C" w:rsidR="00A46F1C" w:rsidRPr="00D069F0" w:rsidRDefault="00E01EC4" w:rsidP="00A46F1C">
            <w:pPr>
              <w:numPr>
                <w:ilvl w:val="0"/>
                <w:numId w:val="11"/>
              </w:numPr>
              <w:spacing w:before="120" w:after="120"/>
              <w:ind w:left="576" w:hanging="288"/>
              <w:rPr>
                <w:rFonts w:eastAsia="Calibri" w:cs="Arial"/>
                <w:sz w:val="20"/>
                <w:szCs w:val="20"/>
                <w:lang w:val="fr-CA" w:bidi="en-US"/>
              </w:rPr>
            </w:pPr>
            <w:r>
              <w:rPr>
                <w:rFonts w:eastAsia="Calibri" w:cs="Arial"/>
                <w:sz w:val="20"/>
                <w:szCs w:val="20"/>
                <w:lang w:val="fr-CA" w:bidi="en-US"/>
              </w:rPr>
              <w:t xml:space="preserve">un plan de suivi; </w:t>
            </w:r>
          </w:p>
          <w:p w14:paraId="78B243A8" w14:textId="586B689F" w:rsidR="00A46F1C" w:rsidRPr="00D069F0" w:rsidRDefault="00E01EC4" w:rsidP="00A46F1C">
            <w:pPr>
              <w:numPr>
                <w:ilvl w:val="0"/>
                <w:numId w:val="11"/>
              </w:numPr>
              <w:spacing w:before="120" w:after="120"/>
              <w:ind w:left="576" w:hanging="288"/>
              <w:rPr>
                <w:rFonts w:eastAsia="Calibri" w:cs="Arial"/>
                <w:sz w:val="20"/>
                <w:szCs w:val="20"/>
                <w:lang w:val="fr-CA" w:bidi="en-US"/>
              </w:rPr>
            </w:pPr>
            <w:r>
              <w:rPr>
                <w:rFonts w:eastAsia="Calibri" w:cs="Arial"/>
                <w:sz w:val="20"/>
                <w:szCs w:val="20"/>
                <w:lang w:val="fr-CA" w:bidi="en-US"/>
              </w:rPr>
              <w:t xml:space="preserve">des objectifs et des cibles </w:t>
            </w:r>
            <w:r w:rsidR="0011301C">
              <w:rPr>
                <w:rFonts w:eastAsia="Calibri" w:cs="Arial"/>
                <w:sz w:val="20"/>
                <w:szCs w:val="20"/>
                <w:lang w:val="fr-CA" w:bidi="en-US"/>
              </w:rPr>
              <w:t xml:space="preserve">mesurables </w:t>
            </w:r>
            <w:r>
              <w:rPr>
                <w:rFonts w:eastAsia="Calibri" w:cs="Arial"/>
                <w:sz w:val="20"/>
                <w:szCs w:val="20"/>
                <w:lang w:val="fr-CA" w:bidi="en-US"/>
              </w:rPr>
              <w:t>liés à l’</w:t>
            </w:r>
            <w:r w:rsidR="00553C8F">
              <w:rPr>
                <w:rFonts w:eastAsia="Calibri" w:cs="Arial"/>
                <w:sz w:val="20"/>
                <w:szCs w:val="20"/>
                <w:lang w:val="fr-CA" w:bidi="en-US"/>
              </w:rPr>
              <w:t>environnement et au développement durable</w:t>
            </w:r>
            <w:r>
              <w:rPr>
                <w:rFonts w:eastAsia="Calibri" w:cs="Arial"/>
                <w:sz w:val="20"/>
                <w:szCs w:val="20"/>
                <w:lang w:val="fr-CA" w:bidi="en-US"/>
              </w:rPr>
              <w:t xml:space="preserve">; </w:t>
            </w:r>
          </w:p>
          <w:p w14:paraId="4702DDBC" w14:textId="34E9049F" w:rsidR="00A46F1C" w:rsidRPr="00D069F0" w:rsidRDefault="00E01EC4" w:rsidP="00A46F1C">
            <w:pPr>
              <w:numPr>
                <w:ilvl w:val="0"/>
                <w:numId w:val="11"/>
              </w:numPr>
              <w:spacing w:before="120" w:after="120"/>
              <w:ind w:left="576" w:hanging="288"/>
              <w:rPr>
                <w:rFonts w:eastAsia="Calibri" w:cs="Arial"/>
                <w:sz w:val="20"/>
                <w:szCs w:val="20"/>
                <w:lang w:val="fr-CA" w:bidi="en-US"/>
              </w:rPr>
            </w:pPr>
            <w:r>
              <w:rPr>
                <w:rFonts w:eastAsia="Calibri" w:cs="Arial"/>
                <w:sz w:val="20"/>
                <w:szCs w:val="20"/>
                <w:lang w:val="fr-CA" w:bidi="en-US"/>
              </w:rPr>
              <w:t xml:space="preserve">des rôles, des responsabilités et des ressources appropriés. </w:t>
            </w:r>
          </w:p>
          <w:p w14:paraId="58C2D497" w14:textId="0478DC1D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5D7206" w:rsidRPr="000378A1" w14:paraId="60E978F5" w14:textId="77777777" w:rsidTr="00BA2F71">
        <w:trPr>
          <w:trHeight w:val="1578"/>
        </w:trPr>
        <w:tc>
          <w:tcPr>
            <w:tcW w:w="2065" w:type="dxa"/>
            <w:vMerge/>
          </w:tcPr>
          <w:p w14:paraId="696CCFDF" w14:textId="18CC0A3F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7859" w:type="dxa"/>
            <w:vMerge/>
          </w:tcPr>
          <w:p w14:paraId="0E6F8890" w14:textId="77777777" w:rsidR="00A46F1C" w:rsidRPr="00D069F0" w:rsidRDefault="00A46F1C" w:rsidP="00A46F1C">
            <w:pPr>
              <w:spacing w:before="120" w:after="120"/>
              <w:rPr>
                <w:rStyle w:val="lev"/>
                <w:rFonts w:cs="Arial"/>
                <w:b w:val="0"/>
                <w:sz w:val="20"/>
                <w:szCs w:val="20"/>
                <w:lang w:val="fr-CA"/>
              </w:rPr>
            </w:pPr>
          </w:p>
        </w:tc>
        <w:tc>
          <w:tcPr>
            <w:tcW w:w="2208" w:type="dxa"/>
          </w:tcPr>
          <w:p w14:paraId="67D6BB06" w14:textId="46518A4E" w:rsidR="00A46F1C" w:rsidRPr="00D069F0" w:rsidRDefault="00A46F1C" w:rsidP="003B76A0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 xml:space="preserve">Q.2 </w:t>
            </w:r>
            <w:r w:rsidR="003B76A0">
              <w:rPr>
                <w:rFonts w:cs="Arial"/>
                <w:sz w:val="20"/>
                <w:szCs w:val="20"/>
                <w:lang w:val="fr-CA"/>
              </w:rPr>
              <w:t>La société a-t-elle un processus pour communiquer les résultats en matière d’</w:t>
            </w:r>
            <w:r w:rsidR="00553C8F">
              <w:rPr>
                <w:rFonts w:cs="Arial"/>
                <w:sz w:val="20"/>
                <w:szCs w:val="20"/>
                <w:lang w:val="fr-CA"/>
              </w:rPr>
              <w:t>environnement et de développement durable</w:t>
            </w:r>
            <w:r w:rsidR="003B76A0">
              <w:rPr>
                <w:rFonts w:cs="Arial"/>
                <w:sz w:val="20"/>
                <w:szCs w:val="20"/>
                <w:lang w:val="fr-CA"/>
              </w:rPr>
              <w:t xml:space="preserve"> au conseil</w:t>
            </w:r>
            <w:r w:rsidR="002E4D8E">
              <w:rPr>
                <w:rFonts w:cs="Arial"/>
                <w:sz w:val="20"/>
                <w:szCs w:val="20"/>
                <w:lang w:val="fr-CA"/>
              </w:rPr>
              <w:t xml:space="preserve"> d’administration</w:t>
            </w:r>
            <w:r w:rsidR="003B76A0">
              <w:rPr>
                <w:rFonts w:cs="Arial"/>
                <w:sz w:val="20"/>
                <w:szCs w:val="20"/>
                <w:lang w:val="fr-CA"/>
              </w:rPr>
              <w:t>, à la direction et au public</w:t>
            </w:r>
            <w:r w:rsidRPr="00D069F0">
              <w:rPr>
                <w:rFonts w:cs="Arial"/>
                <w:sz w:val="20"/>
                <w:szCs w:val="20"/>
                <w:lang w:val="fr-CA"/>
              </w:rPr>
              <w:t>?</w:t>
            </w:r>
          </w:p>
        </w:tc>
        <w:tc>
          <w:tcPr>
            <w:tcW w:w="2211" w:type="dxa"/>
            <w:vMerge/>
          </w:tcPr>
          <w:p w14:paraId="33D1D6A8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927" w:type="dxa"/>
          </w:tcPr>
          <w:p w14:paraId="11E84392" w14:textId="3278E1E1" w:rsidR="00A46F1C" w:rsidRPr="00D069F0" w:rsidRDefault="00A46F1C" w:rsidP="00A46F1C">
            <w:pPr>
              <w:spacing w:before="120" w:after="120"/>
              <w:rPr>
                <w:rFonts w:eastAsia="Calibri" w:cs="Arial"/>
                <w:sz w:val="20"/>
                <w:szCs w:val="20"/>
                <w:lang w:val="fr-CA" w:bidi="en-US"/>
              </w:rPr>
            </w:pPr>
            <w:r w:rsidRPr="00D069F0">
              <w:rPr>
                <w:rFonts w:cs="Arial"/>
                <w:sz w:val="20"/>
                <w:szCs w:val="20"/>
                <w:lang w:val="fr-CA"/>
              </w:rPr>
              <w:t>2a</w:t>
            </w:r>
            <w:r w:rsidR="00E01EC4">
              <w:rPr>
                <w:rFonts w:cs="Arial"/>
                <w:sz w:val="20"/>
                <w:szCs w:val="20"/>
                <w:lang w:val="fr-CA"/>
              </w:rPr>
              <w:t>)</w:t>
            </w:r>
            <w:r w:rsidRPr="00D069F0">
              <w:rPr>
                <w:rFonts w:eastAsia="Calibri" w:cs="Arial"/>
                <w:sz w:val="20"/>
                <w:szCs w:val="20"/>
                <w:lang w:val="fr-CA" w:bidi="en-US"/>
              </w:rPr>
              <w:t xml:space="preserve"> </w:t>
            </w:r>
            <w:r w:rsidR="0011301C">
              <w:rPr>
                <w:rFonts w:eastAsia="Calibri" w:cs="Arial"/>
                <w:sz w:val="20"/>
                <w:szCs w:val="20"/>
                <w:lang w:val="fr-CA" w:bidi="en-US"/>
              </w:rPr>
              <w:t xml:space="preserve">Examiner </w:t>
            </w:r>
            <w:r w:rsidR="00E01EC4">
              <w:rPr>
                <w:rFonts w:eastAsia="Calibri" w:cs="Arial"/>
                <w:sz w:val="20"/>
                <w:szCs w:val="20"/>
                <w:lang w:val="fr-CA" w:bidi="en-US"/>
              </w:rPr>
              <w:t xml:space="preserve">le rapport annuel, le rapport </w:t>
            </w:r>
            <w:r w:rsidR="0011301C">
              <w:rPr>
                <w:rFonts w:eastAsia="Calibri" w:cs="Arial"/>
                <w:sz w:val="20"/>
                <w:szCs w:val="20"/>
                <w:lang w:val="fr-CA" w:bidi="en-US"/>
              </w:rPr>
              <w:t>en matière d</w:t>
            </w:r>
            <w:r w:rsidR="00E01EC4">
              <w:rPr>
                <w:rFonts w:eastAsia="Calibri" w:cs="Arial"/>
                <w:sz w:val="20"/>
                <w:szCs w:val="20"/>
                <w:lang w:val="fr-CA" w:bidi="en-US"/>
              </w:rPr>
              <w:t>’</w:t>
            </w:r>
            <w:r w:rsidR="00553C8F">
              <w:rPr>
                <w:rFonts w:eastAsia="Calibri" w:cs="Arial"/>
                <w:sz w:val="20"/>
                <w:szCs w:val="20"/>
                <w:lang w:val="fr-CA" w:bidi="en-US"/>
              </w:rPr>
              <w:t>environnement et de développement durable</w:t>
            </w:r>
            <w:r w:rsidR="00E01EC4">
              <w:rPr>
                <w:rFonts w:eastAsia="Calibri" w:cs="Arial"/>
                <w:sz w:val="20"/>
                <w:szCs w:val="20"/>
                <w:lang w:val="fr-CA" w:bidi="en-US"/>
              </w:rPr>
              <w:t xml:space="preserve">, le rapport sur la durabilité ou tout autre document </w:t>
            </w:r>
            <w:r w:rsidR="0011301C">
              <w:rPr>
                <w:rFonts w:eastAsia="Calibri" w:cs="Arial"/>
                <w:sz w:val="20"/>
                <w:szCs w:val="20"/>
                <w:lang w:val="fr-CA" w:bidi="en-US"/>
              </w:rPr>
              <w:t xml:space="preserve">clé </w:t>
            </w:r>
            <w:r w:rsidR="00E01EC4">
              <w:rPr>
                <w:rFonts w:eastAsia="Calibri" w:cs="Arial"/>
                <w:sz w:val="20"/>
                <w:szCs w:val="20"/>
                <w:lang w:val="fr-CA" w:bidi="en-US"/>
              </w:rPr>
              <w:t xml:space="preserve">afin de déterminer si la société communique son rendement </w:t>
            </w:r>
            <w:r w:rsidR="00C610F5">
              <w:rPr>
                <w:rFonts w:eastAsia="Calibri" w:cs="Arial"/>
                <w:sz w:val="20"/>
                <w:szCs w:val="20"/>
                <w:lang w:val="fr-CA" w:bidi="en-US"/>
              </w:rPr>
              <w:t xml:space="preserve">en matière </w:t>
            </w:r>
            <w:r w:rsidR="00E01EC4">
              <w:rPr>
                <w:rFonts w:eastAsia="Calibri" w:cs="Arial"/>
                <w:sz w:val="20"/>
                <w:szCs w:val="20"/>
                <w:lang w:val="fr-CA" w:bidi="en-US"/>
              </w:rPr>
              <w:t>d’</w:t>
            </w:r>
            <w:r w:rsidR="00553C8F">
              <w:rPr>
                <w:rFonts w:eastAsia="Calibri" w:cs="Arial"/>
                <w:sz w:val="20"/>
                <w:szCs w:val="20"/>
                <w:lang w:val="fr-CA" w:bidi="en-US"/>
              </w:rPr>
              <w:t>environnement et de développement durable</w:t>
            </w:r>
            <w:r w:rsidR="00E01EC4">
              <w:rPr>
                <w:rFonts w:eastAsia="Calibri" w:cs="Arial"/>
                <w:sz w:val="20"/>
                <w:szCs w:val="20"/>
                <w:lang w:val="fr-CA" w:bidi="en-US"/>
              </w:rPr>
              <w:t xml:space="preserve">. </w:t>
            </w:r>
          </w:p>
          <w:p w14:paraId="1674F6E8" w14:textId="52015DC9" w:rsidR="00A46F1C" w:rsidRPr="00D069F0" w:rsidRDefault="00C610F5" w:rsidP="00A46F1C">
            <w:pPr>
              <w:spacing w:before="120" w:after="120"/>
              <w:rPr>
                <w:rFonts w:eastAsia="Calibri" w:cs="Arial"/>
                <w:sz w:val="20"/>
                <w:szCs w:val="20"/>
                <w:lang w:val="fr-CA" w:bidi="en-US"/>
              </w:rPr>
            </w:pPr>
            <w:r>
              <w:rPr>
                <w:rFonts w:eastAsia="Calibri" w:cs="Arial"/>
                <w:sz w:val="20"/>
                <w:szCs w:val="20"/>
                <w:lang w:val="fr-CA" w:bidi="en-US"/>
              </w:rPr>
              <w:t xml:space="preserve">2b) </w:t>
            </w:r>
            <w:r w:rsidR="0011301C">
              <w:rPr>
                <w:rFonts w:eastAsia="Calibri" w:cs="Arial"/>
                <w:sz w:val="20"/>
                <w:szCs w:val="20"/>
                <w:lang w:val="fr-CA" w:bidi="en-US"/>
              </w:rPr>
              <w:t xml:space="preserve">Vérifier </w:t>
            </w:r>
            <w:r>
              <w:rPr>
                <w:rFonts w:eastAsia="Calibri" w:cs="Arial"/>
                <w:sz w:val="20"/>
                <w:szCs w:val="20"/>
                <w:lang w:val="fr-CA" w:bidi="en-US"/>
              </w:rPr>
              <w:t>que les rapports de la société contien</w:t>
            </w:r>
            <w:r w:rsidR="00FF42B5">
              <w:rPr>
                <w:rFonts w:eastAsia="Calibri" w:cs="Arial"/>
                <w:sz w:val="20"/>
                <w:szCs w:val="20"/>
                <w:lang w:val="fr-CA" w:bidi="en-US"/>
              </w:rPr>
              <w:t>nen</w:t>
            </w:r>
            <w:r>
              <w:rPr>
                <w:rFonts w:eastAsia="Calibri" w:cs="Arial"/>
                <w:sz w:val="20"/>
                <w:szCs w:val="20"/>
                <w:lang w:val="fr-CA" w:bidi="en-US"/>
              </w:rPr>
              <w:t xml:space="preserve">t de </w:t>
            </w:r>
            <w:r w:rsidR="004421B3">
              <w:rPr>
                <w:rFonts w:eastAsia="Calibri" w:cs="Arial"/>
                <w:sz w:val="20"/>
                <w:szCs w:val="20"/>
                <w:lang w:val="fr-CA" w:bidi="en-US"/>
              </w:rPr>
              <w:t>l’</w:t>
            </w:r>
            <w:r>
              <w:rPr>
                <w:rFonts w:eastAsia="Calibri" w:cs="Arial"/>
                <w:sz w:val="20"/>
                <w:szCs w:val="20"/>
                <w:lang w:val="fr-CA" w:bidi="en-US"/>
              </w:rPr>
              <w:t xml:space="preserve">information claire, crédible et équilibrée sur le rendement. </w:t>
            </w:r>
          </w:p>
          <w:p w14:paraId="1424C014" w14:textId="6BB01EE1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5D7206" w:rsidRPr="000378A1" w14:paraId="3C49E99F" w14:textId="77777777" w:rsidTr="00BA2F71">
        <w:trPr>
          <w:trHeight w:val="1578"/>
        </w:trPr>
        <w:tc>
          <w:tcPr>
            <w:tcW w:w="2065" w:type="dxa"/>
            <w:vMerge/>
          </w:tcPr>
          <w:p w14:paraId="77D249F5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7859" w:type="dxa"/>
            <w:vMerge/>
          </w:tcPr>
          <w:p w14:paraId="596C3EFA" w14:textId="77777777" w:rsidR="00A46F1C" w:rsidRPr="00D069F0" w:rsidRDefault="00A46F1C" w:rsidP="00A46F1C">
            <w:pPr>
              <w:spacing w:before="120" w:after="120"/>
              <w:rPr>
                <w:rStyle w:val="lev"/>
                <w:rFonts w:cs="Arial"/>
                <w:b w:val="0"/>
                <w:sz w:val="20"/>
                <w:szCs w:val="20"/>
                <w:lang w:val="fr-CA"/>
              </w:rPr>
            </w:pPr>
          </w:p>
        </w:tc>
        <w:tc>
          <w:tcPr>
            <w:tcW w:w="2208" w:type="dxa"/>
          </w:tcPr>
          <w:p w14:paraId="28B8EA24" w14:textId="20E21747" w:rsidR="00A46F1C" w:rsidRPr="00D069F0" w:rsidRDefault="003B76A0" w:rsidP="00953895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Q3.</w:t>
            </w:r>
            <w:r w:rsidR="006264AD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>
              <w:rPr>
                <w:rFonts w:cs="Arial"/>
                <w:sz w:val="20"/>
                <w:szCs w:val="20"/>
                <w:lang w:val="fr-CA"/>
              </w:rPr>
              <w:t>La société se sert</w:t>
            </w:r>
            <w:r>
              <w:rPr>
                <w:rFonts w:cs="Arial"/>
                <w:sz w:val="20"/>
                <w:szCs w:val="20"/>
                <w:lang w:val="fr-CA"/>
              </w:rPr>
              <w:noBreakHyphen/>
              <w:t xml:space="preserve">elle de </w:t>
            </w:r>
            <w:r w:rsidR="004421B3">
              <w:rPr>
                <w:rFonts w:cs="Arial"/>
                <w:sz w:val="20"/>
                <w:szCs w:val="20"/>
                <w:lang w:val="fr-CA"/>
              </w:rPr>
              <w:t>l’</w:t>
            </w:r>
            <w:r>
              <w:rPr>
                <w:rFonts w:cs="Arial"/>
                <w:sz w:val="20"/>
                <w:szCs w:val="20"/>
                <w:lang w:val="fr-CA"/>
              </w:rPr>
              <w:t>information sur le rendement aux fins de la prise</w:t>
            </w:r>
            <w:r w:rsidR="00953895">
              <w:rPr>
                <w:rFonts w:cs="Arial"/>
                <w:sz w:val="20"/>
                <w:szCs w:val="20"/>
                <w:lang w:val="fr-CA"/>
              </w:rPr>
              <w:t xml:space="preserve"> de décisions par la direction et le conseil</w:t>
            </w:r>
            <w:r w:rsidR="004421B3">
              <w:rPr>
                <w:rFonts w:cs="Arial"/>
                <w:sz w:val="20"/>
                <w:szCs w:val="20"/>
                <w:lang w:val="fr-CA"/>
              </w:rPr>
              <w:t xml:space="preserve"> d’administration</w:t>
            </w:r>
            <w:r w:rsidR="00953895">
              <w:rPr>
                <w:rFonts w:cs="Arial"/>
                <w:sz w:val="20"/>
                <w:szCs w:val="20"/>
                <w:lang w:val="fr-CA"/>
              </w:rPr>
              <w:t xml:space="preserve">? </w:t>
            </w:r>
          </w:p>
        </w:tc>
        <w:tc>
          <w:tcPr>
            <w:tcW w:w="2211" w:type="dxa"/>
            <w:vMerge/>
          </w:tcPr>
          <w:p w14:paraId="58FB4171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927" w:type="dxa"/>
          </w:tcPr>
          <w:p w14:paraId="3A0A6823" w14:textId="62002985" w:rsidR="00A46F1C" w:rsidRPr="00D069F0" w:rsidRDefault="00C610F5" w:rsidP="00CC3A23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 xml:space="preserve">3a) </w:t>
            </w:r>
            <w:r w:rsidR="009963FA">
              <w:rPr>
                <w:rFonts w:cs="Arial"/>
                <w:sz w:val="20"/>
                <w:szCs w:val="20"/>
                <w:lang w:val="fr-CA"/>
              </w:rPr>
              <w:t xml:space="preserve">Vérifier </w:t>
            </w:r>
            <w:r>
              <w:rPr>
                <w:rFonts w:cs="Arial"/>
                <w:sz w:val="20"/>
                <w:szCs w:val="20"/>
                <w:lang w:val="fr-CA"/>
              </w:rPr>
              <w:t xml:space="preserve">que la direction et le conseil </w:t>
            </w:r>
            <w:r w:rsidR="009963FA">
              <w:rPr>
                <w:rFonts w:cs="Arial"/>
                <w:sz w:val="20"/>
                <w:szCs w:val="20"/>
                <w:lang w:val="fr-CA"/>
              </w:rPr>
              <w:t>d’administration</w:t>
            </w:r>
            <w:r w:rsidR="006264AD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>
              <w:rPr>
                <w:rFonts w:cs="Arial"/>
                <w:sz w:val="20"/>
                <w:szCs w:val="20"/>
                <w:lang w:val="fr-CA"/>
              </w:rPr>
              <w:t>sont informés périodiquement du rendement de la société en matière d’</w:t>
            </w:r>
            <w:r w:rsidR="00553C8F">
              <w:rPr>
                <w:rFonts w:cs="Arial"/>
                <w:sz w:val="20"/>
                <w:szCs w:val="20"/>
                <w:lang w:val="fr-CA"/>
              </w:rPr>
              <w:t>environnement et de développement durable,</w:t>
            </w:r>
            <w:r>
              <w:rPr>
                <w:rFonts w:cs="Arial"/>
                <w:sz w:val="20"/>
                <w:szCs w:val="20"/>
                <w:lang w:val="fr-CA"/>
              </w:rPr>
              <w:t xml:space="preserve"> et </w:t>
            </w:r>
            <w:r w:rsidR="00553C8F">
              <w:rPr>
                <w:rFonts w:cs="Arial"/>
                <w:sz w:val="20"/>
                <w:szCs w:val="20"/>
                <w:lang w:val="fr-CA"/>
              </w:rPr>
              <w:t xml:space="preserve">qu’ils prennent </w:t>
            </w:r>
            <w:r w:rsidR="009963FA">
              <w:rPr>
                <w:rFonts w:cs="Arial"/>
                <w:sz w:val="20"/>
                <w:szCs w:val="20"/>
                <w:lang w:val="fr-CA"/>
              </w:rPr>
              <w:t>d</w:t>
            </w:r>
            <w:r>
              <w:rPr>
                <w:rFonts w:cs="Arial"/>
                <w:sz w:val="20"/>
                <w:szCs w:val="20"/>
                <w:lang w:val="fr-CA"/>
              </w:rPr>
              <w:t>es mesures correctives</w:t>
            </w:r>
            <w:r w:rsidR="009963FA">
              <w:rPr>
                <w:rFonts w:cs="Arial"/>
                <w:sz w:val="20"/>
                <w:szCs w:val="20"/>
                <w:lang w:val="fr-CA"/>
              </w:rPr>
              <w:t>, au besoin</w:t>
            </w:r>
            <w:r>
              <w:rPr>
                <w:rFonts w:cs="Arial"/>
                <w:sz w:val="20"/>
                <w:szCs w:val="20"/>
                <w:lang w:val="fr-CA"/>
              </w:rPr>
              <w:t xml:space="preserve">. </w:t>
            </w:r>
          </w:p>
        </w:tc>
      </w:tr>
      <w:tr w:rsidR="005D7206" w:rsidRPr="000378A1" w14:paraId="1AAAC936" w14:textId="77777777" w:rsidTr="00BA2F71">
        <w:trPr>
          <w:trHeight w:val="1578"/>
        </w:trPr>
        <w:tc>
          <w:tcPr>
            <w:tcW w:w="2065" w:type="dxa"/>
            <w:vMerge/>
          </w:tcPr>
          <w:p w14:paraId="7A94499B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7859" w:type="dxa"/>
            <w:vMerge/>
          </w:tcPr>
          <w:p w14:paraId="25D8BF23" w14:textId="77777777" w:rsidR="00A46F1C" w:rsidRPr="00D069F0" w:rsidRDefault="00A46F1C" w:rsidP="00A46F1C">
            <w:pPr>
              <w:spacing w:before="120" w:after="120"/>
              <w:rPr>
                <w:rStyle w:val="lev"/>
                <w:rFonts w:cs="Arial"/>
                <w:b w:val="0"/>
                <w:sz w:val="20"/>
                <w:szCs w:val="20"/>
                <w:lang w:val="fr-CA"/>
              </w:rPr>
            </w:pPr>
          </w:p>
        </w:tc>
        <w:tc>
          <w:tcPr>
            <w:tcW w:w="2208" w:type="dxa"/>
          </w:tcPr>
          <w:p w14:paraId="07297710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211" w:type="dxa"/>
            <w:vMerge/>
          </w:tcPr>
          <w:p w14:paraId="5CC95004" w14:textId="77777777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927" w:type="dxa"/>
          </w:tcPr>
          <w:p w14:paraId="320F93ED" w14:textId="6E7E72B9" w:rsidR="00A46F1C" w:rsidRPr="00D069F0" w:rsidRDefault="00A46F1C" w:rsidP="00A46F1C">
            <w:pPr>
              <w:spacing w:before="120" w:after="120"/>
              <w:rPr>
                <w:rFonts w:cs="Arial"/>
                <w:sz w:val="20"/>
                <w:szCs w:val="20"/>
                <w:lang w:val="fr-CA"/>
              </w:rPr>
            </w:pPr>
          </w:p>
        </w:tc>
      </w:tr>
    </w:tbl>
    <w:p w14:paraId="64C500E4" w14:textId="68571173" w:rsidR="00466CAA" w:rsidRPr="00D069F0" w:rsidRDefault="00466CAA" w:rsidP="00AD4E37">
      <w:pPr>
        <w:spacing w:before="0" w:after="200" w:line="276" w:lineRule="auto"/>
        <w:rPr>
          <w:rFonts w:cs="Arial"/>
          <w:sz w:val="20"/>
          <w:szCs w:val="20"/>
          <w:lang w:val="fr-CA"/>
        </w:rPr>
      </w:pPr>
    </w:p>
    <w:sectPr w:rsidR="00466CAA" w:rsidRPr="00D069F0" w:rsidSect="00E84D2F">
      <w:footerReference w:type="first" r:id="rId8"/>
      <w:type w:val="oddPage"/>
      <w:pgSz w:w="20160" w:h="12240" w:orient="landscape" w:code="5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9861C" w14:textId="77777777" w:rsidR="009C07EB" w:rsidRDefault="009C07EB" w:rsidP="00F87AE1">
      <w:pPr>
        <w:spacing w:before="0" w:after="0"/>
      </w:pPr>
      <w:r>
        <w:separator/>
      </w:r>
    </w:p>
  </w:endnote>
  <w:endnote w:type="continuationSeparator" w:id="0">
    <w:p w14:paraId="7308586C" w14:textId="77777777" w:rsidR="009C07EB" w:rsidRDefault="009C07EB" w:rsidP="00F87A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aMaax">
    <w:altName w:val="ViaMaa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40C64" w14:textId="54CE62C1" w:rsidR="009C07EB" w:rsidRPr="00E84D2F" w:rsidRDefault="009C07EB" w:rsidP="00E84D2F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78A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A33C6" w14:textId="77777777" w:rsidR="009C07EB" w:rsidRDefault="009C07EB" w:rsidP="00F87AE1">
      <w:pPr>
        <w:spacing w:before="0" w:after="0"/>
      </w:pPr>
      <w:r>
        <w:separator/>
      </w:r>
    </w:p>
  </w:footnote>
  <w:footnote w:type="continuationSeparator" w:id="0">
    <w:p w14:paraId="39688F1A" w14:textId="77777777" w:rsidR="009C07EB" w:rsidRDefault="009C07EB" w:rsidP="00F87A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EC3"/>
    <w:multiLevelType w:val="hybridMultilevel"/>
    <w:tmpl w:val="5D80519A"/>
    <w:lvl w:ilvl="0" w:tplc="012C709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748E1"/>
    <w:multiLevelType w:val="hybridMultilevel"/>
    <w:tmpl w:val="598A7D34"/>
    <w:lvl w:ilvl="0" w:tplc="0A943E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70A9"/>
    <w:multiLevelType w:val="hybridMultilevel"/>
    <w:tmpl w:val="CD6E76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F0254"/>
    <w:multiLevelType w:val="hybridMultilevel"/>
    <w:tmpl w:val="05B8E2F0"/>
    <w:lvl w:ilvl="0" w:tplc="C15EC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92E"/>
    <w:multiLevelType w:val="hybridMultilevel"/>
    <w:tmpl w:val="738882B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D4BD8"/>
    <w:multiLevelType w:val="hybridMultilevel"/>
    <w:tmpl w:val="000C45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D7145"/>
    <w:multiLevelType w:val="hybridMultilevel"/>
    <w:tmpl w:val="431254B2"/>
    <w:lvl w:ilvl="0" w:tplc="C826E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645E5"/>
    <w:multiLevelType w:val="hybridMultilevel"/>
    <w:tmpl w:val="9C2E2E1A"/>
    <w:lvl w:ilvl="0" w:tplc="FBC45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B582C"/>
    <w:multiLevelType w:val="hybridMultilevel"/>
    <w:tmpl w:val="BF162AAC"/>
    <w:lvl w:ilvl="0" w:tplc="5EBE20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1E2F"/>
    <w:multiLevelType w:val="hybridMultilevel"/>
    <w:tmpl w:val="46989088"/>
    <w:lvl w:ilvl="0" w:tplc="10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29793AF5"/>
    <w:multiLevelType w:val="hybridMultilevel"/>
    <w:tmpl w:val="14266328"/>
    <w:lvl w:ilvl="0" w:tplc="22D25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00A94"/>
    <w:multiLevelType w:val="hybridMultilevel"/>
    <w:tmpl w:val="D96827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224DE"/>
    <w:multiLevelType w:val="hybridMultilevel"/>
    <w:tmpl w:val="4D3A05EE"/>
    <w:lvl w:ilvl="0" w:tplc="2EAE1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404E7"/>
    <w:multiLevelType w:val="hybridMultilevel"/>
    <w:tmpl w:val="890AAC2E"/>
    <w:lvl w:ilvl="0" w:tplc="DEB21024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77216"/>
    <w:multiLevelType w:val="hybridMultilevel"/>
    <w:tmpl w:val="0BB2FF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57032F"/>
    <w:multiLevelType w:val="hybridMultilevel"/>
    <w:tmpl w:val="E08C05D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228C1"/>
    <w:multiLevelType w:val="hybridMultilevel"/>
    <w:tmpl w:val="669626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A18A3"/>
    <w:multiLevelType w:val="hybridMultilevel"/>
    <w:tmpl w:val="8FDC8F6A"/>
    <w:lvl w:ilvl="0" w:tplc="4F8E589E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  <w:b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867CC"/>
    <w:multiLevelType w:val="hybridMultilevel"/>
    <w:tmpl w:val="067AD9AA"/>
    <w:lvl w:ilvl="0" w:tplc="6C0A27F8">
      <w:numFmt w:val="bullet"/>
      <w:lvlText w:val="•"/>
      <w:lvlJc w:val="left"/>
      <w:pPr>
        <w:ind w:left="360" w:hanging="360"/>
      </w:pPr>
      <w:rPr>
        <w:rFonts w:ascii="Calibri" w:eastAsiaTheme="minorEastAsia" w:hAnsi="Calibri" w:cstheme="minorBidi" w:hint="default"/>
        <w:sz w:val="16"/>
        <w:szCs w:val="16"/>
      </w:rPr>
    </w:lvl>
    <w:lvl w:ilvl="1" w:tplc="1AE2D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E0329"/>
    <w:multiLevelType w:val="hybridMultilevel"/>
    <w:tmpl w:val="E5B28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46A54"/>
    <w:multiLevelType w:val="hybridMultilevel"/>
    <w:tmpl w:val="D54A06F8"/>
    <w:lvl w:ilvl="0" w:tplc="22D25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82203"/>
    <w:multiLevelType w:val="hybridMultilevel"/>
    <w:tmpl w:val="302A31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52C17"/>
    <w:multiLevelType w:val="hybridMultilevel"/>
    <w:tmpl w:val="44EA52BE"/>
    <w:lvl w:ilvl="0" w:tplc="22D25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C5A73"/>
    <w:multiLevelType w:val="hybridMultilevel"/>
    <w:tmpl w:val="91A62FAA"/>
    <w:lvl w:ilvl="0" w:tplc="1AE2D5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C7542"/>
    <w:multiLevelType w:val="hybridMultilevel"/>
    <w:tmpl w:val="66B819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F3277"/>
    <w:multiLevelType w:val="hybridMultilevel"/>
    <w:tmpl w:val="5E00A8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16029"/>
    <w:multiLevelType w:val="hybridMultilevel"/>
    <w:tmpl w:val="945CF60E"/>
    <w:lvl w:ilvl="0" w:tplc="22D25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E29C3"/>
    <w:multiLevelType w:val="hybridMultilevel"/>
    <w:tmpl w:val="B96E3E02"/>
    <w:lvl w:ilvl="0" w:tplc="22D25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003F7"/>
    <w:multiLevelType w:val="hybridMultilevel"/>
    <w:tmpl w:val="7EDC4A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9B31BC"/>
    <w:multiLevelType w:val="hybridMultilevel"/>
    <w:tmpl w:val="F320B2DE"/>
    <w:lvl w:ilvl="0" w:tplc="C2C6BA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2535C"/>
    <w:multiLevelType w:val="hybridMultilevel"/>
    <w:tmpl w:val="6C8EE254"/>
    <w:lvl w:ilvl="0" w:tplc="22D25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43FCE"/>
    <w:multiLevelType w:val="hybridMultilevel"/>
    <w:tmpl w:val="512A1566"/>
    <w:lvl w:ilvl="0" w:tplc="1AE2D5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635F8"/>
    <w:multiLevelType w:val="hybridMultilevel"/>
    <w:tmpl w:val="435EFFC4"/>
    <w:lvl w:ilvl="0" w:tplc="C826E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C1E28"/>
    <w:multiLevelType w:val="hybridMultilevel"/>
    <w:tmpl w:val="1F08CD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91EED"/>
    <w:multiLevelType w:val="hybridMultilevel"/>
    <w:tmpl w:val="489E6824"/>
    <w:lvl w:ilvl="0" w:tplc="1AE2D5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A749E"/>
    <w:multiLevelType w:val="hybridMultilevel"/>
    <w:tmpl w:val="A5067C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5103C"/>
    <w:multiLevelType w:val="hybridMultilevel"/>
    <w:tmpl w:val="EBEA16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B5CBE"/>
    <w:multiLevelType w:val="hybridMultilevel"/>
    <w:tmpl w:val="7AB049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2"/>
  </w:num>
  <w:num w:numId="4">
    <w:abstractNumId w:val="6"/>
  </w:num>
  <w:num w:numId="5">
    <w:abstractNumId w:val="9"/>
  </w:num>
  <w:num w:numId="6">
    <w:abstractNumId w:val="11"/>
  </w:num>
  <w:num w:numId="7">
    <w:abstractNumId w:val="24"/>
  </w:num>
  <w:num w:numId="8">
    <w:abstractNumId w:val="36"/>
  </w:num>
  <w:num w:numId="9">
    <w:abstractNumId w:val="37"/>
  </w:num>
  <w:num w:numId="10">
    <w:abstractNumId w:val="16"/>
  </w:num>
  <w:num w:numId="11">
    <w:abstractNumId w:val="5"/>
  </w:num>
  <w:num w:numId="12">
    <w:abstractNumId w:val="21"/>
  </w:num>
  <w:num w:numId="13">
    <w:abstractNumId w:val="20"/>
  </w:num>
  <w:num w:numId="14">
    <w:abstractNumId w:val="22"/>
  </w:num>
  <w:num w:numId="15">
    <w:abstractNumId w:val="30"/>
  </w:num>
  <w:num w:numId="16">
    <w:abstractNumId w:val="26"/>
  </w:num>
  <w:num w:numId="17">
    <w:abstractNumId w:val="27"/>
  </w:num>
  <w:num w:numId="18">
    <w:abstractNumId w:val="33"/>
  </w:num>
  <w:num w:numId="19">
    <w:abstractNumId w:val="10"/>
  </w:num>
  <w:num w:numId="20">
    <w:abstractNumId w:val="34"/>
  </w:num>
  <w:num w:numId="21">
    <w:abstractNumId w:val="23"/>
  </w:num>
  <w:num w:numId="22">
    <w:abstractNumId w:val="18"/>
  </w:num>
  <w:num w:numId="23">
    <w:abstractNumId w:val="31"/>
  </w:num>
  <w:num w:numId="24">
    <w:abstractNumId w:val="15"/>
  </w:num>
  <w:num w:numId="25">
    <w:abstractNumId w:val="14"/>
  </w:num>
  <w:num w:numId="26">
    <w:abstractNumId w:val="7"/>
  </w:num>
  <w:num w:numId="27">
    <w:abstractNumId w:val="4"/>
  </w:num>
  <w:num w:numId="28">
    <w:abstractNumId w:val="19"/>
  </w:num>
  <w:num w:numId="29">
    <w:abstractNumId w:val="0"/>
  </w:num>
  <w:num w:numId="30">
    <w:abstractNumId w:val="2"/>
  </w:num>
  <w:num w:numId="31">
    <w:abstractNumId w:val="13"/>
  </w:num>
  <w:num w:numId="32">
    <w:abstractNumId w:val="8"/>
  </w:num>
  <w:num w:numId="33">
    <w:abstractNumId w:val="35"/>
  </w:num>
  <w:num w:numId="34">
    <w:abstractNumId w:val="3"/>
  </w:num>
  <w:num w:numId="35">
    <w:abstractNumId w:val="29"/>
  </w:num>
  <w:num w:numId="36">
    <w:abstractNumId w:val="1"/>
  </w:num>
  <w:num w:numId="37">
    <w:abstractNumId w:val="25"/>
  </w:num>
  <w:num w:numId="38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hyphenationZone w:val="425"/>
  <w:evenAndOddHeaders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7E"/>
    <w:rsid w:val="0000286C"/>
    <w:rsid w:val="00004EE0"/>
    <w:rsid w:val="0001297A"/>
    <w:rsid w:val="00012AF9"/>
    <w:rsid w:val="00014748"/>
    <w:rsid w:val="000207AE"/>
    <w:rsid w:val="00020D43"/>
    <w:rsid w:val="00021B8B"/>
    <w:rsid w:val="000228D9"/>
    <w:rsid w:val="00022BCA"/>
    <w:rsid w:val="00026D86"/>
    <w:rsid w:val="00027FB0"/>
    <w:rsid w:val="00032C31"/>
    <w:rsid w:val="00033C20"/>
    <w:rsid w:val="000378A1"/>
    <w:rsid w:val="00040251"/>
    <w:rsid w:val="00041572"/>
    <w:rsid w:val="00041BC5"/>
    <w:rsid w:val="00043E14"/>
    <w:rsid w:val="00043F15"/>
    <w:rsid w:val="00046475"/>
    <w:rsid w:val="0005109C"/>
    <w:rsid w:val="00052EA4"/>
    <w:rsid w:val="0006057B"/>
    <w:rsid w:val="0006778E"/>
    <w:rsid w:val="000709EB"/>
    <w:rsid w:val="00072CF2"/>
    <w:rsid w:val="00074192"/>
    <w:rsid w:val="00076D1E"/>
    <w:rsid w:val="00077852"/>
    <w:rsid w:val="0007798D"/>
    <w:rsid w:val="00080209"/>
    <w:rsid w:val="00080B08"/>
    <w:rsid w:val="0008349C"/>
    <w:rsid w:val="00085B2E"/>
    <w:rsid w:val="00086DF3"/>
    <w:rsid w:val="00087AA6"/>
    <w:rsid w:val="00090C1B"/>
    <w:rsid w:val="000977C2"/>
    <w:rsid w:val="0009786C"/>
    <w:rsid w:val="000A2A8A"/>
    <w:rsid w:val="000A4C68"/>
    <w:rsid w:val="000A6CB3"/>
    <w:rsid w:val="000B70E1"/>
    <w:rsid w:val="000B76E6"/>
    <w:rsid w:val="000B77B4"/>
    <w:rsid w:val="000B7A0B"/>
    <w:rsid w:val="000C1823"/>
    <w:rsid w:val="000C5366"/>
    <w:rsid w:val="000D2E8E"/>
    <w:rsid w:val="000D4938"/>
    <w:rsid w:val="000E1A29"/>
    <w:rsid w:val="000E456F"/>
    <w:rsid w:val="000E73F2"/>
    <w:rsid w:val="000F0F1F"/>
    <w:rsid w:val="000F13F0"/>
    <w:rsid w:val="000F4614"/>
    <w:rsid w:val="000F684E"/>
    <w:rsid w:val="000F78FB"/>
    <w:rsid w:val="001011B3"/>
    <w:rsid w:val="00104452"/>
    <w:rsid w:val="00106EDC"/>
    <w:rsid w:val="00107F1B"/>
    <w:rsid w:val="00112DDE"/>
    <w:rsid w:val="0011301C"/>
    <w:rsid w:val="001139BC"/>
    <w:rsid w:val="001200AA"/>
    <w:rsid w:val="00122244"/>
    <w:rsid w:val="001226CF"/>
    <w:rsid w:val="0012370F"/>
    <w:rsid w:val="00123BD0"/>
    <w:rsid w:val="00124A93"/>
    <w:rsid w:val="00127A9D"/>
    <w:rsid w:val="001329D4"/>
    <w:rsid w:val="00134B32"/>
    <w:rsid w:val="00136262"/>
    <w:rsid w:val="00136FF2"/>
    <w:rsid w:val="00137F5A"/>
    <w:rsid w:val="00140153"/>
    <w:rsid w:val="0014300E"/>
    <w:rsid w:val="0015071D"/>
    <w:rsid w:val="00152C9C"/>
    <w:rsid w:val="00157193"/>
    <w:rsid w:val="001620DB"/>
    <w:rsid w:val="001625FA"/>
    <w:rsid w:val="00162AB6"/>
    <w:rsid w:val="0016464E"/>
    <w:rsid w:val="001668C7"/>
    <w:rsid w:val="00167F10"/>
    <w:rsid w:val="0017077B"/>
    <w:rsid w:val="0017297C"/>
    <w:rsid w:val="00172B59"/>
    <w:rsid w:val="00172B62"/>
    <w:rsid w:val="0017310A"/>
    <w:rsid w:val="001744AD"/>
    <w:rsid w:val="00176E47"/>
    <w:rsid w:val="00177FED"/>
    <w:rsid w:val="0018480C"/>
    <w:rsid w:val="001869A2"/>
    <w:rsid w:val="001876CF"/>
    <w:rsid w:val="001878C2"/>
    <w:rsid w:val="00192BFA"/>
    <w:rsid w:val="00196181"/>
    <w:rsid w:val="00197E5D"/>
    <w:rsid w:val="001B28DE"/>
    <w:rsid w:val="001B43A2"/>
    <w:rsid w:val="001B5419"/>
    <w:rsid w:val="001B5E02"/>
    <w:rsid w:val="001C289A"/>
    <w:rsid w:val="001C2F76"/>
    <w:rsid w:val="001C714D"/>
    <w:rsid w:val="001C7E13"/>
    <w:rsid w:val="001D0617"/>
    <w:rsid w:val="001D31F6"/>
    <w:rsid w:val="001D36CA"/>
    <w:rsid w:val="001D3AA0"/>
    <w:rsid w:val="001D4217"/>
    <w:rsid w:val="001D5AAB"/>
    <w:rsid w:val="001D7B11"/>
    <w:rsid w:val="001D7FF6"/>
    <w:rsid w:val="001E00D9"/>
    <w:rsid w:val="001E27C5"/>
    <w:rsid w:val="001E46D8"/>
    <w:rsid w:val="001F3493"/>
    <w:rsid w:val="001F6476"/>
    <w:rsid w:val="0020122B"/>
    <w:rsid w:val="002054E2"/>
    <w:rsid w:val="0020720F"/>
    <w:rsid w:val="002078AA"/>
    <w:rsid w:val="002108AB"/>
    <w:rsid w:val="00210C40"/>
    <w:rsid w:val="0021229A"/>
    <w:rsid w:val="00213114"/>
    <w:rsid w:val="00214417"/>
    <w:rsid w:val="0021566A"/>
    <w:rsid w:val="00216319"/>
    <w:rsid w:val="0022127D"/>
    <w:rsid w:val="002242DC"/>
    <w:rsid w:val="0023102E"/>
    <w:rsid w:val="00236BEA"/>
    <w:rsid w:val="0023724C"/>
    <w:rsid w:val="00244BDE"/>
    <w:rsid w:val="00245270"/>
    <w:rsid w:val="0024595D"/>
    <w:rsid w:val="00245EB0"/>
    <w:rsid w:val="00250C25"/>
    <w:rsid w:val="002513C8"/>
    <w:rsid w:val="00257DA6"/>
    <w:rsid w:val="00260A7E"/>
    <w:rsid w:val="0026174D"/>
    <w:rsid w:val="00261B19"/>
    <w:rsid w:val="00272D07"/>
    <w:rsid w:val="00273DD5"/>
    <w:rsid w:val="00276ACA"/>
    <w:rsid w:val="00276F1C"/>
    <w:rsid w:val="00277ABD"/>
    <w:rsid w:val="00280237"/>
    <w:rsid w:val="00283E64"/>
    <w:rsid w:val="00290FE0"/>
    <w:rsid w:val="002927AA"/>
    <w:rsid w:val="00293356"/>
    <w:rsid w:val="00294DFE"/>
    <w:rsid w:val="002954F4"/>
    <w:rsid w:val="0029567C"/>
    <w:rsid w:val="00295D59"/>
    <w:rsid w:val="002B3C35"/>
    <w:rsid w:val="002B4D4A"/>
    <w:rsid w:val="002B6083"/>
    <w:rsid w:val="002B6116"/>
    <w:rsid w:val="002B6A09"/>
    <w:rsid w:val="002B6D91"/>
    <w:rsid w:val="002C0CC5"/>
    <w:rsid w:val="002C2050"/>
    <w:rsid w:val="002C26E4"/>
    <w:rsid w:val="002C2D9C"/>
    <w:rsid w:val="002C616A"/>
    <w:rsid w:val="002D1B0A"/>
    <w:rsid w:val="002D273C"/>
    <w:rsid w:val="002D3EB7"/>
    <w:rsid w:val="002D5E25"/>
    <w:rsid w:val="002D60E8"/>
    <w:rsid w:val="002E0F13"/>
    <w:rsid w:val="002E18A6"/>
    <w:rsid w:val="002E24C5"/>
    <w:rsid w:val="002E4D54"/>
    <w:rsid w:val="002E4D8E"/>
    <w:rsid w:val="002F00DB"/>
    <w:rsid w:val="002F241A"/>
    <w:rsid w:val="002F4644"/>
    <w:rsid w:val="002F74DC"/>
    <w:rsid w:val="003013A1"/>
    <w:rsid w:val="0030145C"/>
    <w:rsid w:val="003019AD"/>
    <w:rsid w:val="0030280E"/>
    <w:rsid w:val="003132E9"/>
    <w:rsid w:val="00314672"/>
    <w:rsid w:val="00315C67"/>
    <w:rsid w:val="003207F7"/>
    <w:rsid w:val="003251F5"/>
    <w:rsid w:val="00326A95"/>
    <w:rsid w:val="00327A33"/>
    <w:rsid w:val="00331420"/>
    <w:rsid w:val="0033236C"/>
    <w:rsid w:val="00334CD6"/>
    <w:rsid w:val="003368F6"/>
    <w:rsid w:val="00337833"/>
    <w:rsid w:val="00340258"/>
    <w:rsid w:val="00341691"/>
    <w:rsid w:val="003437FC"/>
    <w:rsid w:val="003503B4"/>
    <w:rsid w:val="003505E5"/>
    <w:rsid w:val="003520CC"/>
    <w:rsid w:val="003524AE"/>
    <w:rsid w:val="003551CD"/>
    <w:rsid w:val="00363795"/>
    <w:rsid w:val="0036413A"/>
    <w:rsid w:val="00365D87"/>
    <w:rsid w:val="00366228"/>
    <w:rsid w:val="003667F9"/>
    <w:rsid w:val="00372196"/>
    <w:rsid w:val="00375968"/>
    <w:rsid w:val="00376505"/>
    <w:rsid w:val="003804A6"/>
    <w:rsid w:val="003818D4"/>
    <w:rsid w:val="00381A6A"/>
    <w:rsid w:val="0038494D"/>
    <w:rsid w:val="00385F83"/>
    <w:rsid w:val="00392A88"/>
    <w:rsid w:val="00392AA1"/>
    <w:rsid w:val="00392E39"/>
    <w:rsid w:val="003A0151"/>
    <w:rsid w:val="003A032B"/>
    <w:rsid w:val="003A03F8"/>
    <w:rsid w:val="003A0FC1"/>
    <w:rsid w:val="003A1B54"/>
    <w:rsid w:val="003A20AB"/>
    <w:rsid w:val="003A25FB"/>
    <w:rsid w:val="003B1762"/>
    <w:rsid w:val="003B46C2"/>
    <w:rsid w:val="003B73C9"/>
    <w:rsid w:val="003B7529"/>
    <w:rsid w:val="003B76A0"/>
    <w:rsid w:val="003C3C71"/>
    <w:rsid w:val="003C42BA"/>
    <w:rsid w:val="003C5F49"/>
    <w:rsid w:val="003D213B"/>
    <w:rsid w:val="003D4222"/>
    <w:rsid w:val="003D4D4E"/>
    <w:rsid w:val="003D57E5"/>
    <w:rsid w:val="003D687E"/>
    <w:rsid w:val="003E1F9A"/>
    <w:rsid w:val="003E3CB0"/>
    <w:rsid w:val="003E5B15"/>
    <w:rsid w:val="003E6DFF"/>
    <w:rsid w:val="003E7BE4"/>
    <w:rsid w:val="003F1147"/>
    <w:rsid w:val="003F263C"/>
    <w:rsid w:val="003F2E23"/>
    <w:rsid w:val="003F4300"/>
    <w:rsid w:val="003F5A0B"/>
    <w:rsid w:val="003F601F"/>
    <w:rsid w:val="003F647B"/>
    <w:rsid w:val="003F7131"/>
    <w:rsid w:val="0040672D"/>
    <w:rsid w:val="00406E65"/>
    <w:rsid w:val="00410255"/>
    <w:rsid w:val="00415712"/>
    <w:rsid w:val="004173D6"/>
    <w:rsid w:val="00421800"/>
    <w:rsid w:val="004267BA"/>
    <w:rsid w:val="00426E1C"/>
    <w:rsid w:val="00427070"/>
    <w:rsid w:val="004274A9"/>
    <w:rsid w:val="00430407"/>
    <w:rsid w:val="00431404"/>
    <w:rsid w:val="00434A48"/>
    <w:rsid w:val="00435C75"/>
    <w:rsid w:val="00436CEF"/>
    <w:rsid w:val="004403C2"/>
    <w:rsid w:val="00441188"/>
    <w:rsid w:val="004421B3"/>
    <w:rsid w:val="0044222D"/>
    <w:rsid w:val="00445B7C"/>
    <w:rsid w:val="00447D9F"/>
    <w:rsid w:val="00451DD7"/>
    <w:rsid w:val="00460846"/>
    <w:rsid w:val="0046096B"/>
    <w:rsid w:val="00461CB4"/>
    <w:rsid w:val="00463BE2"/>
    <w:rsid w:val="00464DD8"/>
    <w:rsid w:val="00466438"/>
    <w:rsid w:val="00466CAA"/>
    <w:rsid w:val="00467E2C"/>
    <w:rsid w:val="0047002F"/>
    <w:rsid w:val="004708E7"/>
    <w:rsid w:val="0047247B"/>
    <w:rsid w:val="00474A66"/>
    <w:rsid w:val="00474CBD"/>
    <w:rsid w:val="004751D7"/>
    <w:rsid w:val="004763D6"/>
    <w:rsid w:val="00477FB1"/>
    <w:rsid w:val="004800D4"/>
    <w:rsid w:val="00480BD7"/>
    <w:rsid w:val="00483F32"/>
    <w:rsid w:val="0048458C"/>
    <w:rsid w:val="00487BBA"/>
    <w:rsid w:val="0049427A"/>
    <w:rsid w:val="00496EC5"/>
    <w:rsid w:val="004A061F"/>
    <w:rsid w:val="004A0D1C"/>
    <w:rsid w:val="004B6AFC"/>
    <w:rsid w:val="004C1DB8"/>
    <w:rsid w:val="004C39E4"/>
    <w:rsid w:val="004C4BA1"/>
    <w:rsid w:val="004C5A01"/>
    <w:rsid w:val="004C5D29"/>
    <w:rsid w:val="004D1436"/>
    <w:rsid w:val="004D26DA"/>
    <w:rsid w:val="004E18DD"/>
    <w:rsid w:val="004E307A"/>
    <w:rsid w:val="004E5826"/>
    <w:rsid w:val="004E7430"/>
    <w:rsid w:val="004F2F1A"/>
    <w:rsid w:val="004F3B98"/>
    <w:rsid w:val="004F4860"/>
    <w:rsid w:val="004F67AE"/>
    <w:rsid w:val="004F768C"/>
    <w:rsid w:val="004F7D3D"/>
    <w:rsid w:val="005002AB"/>
    <w:rsid w:val="005043D4"/>
    <w:rsid w:val="00504B7E"/>
    <w:rsid w:val="00505D8A"/>
    <w:rsid w:val="0051101B"/>
    <w:rsid w:val="00511038"/>
    <w:rsid w:val="00511A85"/>
    <w:rsid w:val="005159E1"/>
    <w:rsid w:val="00517D4F"/>
    <w:rsid w:val="00522203"/>
    <w:rsid w:val="0052729D"/>
    <w:rsid w:val="00530020"/>
    <w:rsid w:val="00532CE9"/>
    <w:rsid w:val="00533359"/>
    <w:rsid w:val="0053373E"/>
    <w:rsid w:val="00534993"/>
    <w:rsid w:val="0053518A"/>
    <w:rsid w:val="005353F6"/>
    <w:rsid w:val="00536581"/>
    <w:rsid w:val="00536B1A"/>
    <w:rsid w:val="0053739A"/>
    <w:rsid w:val="00540229"/>
    <w:rsid w:val="0054050E"/>
    <w:rsid w:val="005465E1"/>
    <w:rsid w:val="00546BDC"/>
    <w:rsid w:val="005476B2"/>
    <w:rsid w:val="00547776"/>
    <w:rsid w:val="00553C8F"/>
    <w:rsid w:val="0055670A"/>
    <w:rsid w:val="00557256"/>
    <w:rsid w:val="00561218"/>
    <w:rsid w:val="0056364F"/>
    <w:rsid w:val="0056515C"/>
    <w:rsid w:val="00566852"/>
    <w:rsid w:val="00570589"/>
    <w:rsid w:val="00572AC0"/>
    <w:rsid w:val="00572DA5"/>
    <w:rsid w:val="0057509C"/>
    <w:rsid w:val="0057632E"/>
    <w:rsid w:val="005765F9"/>
    <w:rsid w:val="005835BF"/>
    <w:rsid w:val="005846C5"/>
    <w:rsid w:val="00584C9A"/>
    <w:rsid w:val="00585693"/>
    <w:rsid w:val="005875A1"/>
    <w:rsid w:val="00594EE0"/>
    <w:rsid w:val="0059584A"/>
    <w:rsid w:val="005A0E76"/>
    <w:rsid w:val="005A1F54"/>
    <w:rsid w:val="005A3760"/>
    <w:rsid w:val="005A6636"/>
    <w:rsid w:val="005A71F8"/>
    <w:rsid w:val="005B210E"/>
    <w:rsid w:val="005B3538"/>
    <w:rsid w:val="005C7E81"/>
    <w:rsid w:val="005D05E4"/>
    <w:rsid w:val="005D18D7"/>
    <w:rsid w:val="005D2E7D"/>
    <w:rsid w:val="005D4031"/>
    <w:rsid w:val="005D457A"/>
    <w:rsid w:val="005D69EB"/>
    <w:rsid w:val="005D7206"/>
    <w:rsid w:val="005D7F6A"/>
    <w:rsid w:val="005E0C2B"/>
    <w:rsid w:val="005E5263"/>
    <w:rsid w:val="005E613D"/>
    <w:rsid w:val="005F02D0"/>
    <w:rsid w:val="005F7006"/>
    <w:rsid w:val="005F765C"/>
    <w:rsid w:val="00601023"/>
    <w:rsid w:val="00603B75"/>
    <w:rsid w:val="0060464B"/>
    <w:rsid w:val="00604BAF"/>
    <w:rsid w:val="00607D25"/>
    <w:rsid w:val="00616A97"/>
    <w:rsid w:val="00617D12"/>
    <w:rsid w:val="00624DE2"/>
    <w:rsid w:val="006253EE"/>
    <w:rsid w:val="006264AD"/>
    <w:rsid w:val="00626A54"/>
    <w:rsid w:val="00627D55"/>
    <w:rsid w:val="0063598D"/>
    <w:rsid w:val="006368A1"/>
    <w:rsid w:val="006370DA"/>
    <w:rsid w:val="0064113E"/>
    <w:rsid w:val="00642335"/>
    <w:rsid w:val="00650CBC"/>
    <w:rsid w:val="00650CD7"/>
    <w:rsid w:val="00652257"/>
    <w:rsid w:val="00652912"/>
    <w:rsid w:val="00654C5F"/>
    <w:rsid w:val="006552C8"/>
    <w:rsid w:val="006570CB"/>
    <w:rsid w:val="00657BEC"/>
    <w:rsid w:val="00660BCB"/>
    <w:rsid w:val="0066537E"/>
    <w:rsid w:val="0066612E"/>
    <w:rsid w:val="00667E51"/>
    <w:rsid w:val="006752CB"/>
    <w:rsid w:val="00680685"/>
    <w:rsid w:val="00686782"/>
    <w:rsid w:val="00687F23"/>
    <w:rsid w:val="006942F6"/>
    <w:rsid w:val="0069659B"/>
    <w:rsid w:val="00697CF9"/>
    <w:rsid w:val="00697DD8"/>
    <w:rsid w:val="006A01AE"/>
    <w:rsid w:val="006A3425"/>
    <w:rsid w:val="006A42D5"/>
    <w:rsid w:val="006A681C"/>
    <w:rsid w:val="006B1489"/>
    <w:rsid w:val="006B1BE1"/>
    <w:rsid w:val="006B39EA"/>
    <w:rsid w:val="006B674D"/>
    <w:rsid w:val="006B767C"/>
    <w:rsid w:val="006C07F6"/>
    <w:rsid w:val="006C3058"/>
    <w:rsid w:val="006C3775"/>
    <w:rsid w:val="006C379D"/>
    <w:rsid w:val="006D27B3"/>
    <w:rsid w:val="006D4584"/>
    <w:rsid w:val="006D6453"/>
    <w:rsid w:val="006D6707"/>
    <w:rsid w:val="006E10D9"/>
    <w:rsid w:val="006E3710"/>
    <w:rsid w:val="006E4A82"/>
    <w:rsid w:val="006E5D47"/>
    <w:rsid w:val="006E7E9D"/>
    <w:rsid w:val="006F2303"/>
    <w:rsid w:val="006F36DB"/>
    <w:rsid w:val="006F3B57"/>
    <w:rsid w:val="006F455A"/>
    <w:rsid w:val="006F5D36"/>
    <w:rsid w:val="006F670F"/>
    <w:rsid w:val="006F7262"/>
    <w:rsid w:val="00701425"/>
    <w:rsid w:val="00702C14"/>
    <w:rsid w:val="00704083"/>
    <w:rsid w:val="00704CA0"/>
    <w:rsid w:val="00706BFD"/>
    <w:rsid w:val="00707042"/>
    <w:rsid w:val="00710DF0"/>
    <w:rsid w:val="007149CE"/>
    <w:rsid w:val="0071652A"/>
    <w:rsid w:val="00716DF0"/>
    <w:rsid w:val="007200F5"/>
    <w:rsid w:val="00722B85"/>
    <w:rsid w:val="00723A93"/>
    <w:rsid w:val="00724FC0"/>
    <w:rsid w:val="00727B5A"/>
    <w:rsid w:val="00731903"/>
    <w:rsid w:val="00732403"/>
    <w:rsid w:val="00732AD7"/>
    <w:rsid w:val="007348AF"/>
    <w:rsid w:val="00735887"/>
    <w:rsid w:val="007369C5"/>
    <w:rsid w:val="007377A8"/>
    <w:rsid w:val="00743146"/>
    <w:rsid w:val="007431BD"/>
    <w:rsid w:val="007439AB"/>
    <w:rsid w:val="00746209"/>
    <w:rsid w:val="00747CFA"/>
    <w:rsid w:val="00751FD5"/>
    <w:rsid w:val="00755B56"/>
    <w:rsid w:val="00756F66"/>
    <w:rsid w:val="0075717E"/>
    <w:rsid w:val="007601CD"/>
    <w:rsid w:val="007623A8"/>
    <w:rsid w:val="00767BBF"/>
    <w:rsid w:val="00770D7D"/>
    <w:rsid w:val="007727A3"/>
    <w:rsid w:val="00773A5B"/>
    <w:rsid w:val="00773B8C"/>
    <w:rsid w:val="00773C38"/>
    <w:rsid w:val="00774847"/>
    <w:rsid w:val="00775CF4"/>
    <w:rsid w:val="00781943"/>
    <w:rsid w:val="00781A5F"/>
    <w:rsid w:val="007828D5"/>
    <w:rsid w:val="0078374A"/>
    <w:rsid w:val="0079440F"/>
    <w:rsid w:val="00794CA4"/>
    <w:rsid w:val="00795025"/>
    <w:rsid w:val="007962C7"/>
    <w:rsid w:val="00796467"/>
    <w:rsid w:val="00797CB9"/>
    <w:rsid w:val="007A359B"/>
    <w:rsid w:val="007A637B"/>
    <w:rsid w:val="007A6693"/>
    <w:rsid w:val="007B03D8"/>
    <w:rsid w:val="007B0E01"/>
    <w:rsid w:val="007B2129"/>
    <w:rsid w:val="007B25F3"/>
    <w:rsid w:val="007B67C6"/>
    <w:rsid w:val="007C0901"/>
    <w:rsid w:val="007C1D87"/>
    <w:rsid w:val="007C4418"/>
    <w:rsid w:val="007C6AF1"/>
    <w:rsid w:val="007D156F"/>
    <w:rsid w:val="007D66ED"/>
    <w:rsid w:val="007E1E27"/>
    <w:rsid w:val="007F028C"/>
    <w:rsid w:val="007F5442"/>
    <w:rsid w:val="007F5819"/>
    <w:rsid w:val="007F73D6"/>
    <w:rsid w:val="00800113"/>
    <w:rsid w:val="008002D9"/>
    <w:rsid w:val="00801A5F"/>
    <w:rsid w:val="008043E1"/>
    <w:rsid w:val="00804FE7"/>
    <w:rsid w:val="00811DE5"/>
    <w:rsid w:val="00812FF5"/>
    <w:rsid w:val="00813621"/>
    <w:rsid w:val="00813BC2"/>
    <w:rsid w:val="00817F0C"/>
    <w:rsid w:val="0082154A"/>
    <w:rsid w:val="00823FCA"/>
    <w:rsid w:val="0082494E"/>
    <w:rsid w:val="00824E5E"/>
    <w:rsid w:val="00826744"/>
    <w:rsid w:val="00827941"/>
    <w:rsid w:val="008301BE"/>
    <w:rsid w:val="008326A8"/>
    <w:rsid w:val="00834045"/>
    <w:rsid w:val="00834FB7"/>
    <w:rsid w:val="00835713"/>
    <w:rsid w:val="0083598B"/>
    <w:rsid w:val="00835A21"/>
    <w:rsid w:val="00836FA7"/>
    <w:rsid w:val="00840967"/>
    <w:rsid w:val="008414FA"/>
    <w:rsid w:val="008455E6"/>
    <w:rsid w:val="00846563"/>
    <w:rsid w:val="00847F27"/>
    <w:rsid w:val="008516F9"/>
    <w:rsid w:val="008529C4"/>
    <w:rsid w:val="00853766"/>
    <w:rsid w:val="008540BA"/>
    <w:rsid w:val="00856721"/>
    <w:rsid w:val="00857417"/>
    <w:rsid w:val="008621E3"/>
    <w:rsid w:val="008639CB"/>
    <w:rsid w:val="00863EE8"/>
    <w:rsid w:val="008707B1"/>
    <w:rsid w:val="008715FD"/>
    <w:rsid w:val="0087408B"/>
    <w:rsid w:val="00875341"/>
    <w:rsid w:val="00876098"/>
    <w:rsid w:val="008768D8"/>
    <w:rsid w:val="008774CA"/>
    <w:rsid w:val="00882934"/>
    <w:rsid w:val="00883981"/>
    <w:rsid w:val="00885BB8"/>
    <w:rsid w:val="00890B40"/>
    <w:rsid w:val="00892A08"/>
    <w:rsid w:val="00895372"/>
    <w:rsid w:val="00895AC2"/>
    <w:rsid w:val="00896094"/>
    <w:rsid w:val="00897884"/>
    <w:rsid w:val="008A4CB0"/>
    <w:rsid w:val="008A710A"/>
    <w:rsid w:val="008A72F2"/>
    <w:rsid w:val="008B15BC"/>
    <w:rsid w:val="008B7DFB"/>
    <w:rsid w:val="008C1ECB"/>
    <w:rsid w:val="008C4E5D"/>
    <w:rsid w:val="008C72FF"/>
    <w:rsid w:val="008D22C6"/>
    <w:rsid w:val="008D3505"/>
    <w:rsid w:val="008D4B22"/>
    <w:rsid w:val="008D7A0A"/>
    <w:rsid w:val="008E03AB"/>
    <w:rsid w:val="008E0ACB"/>
    <w:rsid w:val="008E26FA"/>
    <w:rsid w:val="008F070A"/>
    <w:rsid w:val="008F4407"/>
    <w:rsid w:val="008F6E74"/>
    <w:rsid w:val="00900C80"/>
    <w:rsid w:val="009010C3"/>
    <w:rsid w:val="00901AB7"/>
    <w:rsid w:val="00904A49"/>
    <w:rsid w:val="00907A03"/>
    <w:rsid w:val="00910C0B"/>
    <w:rsid w:val="00912EA2"/>
    <w:rsid w:val="009142FF"/>
    <w:rsid w:val="00914842"/>
    <w:rsid w:val="009202C1"/>
    <w:rsid w:val="009233B2"/>
    <w:rsid w:val="009239AA"/>
    <w:rsid w:val="00923F48"/>
    <w:rsid w:val="00924B52"/>
    <w:rsid w:val="00927B34"/>
    <w:rsid w:val="00931FAC"/>
    <w:rsid w:val="009324C4"/>
    <w:rsid w:val="0093442D"/>
    <w:rsid w:val="009369C3"/>
    <w:rsid w:val="00937960"/>
    <w:rsid w:val="00942DE7"/>
    <w:rsid w:val="00943E7F"/>
    <w:rsid w:val="00944422"/>
    <w:rsid w:val="00944866"/>
    <w:rsid w:val="00950DD8"/>
    <w:rsid w:val="00950FD3"/>
    <w:rsid w:val="00952C5A"/>
    <w:rsid w:val="00953895"/>
    <w:rsid w:val="00953E00"/>
    <w:rsid w:val="00956658"/>
    <w:rsid w:val="00956743"/>
    <w:rsid w:val="009569F0"/>
    <w:rsid w:val="00960DBB"/>
    <w:rsid w:val="00962F47"/>
    <w:rsid w:val="00964E69"/>
    <w:rsid w:val="0096743C"/>
    <w:rsid w:val="00970B47"/>
    <w:rsid w:val="00972036"/>
    <w:rsid w:val="00973561"/>
    <w:rsid w:val="00974C65"/>
    <w:rsid w:val="00982B00"/>
    <w:rsid w:val="00982F7B"/>
    <w:rsid w:val="009863B3"/>
    <w:rsid w:val="00987DAD"/>
    <w:rsid w:val="00993319"/>
    <w:rsid w:val="0099412D"/>
    <w:rsid w:val="009949A5"/>
    <w:rsid w:val="009963FA"/>
    <w:rsid w:val="00996783"/>
    <w:rsid w:val="009A04D6"/>
    <w:rsid w:val="009A17F4"/>
    <w:rsid w:val="009A56C9"/>
    <w:rsid w:val="009A7080"/>
    <w:rsid w:val="009B05A9"/>
    <w:rsid w:val="009B14DB"/>
    <w:rsid w:val="009B2D8B"/>
    <w:rsid w:val="009B37A8"/>
    <w:rsid w:val="009C01C9"/>
    <w:rsid w:val="009C07EB"/>
    <w:rsid w:val="009C1CEF"/>
    <w:rsid w:val="009C2597"/>
    <w:rsid w:val="009C644C"/>
    <w:rsid w:val="009D0695"/>
    <w:rsid w:val="009D21AB"/>
    <w:rsid w:val="009D2A3E"/>
    <w:rsid w:val="009D4DF5"/>
    <w:rsid w:val="009D5184"/>
    <w:rsid w:val="009D54DF"/>
    <w:rsid w:val="009D5D7A"/>
    <w:rsid w:val="009D77AE"/>
    <w:rsid w:val="009E5158"/>
    <w:rsid w:val="009E51FD"/>
    <w:rsid w:val="009F51BC"/>
    <w:rsid w:val="009F58D2"/>
    <w:rsid w:val="009F5AAB"/>
    <w:rsid w:val="009F7492"/>
    <w:rsid w:val="00A03AC9"/>
    <w:rsid w:val="00A048E9"/>
    <w:rsid w:val="00A12195"/>
    <w:rsid w:val="00A126EE"/>
    <w:rsid w:val="00A13E09"/>
    <w:rsid w:val="00A17871"/>
    <w:rsid w:val="00A2011D"/>
    <w:rsid w:val="00A216FC"/>
    <w:rsid w:val="00A22DB5"/>
    <w:rsid w:val="00A27556"/>
    <w:rsid w:val="00A30B6C"/>
    <w:rsid w:val="00A3238F"/>
    <w:rsid w:val="00A34555"/>
    <w:rsid w:val="00A353C4"/>
    <w:rsid w:val="00A40B33"/>
    <w:rsid w:val="00A461BE"/>
    <w:rsid w:val="00A46F1C"/>
    <w:rsid w:val="00A52184"/>
    <w:rsid w:val="00A53538"/>
    <w:rsid w:val="00A55B7A"/>
    <w:rsid w:val="00A57244"/>
    <w:rsid w:val="00A578B8"/>
    <w:rsid w:val="00A600DE"/>
    <w:rsid w:val="00A60492"/>
    <w:rsid w:val="00A616C0"/>
    <w:rsid w:val="00A700A7"/>
    <w:rsid w:val="00A702DD"/>
    <w:rsid w:val="00A76A6B"/>
    <w:rsid w:val="00A81ABE"/>
    <w:rsid w:val="00A9563E"/>
    <w:rsid w:val="00A9630E"/>
    <w:rsid w:val="00A97382"/>
    <w:rsid w:val="00AA05D8"/>
    <w:rsid w:val="00AA0CA9"/>
    <w:rsid w:val="00AA2191"/>
    <w:rsid w:val="00AA2C9A"/>
    <w:rsid w:val="00AA474A"/>
    <w:rsid w:val="00AC0EE6"/>
    <w:rsid w:val="00AC4BC2"/>
    <w:rsid w:val="00AD00FF"/>
    <w:rsid w:val="00AD4E37"/>
    <w:rsid w:val="00AD596C"/>
    <w:rsid w:val="00AD76A0"/>
    <w:rsid w:val="00AE00A6"/>
    <w:rsid w:val="00AE0788"/>
    <w:rsid w:val="00AE11C1"/>
    <w:rsid w:val="00AE1405"/>
    <w:rsid w:val="00AE26B1"/>
    <w:rsid w:val="00AF0E5A"/>
    <w:rsid w:val="00AF4099"/>
    <w:rsid w:val="00AF6F5D"/>
    <w:rsid w:val="00B02589"/>
    <w:rsid w:val="00B04792"/>
    <w:rsid w:val="00B070B0"/>
    <w:rsid w:val="00B07973"/>
    <w:rsid w:val="00B07B0E"/>
    <w:rsid w:val="00B151AB"/>
    <w:rsid w:val="00B17CF6"/>
    <w:rsid w:val="00B21062"/>
    <w:rsid w:val="00B221B2"/>
    <w:rsid w:val="00B223F8"/>
    <w:rsid w:val="00B2686B"/>
    <w:rsid w:val="00B31494"/>
    <w:rsid w:val="00B31C3B"/>
    <w:rsid w:val="00B325A3"/>
    <w:rsid w:val="00B32AED"/>
    <w:rsid w:val="00B35381"/>
    <w:rsid w:val="00B3564C"/>
    <w:rsid w:val="00B36187"/>
    <w:rsid w:val="00B3742B"/>
    <w:rsid w:val="00B3765C"/>
    <w:rsid w:val="00B403D3"/>
    <w:rsid w:val="00B411F0"/>
    <w:rsid w:val="00B4226F"/>
    <w:rsid w:val="00B424E4"/>
    <w:rsid w:val="00B4374E"/>
    <w:rsid w:val="00B45052"/>
    <w:rsid w:val="00B46195"/>
    <w:rsid w:val="00B46BF3"/>
    <w:rsid w:val="00B4723C"/>
    <w:rsid w:val="00B51B6A"/>
    <w:rsid w:val="00B62241"/>
    <w:rsid w:val="00B63B16"/>
    <w:rsid w:val="00B63E29"/>
    <w:rsid w:val="00B63E36"/>
    <w:rsid w:val="00B646FE"/>
    <w:rsid w:val="00B71AAD"/>
    <w:rsid w:val="00B72414"/>
    <w:rsid w:val="00B72B1B"/>
    <w:rsid w:val="00B74DBB"/>
    <w:rsid w:val="00B77350"/>
    <w:rsid w:val="00B77FC3"/>
    <w:rsid w:val="00B831ED"/>
    <w:rsid w:val="00B90D38"/>
    <w:rsid w:val="00B92340"/>
    <w:rsid w:val="00B928EE"/>
    <w:rsid w:val="00B9303E"/>
    <w:rsid w:val="00B9454F"/>
    <w:rsid w:val="00BA2F71"/>
    <w:rsid w:val="00BA4F6E"/>
    <w:rsid w:val="00BA546A"/>
    <w:rsid w:val="00BB027F"/>
    <w:rsid w:val="00BB0E79"/>
    <w:rsid w:val="00BB35EE"/>
    <w:rsid w:val="00BB48A6"/>
    <w:rsid w:val="00BB6641"/>
    <w:rsid w:val="00BC27CF"/>
    <w:rsid w:val="00BC5B9F"/>
    <w:rsid w:val="00BC7606"/>
    <w:rsid w:val="00BD1351"/>
    <w:rsid w:val="00BD14D5"/>
    <w:rsid w:val="00BD3994"/>
    <w:rsid w:val="00BD500C"/>
    <w:rsid w:val="00BE29CE"/>
    <w:rsid w:val="00BE32DD"/>
    <w:rsid w:val="00BE45DD"/>
    <w:rsid w:val="00BE4910"/>
    <w:rsid w:val="00BF3267"/>
    <w:rsid w:val="00BF53C2"/>
    <w:rsid w:val="00BF6466"/>
    <w:rsid w:val="00BF7FA3"/>
    <w:rsid w:val="00C014F1"/>
    <w:rsid w:val="00C01A28"/>
    <w:rsid w:val="00C039C2"/>
    <w:rsid w:val="00C04E9E"/>
    <w:rsid w:val="00C07234"/>
    <w:rsid w:val="00C1096F"/>
    <w:rsid w:val="00C13182"/>
    <w:rsid w:val="00C16360"/>
    <w:rsid w:val="00C167B9"/>
    <w:rsid w:val="00C21124"/>
    <w:rsid w:val="00C24109"/>
    <w:rsid w:val="00C24DA0"/>
    <w:rsid w:val="00C30703"/>
    <w:rsid w:val="00C3148D"/>
    <w:rsid w:val="00C32EC5"/>
    <w:rsid w:val="00C35610"/>
    <w:rsid w:val="00C35C02"/>
    <w:rsid w:val="00C37DFE"/>
    <w:rsid w:val="00C4315F"/>
    <w:rsid w:val="00C44992"/>
    <w:rsid w:val="00C47C40"/>
    <w:rsid w:val="00C50BF0"/>
    <w:rsid w:val="00C56D76"/>
    <w:rsid w:val="00C600AE"/>
    <w:rsid w:val="00C610F5"/>
    <w:rsid w:val="00C61D51"/>
    <w:rsid w:val="00C629A3"/>
    <w:rsid w:val="00C67B1C"/>
    <w:rsid w:val="00C739E4"/>
    <w:rsid w:val="00C759B0"/>
    <w:rsid w:val="00C77521"/>
    <w:rsid w:val="00C77FBC"/>
    <w:rsid w:val="00C8339F"/>
    <w:rsid w:val="00C85567"/>
    <w:rsid w:val="00C860F4"/>
    <w:rsid w:val="00C875BE"/>
    <w:rsid w:val="00C87AC0"/>
    <w:rsid w:val="00C900F0"/>
    <w:rsid w:val="00C9556C"/>
    <w:rsid w:val="00C967ED"/>
    <w:rsid w:val="00CA1885"/>
    <w:rsid w:val="00CA1BF5"/>
    <w:rsid w:val="00CA202B"/>
    <w:rsid w:val="00CA384B"/>
    <w:rsid w:val="00CA5C5E"/>
    <w:rsid w:val="00CA7F77"/>
    <w:rsid w:val="00CB0D1D"/>
    <w:rsid w:val="00CB0FB7"/>
    <w:rsid w:val="00CB1542"/>
    <w:rsid w:val="00CB2291"/>
    <w:rsid w:val="00CB36B4"/>
    <w:rsid w:val="00CC0430"/>
    <w:rsid w:val="00CC0EB2"/>
    <w:rsid w:val="00CC1F58"/>
    <w:rsid w:val="00CC3A23"/>
    <w:rsid w:val="00CC6B94"/>
    <w:rsid w:val="00CD046D"/>
    <w:rsid w:val="00CD123D"/>
    <w:rsid w:val="00CD1C0B"/>
    <w:rsid w:val="00CD3539"/>
    <w:rsid w:val="00CD40D7"/>
    <w:rsid w:val="00CD68B7"/>
    <w:rsid w:val="00CD70C1"/>
    <w:rsid w:val="00CE0C60"/>
    <w:rsid w:val="00CE3233"/>
    <w:rsid w:val="00CE65F1"/>
    <w:rsid w:val="00CE7DFC"/>
    <w:rsid w:val="00CF23B6"/>
    <w:rsid w:val="00CF64F4"/>
    <w:rsid w:val="00CF701F"/>
    <w:rsid w:val="00D02B66"/>
    <w:rsid w:val="00D041D1"/>
    <w:rsid w:val="00D069F0"/>
    <w:rsid w:val="00D06EBF"/>
    <w:rsid w:val="00D12086"/>
    <w:rsid w:val="00D146F5"/>
    <w:rsid w:val="00D15741"/>
    <w:rsid w:val="00D21743"/>
    <w:rsid w:val="00D23CBC"/>
    <w:rsid w:val="00D24D8F"/>
    <w:rsid w:val="00D25D73"/>
    <w:rsid w:val="00D265BE"/>
    <w:rsid w:val="00D3023E"/>
    <w:rsid w:val="00D33D25"/>
    <w:rsid w:val="00D35AC4"/>
    <w:rsid w:val="00D44957"/>
    <w:rsid w:val="00D461FA"/>
    <w:rsid w:val="00D46A2F"/>
    <w:rsid w:val="00D51529"/>
    <w:rsid w:val="00D52F1D"/>
    <w:rsid w:val="00D552CF"/>
    <w:rsid w:val="00D557DE"/>
    <w:rsid w:val="00D56C7D"/>
    <w:rsid w:val="00D62E71"/>
    <w:rsid w:val="00D64D6B"/>
    <w:rsid w:val="00D7098F"/>
    <w:rsid w:val="00D70EC2"/>
    <w:rsid w:val="00D723E8"/>
    <w:rsid w:val="00D7408B"/>
    <w:rsid w:val="00D8039F"/>
    <w:rsid w:val="00D83A91"/>
    <w:rsid w:val="00D84612"/>
    <w:rsid w:val="00D86416"/>
    <w:rsid w:val="00D870C5"/>
    <w:rsid w:val="00D878C0"/>
    <w:rsid w:val="00D918D4"/>
    <w:rsid w:val="00D923DA"/>
    <w:rsid w:val="00D92528"/>
    <w:rsid w:val="00D92573"/>
    <w:rsid w:val="00D9472B"/>
    <w:rsid w:val="00D971E6"/>
    <w:rsid w:val="00DA047F"/>
    <w:rsid w:val="00DB12FB"/>
    <w:rsid w:val="00DB1B28"/>
    <w:rsid w:val="00DB45A8"/>
    <w:rsid w:val="00DC197E"/>
    <w:rsid w:val="00DC2952"/>
    <w:rsid w:val="00DC2ABD"/>
    <w:rsid w:val="00DC3558"/>
    <w:rsid w:val="00DC411B"/>
    <w:rsid w:val="00DC4ABA"/>
    <w:rsid w:val="00DD07D5"/>
    <w:rsid w:val="00DD3573"/>
    <w:rsid w:val="00DD5E62"/>
    <w:rsid w:val="00DD6157"/>
    <w:rsid w:val="00DD6471"/>
    <w:rsid w:val="00DE1606"/>
    <w:rsid w:val="00DE1DCC"/>
    <w:rsid w:val="00DE3634"/>
    <w:rsid w:val="00DE4021"/>
    <w:rsid w:val="00DE467D"/>
    <w:rsid w:val="00DE5311"/>
    <w:rsid w:val="00DE78F3"/>
    <w:rsid w:val="00DF1660"/>
    <w:rsid w:val="00DF21D8"/>
    <w:rsid w:val="00DF4332"/>
    <w:rsid w:val="00E0030D"/>
    <w:rsid w:val="00E01CC1"/>
    <w:rsid w:val="00E01EC4"/>
    <w:rsid w:val="00E112F0"/>
    <w:rsid w:val="00E1268D"/>
    <w:rsid w:val="00E12B5A"/>
    <w:rsid w:val="00E148CF"/>
    <w:rsid w:val="00E14F6E"/>
    <w:rsid w:val="00E213B6"/>
    <w:rsid w:val="00E24DBA"/>
    <w:rsid w:val="00E262BA"/>
    <w:rsid w:val="00E27F84"/>
    <w:rsid w:val="00E303C8"/>
    <w:rsid w:val="00E3412B"/>
    <w:rsid w:val="00E344BC"/>
    <w:rsid w:val="00E3654D"/>
    <w:rsid w:val="00E3713D"/>
    <w:rsid w:val="00E41816"/>
    <w:rsid w:val="00E46C76"/>
    <w:rsid w:val="00E4728D"/>
    <w:rsid w:val="00E51E8A"/>
    <w:rsid w:val="00E57AA0"/>
    <w:rsid w:val="00E61124"/>
    <w:rsid w:val="00E61571"/>
    <w:rsid w:val="00E62505"/>
    <w:rsid w:val="00E655B2"/>
    <w:rsid w:val="00E660ED"/>
    <w:rsid w:val="00E701F0"/>
    <w:rsid w:val="00E76C05"/>
    <w:rsid w:val="00E826E0"/>
    <w:rsid w:val="00E84810"/>
    <w:rsid w:val="00E84D2F"/>
    <w:rsid w:val="00E8684F"/>
    <w:rsid w:val="00E8688B"/>
    <w:rsid w:val="00E90B71"/>
    <w:rsid w:val="00E9266F"/>
    <w:rsid w:val="00E94CC5"/>
    <w:rsid w:val="00E94E43"/>
    <w:rsid w:val="00EA39B5"/>
    <w:rsid w:val="00EA4CF6"/>
    <w:rsid w:val="00EA67B3"/>
    <w:rsid w:val="00EA77A4"/>
    <w:rsid w:val="00EB3CC6"/>
    <w:rsid w:val="00EB3EEF"/>
    <w:rsid w:val="00EB3F0F"/>
    <w:rsid w:val="00EB46D1"/>
    <w:rsid w:val="00EB5459"/>
    <w:rsid w:val="00EB59FB"/>
    <w:rsid w:val="00EC1059"/>
    <w:rsid w:val="00EC2C7A"/>
    <w:rsid w:val="00EC5DF5"/>
    <w:rsid w:val="00EC6C02"/>
    <w:rsid w:val="00ED2AA3"/>
    <w:rsid w:val="00ED2F54"/>
    <w:rsid w:val="00ED3A21"/>
    <w:rsid w:val="00ED3F6D"/>
    <w:rsid w:val="00ED7DB4"/>
    <w:rsid w:val="00ED7F36"/>
    <w:rsid w:val="00EE1B8B"/>
    <w:rsid w:val="00EE2BEF"/>
    <w:rsid w:val="00EE58A0"/>
    <w:rsid w:val="00EF7B00"/>
    <w:rsid w:val="00F0064C"/>
    <w:rsid w:val="00F013CA"/>
    <w:rsid w:val="00F02F8A"/>
    <w:rsid w:val="00F069EA"/>
    <w:rsid w:val="00F1032D"/>
    <w:rsid w:val="00F127D8"/>
    <w:rsid w:val="00F128FF"/>
    <w:rsid w:val="00F15B64"/>
    <w:rsid w:val="00F15D19"/>
    <w:rsid w:val="00F205BE"/>
    <w:rsid w:val="00F21949"/>
    <w:rsid w:val="00F21D0D"/>
    <w:rsid w:val="00F24B54"/>
    <w:rsid w:val="00F263A0"/>
    <w:rsid w:val="00F27E1E"/>
    <w:rsid w:val="00F30CC9"/>
    <w:rsid w:val="00F3621D"/>
    <w:rsid w:val="00F36600"/>
    <w:rsid w:val="00F42D1B"/>
    <w:rsid w:val="00F53222"/>
    <w:rsid w:val="00F55320"/>
    <w:rsid w:val="00F610FE"/>
    <w:rsid w:val="00F61874"/>
    <w:rsid w:val="00F756D6"/>
    <w:rsid w:val="00F7694C"/>
    <w:rsid w:val="00F76C85"/>
    <w:rsid w:val="00F77F82"/>
    <w:rsid w:val="00F80A10"/>
    <w:rsid w:val="00F825A0"/>
    <w:rsid w:val="00F84F23"/>
    <w:rsid w:val="00F8503E"/>
    <w:rsid w:val="00F87391"/>
    <w:rsid w:val="00F87AE1"/>
    <w:rsid w:val="00F91457"/>
    <w:rsid w:val="00F91CC7"/>
    <w:rsid w:val="00F93DEF"/>
    <w:rsid w:val="00F94108"/>
    <w:rsid w:val="00F94387"/>
    <w:rsid w:val="00F955B3"/>
    <w:rsid w:val="00F9712E"/>
    <w:rsid w:val="00FA38B4"/>
    <w:rsid w:val="00FA4A73"/>
    <w:rsid w:val="00FA4D44"/>
    <w:rsid w:val="00FA5DF6"/>
    <w:rsid w:val="00FA6301"/>
    <w:rsid w:val="00FB0055"/>
    <w:rsid w:val="00FB12A0"/>
    <w:rsid w:val="00FB1AE9"/>
    <w:rsid w:val="00FB607A"/>
    <w:rsid w:val="00FB7FE8"/>
    <w:rsid w:val="00FC13DD"/>
    <w:rsid w:val="00FC2FE7"/>
    <w:rsid w:val="00FC4A57"/>
    <w:rsid w:val="00FC705C"/>
    <w:rsid w:val="00FD1006"/>
    <w:rsid w:val="00FD1B36"/>
    <w:rsid w:val="00FD5241"/>
    <w:rsid w:val="00FD5B53"/>
    <w:rsid w:val="00FE401E"/>
    <w:rsid w:val="00FE715D"/>
    <w:rsid w:val="00FF1185"/>
    <w:rsid w:val="00FF42B5"/>
    <w:rsid w:val="00FF44B7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DAE3805"/>
  <w15:docId w15:val="{AD51D7EC-DB52-4FEF-9A84-89C32C95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C4"/>
    <w:pPr>
      <w:spacing w:before="220" w:after="220" w:line="240" w:lineRule="auto"/>
    </w:pPr>
    <w:rPr>
      <w:rFonts w:ascii="Arial" w:hAnsi="Arial"/>
    </w:rPr>
  </w:style>
  <w:style w:type="paragraph" w:styleId="Titre1">
    <w:name w:val="heading 1"/>
    <w:basedOn w:val="Titre2"/>
    <w:next w:val="Normal"/>
    <w:link w:val="Titre1Car"/>
    <w:uiPriority w:val="9"/>
    <w:qFormat/>
    <w:rsid w:val="00BA2F71"/>
    <w:pPr>
      <w:pageBreakBefore/>
      <w:outlineLvl w:val="0"/>
    </w:pPr>
    <w:rPr>
      <w:caps/>
      <w:color w:val="365F91" w:themeColor="accent1" w:themeShade="BF"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5B210E"/>
    <w:pPr>
      <w:keepNext/>
      <w:keepLines/>
      <w:spacing w:before="480" w:after="36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5B210E"/>
    <w:pPr>
      <w:keepNext/>
      <w:keepLines/>
      <w:spacing w:before="360"/>
      <w:outlineLvl w:val="2"/>
    </w:pPr>
    <w:rPr>
      <w:rFonts w:eastAsiaTheme="majorEastAsia" w:cstheme="majorBidi"/>
      <w:b/>
      <w:bCs/>
      <w:sz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5B210E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Titre5">
    <w:name w:val="heading 5"/>
    <w:basedOn w:val="Normal"/>
    <w:next w:val="Normal"/>
    <w:link w:val="Titre5Car"/>
    <w:uiPriority w:val="9"/>
    <w:qFormat/>
    <w:rsid w:val="005B210E"/>
    <w:pPr>
      <w:keepNext/>
      <w:keepLines/>
      <w:outlineLvl w:val="4"/>
    </w:pPr>
    <w:rPr>
      <w:rFonts w:eastAsiaTheme="majorEastAsia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210E"/>
    <w:pPr>
      <w:keepNext/>
      <w:keepLines/>
      <w:outlineLvl w:val="5"/>
    </w:pPr>
    <w:rPr>
      <w:rFonts w:eastAsiaTheme="majorEastAsia" w:cstheme="majorBid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2F71"/>
    <w:rPr>
      <w:rFonts w:ascii="Arial" w:eastAsiaTheme="majorEastAsia" w:hAnsi="Arial" w:cstheme="majorBidi"/>
      <w:b/>
      <w:bCs/>
      <w:caps/>
      <w:color w:val="365F91" w:themeColor="accent1" w:themeShade="BF"/>
      <w:sz w:val="28"/>
      <w:szCs w:val="26"/>
    </w:rPr>
  </w:style>
  <w:style w:type="character" w:customStyle="1" w:styleId="Titre2Car">
    <w:name w:val="Titre 2 Car"/>
    <w:basedOn w:val="Policepardfaut"/>
    <w:link w:val="Titre2"/>
    <w:uiPriority w:val="9"/>
    <w:rsid w:val="005B210E"/>
    <w:rPr>
      <w:rFonts w:ascii="Arial" w:eastAsiaTheme="majorEastAsia" w:hAnsi="Arial" w:cstheme="majorBidi"/>
      <w:b/>
      <w:bCs/>
      <w:sz w:val="30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87AE1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87AE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5B210E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01297A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Emphaseintense">
    <w:name w:val="Intense Emphasis"/>
    <w:basedOn w:val="Policepardfaut"/>
    <w:uiPriority w:val="21"/>
    <w:semiHidden/>
    <w:qFormat/>
    <w:rsid w:val="005B210E"/>
    <w:rPr>
      <w:b/>
      <w:bCs/>
      <w:i/>
      <w:iCs/>
      <w:color w:val="auto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5B2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1297A"/>
    <w:rPr>
      <w:rFonts w:ascii="Arial" w:hAnsi="Arial"/>
      <w:b/>
      <w:bCs/>
      <w:i/>
      <w:iCs/>
    </w:rPr>
  </w:style>
  <w:style w:type="character" w:styleId="Rfrenceple">
    <w:name w:val="Subtle Reference"/>
    <w:basedOn w:val="Policepardfaut"/>
    <w:uiPriority w:val="31"/>
    <w:semiHidden/>
    <w:qFormat/>
    <w:rsid w:val="005B210E"/>
    <w:rPr>
      <w:smallCaps/>
      <w:color w:val="auto"/>
      <w:u w:val="single"/>
    </w:rPr>
  </w:style>
  <w:style w:type="character" w:styleId="Rfrenceintense">
    <w:name w:val="Intense Reference"/>
    <w:basedOn w:val="Policepardfaut"/>
    <w:uiPriority w:val="32"/>
    <w:semiHidden/>
    <w:qFormat/>
    <w:rsid w:val="005B210E"/>
    <w:rPr>
      <w:b/>
      <w:bCs/>
      <w:smallCaps/>
      <w:color w:val="auto"/>
      <w:spacing w:val="5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B210E"/>
    <w:pPr>
      <w:spacing w:after="120"/>
      <w:ind w:left="720"/>
    </w:pPr>
  </w:style>
  <w:style w:type="character" w:customStyle="1" w:styleId="Titre6Car">
    <w:name w:val="Titre 6 Car"/>
    <w:basedOn w:val="Policepardfaut"/>
    <w:link w:val="Titre6"/>
    <w:uiPriority w:val="9"/>
    <w:semiHidden/>
    <w:rsid w:val="005B210E"/>
    <w:rPr>
      <w:rFonts w:ascii="Arial" w:eastAsiaTheme="majorEastAsia" w:hAnsi="Arial" w:cstheme="majorBidi"/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5B210E"/>
    <w:rPr>
      <w:rFonts w:ascii="Arial" w:eastAsiaTheme="majorEastAsia" w:hAnsi="Arial" w:cstheme="majorBidi"/>
      <w:b/>
      <w:bCs/>
      <w:sz w:val="26"/>
    </w:rPr>
  </w:style>
  <w:style w:type="character" w:customStyle="1" w:styleId="Titre4Car">
    <w:name w:val="Titre 4 Car"/>
    <w:basedOn w:val="Policepardfaut"/>
    <w:link w:val="Titre4"/>
    <w:uiPriority w:val="9"/>
    <w:rsid w:val="005B210E"/>
    <w:rPr>
      <w:rFonts w:ascii="Arial" w:eastAsiaTheme="majorEastAsia" w:hAnsi="Arial" w:cstheme="majorBidi"/>
      <w:b/>
      <w:bCs/>
      <w:iCs/>
    </w:rPr>
  </w:style>
  <w:style w:type="character" w:customStyle="1" w:styleId="Titre5Car">
    <w:name w:val="Titre 5 Car"/>
    <w:basedOn w:val="Policepardfaut"/>
    <w:link w:val="Titre5"/>
    <w:uiPriority w:val="9"/>
    <w:rsid w:val="005B210E"/>
    <w:rPr>
      <w:rFonts w:ascii="Arial" w:eastAsiaTheme="majorEastAsia" w:hAnsi="Arial" w:cstheme="majorBidi"/>
      <w:b/>
      <w:i/>
    </w:rPr>
  </w:style>
  <w:style w:type="paragraph" w:styleId="Pieddepage">
    <w:name w:val="footer"/>
    <w:basedOn w:val="Normal"/>
    <w:link w:val="PieddepageCar"/>
    <w:uiPriority w:val="99"/>
    <w:rsid w:val="00F87AE1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F87AE1"/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rsid w:val="00F87AE1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F87AE1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rsid w:val="00F87AE1"/>
    <w:pPr>
      <w:spacing w:before="0" w:after="0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87AE1"/>
    <w:rPr>
      <w:rFonts w:ascii="Arial" w:hAnsi="Arial"/>
      <w:sz w:val="18"/>
      <w:szCs w:val="20"/>
    </w:rPr>
  </w:style>
  <w:style w:type="table" w:styleId="Grilledutableau">
    <w:name w:val="Table Grid"/>
    <w:basedOn w:val="TableauNormal"/>
    <w:uiPriority w:val="59"/>
    <w:rsid w:val="003D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D687E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9567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5674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56743"/>
    <w:rPr>
      <w:rFonts w:ascii="Arial" w:hAnsi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67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743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534993"/>
    <w:rPr>
      <w:b/>
      <w:bCs/>
    </w:rPr>
  </w:style>
  <w:style w:type="paragraph" w:styleId="NormalWeb">
    <w:name w:val="Normal (Web)"/>
    <w:basedOn w:val="Normal"/>
    <w:uiPriority w:val="99"/>
    <w:unhideWhenUsed/>
    <w:rsid w:val="007A6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04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046D"/>
    <w:rPr>
      <w:rFonts w:ascii="Arial" w:hAnsi="Arial"/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D21AB"/>
    <w:pPr>
      <w:spacing w:after="480" w:line="276" w:lineRule="auto"/>
      <w:outlineLvl w:val="9"/>
    </w:pPr>
    <w:rPr>
      <w:sz w:val="40"/>
      <w:lang w:val="en-US" w:eastAsia="ja-JP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8C4E5D"/>
    <w:pPr>
      <w:spacing w:after="100"/>
      <w:ind w:left="440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A353C4"/>
    <w:pPr>
      <w:spacing w:after="100"/>
    </w:pPr>
    <w:rPr>
      <w:caps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E5D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8C4E5D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DE467D"/>
    <w:pPr>
      <w:spacing w:after="0" w:line="240" w:lineRule="auto"/>
    </w:pPr>
    <w:rPr>
      <w:rFonts w:ascii="Arial" w:hAnsi="Arial"/>
    </w:rPr>
  </w:style>
  <w:style w:type="character" w:styleId="Lienhypertextesuivivisit">
    <w:name w:val="FollowedHyperlink"/>
    <w:basedOn w:val="Policepardfaut"/>
    <w:uiPriority w:val="99"/>
    <w:semiHidden/>
    <w:unhideWhenUsed/>
    <w:rsid w:val="001B5419"/>
    <w:rPr>
      <w:color w:val="800080" w:themeColor="followed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92A88"/>
    <w:rPr>
      <w:rFonts w:ascii="Arial" w:hAnsi="Arial"/>
    </w:rPr>
  </w:style>
  <w:style w:type="character" w:styleId="Appelnotedebasdep">
    <w:name w:val="footnote reference"/>
    <w:basedOn w:val="Policepardfaut"/>
    <w:rsid w:val="004C4BA1"/>
    <w:rPr>
      <w:vertAlign w:val="superscript"/>
    </w:rPr>
  </w:style>
  <w:style w:type="paragraph" w:customStyle="1" w:styleId="Cover1">
    <w:name w:val="Cover_1"/>
    <w:basedOn w:val="Normal"/>
    <w:qFormat/>
    <w:rsid w:val="00A353C4"/>
    <w:pPr>
      <w:spacing w:before="960" w:after="480"/>
      <w:jc w:val="center"/>
    </w:pPr>
    <w:rPr>
      <w:b/>
      <w:sz w:val="40"/>
      <w:szCs w:val="40"/>
      <w:lang w:eastAsia="en-CA"/>
    </w:rPr>
  </w:style>
  <w:style w:type="paragraph" w:customStyle="1" w:styleId="Default">
    <w:name w:val="Default"/>
    <w:rsid w:val="001B43A2"/>
    <w:pPr>
      <w:autoSpaceDE w:val="0"/>
      <w:autoSpaceDN w:val="0"/>
      <w:adjustRightInd w:val="0"/>
      <w:spacing w:after="0" w:line="240" w:lineRule="auto"/>
    </w:pPr>
    <w:rPr>
      <w:rFonts w:ascii="ViaMaax" w:hAnsi="ViaMaax" w:cs="ViaMaax"/>
      <w:color w:val="000000"/>
      <w:sz w:val="24"/>
      <w:szCs w:val="24"/>
      <w:lang w:val="fr-FR"/>
    </w:rPr>
  </w:style>
  <w:style w:type="paragraph" w:customStyle="1" w:styleId="Pa33">
    <w:name w:val="Pa33"/>
    <w:basedOn w:val="Default"/>
    <w:next w:val="Default"/>
    <w:uiPriority w:val="99"/>
    <w:rsid w:val="001B43A2"/>
    <w:pPr>
      <w:spacing w:line="2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B43A2"/>
    <w:rPr>
      <w:rFonts w:cs="ViaMaax"/>
      <w:color w:val="000000"/>
      <w:sz w:val="18"/>
      <w:szCs w:val="18"/>
    </w:rPr>
  </w:style>
  <w:style w:type="paragraph" w:customStyle="1" w:styleId="Pa12">
    <w:name w:val="Pa12"/>
    <w:basedOn w:val="Default"/>
    <w:next w:val="Default"/>
    <w:uiPriority w:val="99"/>
    <w:rsid w:val="001B43A2"/>
    <w:pPr>
      <w:spacing w:line="26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1B43A2"/>
    <w:rPr>
      <w:rFonts w:cs="ViaMaax"/>
      <w:color w:val="000000"/>
      <w:sz w:val="15"/>
      <w:szCs w:val="15"/>
    </w:rPr>
  </w:style>
  <w:style w:type="paragraph" w:customStyle="1" w:styleId="Pa39">
    <w:name w:val="Pa39"/>
    <w:basedOn w:val="Default"/>
    <w:next w:val="Default"/>
    <w:uiPriority w:val="99"/>
    <w:rsid w:val="001B43A2"/>
    <w:pPr>
      <w:spacing w:line="26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1B43A2"/>
    <w:pPr>
      <w:spacing w:line="156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5D91-AC67-436B-9DB6-42B7893E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8377</Characters>
  <Application>Microsoft Office Word</Application>
  <DocSecurity>0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Special Examination Audit Approach—November 2017</vt:lpstr>
      <vt:lpstr>Special Examination Audit Approach—November 2017</vt:lpstr>
    </vt:vector>
  </TitlesOfParts>
  <Company>OAG-BVG</Company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Examination Audit Approach—November 2017</dc:title>
  <dc:subject>Special Examination Audit Approach—November 2017</dc:subject>
  <dc:creator>OAG-BVG</dc:creator>
  <cp:keywords/>
  <dc:description/>
  <cp:lastModifiedBy>Legresley, Tina Lise</cp:lastModifiedBy>
  <cp:revision>2</cp:revision>
  <cp:lastPrinted>2018-02-14T12:32:00Z</cp:lastPrinted>
  <dcterms:created xsi:type="dcterms:W3CDTF">2022-06-02T20:54:00Z</dcterms:created>
  <dcterms:modified xsi:type="dcterms:W3CDTF">2022-06-02T20:54:00Z</dcterms:modified>
  <cp:contentStatus>16151</cp:contentStatus>
</cp:coreProperties>
</file>