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7E92FE" w14:textId="1C9005F1" w:rsidR="0039325E" w:rsidRPr="00F402EF" w:rsidRDefault="009315F4" w:rsidP="00F402EF">
      <w:pPr>
        <w:pStyle w:val="BodyText"/>
        <w:rPr>
          <w:b/>
          <w:bCs/>
          <w:color w:val="0000FF"/>
        </w:rPr>
      </w:pPr>
      <w:bookmarkStart w:id="0" w:name="_GoBack"/>
      <w:bookmarkEnd w:id="0"/>
      <w:r w:rsidRPr="00F402EF">
        <w:rPr>
          <w:b/>
          <w:color w:val="0000FF"/>
        </w:rPr>
        <w:t xml:space="preserve">Template: Example of </w:t>
      </w:r>
      <w:r w:rsidR="00C3097B" w:rsidRPr="00F402EF">
        <w:rPr>
          <w:b/>
          <w:color w:val="0000FF"/>
        </w:rPr>
        <w:t>Specified</w:t>
      </w:r>
      <w:r w:rsidR="0039325E" w:rsidRPr="00F402EF">
        <w:rPr>
          <w:b/>
          <w:color w:val="0000FF"/>
        </w:rPr>
        <w:t xml:space="preserve"> Procedures </w:t>
      </w:r>
      <w:r w:rsidR="005F4D88" w:rsidRPr="00F402EF">
        <w:rPr>
          <w:b/>
          <w:color w:val="0000FF"/>
        </w:rPr>
        <w:t>Memorandum of Understanding</w:t>
      </w:r>
      <w:r w:rsidR="00791D9B" w:rsidRPr="00F402EF">
        <w:rPr>
          <w:b/>
          <w:color w:val="0000FF"/>
        </w:rPr>
        <w:t xml:space="preserve"> </w:t>
      </w:r>
      <w:r w:rsidR="0039325E" w:rsidRPr="00F402EF">
        <w:rPr>
          <w:b/>
          <w:color w:val="0000FF"/>
        </w:rPr>
        <w:t xml:space="preserve">for </w:t>
      </w:r>
      <w:r w:rsidR="00791D9B" w:rsidRPr="00F402EF">
        <w:rPr>
          <w:b/>
          <w:color w:val="0000FF"/>
        </w:rPr>
        <w:t xml:space="preserve">a </w:t>
      </w:r>
      <w:r w:rsidR="0039325E" w:rsidRPr="00F402EF">
        <w:rPr>
          <w:b/>
          <w:color w:val="0000FF"/>
        </w:rPr>
        <w:t xml:space="preserve">Shared Service </w:t>
      </w:r>
      <w:r w:rsidR="00C3097B" w:rsidRPr="00F402EF">
        <w:rPr>
          <w:b/>
          <w:color w:val="0000FF"/>
        </w:rPr>
        <w:t xml:space="preserve">Centre </w:t>
      </w:r>
      <w:r w:rsidR="003969AF" w:rsidRPr="00F402EF">
        <w:rPr>
          <w:b/>
          <w:color w:val="0000FF"/>
        </w:rPr>
        <w:t>Audit</w:t>
      </w:r>
    </w:p>
    <w:p w14:paraId="78D9D40A" w14:textId="77777777" w:rsidR="0039325E" w:rsidRDefault="0039325E" w:rsidP="0039325E"/>
    <w:p w14:paraId="57A8858F" w14:textId="77777777" w:rsidR="006F3710" w:rsidRDefault="006F3710" w:rsidP="006F3710">
      <w:pPr>
        <w:jc w:val="center"/>
        <w:rPr>
          <w:b/>
        </w:rPr>
      </w:pPr>
    </w:p>
    <w:p w14:paraId="77189796" w14:textId="3598B6D4" w:rsidR="006F3710" w:rsidRPr="009315F4" w:rsidRDefault="006F3710" w:rsidP="00F402EF">
      <w:pPr>
        <w:pStyle w:val="Style2"/>
      </w:pPr>
      <w:bookmarkStart w:id="1" w:name="_Toc9420918"/>
      <w:r w:rsidRPr="009315F4">
        <w:t>C</w:t>
      </w:r>
      <w:r w:rsidR="009315F4">
        <w:t>ontents</w:t>
      </w:r>
      <w:bookmarkEnd w:id="1"/>
    </w:p>
    <w:p w14:paraId="057C5121" w14:textId="0950DF2E" w:rsidR="006F3710" w:rsidRDefault="006F3710" w:rsidP="006F3710">
      <w:pPr>
        <w:jc w:val="center"/>
        <w:rPr>
          <w:b/>
        </w:rPr>
      </w:pPr>
    </w:p>
    <w:p w14:paraId="51502787" w14:textId="77777777" w:rsidR="009A405C" w:rsidRDefault="009A405C">
      <w:pPr>
        <w:pStyle w:val="TOC1"/>
        <w:tabs>
          <w:tab w:val="right" w:leader="dot" w:pos="8296"/>
        </w:tabs>
        <w:rPr>
          <w:rFonts w:asciiTheme="minorHAnsi" w:eastAsiaTheme="minorEastAsia" w:hAnsiTheme="minorHAnsi" w:cstheme="minorBidi"/>
          <w:i w:val="0"/>
          <w:noProof/>
          <w:sz w:val="22"/>
          <w:szCs w:val="22"/>
          <w:lang w:val="en-CA" w:eastAsia="en-CA"/>
        </w:rPr>
      </w:pPr>
      <w:r>
        <w:rPr>
          <w:b/>
          <w:i w:val="0"/>
        </w:rPr>
        <w:fldChar w:fldCharType="begin"/>
      </w:r>
      <w:r>
        <w:rPr>
          <w:b/>
          <w:i w:val="0"/>
        </w:rPr>
        <w:instrText xml:space="preserve"> TOC \h \z \t "Style2,1" </w:instrText>
      </w:r>
      <w:r>
        <w:rPr>
          <w:b/>
          <w:i w:val="0"/>
        </w:rPr>
        <w:fldChar w:fldCharType="separate"/>
      </w:r>
      <w:hyperlink w:anchor="_Toc9420918" w:history="1">
        <w:r w:rsidRPr="002A7EE6">
          <w:rPr>
            <w:rStyle w:val="Hyperlink"/>
            <w:noProof/>
          </w:rPr>
          <w:t>Contents</w:t>
        </w:r>
        <w:r>
          <w:rPr>
            <w:noProof/>
            <w:webHidden/>
          </w:rPr>
          <w:tab/>
        </w:r>
        <w:r>
          <w:rPr>
            <w:noProof/>
            <w:webHidden/>
          </w:rPr>
          <w:fldChar w:fldCharType="begin"/>
        </w:r>
        <w:r>
          <w:rPr>
            <w:noProof/>
            <w:webHidden/>
          </w:rPr>
          <w:instrText xml:space="preserve"> PAGEREF _Toc9420918 \h </w:instrText>
        </w:r>
        <w:r>
          <w:rPr>
            <w:noProof/>
            <w:webHidden/>
          </w:rPr>
        </w:r>
        <w:r>
          <w:rPr>
            <w:noProof/>
            <w:webHidden/>
          </w:rPr>
          <w:fldChar w:fldCharType="separate"/>
        </w:r>
        <w:r>
          <w:rPr>
            <w:noProof/>
            <w:webHidden/>
          </w:rPr>
          <w:t>1</w:t>
        </w:r>
        <w:r>
          <w:rPr>
            <w:noProof/>
            <w:webHidden/>
          </w:rPr>
          <w:fldChar w:fldCharType="end"/>
        </w:r>
      </w:hyperlink>
    </w:p>
    <w:p w14:paraId="0B093D1D" w14:textId="77777777" w:rsidR="009A405C" w:rsidRDefault="009D1A04">
      <w:pPr>
        <w:pStyle w:val="TOC1"/>
        <w:tabs>
          <w:tab w:val="right" w:leader="dot" w:pos="8296"/>
        </w:tabs>
        <w:rPr>
          <w:rFonts w:asciiTheme="minorHAnsi" w:eastAsiaTheme="minorEastAsia" w:hAnsiTheme="minorHAnsi" w:cstheme="minorBidi"/>
          <w:i w:val="0"/>
          <w:noProof/>
          <w:sz w:val="22"/>
          <w:szCs w:val="22"/>
          <w:lang w:val="en-CA" w:eastAsia="en-CA"/>
        </w:rPr>
      </w:pPr>
      <w:hyperlink w:anchor="_Toc9420919" w:history="1">
        <w:r w:rsidR="009A405C" w:rsidRPr="002A7EE6">
          <w:rPr>
            <w:rStyle w:val="Hyperlink"/>
            <w:noProof/>
          </w:rPr>
          <w:t>Background</w:t>
        </w:r>
        <w:r w:rsidR="009A405C">
          <w:rPr>
            <w:noProof/>
            <w:webHidden/>
          </w:rPr>
          <w:tab/>
        </w:r>
        <w:r w:rsidR="009A405C">
          <w:rPr>
            <w:noProof/>
            <w:webHidden/>
          </w:rPr>
          <w:fldChar w:fldCharType="begin"/>
        </w:r>
        <w:r w:rsidR="009A405C">
          <w:rPr>
            <w:noProof/>
            <w:webHidden/>
          </w:rPr>
          <w:instrText xml:space="preserve"> PAGEREF _Toc9420919 \h </w:instrText>
        </w:r>
        <w:r w:rsidR="009A405C">
          <w:rPr>
            <w:noProof/>
            <w:webHidden/>
          </w:rPr>
        </w:r>
        <w:r w:rsidR="009A405C">
          <w:rPr>
            <w:noProof/>
            <w:webHidden/>
          </w:rPr>
          <w:fldChar w:fldCharType="separate"/>
        </w:r>
        <w:r w:rsidR="009A405C">
          <w:rPr>
            <w:noProof/>
            <w:webHidden/>
          </w:rPr>
          <w:t>1</w:t>
        </w:r>
        <w:r w:rsidR="009A405C">
          <w:rPr>
            <w:noProof/>
            <w:webHidden/>
          </w:rPr>
          <w:fldChar w:fldCharType="end"/>
        </w:r>
      </w:hyperlink>
    </w:p>
    <w:p w14:paraId="7C7A378E" w14:textId="77777777" w:rsidR="009A405C" w:rsidRDefault="009D1A04">
      <w:pPr>
        <w:pStyle w:val="TOC1"/>
        <w:tabs>
          <w:tab w:val="right" w:leader="dot" w:pos="8296"/>
        </w:tabs>
        <w:rPr>
          <w:rFonts w:asciiTheme="minorHAnsi" w:eastAsiaTheme="minorEastAsia" w:hAnsiTheme="minorHAnsi" w:cstheme="minorBidi"/>
          <w:i w:val="0"/>
          <w:noProof/>
          <w:sz w:val="22"/>
          <w:szCs w:val="22"/>
          <w:lang w:val="en-CA" w:eastAsia="en-CA"/>
        </w:rPr>
      </w:pPr>
      <w:hyperlink w:anchor="_Toc9420920" w:history="1">
        <w:r w:rsidR="009A405C" w:rsidRPr="002A7EE6">
          <w:rPr>
            <w:rStyle w:val="Hyperlink"/>
            <w:noProof/>
          </w:rPr>
          <w:t>Summary of procedures</w:t>
        </w:r>
        <w:r w:rsidR="009A405C">
          <w:rPr>
            <w:noProof/>
            <w:webHidden/>
          </w:rPr>
          <w:tab/>
        </w:r>
        <w:r w:rsidR="009A405C">
          <w:rPr>
            <w:noProof/>
            <w:webHidden/>
          </w:rPr>
          <w:fldChar w:fldCharType="begin"/>
        </w:r>
        <w:r w:rsidR="009A405C">
          <w:rPr>
            <w:noProof/>
            <w:webHidden/>
          </w:rPr>
          <w:instrText xml:space="preserve"> PAGEREF _Toc9420920 \h </w:instrText>
        </w:r>
        <w:r w:rsidR="009A405C">
          <w:rPr>
            <w:noProof/>
            <w:webHidden/>
          </w:rPr>
        </w:r>
        <w:r w:rsidR="009A405C">
          <w:rPr>
            <w:noProof/>
            <w:webHidden/>
          </w:rPr>
          <w:fldChar w:fldCharType="separate"/>
        </w:r>
        <w:r w:rsidR="009A405C">
          <w:rPr>
            <w:noProof/>
            <w:webHidden/>
          </w:rPr>
          <w:t>1</w:t>
        </w:r>
        <w:r w:rsidR="009A405C">
          <w:rPr>
            <w:noProof/>
            <w:webHidden/>
          </w:rPr>
          <w:fldChar w:fldCharType="end"/>
        </w:r>
      </w:hyperlink>
    </w:p>
    <w:p w14:paraId="77B2415D" w14:textId="77777777" w:rsidR="009A405C" w:rsidRDefault="009D1A04">
      <w:pPr>
        <w:pStyle w:val="TOC1"/>
        <w:tabs>
          <w:tab w:val="right" w:leader="dot" w:pos="8296"/>
        </w:tabs>
        <w:rPr>
          <w:rFonts w:asciiTheme="minorHAnsi" w:eastAsiaTheme="minorEastAsia" w:hAnsiTheme="minorHAnsi" w:cstheme="minorBidi"/>
          <w:i w:val="0"/>
          <w:noProof/>
          <w:sz w:val="22"/>
          <w:szCs w:val="22"/>
          <w:lang w:val="en-CA" w:eastAsia="en-CA"/>
        </w:rPr>
      </w:pPr>
      <w:hyperlink w:anchor="_Toc9420921" w:history="1">
        <w:r w:rsidR="009A405C" w:rsidRPr="002A7EE6">
          <w:rPr>
            <w:rStyle w:val="Hyperlink"/>
            <w:noProof/>
          </w:rPr>
          <w:t>Appendix A—Process and systems documentation</w:t>
        </w:r>
        <w:r w:rsidR="009A405C">
          <w:rPr>
            <w:noProof/>
            <w:webHidden/>
          </w:rPr>
          <w:tab/>
        </w:r>
        <w:r w:rsidR="009A405C">
          <w:rPr>
            <w:noProof/>
            <w:webHidden/>
          </w:rPr>
          <w:fldChar w:fldCharType="begin"/>
        </w:r>
        <w:r w:rsidR="009A405C">
          <w:rPr>
            <w:noProof/>
            <w:webHidden/>
          </w:rPr>
          <w:instrText xml:space="preserve"> PAGEREF _Toc9420921 \h </w:instrText>
        </w:r>
        <w:r w:rsidR="009A405C">
          <w:rPr>
            <w:noProof/>
            <w:webHidden/>
          </w:rPr>
        </w:r>
        <w:r w:rsidR="009A405C">
          <w:rPr>
            <w:noProof/>
            <w:webHidden/>
          </w:rPr>
          <w:fldChar w:fldCharType="separate"/>
        </w:r>
        <w:r w:rsidR="009A405C">
          <w:rPr>
            <w:noProof/>
            <w:webHidden/>
          </w:rPr>
          <w:t>5</w:t>
        </w:r>
        <w:r w:rsidR="009A405C">
          <w:rPr>
            <w:noProof/>
            <w:webHidden/>
          </w:rPr>
          <w:fldChar w:fldCharType="end"/>
        </w:r>
      </w:hyperlink>
    </w:p>
    <w:p w14:paraId="0C827384" w14:textId="77777777" w:rsidR="009A405C" w:rsidRDefault="009D1A04">
      <w:pPr>
        <w:pStyle w:val="TOC1"/>
        <w:tabs>
          <w:tab w:val="right" w:leader="dot" w:pos="8296"/>
        </w:tabs>
        <w:rPr>
          <w:rFonts w:asciiTheme="minorHAnsi" w:eastAsiaTheme="minorEastAsia" w:hAnsiTheme="minorHAnsi" w:cstheme="minorBidi"/>
          <w:i w:val="0"/>
          <w:noProof/>
          <w:sz w:val="22"/>
          <w:szCs w:val="22"/>
          <w:lang w:val="en-CA" w:eastAsia="en-CA"/>
        </w:rPr>
      </w:pPr>
      <w:hyperlink w:anchor="_Toc9420922" w:history="1">
        <w:r w:rsidR="009A405C" w:rsidRPr="002A7EE6">
          <w:rPr>
            <w:rStyle w:val="Hyperlink"/>
            <w:noProof/>
          </w:rPr>
          <w:t>Appendix C—Independent testing of management’s internal controls—Group</w:t>
        </w:r>
        <w:r w:rsidR="009A405C">
          <w:rPr>
            <w:noProof/>
            <w:webHidden/>
          </w:rPr>
          <w:tab/>
        </w:r>
        <w:r w:rsidR="009A405C">
          <w:rPr>
            <w:noProof/>
            <w:webHidden/>
          </w:rPr>
          <w:fldChar w:fldCharType="begin"/>
        </w:r>
        <w:r w:rsidR="009A405C">
          <w:rPr>
            <w:noProof/>
            <w:webHidden/>
          </w:rPr>
          <w:instrText xml:space="preserve"> PAGEREF _Toc9420922 \h </w:instrText>
        </w:r>
        <w:r w:rsidR="009A405C">
          <w:rPr>
            <w:noProof/>
            <w:webHidden/>
          </w:rPr>
        </w:r>
        <w:r w:rsidR="009A405C">
          <w:rPr>
            <w:noProof/>
            <w:webHidden/>
          </w:rPr>
          <w:fldChar w:fldCharType="separate"/>
        </w:r>
        <w:r w:rsidR="009A405C">
          <w:rPr>
            <w:noProof/>
            <w:webHidden/>
          </w:rPr>
          <w:t>8</w:t>
        </w:r>
        <w:r w:rsidR="009A405C">
          <w:rPr>
            <w:noProof/>
            <w:webHidden/>
          </w:rPr>
          <w:fldChar w:fldCharType="end"/>
        </w:r>
      </w:hyperlink>
    </w:p>
    <w:p w14:paraId="039643A2" w14:textId="77777777" w:rsidR="009A405C" w:rsidRDefault="009D1A04">
      <w:pPr>
        <w:pStyle w:val="TOC1"/>
        <w:tabs>
          <w:tab w:val="right" w:leader="dot" w:pos="8296"/>
        </w:tabs>
        <w:rPr>
          <w:rFonts w:asciiTheme="minorHAnsi" w:eastAsiaTheme="minorEastAsia" w:hAnsiTheme="minorHAnsi" w:cstheme="minorBidi"/>
          <w:i w:val="0"/>
          <w:noProof/>
          <w:sz w:val="22"/>
          <w:szCs w:val="22"/>
          <w:lang w:val="en-CA" w:eastAsia="en-CA"/>
        </w:rPr>
      </w:pPr>
      <w:hyperlink w:anchor="_Toc9420923" w:history="1">
        <w:r w:rsidR="009A405C" w:rsidRPr="002A7EE6">
          <w:rPr>
            <w:rStyle w:val="Hyperlink"/>
            <w:noProof/>
          </w:rPr>
          <w:t>Appendix D—Analytical procedures</w:t>
        </w:r>
        <w:r w:rsidR="009A405C">
          <w:rPr>
            <w:noProof/>
            <w:webHidden/>
          </w:rPr>
          <w:tab/>
        </w:r>
        <w:r w:rsidR="009A405C">
          <w:rPr>
            <w:noProof/>
            <w:webHidden/>
          </w:rPr>
          <w:fldChar w:fldCharType="begin"/>
        </w:r>
        <w:r w:rsidR="009A405C">
          <w:rPr>
            <w:noProof/>
            <w:webHidden/>
          </w:rPr>
          <w:instrText xml:space="preserve"> PAGEREF _Toc9420923 \h </w:instrText>
        </w:r>
        <w:r w:rsidR="009A405C">
          <w:rPr>
            <w:noProof/>
            <w:webHidden/>
          </w:rPr>
        </w:r>
        <w:r w:rsidR="009A405C">
          <w:rPr>
            <w:noProof/>
            <w:webHidden/>
          </w:rPr>
          <w:fldChar w:fldCharType="separate"/>
        </w:r>
        <w:r w:rsidR="009A405C">
          <w:rPr>
            <w:noProof/>
            <w:webHidden/>
          </w:rPr>
          <w:t>9</w:t>
        </w:r>
        <w:r w:rsidR="009A405C">
          <w:rPr>
            <w:noProof/>
            <w:webHidden/>
          </w:rPr>
          <w:fldChar w:fldCharType="end"/>
        </w:r>
      </w:hyperlink>
    </w:p>
    <w:p w14:paraId="36AD4591" w14:textId="77777777" w:rsidR="009A405C" w:rsidRDefault="009D1A04">
      <w:pPr>
        <w:pStyle w:val="TOC1"/>
        <w:tabs>
          <w:tab w:val="right" w:leader="dot" w:pos="8296"/>
        </w:tabs>
        <w:rPr>
          <w:rFonts w:asciiTheme="minorHAnsi" w:eastAsiaTheme="minorEastAsia" w:hAnsiTheme="minorHAnsi" w:cstheme="minorBidi"/>
          <w:i w:val="0"/>
          <w:noProof/>
          <w:sz w:val="22"/>
          <w:szCs w:val="22"/>
          <w:lang w:val="en-CA" w:eastAsia="en-CA"/>
        </w:rPr>
      </w:pPr>
      <w:hyperlink w:anchor="_Toc9420924" w:history="1">
        <w:r w:rsidR="009A405C" w:rsidRPr="002A7EE6">
          <w:rPr>
            <w:rStyle w:val="Hyperlink"/>
            <w:noProof/>
          </w:rPr>
          <w:t>Appendix E—Substantive testing procedures—Group</w:t>
        </w:r>
        <w:r w:rsidR="009A405C">
          <w:rPr>
            <w:noProof/>
            <w:webHidden/>
          </w:rPr>
          <w:tab/>
        </w:r>
        <w:r w:rsidR="009A405C">
          <w:rPr>
            <w:noProof/>
            <w:webHidden/>
          </w:rPr>
          <w:fldChar w:fldCharType="begin"/>
        </w:r>
        <w:r w:rsidR="009A405C">
          <w:rPr>
            <w:noProof/>
            <w:webHidden/>
          </w:rPr>
          <w:instrText xml:space="preserve"> PAGEREF _Toc9420924 \h </w:instrText>
        </w:r>
        <w:r w:rsidR="009A405C">
          <w:rPr>
            <w:noProof/>
            <w:webHidden/>
          </w:rPr>
        </w:r>
        <w:r w:rsidR="009A405C">
          <w:rPr>
            <w:noProof/>
            <w:webHidden/>
          </w:rPr>
          <w:fldChar w:fldCharType="separate"/>
        </w:r>
        <w:r w:rsidR="009A405C">
          <w:rPr>
            <w:noProof/>
            <w:webHidden/>
          </w:rPr>
          <w:t>10</w:t>
        </w:r>
        <w:r w:rsidR="009A405C">
          <w:rPr>
            <w:noProof/>
            <w:webHidden/>
          </w:rPr>
          <w:fldChar w:fldCharType="end"/>
        </w:r>
      </w:hyperlink>
    </w:p>
    <w:p w14:paraId="3052897E" w14:textId="77777777" w:rsidR="009A405C" w:rsidRDefault="009D1A04">
      <w:pPr>
        <w:pStyle w:val="TOC1"/>
        <w:tabs>
          <w:tab w:val="right" w:leader="dot" w:pos="8296"/>
        </w:tabs>
        <w:rPr>
          <w:rFonts w:asciiTheme="minorHAnsi" w:eastAsiaTheme="minorEastAsia" w:hAnsiTheme="minorHAnsi" w:cstheme="minorBidi"/>
          <w:i w:val="0"/>
          <w:noProof/>
          <w:sz w:val="22"/>
          <w:szCs w:val="22"/>
          <w:lang w:val="en-CA" w:eastAsia="en-CA"/>
        </w:rPr>
      </w:pPr>
      <w:hyperlink w:anchor="_Toc9420925" w:history="1">
        <w:r w:rsidR="009A405C" w:rsidRPr="002A7EE6">
          <w:rPr>
            <w:rStyle w:val="Hyperlink"/>
            <w:noProof/>
          </w:rPr>
          <w:t>Appendix F—Independent testing of management’s internal controls—Statutory</w:t>
        </w:r>
        <w:r w:rsidR="009A405C">
          <w:rPr>
            <w:noProof/>
            <w:webHidden/>
          </w:rPr>
          <w:tab/>
        </w:r>
        <w:r w:rsidR="009A405C">
          <w:rPr>
            <w:noProof/>
            <w:webHidden/>
          </w:rPr>
          <w:fldChar w:fldCharType="begin"/>
        </w:r>
        <w:r w:rsidR="009A405C">
          <w:rPr>
            <w:noProof/>
            <w:webHidden/>
          </w:rPr>
          <w:instrText xml:space="preserve"> PAGEREF _Toc9420925 \h </w:instrText>
        </w:r>
        <w:r w:rsidR="009A405C">
          <w:rPr>
            <w:noProof/>
            <w:webHidden/>
          </w:rPr>
        </w:r>
        <w:r w:rsidR="009A405C">
          <w:rPr>
            <w:noProof/>
            <w:webHidden/>
          </w:rPr>
          <w:fldChar w:fldCharType="separate"/>
        </w:r>
        <w:r w:rsidR="009A405C">
          <w:rPr>
            <w:noProof/>
            <w:webHidden/>
          </w:rPr>
          <w:t>12</w:t>
        </w:r>
        <w:r w:rsidR="009A405C">
          <w:rPr>
            <w:noProof/>
            <w:webHidden/>
          </w:rPr>
          <w:fldChar w:fldCharType="end"/>
        </w:r>
      </w:hyperlink>
    </w:p>
    <w:p w14:paraId="69717AFE" w14:textId="77777777" w:rsidR="009A405C" w:rsidRDefault="009D1A04">
      <w:pPr>
        <w:pStyle w:val="TOC1"/>
        <w:tabs>
          <w:tab w:val="right" w:leader="dot" w:pos="8296"/>
        </w:tabs>
        <w:rPr>
          <w:rFonts w:asciiTheme="minorHAnsi" w:eastAsiaTheme="minorEastAsia" w:hAnsiTheme="minorHAnsi" w:cstheme="minorBidi"/>
          <w:i w:val="0"/>
          <w:noProof/>
          <w:sz w:val="22"/>
          <w:szCs w:val="22"/>
          <w:lang w:val="en-CA" w:eastAsia="en-CA"/>
        </w:rPr>
      </w:pPr>
      <w:hyperlink w:anchor="_Toc9420926" w:history="1">
        <w:r w:rsidR="009A405C" w:rsidRPr="002A7EE6">
          <w:rPr>
            <w:rStyle w:val="Hyperlink"/>
            <w:noProof/>
          </w:rPr>
          <w:t>Appendix G—Analytical procedures—Statutory</w:t>
        </w:r>
        <w:r w:rsidR="009A405C">
          <w:rPr>
            <w:noProof/>
            <w:webHidden/>
          </w:rPr>
          <w:tab/>
        </w:r>
        <w:r w:rsidR="009A405C">
          <w:rPr>
            <w:noProof/>
            <w:webHidden/>
          </w:rPr>
          <w:fldChar w:fldCharType="begin"/>
        </w:r>
        <w:r w:rsidR="009A405C">
          <w:rPr>
            <w:noProof/>
            <w:webHidden/>
          </w:rPr>
          <w:instrText xml:space="preserve"> PAGEREF _Toc9420926 \h </w:instrText>
        </w:r>
        <w:r w:rsidR="009A405C">
          <w:rPr>
            <w:noProof/>
            <w:webHidden/>
          </w:rPr>
        </w:r>
        <w:r w:rsidR="009A405C">
          <w:rPr>
            <w:noProof/>
            <w:webHidden/>
          </w:rPr>
          <w:fldChar w:fldCharType="separate"/>
        </w:r>
        <w:r w:rsidR="009A405C">
          <w:rPr>
            <w:noProof/>
            <w:webHidden/>
          </w:rPr>
          <w:t>13</w:t>
        </w:r>
        <w:r w:rsidR="009A405C">
          <w:rPr>
            <w:noProof/>
            <w:webHidden/>
          </w:rPr>
          <w:fldChar w:fldCharType="end"/>
        </w:r>
      </w:hyperlink>
    </w:p>
    <w:p w14:paraId="41884268" w14:textId="77777777" w:rsidR="009A405C" w:rsidRDefault="009D1A04">
      <w:pPr>
        <w:pStyle w:val="TOC1"/>
        <w:tabs>
          <w:tab w:val="right" w:leader="dot" w:pos="8296"/>
        </w:tabs>
        <w:rPr>
          <w:rFonts w:asciiTheme="minorHAnsi" w:eastAsiaTheme="minorEastAsia" w:hAnsiTheme="minorHAnsi" w:cstheme="minorBidi"/>
          <w:i w:val="0"/>
          <w:noProof/>
          <w:sz w:val="22"/>
          <w:szCs w:val="22"/>
          <w:lang w:val="en-CA" w:eastAsia="en-CA"/>
        </w:rPr>
      </w:pPr>
      <w:hyperlink w:anchor="_Toc9420927" w:history="1">
        <w:r w:rsidR="009A405C" w:rsidRPr="002A7EE6">
          <w:rPr>
            <w:rStyle w:val="Hyperlink"/>
            <w:noProof/>
          </w:rPr>
          <w:t>Appendix H—Substantive testing procedures—Statutory</w:t>
        </w:r>
        <w:r w:rsidR="009A405C">
          <w:rPr>
            <w:noProof/>
            <w:webHidden/>
          </w:rPr>
          <w:tab/>
        </w:r>
        <w:r w:rsidR="009A405C">
          <w:rPr>
            <w:noProof/>
            <w:webHidden/>
          </w:rPr>
          <w:fldChar w:fldCharType="begin"/>
        </w:r>
        <w:r w:rsidR="009A405C">
          <w:rPr>
            <w:noProof/>
            <w:webHidden/>
          </w:rPr>
          <w:instrText xml:space="preserve"> PAGEREF _Toc9420927 \h </w:instrText>
        </w:r>
        <w:r w:rsidR="009A405C">
          <w:rPr>
            <w:noProof/>
            <w:webHidden/>
          </w:rPr>
        </w:r>
        <w:r w:rsidR="009A405C">
          <w:rPr>
            <w:noProof/>
            <w:webHidden/>
          </w:rPr>
          <w:fldChar w:fldCharType="separate"/>
        </w:r>
        <w:r w:rsidR="009A405C">
          <w:rPr>
            <w:noProof/>
            <w:webHidden/>
          </w:rPr>
          <w:t>14</w:t>
        </w:r>
        <w:r w:rsidR="009A405C">
          <w:rPr>
            <w:noProof/>
            <w:webHidden/>
          </w:rPr>
          <w:fldChar w:fldCharType="end"/>
        </w:r>
      </w:hyperlink>
    </w:p>
    <w:p w14:paraId="23686B58" w14:textId="77777777" w:rsidR="009A405C" w:rsidRDefault="009D1A04">
      <w:pPr>
        <w:pStyle w:val="TOC1"/>
        <w:tabs>
          <w:tab w:val="right" w:leader="dot" w:pos="8296"/>
        </w:tabs>
        <w:rPr>
          <w:rFonts w:asciiTheme="minorHAnsi" w:eastAsiaTheme="minorEastAsia" w:hAnsiTheme="minorHAnsi" w:cstheme="minorBidi"/>
          <w:i w:val="0"/>
          <w:noProof/>
          <w:sz w:val="22"/>
          <w:szCs w:val="22"/>
          <w:lang w:val="en-CA" w:eastAsia="en-CA"/>
        </w:rPr>
      </w:pPr>
      <w:hyperlink w:anchor="_Toc9420928" w:history="1">
        <w:r w:rsidR="009A405C" w:rsidRPr="002A7EE6">
          <w:rPr>
            <w:rStyle w:val="Hyperlink"/>
            <w:noProof/>
          </w:rPr>
          <w:t>Appendix I—Confirmation of sufficiency of procedures</w:t>
        </w:r>
        <w:r w:rsidR="009A405C">
          <w:rPr>
            <w:noProof/>
            <w:webHidden/>
          </w:rPr>
          <w:tab/>
        </w:r>
        <w:r w:rsidR="009A405C">
          <w:rPr>
            <w:noProof/>
            <w:webHidden/>
          </w:rPr>
          <w:fldChar w:fldCharType="begin"/>
        </w:r>
        <w:r w:rsidR="009A405C">
          <w:rPr>
            <w:noProof/>
            <w:webHidden/>
          </w:rPr>
          <w:instrText xml:space="preserve"> PAGEREF _Toc9420928 \h </w:instrText>
        </w:r>
        <w:r w:rsidR="009A405C">
          <w:rPr>
            <w:noProof/>
            <w:webHidden/>
          </w:rPr>
        </w:r>
        <w:r w:rsidR="009A405C">
          <w:rPr>
            <w:noProof/>
            <w:webHidden/>
          </w:rPr>
          <w:fldChar w:fldCharType="separate"/>
        </w:r>
        <w:r w:rsidR="009A405C">
          <w:rPr>
            <w:noProof/>
            <w:webHidden/>
          </w:rPr>
          <w:t>15</w:t>
        </w:r>
        <w:r w:rsidR="009A405C">
          <w:rPr>
            <w:noProof/>
            <w:webHidden/>
          </w:rPr>
          <w:fldChar w:fldCharType="end"/>
        </w:r>
      </w:hyperlink>
    </w:p>
    <w:p w14:paraId="77EAE775" w14:textId="77777777" w:rsidR="009A405C" w:rsidRDefault="009D1A04">
      <w:pPr>
        <w:pStyle w:val="TOC1"/>
        <w:tabs>
          <w:tab w:val="right" w:leader="dot" w:pos="8296"/>
        </w:tabs>
        <w:rPr>
          <w:rFonts w:asciiTheme="minorHAnsi" w:eastAsiaTheme="minorEastAsia" w:hAnsiTheme="minorHAnsi" w:cstheme="minorBidi"/>
          <w:i w:val="0"/>
          <w:noProof/>
          <w:sz w:val="22"/>
          <w:szCs w:val="22"/>
          <w:lang w:val="en-CA" w:eastAsia="en-CA"/>
        </w:rPr>
      </w:pPr>
      <w:hyperlink w:anchor="_Toc9420929" w:history="1">
        <w:r w:rsidR="009A405C" w:rsidRPr="002A7EE6">
          <w:rPr>
            <w:rStyle w:val="Hyperlink"/>
            <w:noProof/>
          </w:rPr>
          <w:t>Appendix J—Confirmation of compliance with documentation standards</w:t>
        </w:r>
        <w:r w:rsidR="009A405C">
          <w:rPr>
            <w:noProof/>
            <w:webHidden/>
          </w:rPr>
          <w:tab/>
        </w:r>
        <w:r w:rsidR="009A405C">
          <w:rPr>
            <w:noProof/>
            <w:webHidden/>
          </w:rPr>
          <w:fldChar w:fldCharType="begin"/>
        </w:r>
        <w:r w:rsidR="009A405C">
          <w:rPr>
            <w:noProof/>
            <w:webHidden/>
          </w:rPr>
          <w:instrText xml:space="preserve"> PAGEREF _Toc9420929 \h </w:instrText>
        </w:r>
        <w:r w:rsidR="009A405C">
          <w:rPr>
            <w:noProof/>
            <w:webHidden/>
          </w:rPr>
        </w:r>
        <w:r w:rsidR="009A405C">
          <w:rPr>
            <w:noProof/>
            <w:webHidden/>
          </w:rPr>
          <w:fldChar w:fldCharType="separate"/>
        </w:r>
        <w:r w:rsidR="009A405C">
          <w:rPr>
            <w:noProof/>
            <w:webHidden/>
          </w:rPr>
          <w:t>16</w:t>
        </w:r>
        <w:r w:rsidR="009A405C">
          <w:rPr>
            <w:noProof/>
            <w:webHidden/>
          </w:rPr>
          <w:fldChar w:fldCharType="end"/>
        </w:r>
      </w:hyperlink>
    </w:p>
    <w:p w14:paraId="09BE6134" w14:textId="77777777" w:rsidR="009A405C" w:rsidRDefault="009D1A04">
      <w:pPr>
        <w:pStyle w:val="TOC1"/>
        <w:tabs>
          <w:tab w:val="right" w:leader="dot" w:pos="8296"/>
        </w:tabs>
        <w:rPr>
          <w:rFonts w:asciiTheme="minorHAnsi" w:eastAsiaTheme="minorEastAsia" w:hAnsiTheme="minorHAnsi" w:cstheme="minorBidi"/>
          <w:i w:val="0"/>
          <w:noProof/>
          <w:sz w:val="22"/>
          <w:szCs w:val="22"/>
          <w:lang w:val="en-CA" w:eastAsia="en-CA"/>
        </w:rPr>
      </w:pPr>
      <w:hyperlink w:anchor="_Toc9420930" w:history="1">
        <w:r w:rsidR="009A405C" w:rsidRPr="002A7EE6">
          <w:rPr>
            <w:rStyle w:val="Hyperlink"/>
            <w:noProof/>
          </w:rPr>
          <w:t>Appendix K—Memorandum on examination</w:t>
        </w:r>
        <w:r w:rsidR="009A405C">
          <w:rPr>
            <w:noProof/>
            <w:webHidden/>
          </w:rPr>
          <w:tab/>
        </w:r>
        <w:r w:rsidR="009A405C">
          <w:rPr>
            <w:noProof/>
            <w:webHidden/>
          </w:rPr>
          <w:fldChar w:fldCharType="begin"/>
        </w:r>
        <w:r w:rsidR="009A405C">
          <w:rPr>
            <w:noProof/>
            <w:webHidden/>
          </w:rPr>
          <w:instrText xml:space="preserve"> PAGEREF _Toc9420930 \h </w:instrText>
        </w:r>
        <w:r w:rsidR="009A405C">
          <w:rPr>
            <w:noProof/>
            <w:webHidden/>
          </w:rPr>
        </w:r>
        <w:r w:rsidR="009A405C">
          <w:rPr>
            <w:noProof/>
            <w:webHidden/>
          </w:rPr>
          <w:fldChar w:fldCharType="separate"/>
        </w:r>
        <w:r w:rsidR="009A405C">
          <w:rPr>
            <w:noProof/>
            <w:webHidden/>
          </w:rPr>
          <w:t>17</w:t>
        </w:r>
        <w:r w:rsidR="009A405C">
          <w:rPr>
            <w:noProof/>
            <w:webHidden/>
          </w:rPr>
          <w:fldChar w:fldCharType="end"/>
        </w:r>
      </w:hyperlink>
    </w:p>
    <w:p w14:paraId="67A3B85E" w14:textId="77777777" w:rsidR="009A405C" w:rsidRDefault="009D1A04">
      <w:pPr>
        <w:pStyle w:val="TOC1"/>
        <w:tabs>
          <w:tab w:val="right" w:leader="dot" w:pos="8296"/>
        </w:tabs>
        <w:rPr>
          <w:rFonts w:asciiTheme="minorHAnsi" w:eastAsiaTheme="minorEastAsia" w:hAnsiTheme="minorHAnsi" w:cstheme="minorBidi"/>
          <w:i w:val="0"/>
          <w:noProof/>
          <w:sz w:val="22"/>
          <w:szCs w:val="22"/>
          <w:lang w:val="en-CA" w:eastAsia="en-CA"/>
        </w:rPr>
      </w:pPr>
      <w:hyperlink w:anchor="_Toc9420931" w:history="1">
        <w:r w:rsidR="009A405C" w:rsidRPr="002A7EE6">
          <w:rPr>
            <w:rStyle w:val="Hyperlink"/>
            <w:noProof/>
          </w:rPr>
          <w:t>Appendix L—Subsequent events review</w:t>
        </w:r>
        <w:r w:rsidR="009A405C">
          <w:rPr>
            <w:noProof/>
            <w:webHidden/>
          </w:rPr>
          <w:tab/>
        </w:r>
        <w:r w:rsidR="009A405C">
          <w:rPr>
            <w:noProof/>
            <w:webHidden/>
          </w:rPr>
          <w:fldChar w:fldCharType="begin"/>
        </w:r>
        <w:r w:rsidR="009A405C">
          <w:rPr>
            <w:noProof/>
            <w:webHidden/>
          </w:rPr>
          <w:instrText xml:space="preserve"> PAGEREF _Toc9420931 \h </w:instrText>
        </w:r>
        <w:r w:rsidR="009A405C">
          <w:rPr>
            <w:noProof/>
            <w:webHidden/>
          </w:rPr>
        </w:r>
        <w:r w:rsidR="009A405C">
          <w:rPr>
            <w:noProof/>
            <w:webHidden/>
          </w:rPr>
          <w:fldChar w:fldCharType="separate"/>
        </w:r>
        <w:r w:rsidR="009A405C">
          <w:rPr>
            <w:noProof/>
            <w:webHidden/>
          </w:rPr>
          <w:t>19</w:t>
        </w:r>
        <w:r w:rsidR="009A405C">
          <w:rPr>
            <w:noProof/>
            <w:webHidden/>
          </w:rPr>
          <w:fldChar w:fldCharType="end"/>
        </w:r>
      </w:hyperlink>
    </w:p>
    <w:p w14:paraId="0EE4DBFF" w14:textId="77777777" w:rsidR="009A405C" w:rsidRDefault="009D1A04">
      <w:pPr>
        <w:pStyle w:val="TOC1"/>
        <w:tabs>
          <w:tab w:val="right" w:leader="dot" w:pos="8296"/>
        </w:tabs>
        <w:rPr>
          <w:rFonts w:asciiTheme="minorHAnsi" w:eastAsiaTheme="minorEastAsia" w:hAnsiTheme="minorHAnsi" w:cstheme="minorBidi"/>
          <w:i w:val="0"/>
          <w:noProof/>
          <w:sz w:val="22"/>
          <w:szCs w:val="22"/>
          <w:lang w:val="en-CA" w:eastAsia="en-CA"/>
        </w:rPr>
      </w:pPr>
      <w:hyperlink w:anchor="_Toc9420932" w:history="1">
        <w:r w:rsidR="009A405C" w:rsidRPr="002A7EE6">
          <w:rPr>
            <w:rStyle w:val="Hyperlink"/>
            <w:noProof/>
            <w:lang w:val="en-CA"/>
          </w:rPr>
          <w:t>Appendix M</w:t>
        </w:r>
        <w:r w:rsidR="009A405C" w:rsidRPr="002A7EE6">
          <w:rPr>
            <w:rStyle w:val="Hyperlink"/>
            <w:noProof/>
          </w:rPr>
          <w:t>—</w:t>
        </w:r>
        <w:r w:rsidR="009A405C" w:rsidRPr="002A7EE6">
          <w:rPr>
            <w:rStyle w:val="Hyperlink"/>
            <w:noProof/>
            <w:lang w:val="en-CA"/>
          </w:rPr>
          <w:t>Confirmation of compliance with documentation standards</w:t>
        </w:r>
        <w:r w:rsidR="009A405C" w:rsidRPr="002A7EE6">
          <w:rPr>
            <w:rStyle w:val="Hyperlink"/>
            <w:noProof/>
          </w:rPr>
          <w:t>—</w:t>
        </w:r>
        <w:r w:rsidR="009A405C" w:rsidRPr="002A7EE6">
          <w:rPr>
            <w:rStyle w:val="Hyperlink"/>
            <w:noProof/>
            <w:lang w:val="en-CA"/>
          </w:rPr>
          <w:t>Completion</w:t>
        </w:r>
        <w:r w:rsidR="009A405C">
          <w:rPr>
            <w:noProof/>
            <w:webHidden/>
          </w:rPr>
          <w:tab/>
        </w:r>
        <w:r w:rsidR="009A405C">
          <w:rPr>
            <w:noProof/>
            <w:webHidden/>
          </w:rPr>
          <w:fldChar w:fldCharType="begin"/>
        </w:r>
        <w:r w:rsidR="009A405C">
          <w:rPr>
            <w:noProof/>
            <w:webHidden/>
          </w:rPr>
          <w:instrText xml:space="preserve"> PAGEREF _Toc9420932 \h </w:instrText>
        </w:r>
        <w:r w:rsidR="009A405C">
          <w:rPr>
            <w:noProof/>
            <w:webHidden/>
          </w:rPr>
        </w:r>
        <w:r w:rsidR="009A405C">
          <w:rPr>
            <w:noProof/>
            <w:webHidden/>
          </w:rPr>
          <w:fldChar w:fldCharType="separate"/>
        </w:r>
        <w:r w:rsidR="009A405C">
          <w:rPr>
            <w:noProof/>
            <w:webHidden/>
          </w:rPr>
          <w:t>20</w:t>
        </w:r>
        <w:r w:rsidR="009A405C">
          <w:rPr>
            <w:noProof/>
            <w:webHidden/>
          </w:rPr>
          <w:fldChar w:fldCharType="end"/>
        </w:r>
      </w:hyperlink>
    </w:p>
    <w:p w14:paraId="0D410761" w14:textId="4133B75F" w:rsidR="006F3710" w:rsidRDefault="009A405C" w:rsidP="0013710F">
      <w:pPr>
        <w:rPr>
          <w:b/>
        </w:rPr>
      </w:pPr>
      <w:r>
        <w:rPr>
          <w:b/>
          <w:i/>
        </w:rPr>
        <w:fldChar w:fldCharType="end"/>
      </w:r>
    </w:p>
    <w:p w14:paraId="0D79D4E6" w14:textId="7F2611F7" w:rsidR="007D05F0" w:rsidRPr="009A405C" w:rsidRDefault="007D05F0" w:rsidP="00F402EF">
      <w:pPr>
        <w:rPr>
          <w:b/>
          <w:lang w:val="en-CA"/>
        </w:rPr>
        <w:sectPr w:rsidR="007D05F0" w:rsidRPr="009A405C" w:rsidSect="006F3710">
          <w:headerReference w:type="default" r:id="rId8"/>
          <w:footerReference w:type="default" r:id="rId9"/>
          <w:pgSz w:w="11906" w:h="16838"/>
          <w:pgMar w:top="1440" w:right="1800" w:bottom="1440" w:left="1800" w:header="708" w:footer="708" w:gutter="0"/>
          <w:cols w:space="708"/>
          <w:docGrid w:linePitch="360"/>
        </w:sectPr>
      </w:pPr>
    </w:p>
    <w:p w14:paraId="15E9334E" w14:textId="77777777" w:rsidR="0039325E" w:rsidRPr="00735235" w:rsidRDefault="00735235" w:rsidP="0039325E">
      <w:pPr>
        <w:rPr>
          <w:b/>
        </w:rPr>
      </w:pPr>
      <w:r w:rsidRPr="00735235">
        <w:rPr>
          <w:b/>
        </w:rPr>
        <w:lastRenderedPageBreak/>
        <w:t>[</w:t>
      </w:r>
      <w:r w:rsidRPr="00F402EF">
        <w:rPr>
          <w:b/>
          <w:color w:val="0000FF"/>
        </w:rPr>
        <w:t xml:space="preserve">Address to all </w:t>
      </w:r>
      <w:r w:rsidR="00C0665A" w:rsidRPr="00F402EF">
        <w:rPr>
          <w:b/>
          <w:color w:val="0000FF"/>
        </w:rPr>
        <w:t xml:space="preserve">OAG </w:t>
      </w:r>
      <w:r w:rsidR="00181909" w:rsidRPr="00F402EF">
        <w:rPr>
          <w:b/>
          <w:color w:val="0000FF"/>
        </w:rPr>
        <w:t xml:space="preserve">engagement </w:t>
      </w:r>
      <w:r w:rsidR="002C72B4" w:rsidRPr="00F402EF">
        <w:rPr>
          <w:b/>
          <w:color w:val="0000FF"/>
        </w:rPr>
        <w:t>teams</w:t>
      </w:r>
      <w:r w:rsidRPr="00F402EF">
        <w:rPr>
          <w:b/>
          <w:color w:val="0000FF"/>
        </w:rPr>
        <w:t xml:space="preserve"> which will be using the results of the SSC work, detailing </w:t>
      </w:r>
      <w:r w:rsidR="00265D3F" w:rsidRPr="00F402EF">
        <w:rPr>
          <w:b/>
          <w:color w:val="0000FF"/>
        </w:rPr>
        <w:t xml:space="preserve">only those </w:t>
      </w:r>
      <w:r w:rsidR="00C3097B" w:rsidRPr="00F402EF">
        <w:rPr>
          <w:b/>
          <w:color w:val="0000FF"/>
        </w:rPr>
        <w:t>components</w:t>
      </w:r>
      <w:r w:rsidRPr="00F402EF">
        <w:rPr>
          <w:b/>
          <w:color w:val="0000FF"/>
        </w:rPr>
        <w:t xml:space="preserve"> which are relevant to each </w:t>
      </w:r>
      <w:r w:rsidR="00C0665A" w:rsidRPr="00F402EF">
        <w:rPr>
          <w:b/>
          <w:color w:val="0000FF"/>
        </w:rPr>
        <w:t xml:space="preserve">OAG </w:t>
      </w:r>
      <w:r w:rsidR="00181909" w:rsidRPr="00F402EF">
        <w:rPr>
          <w:b/>
          <w:color w:val="0000FF"/>
        </w:rPr>
        <w:t>engagement</w:t>
      </w:r>
      <w:r w:rsidR="00526575" w:rsidRPr="00F402EF">
        <w:rPr>
          <w:b/>
          <w:color w:val="0000FF"/>
        </w:rPr>
        <w:t xml:space="preserve"> team</w:t>
      </w:r>
      <w:r w:rsidRPr="00F402EF">
        <w:rPr>
          <w:b/>
          <w:color w:val="0000FF"/>
        </w:rPr>
        <w:t>.</w:t>
      </w:r>
      <w:r w:rsidRPr="009315F4">
        <w:rPr>
          <w:b/>
        </w:rPr>
        <w:t>]</w:t>
      </w:r>
    </w:p>
    <w:p w14:paraId="2E61F035" w14:textId="77777777" w:rsidR="00801448" w:rsidRDefault="00801448" w:rsidP="0039325E">
      <w:pPr>
        <w:rPr>
          <w:b/>
        </w:rPr>
      </w:pPr>
    </w:p>
    <w:p w14:paraId="7E48F5EB" w14:textId="7AE40238" w:rsidR="00735235" w:rsidRPr="00F402EF" w:rsidRDefault="009315F4" w:rsidP="0039325E">
      <w:pPr>
        <w:rPr>
          <w:b/>
          <w:lang w:val="en-CA"/>
        </w:rPr>
      </w:pPr>
      <w:r>
        <w:rPr>
          <w:b/>
        </w:rPr>
        <w:t>[</w:t>
      </w:r>
      <w:r w:rsidR="00735235" w:rsidRPr="00F402EF">
        <w:rPr>
          <w:b/>
          <w:color w:val="0000FF"/>
        </w:rPr>
        <w:t>Date</w:t>
      </w:r>
      <w:r>
        <w:rPr>
          <w:b/>
          <w:lang w:val="en-CA"/>
        </w:rPr>
        <w:t>]</w:t>
      </w:r>
    </w:p>
    <w:p w14:paraId="500F4250" w14:textId="77777777" w:rsidR="00735235" w:rsidRDefault="00735235" w:rsidP="0039325E">
      <w:pPr>
        <w:rPr>
          <w:b/>
        </w:rPr>
      </w:pPr>
    </w:p>
    <w:p w14:paraId="746FE055" w14:textId="7B8866A4" w:rsidR="0039325E" w:rsidRDefault="009315F4" w:rsidP="00F402EF">
      <w:pPr>
        <w:pStyle w:val="Style2"/>
      </w:pPr>
      <w:bookmarkStart w:id="2" w:name="_Toc9420919"/>
      <w:r>
        <w:t>Background</w:t>
      </w:r>
      <w:bookmarkEnd w:id="2"/>
    </w:p>
    <w:p w14:paraId="02FE24F4" w14:textId="77777777" w:rsidR="008D6735" w:rsidRPr="001E3767" w:rsidRDefault="008D6735" w:rsidP="0039325E">
      <w:pPr>
        <w:rPr>
          <w:b/>
        </w:rPr>
      </w:pPr>
    </w:p>
    <w:p w14:paraId="6ADC52B8" w14:textId="77777777" w:rsidR="0095534F" w:rsidRDefault="007D2DAB" w:rsidP="0039325E">
      <w:r>
        <w:t xml:space="preserve">For the purpose of </w:t>
      </w:r>
      <w:r w:rsidR="008D6735">
        <w:t>the</w:t>
      </w:r>
      <w:r w:rsidR="00AE3684">
        <w:t xml:space="preserve"> </w:t>
      </w:r>
      <w:r>
        <w:t xml:space="preserve">audit of the </w:t>
      </w:r>
      <w:r w:rsidR="00842241" w:rsidRPr="00F402EF">
        <w:t>[</w:t>
      </w:r>
      <w:r w:rsidR="008D6735" w:rsidRPr="00F402EF">
        <w:rPr>
          <w:color w:val="0000FF"/>
        </w:rPr>
        <w:t>statutory/</w:t>
      </w:r>
      <w:r w:rsidRPr="00F402EF">
        <w:rPr>
          <w:color w:val="0000FF"/>
        </w:rPr>
        <w:t>group financial statements</w:t>
      </w:r>
      <w:r w:rsidR="00842241" w:rsidRPr="00F402EF">
        <w:t>]</w:t>
      </w:r>
      <w:r w:rsidR="008D6735" w:rsidRPr="00F402EF">
        <w:rPr>
          <w:rStyle w:val="FootnoteReference"/>
          <w:color w:val="0000FF"/>
        </w:rPr>
        <w:footnoteReference w:id="1"/>
      </w:r>
      <w:r>
        <w:t xml:space="preserve"> for the year ended</w:t>
      </w:r>
      <w:r w:rsidR="008D6735">
        <w:t xml:space="preserve"> </w:t>
      </w:r>
      <w:r w:rsidR="008D6735" w:rsidRPr="00F402EF">
        <w:t>[</w:t>
      </w:r>
      <w:r w:rsidR="008D6735" w:rsidRPr="00F402EF">
        <w:rPr>
          <w:color w:val="0000FF"/>
        </w:rPr>
        <w:t>year end</w:t>
      </w:r>
      <w:r w:rsidR="008D6735" w:rsidRPr="00F402EF">
        <w:t>]</w:t>
      </w:r>
      <w:r w:rsidRPr="0087291F">
        <w:t xml:space="preserve"> </w:t>
      </w:r>
      <w:r>
        <w:t xml:space="preserve">of </w:t>
      </w:r>
      <w:r w:rsidR="002C72B4" w:rsidRPr="00F402EF">
        <w:t>[</w:t>
      </w:r>
      <w:r w:rsidR="002C72B4" w:rsidRPr="00F402EF">
        <w:rPr>
          <w:color w:val="0000FF"/>
        </w:rPr>
        <w:t>name of corporation, department, crown</w:t>
      </w:r>
      <w:r w:rsidR="002C72B4" w:rsidRPr="00F402EF">
        <w:t>]</w:t>
      </w:r>
      <w:r>
        <w:t xml:space="preserve">, </w:t>
      </w:r>
      <w:r w:rsidR="0039325E">
        <w:t>wh</w:t>
      </w:r>
      <w:r w:rsidR="0095534F">
        <w:t>ich</w:t>
      </w:r>
      <w:r w:rsidR="0039325E">
        <w:t xml:space="preserve"> uses </w:t>
      </w:r>
      <w:r>
        <w:t xml:space="preserve">the </w:t>
      </w:r>
      <w:r w:rsidR="007C4847">
        <w:t>S</w:t>
      </w:r>
      <w:r w:rsidR="0039325E">
        <w:t xml:space="preserve">hared </w:t>
      </w:r>
      <w:r w:rsidR="007C4847">
        <w:t>S</w:t>
      </w:r>
      <w:r w:rsidR="0039325E">
        <w:t xml:space="preserve">ervice </w:t>
      </w:r>
      <w:r w:rsidR="007C4847">
        <w:t>C</w:t>
      </w:r>
      <w:r w:rsidR="0039325E">
        <w:t>ent</w:t>
      </w:r>
      <w:r w:rsidR="00C3097B">
        <w:t>r</w:t>
      </w:r>
      <w:r w:rsidR="0039325E">
        <w:t>e</w:t>
      </w:r>
      <w:r w:rsidR="007C4847">
        <w:t xml:space="preserve"> (SSC)</w:t>
      </w:r>
      <w:r>
        <w:t xml:space="preserve"> located in </w:t>
      </w:r>
      <w:r w:rsidR="008D6735" w:rsidRPr="00F402EF">
        <w:t>[</w:t>
      </w:r>
      <w:r w:rsidR="008D6735" w:rsidRPr="00F402EF">
        <w:rPr>
          <w:color w:val="0000FF"/>
        </w:rPr>
        <w:t>location</w:t>
      </w:r>
      <w:r w:rsidR="008D6735" w:rsidRPr="00F402EF">
        <w:t>]</w:t>
      </w:r>
      <w:r w:rsidR="0039325E">
        <w:t xml:space="preserve">, </w:t>
      </w:r>
      <w:r w:rsidR="00D612AB">
        <w:t>certain</w:t>
      </w:r>
      <w:r w:rsidR="0039325E">
        <w:t xml:space="preserve"> specifi</w:t>
      </w:r>
      <w:r w:rsidR="00D612AB">
        <w:t>ed</w:t>
      </w:r>
      <w:r w:rsidR="0039325E">
        <w:t xml:space="preserve"> procedures</w:t>
      </w:r>
      <w:r w:rsidR="00AE3684">
        <w:t xml:space="preserve"> </w:t>
      </w:r>
      <w:r w:rsidR="00D612AB">
        <w:t>will be performed by the</w:t>
      </w:r>
      <w:r w:rsidR="00AE3684">
        <w:t xml:space="preserve"> </w:t>
      </w:r>
      <w:r w:rsidR="007C4847">
        <w:t>SSC</w:t>
      </w:r>
      <w:r w:rsidR="00AE3684">
        <w:t xml:space="preserve"> auditor.</w:t>
      </w:r>
      <w:r>
        <w:t xml:space="preserve"> </w:t>
      </w:r>
    </w:p>
    <w:p w14:paraId="215E51E3" w14:textId="77777777" w:rsidR="0095534F" w:rsidRDefault="0095534F" w:rsidP="0039325E"/>
    <w:p w14:paraId="3A783161" w14:textId="018980CA" w:rsidR="002F128C" w:rsidRDefault="007D2DAB" w:rsidP="0039325E">
      <w:r>
        <w:t>The</w:t>
      </w:r>
      <w:r w:rsidR="00AE3684">
        <w:t xml:space="preserve"> outcome of the</w:t>
      </w:r>
      <w:r>
        <w:t xml:space="preserve"> procedures perform</w:t>
      </w:r>
      <w:r w:rsidR="00842241">
        <w:t>ed</w:t>
      </w:r>
      <w:r>
        <w:t xml:space="preserve"> will be relied upon </w:t>
      </w:r>
      <w:r w:rsidR="002F128C">
        <w:t xml:space="preserve">by you </w:t>
      </w:r>
      <w:r>
        <w:t xml:space="preserve">as part of </w:t>
      </w:r>
      <w:r w:rsidR="0095534F">
        <w:t>your</w:t>
      </w:r>
      <w:r w:rsidR="00842241">
        <w:t xml:space="preserve"> </w:t>
      </w:r>
      <w:r>
        <w:t>audit</w:t>
      </w:r>
      <w:r w:rsidR="0095534F">
        <w:t>s</w:t>
      </w:r>
      <w:r>
        <w:t xml:space="preserve">. </w:t>
      </w:r>
      <w:r w:rsidR="00842241">
        <w:t>The</w:t>
      </w:r>
      <w:r>
        <w:t xml:space="preserve"> specific procedures </w:t>
      </w:r>
      <w:r w:rsidR="00842241">
        <w:t xml:space="preserve">will be performed </w:t>
      </w:r>
      <w:r>
        <w:t xml:space="preserve">based </w:t>
      </w:r>
      <w:r w:rsidR="00842241">
        <w:t>up</w:t>
      </w:r>
      <w:r>
        <w:t>on</w:t>
      </w:r>
      <w:r w:rsidR="0039325E">
        <w:t xml:space="preserve"> </w:t>
      </w:r>
      <w:r w:rsidR="00C0665A" w:rsidRPr="00F402EF">
        <w:rPr>
          <w:iCs/>
        </w:rPr>
        <w:t>Canadian Auditing Standards</w:t>
      </w:r>
      <w:r w:rsidR="0039325E" w:rsidRPr="0087291F">
        <w:t xml:space="preserve">. </w:t>
      </w:r>
      <w:r w:rsidR="00086736" w:rsidRPr="0087291F">
        <w:t xml:space="preserve"> </w:t>
      </w:r>
      <w:r w:rsidR="00086736" w:rsidRPr="007D44DA">
        <w:t xml:space="preserve">The scope of work requested </w:t>
      </w:r>
      <w:r w:rsidRPr="007D44DA">
        <w:t xml:space="preserve">has been </w:t>
      </w:r>
      <w:r w:rsidR="00086736" w:rsidRPr="007D44DA">
        <w:t xml:space="preserve">designed based on the collaborative effort of the </w:t>
      </w:r>
      <w:r w:rsidR="009560DD" w:rsidRPr="007D44DA">
        <w:t>group</w:t>
      </w:r>
      <w:r w:rsidR="005C1711" w:rsidRPr="007D44DA">
        <w:t xml:space="preserve">, </w:t>
      </w:r>
      <w:r w:rsidR="009560DD" w:rsidRPr="007D44DA">
        <w:t>component</w:t>
      </w:r>
      <w:r w:rsidR="005C1711" w:rsidRPr="007D44DA">
        <w:t xml:space="preserve">/statutory audit teams </w:t>
      </w:r>
      <w:r w:rsidR="00086736" w:rsidRPr="007D44DA">
        <w:t xml:space="preserve">and </w:t>
      </w:r>
      <w:r w:rsidR="00FC1B84" w:rsidRPr="007D44DA">
        <w:t xml:space="preserve">the </w:t>
      </w:r>
      <w:r w:rsidR="005C1711" w:rsidRPr="007D44DA">
        <w:t xml:space="preserve">shared </w:t>
      </w:r>
      <w:r w:rsidR="005C1711">
        <w:t>service auditor</w:t>
      </w:r>
      <w:r w:rsidR="009C06DB">
        <w:t xml:space="preserve">, </w:t>
      </w:r>
      <w:r w:rsidR="001F47C1">
        <w:t>according to</w:t>
      </w:r>
      <w:r w:rsidR="009C06DB">
        <w:t xml:space="preserve"> </w:t>
      </w:r>
      <w:r w:rsidR="00C0665A">
        <w:t>OAG</w:t>
      </w:r>
      <w:r w:rsidR="009C06DB">
        <w:t xml:space="preserve"> Audit </w:t>
      </w:r>
      <w:r w:rsidR="00F11C47">
        <w:t>2380</w:t>
      </w:r>
      <w:r w:rsidR="005C1711">
        <w:t xml:space="preserve">. </w:t>
      </w:r>
    </w:p>
    <w:p w14:paraId="300B2DC1" w14:textId="77777777" w:rsidR="002F128C" w:rsidRDefault="002F128C" w:rsidP="0039325E"/>
    <w:p w14:paraId="37E724F3" w14:textId="12B6459B" w:rsidR="0039325E" w:rsidRDefault="002F128C" w:rsidP="0039325E">
      <w:r>
        <w:t xml:space="preserve">Our audit procedures will substantially consist of identifying and testing controls around those processes </w:t>
      </w:r>
      <w:r w:rsidR="00FC1B84">
        <w:t>in scope. Our testing will consider</w:t>
      </w:r>
      <w:r>
        <w:t xml:space="preserve"> the operation of the controls across a number of entities</w:t>
      </w:r>
      <w:r w:rsidR="001F47C1">
        <w:t>;</w:t>
      </w:r>
      <w:r>
        <w:t xml:space="preserve"> therefore</w:t>
      </w:r>
      <w:r w:rsidR="001F47C1">
        <w:t>,</w:t>
      </w:r>
      <w:r>
        <w:t xml:space="preserve"> the sa</w:t>
      </w:r>
      <w:r w:rsidR="00FC1B84">
        <w:t>mples picked may or may not include</w:t>
      </w:r>
      <w:r>
        <w:t xml:space="preserve"> transactions in relation to a pa</w:t>
      </w:r>
      <w:r w:rsidR="00FC1B84">
        <w:t xml:space="preserve">rticular </w:t>
      </w:r>
      <w:r w:rsidR="00C3097B">
        <w:t>component</w:t>
      </w:r>
      <w:r w:rsidR="00542D1A">
        <w:t>.</w:t>
      </w:r>
    </w:p>
    <w:p w14:paraId="39813DF8" w14:textId="77777777" w:rsidR="0039325E" w:rsidRDefault="0039325E" w:rsidP="0039325E"/>
    <w:p w14:paraId="2E3315B5" w14:textId="0D00FDC3" w:rsidR="00801448" w:rsidRDefault="009315F4" w:rsidP="00F402EF">
      <w:pPr>
        <w:pStyle w:val="Style2"/>
      </w:pPr>
      <w:bookmarkStart w:id="3" w:name="_Toc9420920"/>
      <w:r>
        <w:t>Summary of procedures</w:t>
      </w:r>
      <w:bookmarkEnd w:id="3"/>
    </w:p>
    <w:p w14:paraId="78D48695" w14:textId="77777777" w:rsidR="00801448" w:rsidRDefault="00801448" w:rsidP="009C06DB">
      <w:pPr>
        <w:rPr>
          <w:b/>
          <w:bCs/>
        </w:rPr>
      </w:pPr>
    </w:p>
    <w:p w14:paraId="0C3C0D6D" w14:textId="49C767C0" w:rsidR="009C06DB" w:rsidRPr="00F402EF" w:rsidRDefault="009C06DB" w:rsidP="009C06DB">
      <w:pPr>
        <w:rPr>
          <w:b/>
          <w:color w:val="1F497D" w:themeColor="text2"/>
          <w:sz w:val="32"/>
          <w:szCs w:val="32"/>
        </w:rPr>
      </w:pPr>
      <w:r w:rsidRPr="00F402EF">
        <w:rPr>
          <w:b/>
          <w:color w:val="1F497D" w:themeColor="text2"/>
          <w:sz w:val="32"/>
          <w:szCs w:val="32"/>
        </w:rPr>
        <w:t xml:space="preserve">Sharing of </w:t>
      </w:r>
      <w:r w:rsidR="00B76125" w:rsidRPr="00F402EF">
        <w:rPr>
          <w:b/>
          <w:color w:val="1F497D" w:themeColor="text2"/>
          <w:sz w:val="32"/>
          <w:szCs w:val="32"/>
        </w:rPr>
        <w:t>f</w:t>
      </w:r>
      <w:r w:rsidRPr="00F402EF">
        <w:rPr>
          <w:b/>
          <w:color w:val="1F497D" w:themeColor="text2"/>
          <w:sz w:val="32"/>
          <w:szCs w:val="32"/>
        </w:rPr>
        <w:t xml:space="preserve">inancial </w:t>
      </w:r>
      <w:r w:rsidR="00B76125" w:rsidRPr="00F402EF">
        <w:rPr>
          <w:b/>
          <w:color w:val="1F497D" w:themeColor="text2"/>
          <w:sz w:val="32"/>
          <w:szCs w:val="32"/>
        </w:rPr>
        <w:t>s</w:t>
      </w:r>
      <w:r w:rsidRPr="00F402EF">
        <w:rPr>
          <w:b/>
          <w:color w:val="1F497D" w:themeColor="text2"/>
          <w:sz w:val="32"/>
          <w:szCs w:val="32"/>
        </w:rPr>
        <w:t xml:space="preserve">tatement </w:t>
      </w:r>
      <w:r w:rsidR="00B76125" w:rsidRPr="00F402EF">
        <w:rPr>
          <w:b/>
          <w:color w:val="1F497D" w:themeColor="text2"/>
          <w:sz w:val="32"/>
          <w:szCs w:val="32"/>
        </w:rPr>
        <w:t>m</w:t>
      </w:r>
      <w:r w:rsidRPr="00F402EF">
        <w:rPr>
          <w:b/>
          <w:color w:val="1F497D" w:themeColor="text2"/>
          <w:sz w:val="32"/>
          <w:szCs w:val="32"/>
        </w:rPr>
        <w:t>apping</w:t>
      </w:r>
    </w:p>
    <w:p w14:paraId="76DBB57C" w14:textId="77777777" w:rsidR="008D6735" w:rsidRPr="00791D9B" w:rsidRDefault="008D6735" w:rsidP="009C06DB">
      <w:pPr>
        <w:rPr>
          <w:b/>
          <w:bCs/>
          <w:sz w:val="32"/>
          <w:szCs w:val="32"/>
          <w:u w:val="single"/>
        </w:rPr>
      </w:pPr>
    </w:p>
    <w:p w14:paraId="65CE3A4D" w14:textId="77777777" w:rsidR="005C5595" w:rsidRDefault="005C5595" w:rsidP="005C5595">
      <w:r>
        <w:t xml:space="preserve">The process documentation and geography / financial statement mapping of the </w:t>
      </w:r>
      <w:r w:rsidR="007C4847">
        <w:t>SSC</w:t>
      </w:r>
      <w:r>
        <w:t xml:space="preserve"> and the relationship with financial statement accounts</w:t>
      </w:r>
      <w:r w:rsidR="00801448">
        <w:t xml:space="preserve"> (as documented in appendix </w:t>
      </w:r>
      <w:r w:rsidR="00801448" w:rsidRPr="00801448">
        <w:rPr>
          <w:b/>
        </w:rPr>
        <w:t>A</w:t>
      </w:r>
      <w:r w:rsidR="00801448">
        <w:t>)</w:t>
      </w:r>
      <w:r>
        <w:t xml:space="preserve">, assertions and information processing objectives has been prepared by the </w:t>
      </w:r>
      <w:r w:rsidR="007C4847">
        <w:t>SSC</w:t>
      </w:r>
      <w:r>
        <w:t xml:space="preserve"> team and will be shared with the respective engagement teams.</w:t>
      </w:r>
    </w:p>
    <w:p w14:paraId="339F7750" w14:textId="77777777" w:rsidR="009C06DB" w:rsidRDefault="009C06DB" w:rsidP="0039325E"/>
    <w:p w14:paraId="07B0FBA7" w14:textId="77777777" w:rsidR="00791D9B" w:rsidRPr="008D6735" w:rsidRDefault="005C5595" w:rsidP="0039325E">
      <w:pPr>
        <w:rPr>
          <w:b/>
          <w:bCs/>
        </w:rPr>
      </w:pPr>
      <w:r w:rsidRPr="008D6735">
        <w:rPr>
          <w:b/>
          <w:bCs/>
        </w:rPr>
        <w:t xml:space="preserve">I </w:t>
      </w:r>
      <w:r w:rsidR="00D21F0D">
        <w:rPr>
          <w:b/>
          <w:bCs/>
        </w:rPr>
        <w:t xml:space="preserve">- </w:t>
      </w:r>
      <w:r w:rsidR="00801448">
        <w:rPr>
          <w:b/>
          <w:bCs/>
        </w:rPr>
        <w:t>W</w:t>
      </w:r>
      <w:r w:rsidR="00801448" w:rsidRPr="008D6735">
        <w:rPr>
          <w:b/>
          <w:bCs/>
        </w:rPr>
        <w:t xml:space="preserve">ork </w:t>
      </w:r>
      <w:r w:rsidR="00801448">
        <w:rPr>
          <w:b/>
          <w:bCs/>
        </w:rPr>
        <w:t>to be performed</w:t>
      </w:r>
      <w:r w:rsidR="00801448" w:rsidRPr="008D6735">
        <w:rPr>
          <w:b/>
          <w:bCs/>
        </w:rPr>
        <w:t xml:space="preserve"> for the group audit</w:t>
      </w:r>
    </w:p>
    <w:p w14:paraId="2BB2E300" w14:textId="77777777" w:rsidR="00791D9B" w:rsidRDefault="00791D9B" w:rsidP="0039325E"/>
    <w:p w14:paraId="08BB4CB9" w14:textId="77777777" w:rsidR="005146A6" w:rsidRDefault="0039325E" w:rsidP="005146A6">
      <w:r>
        <w:t>From an internal controls perspective, th</w:t>
      </w:r>
      <w:r w:rsidR="005146A6">
        <w:t xml:space="preserve">e work </w:t>
      </w:r>
      <w:r w:rsidR="00245B84">
        <w:t>to be performed</w:t>
      </w:r>
      <w:r w:rsidR="005146A6">
        <w:t xml:space="preserve"> </w:t>
      </w:r>
      <w:r>
        <w:t>include</w:t>
      </w:r>
      <w:r w:rsidR="005146A6">
        <w:t>s</w:t>
      </w:r>
      <w:r w:rsidR="00AE3684">
        <w:t xml:space="preserve"> procedures around:</w:t>
      </w:r>
      <w:r>
        <w:t xml:space="preserve"> </w:t>
      </w:r>
    </w:p>
    <w:p w14:paraId="147B00E5" w14:textId="46A6209E" w:rsidR="0039325E" w:rsidRDefault="00AE3684" w:rsidP="005146A6">
      <w:pPr>
        <w:numPr>
          <w:ilvl w:val="0"/>
          <w:numId w:val="7"/>
        </w:numPr>
      </w:pPr>
      <w:r>
        <w:t xml:space="preserve">The </w:t>
      </w:r>
      <w:r w:rsidR="007B6C19">
        <w:t>testing of operating effectiveness</w:t>
      </w:r>
      <w:r w:rsidR="0039325E">
        <w:t xml:space="preserve"> of the Control Environment, Risk Assessment, Monitoring of Controls and Information and Communication</w:t>
      </w:r>
      <w:r w:rsidR="00C475E0">
        <w:t xml:space="preserve"> – </w:t>
      </w:r>
      <w:r w:rsidR="007B6C19">
        <w:t>Group-wide</w:t>
      </w:r>
      <w:r w:rsidR="00C0665A">
        <w:t xml:space="preserve"> Controls</w:t>
      </w:r>
      <w:r w:rsidR="00563C63">
        <w:t xml:space="preserve"> as indicated in appendix </w:t>
      </w:r>
      <w:r w:rsidR="005C5595">
        <w:rPr>
          <w:b/>
          <w:bCs/>
        </w:rPr>
        <w:t>B</w:t>
      </w:r>
    </w:p>
    <w:p w14:paraId="0D147CDC" w14:textId="6E3E218A" w:rsidR="00B76125" w:rsidRPr="00C475E0" w:rsidRDefault="00992501" w:rsidP="00C475E0">
      <w:pPr>
        <w:numPr>
          <w:ilvl w:val="0"/>
          <w:numId w:val="2"/>
        </w:numPr>
        <w:rPr>
          <w:u w:val="single"/>
        </w:rPr>
      </w:pPr>
      <w:r>
        <w:t>Independent testing</w:t>
      </w:r>
      <w:r w:rsidR="005146A6" w:rsidRPr="005146A6">
        <w:t xml:space="preserve"> of </w:t>
      </w:r>
      <w:r w:rsidR="007B6C19">
        <w:t xml:space="preserve">management’s </w:t>
      </w:r>
      <w:r w:rsidR="00AE3684">
        <w:t>internal control</w:t>
      </w:r>
      <w:r>
        <w:t>s</w:t>
      </w:r>
      <w:r w:rsidR="00C475E0">
        <w:t xml:space="preserve"> as</w:t>
      </w:r>
      <w:r w:rsidR="00AE3684">
        <w:t xml:space="preserve"> listed in </w:t>
      </w:r>
      <w:r w:rsidR="00C475E0">
        <w:t xml:space="preserve">appendix </w:t>
      </w:r>
      <w:r w:rsidR="005C5595" w:rsidRPr="005C5595">
        <w:rPr>
          <w:b/>
          <w:bCs/>
        </w:rPr>
        <w:t>C</w:t>
      </w:r>
      <w:r w:rsidR="00245B84">
        <w:rPr>
          <w:b/>
          <w:bCs/>
        </w:rPr>
        <w:t>.</w:t>
      </w:r>
    </w:p>
    <w:p w14:paraId="58CD8CA5" w14:textId="77777777" w:rsidR="0039325E" w:rsidRPr="0087291F" w:rsidRDefault="00245B84" w:rsidP="00F402EF">
      <w:pPr>
        <w:numPr>
          <w:ilvl w:val="0"/>
          <w:numId w:val="2"/>
        </w:numPr>
        <w:rPr>
          <w:u w:val="single"/>
        </w:rPr>
      </w:pPr>
      <w:r>
        <w:t xml:space="preserve">Upon conclusion of this work, the results of the testing will be discussed </w:t>
      </w:r>
      <w:r w:rsidR="009D3528">
        <w:t xml:space="preserve">amongst </w:t>
      </w:r>
      <w:r>
        <w:t xml:space="preserve">the </w:t>
      </w:r>
      <w:r w:rsidR="009D3528">
        <w:t>Group audit</w:t>
      </w:r>
      <w:r w:rsidR="00542D1A">
        <w:t xml:space="preserve"> team</w:t>
      </w:r>
      <w:r w:rsidR="009D3528">
        <w:t>, the component/statutory audit teams</w:t>
      </w:r>
      <w:r w:rsidR="00542D1A">
        <w:t xml:space="preserve"> and the </w:t>
      </w:r>
      <w:r w:rsidR="007C4847">
        <w:t xml:space="preserve">SSC </w:t>
      </w:r>
      <w:r>
        <w:t xml:space="preserve">team by </w:t>
      </w:r>
      <w:r w:rsidR="00C0665A" w:rsidRPr="00F402EF">
        <w:t>[</w:t>
      </w:r>
      <w:r w:rsidR="00C0665A" w:rsidRPr="00F402EF">
        <w:rPr>
          <w:color w:val="0000FF"/>
        </w:rPr>
        <w:t xml:space="preserve">e.g. </w:t>
      </w:r>
      <w:r w:rsidRPr="00F402EF">
        <w:rPr>
          <w:color w:val="0000FF"/>
        </w:rPr>
        <w:t>conference call</w:t>
      </w:r>
      <w:r w:rsidR="00C0665A" w:rsidRPr="00F402EF">
        <w:t>]</w:t>
      </w:r>
      <w:r>
        <w:t>.</w:t>
      </w:r>
    </w:p>
    <w:p w14:paraId="609989EE" w14:textId="77777777" w:rsidR="0039325E" w:rsidRDefault="0039325E" w:rsidP="007C4847">
      <w:pPr>
        <w:tabs>
          <w:tab w:val="left" w:pos="2640"/>
        </w:tabs>
      </w:pPr>
    </w:p>
    <w:p w14:paraId="7D4D5031" w14:textId="77777777" w:rsidR="00F14C2B" w:rsidRDefault="00F14C2B" w:rsidP="0039325E">
      <w:r>
        <w:t xml:space="preserve">From a substantive testing perspective, </w:t>
      </w:r>
      <w:r w:rsidR="00AE3684">
        <w:t xml:space="preserve">the work </w:t>
      </w:r>
      <w:r w:rsidR="00FC2DB4">
        <w:t>to be performed</w:t>
      </w:r>
      <w:r w:rsidR="00AE3684">
        <w:t xml:space="preserve"> includes </w:t>
      </w:r>
      <w:r w:rsidR="00A674D2">
        <w:t xml:space="preserve">the following </w:t>
      </w:r>
      <w:r w:rsidR="00AE3684">
        <w:t>procedures:</w:t>
      </w:r>
    </w:p>
    <w:p w14:paraId="1A0A54C0" w14:textId="77777777" w:rsidR="00AE3684" w:rsidRDefault="00AE3684" w:rsidP="009367AA">
      <w:pPr>
        <w:numPr>
          <w:ilvl w:val="0"/>
          <w:numId w:val="6"/>
        </w:numPr>
      </w:pPr>
      <w:r>
        <w:t>Analytical proced</w:t>
      </w:r>
      <w:r w:rsidR="00F56FC5">
        <w:t xml:space="preserve">ures as described in appendix </w:t>
      </w:r>
      <w:r w:rsidR="00312E79">
        <w:rPr>
          <w:b/>
          <w:bCs/>
        </w:rPr>
        <w:t xml:space="preserve">D </w:t>
      </w:r>
      <w:r w:rsidR="009367AA">
        <w:rPr>
          <w:b/>
          <w:bCs/>
        </w:rPr>
        <w:t xml:space="preserve">(Note: this is only appropriate in situations where management with reporting and analytical responsibilities for </w:t>
      </w:r>
      <w:r w:rsidR="009367AA">
        <w:rPr>
          <w:b/>
          <w:bCs/>
        </w:rPr>
        <w:lastRenderedPageBreak/>
        <w:t xml:space="preserve">financial results </w:t>
      </w:r>
      <w:r w:rsidR="007C4847">
        <w:rPr>
          <w:b/>
          <w:bCs/>
        </w:rPr>
        <w:t xml:space="preserve">is </w:t>
      </w:r>
      <w:r w:rsidR="009367AA">
        <w:rPr>
          <w:b/>
          <w:bCs/>
        </w:rPr>
        <w:t xml:space="preserve">located at the </w:t>
      </w:r>
      <w:r w:rsidR="007C4847">
        <w:rPr>
          <w:b/>
          <w:bCs/>
        </w:rPr>
        <w:t>SSC</w:t>
      </w:r>
      <w:r w:rsidR="009367AA">
        <w:rPr>
          <w:b/>
          <w:bCs/>
        </w:rPr>
        <w:t>.  If this is not the case, the responsibility for performing analytical procedures will remain with the respective engagement team)</w:t>
      </w:r>
    </w:p>
    <w:p w14:paraId="65F75D99" w14:textId="6099AAA9" w:rsidR="00B76125" w:rsidRDefault="00AE3684" w:rsidP="00F14C2B">
      <w:pPr>
        <w:numPr>
          <w:ilvl w:val="0"/>
          <w:numId w:val="6"/>
        </w:numPr>
      </w:pPr>
      <w:r>
        <w:t xml:space="preserve">Substantive testing procedures of </w:t>
      </w:r>
      <w:r w:rsidR="00D4232D">
        <w:t>certain processes</w:t>
      </w:r>
      <w:r w:rsidR="00A674D2">
        <w:rPr>
          <w:rStyle w:val="FootnoteReference"/>
        </w:rPr>
        <w:footnoteReference w:id="2"/>
      </w:r>
      <w:r>
        <w:t xml:space="preserve"> as indicated in appendix </w:t>
      </w:r>
      <w:r w:rsidR="00312E79">
        <w:rPr>
          <w:b/>
          <w:bCs/>
        </w:rPr>
        <w:t>E</w:t>
      </w:r>
    </w:p>
    <w:p w14:paraId="5FDD6480" w14:textId="0234F53B" w:rsidR="00FA4C21" w:rsidRDefault="00FA4C21" w:rsidP="00F402EF">
      <w:pPr>
        <w:ind w:left="720"/>
      </w:pPr>
      <w:r>
        <w:t xml:space="preserve">The substantive testing procedures required to be performed at the Shared Service </w:t>
      </w:r>
      <w:r w:rsidR="009256FA">
        <w:t>Centre</w:t>
      </w:r>
      <w:r>
        <w:t xml:space="preserve"> level are designed based </w:t>
      </w:r>
      <w:r w:rsidR="00AE3684">
        <w:t>on</w:t>
      </w:r>
      <w:r>
        <w:t xml:space="preserve"> the following:</w:t>
      </w:r>
    </w:p>
    <w:p w14:paraId="4B655B4A" w14:textId="5DAEF551" w:rsidR="00FA4C21" w:rsidRDefault="00FA4C21" w:rsidP="00FA4C21">
      <w:pPr>
        <w:numPr>
          <w:ilvl w:val="1"/>
          <w:numId w:val="6"/>
        </w:numPr>
      </w:pPr>
      <w:r>
        <w:t xml:space="preserve">Specific risk </w:t>
      </w:r>
      <w:r w:rsidR="007B6C19">
        <w:t xml:space="preserve">of material misstatement </w:t>
      </w:r>
      <w:r>
        <w:t>at group</w:t>
      </w:r>
      <w:r w:rsidR="007B6C19">
        <w:t xml:space="preserve"> level</w:t>
      </w:r>
      <w:r w:rsidR="00AA42D1">
        <w:t>, component</w:t>
      </w:r>
      <w:r>
        <w:t xml:space="preserve"> </w:t>
      </w:r>
      <w:r w:rsidR="00455D51">
        <w:t xml:space="preserve">level </w:t>
      </w:r>
      <w:r>
        <w:t xml:space="preserve">and/or statutory location level; </w:t>
      </w:r>
    </w:p>
    <w:p w14:paraId="0A6C0917" w14:textId="77777777" w:rsidR="00FA4C21" w:rsidRDefault="00FA4C21" w:rsidP="00FA4C21">
      <w:pPr>
        <w:numPr>
          <w:ilvl w:val="1"/>
          <w:numId w:val="6"/>
        </w:numPr>
      </w:pPr>
      <w:r>
        <w:t>Account balances significant to the group</w:t>
      </w:r>
      <w:r w:rsidR="00AA42D1">
        <w:t>, component</w:t>
      </w:r>
      <w:r>
        <w:t xml:space="preserve"> and/or statutory locations; and/or</w:t>
      </w:r>
    </w:p>
    <w:p w14:paraId="6DA57DB6" w14:textId="77777777" w:rsidR="00FA4C21" w:rsidRDefault="00FA4C21" w:rsidP="00FA4C21">
      <w:pPr>
        <w:numPr>
          <w:ilvl w:val="1"/>
          <w:numId w:val="6"/>
        </w:numPr>
      </w:pPr>
      <w:r>
        <w:t xml:space="preserve">Specific procedures that are required by either </w:t>
      </w:r>
      <w:r w:rsidR="00C0665A">
        <w:t xml:space="preserve">OAG </w:t>
      </w:r>
      <w:r w:rsidR="00265D3F">
        <w:t>audit</w:t>
      </w:r>
      <w:r>
        <w:t xml:space="preserve"> methodology or GAAS.</w:t>
      </w:r>
    </w:p>
    <w:p w14:paraId="00D49E77" w14:textId="77777777" w:rsidR="00F14C2B" w:rsidRDefault="00F14C2B" w:rsidP="0039325E"/>
    <w:p w14:paraId="77CFEBB5" w14:textId="4269EEFF" w:rsidR="0039325E" w:rsidRDefault="002C463E" w:rsidP="0039325E">
      <w:r>
        <w:t xml:space="preserve">This document provides the scope of the </w:t>
      </w:r>
      <w:r w:rsidR="007B6C19">
        <w:t>audit</w:t>
      </w:r>
      <w:r w:rsidR="00844DE6">
        <w:t xml:space="preserve"> </w:t>
      </w:r>
      <w:r>
        <w:t xml:space="preserve">at the </w:t>
      </w:r>
      <w:r w:rsidR="007C4847">
        <w:t>SSC</w:t>
      </w:r>
      <w:r>
        <w:t xml:space="preserve">. </w:t>
      </w:r>
      <w:r w:rsidR="0039325E">
        <w:t xml:space="preserve">For additional guidance in performing </w:t>
      </w:r>
      <w:r>
        <w:t>the</w:t>
      </w:r>
      <w:r w:rsidR="00844DE6">
        <w:t xml:space="preserve"> </w:t>
      </w:r>
      <w:r w:rsidR="00265D3F">
        <w:t>a</w:t>
      </w:r>
      <w:r w:rsidR="0039325E">
        <w:t xml:space="preserve">udit, refer </w:t>
      </w:r>
      <w:r w:rsidR="00D4232D">
        <w:t xml:space="preserve">to </w:t>
      </w:r>
      <w:r>
        <w:t xml:space="preserve">the relevant section in </w:t>
      </w:r>
      <w:r w:rsidR="00844DE6">
        <w:t xml:space="preserve">Section </w:t>
      </w:r>
      <w:r w:rsidR="00DD6AC5">
        <w:t xml:space="preserve">2300 </w:t>
      </w:r>
      <w:r w:rsidR="00844DE6">
        <w:t>Group Audits guidance</w:t>
      </w:r>
      <w:r w:rsidR="0039325E">
        <w:t>.</w:t>
      </w:r>
    </w:p>
    <w:p w14:paraId="7E926C99" w14:textId="77777777" w:rsidR="00791D9B" w:rsidRDefault="00791D9B" w:rsidP="0039325E"/>
    <w:p w14:paraId="525D19E6" w14:textId="77777777" w:rsidR="00791D9B" w:rsidRPr="00A674D2" w:rsidRDefault="005C5595" w:rsidP="00791D9B">
      <w:pPr>
        <w:rPr>
          <w:b/>
          <w:bCs/>
        </w:rPr>
      </w:pPr>
      <w:r w:rsidRPr="00A674D2">
        <w:rPr>
          <w:b/>
          <w:bCs/>
        </w:rPr>
        <w:t xml:space="preserve">II </w:t>
      </w:r>
      <w:r w:rsidR="00A674D2" w:rsidRPr="00A674D2">
        <w:rPr>
          <w:b/>
          <w:bCs/>
        </w:rPr>
        <w:t xml:space="preserve">- </w:t>
      </w:r>
      <w:r w:rsidR="00910FBD" w:rsidRPr="00A674D2">
        <w:rPr>
          <w:b/>
          <w:bCs/>
        </w:rPr>
        <w:t xml:space="preserve">Work </w:t>
      </w:r>
      <w:r w:rsidR="00910FBD">
        <w:rPr>
          <w:b/>
          <w:bCs/>
        </w:rPr>
        <w:t>to be performed</w:t>
      </w:r>
      <w:r w:rsidR="00910FBD" w:rsidRPr="00A674D2">
        <w:rPr>
          <w:b/>
          <w:bCs/>
        </w:rPr>
        <w:t xml:space="preserve"> </w:t>
      </w:r>
      <w:r w:rsidR="00910FBD">
        <w:rPr>
          <w:b/>
          <w:bCs/>
        </w:rPr>
        <w:t>f</w:t>
      </w:r>
      <w:r w:rsidR="00910FBD" w:rsidRPr="00A674D2">
        <w:rPr>
          <w:b/>
          <w:bCs/>
        </w:rPr>
        <w:t xml:space="preserve">or </w:t>
      </w:r>
      <w:r w:rsidR="00910FBD">
        <w:rPr>
          <w:b/>
          <w:bCs/>
        </w:rPr>
        <w:t>s</w:t>
      </w:r>
      <w:r w:rsidR="00910FBD" w:rsidRPr="00A674D2">
        <w:rPr>
          <w:b/>
          <w:bCs/>
        </w:rPr>
        <w:t xml:space="preserve">tatutory </w:t>
      </w:r>
      <w:r w:rsidR="00910FBD">
        <w:rPr>
          <w:b/>
          <w:bCs/>
        </w:rPr>
        <w:t>a</w:t>
      </w:r>
      <w:r w:rsidR="00910FBD" w:rsidRPr="00A674D2">
        <w:rPr>
          <w:b/>
          <w:bCs/>
        </w:rPr>
        <w:t>udit</w:t>
      </w:r>
      <w:r w:rsidR="00910FBD">
        <w:rPr>
          <w:b/>
          <w:bCs/>
        </w:rPr>
        <w:t>ors</w:t>
      </w:r>
      <w:r w:rsidR="00910FBD" w:rsidRPr="00A674D2">
        <w:rPr>
          <w:b/>
          <w:bCs/>
        </w:rPr>
        <w:t xml:space="preserve"> </w:t>
      </w:r>
    </w:p>
    <w:p w14:paraId="58B7712F" w14:textId="77777777" w:rsidR="00791D9B" w:rsidRDefault="00791D9B" w:rsidP="00791D9B"/>
    <w:p w14:paraId="107DEFBE" w14:textId="77777777" w:rsidR="00075A35" w:rsidRDefault="00614957" w:rsidP="00791D9B">
      <w:r>
        <w:t>Incrementally to the work described above, the results of which will be leveraged for statutory audit purposes, t</w:t>
      </w:r>
      <w:r w:rsidR="00075A35">
        <w:t xml:space="preserve">he </w:t>
      </w:r>
      <w:r w:rsidR="007C4847">
        <w:t>SSC</w:t>
      </w:r>
      <w:r w:rsidR="00075A35">
        <w:t xml:space="preserve"> </w:t>
      </w:r>
      <w:r w:rsidR="009D3528">
        <w:t xml:space="preserve">audit team </w:t>
      </w:r>
      <w:r w:rsidR="00075A35">
        <w:t>will perform audit procedures in support of the statutory audits of the following entities:</w:t>
      </w:r>
    </w:p>
    <w:p w14:paraId="4A63136E" w14:textId="77777777" w:rsidR="00075A35" w:rsidRDefault="00075A35" w:rsidP="00791D9B"/>
    <w:p w14:paraId="55ED40C5" w14:textId="77777777" w:rsidR="00075A35" w:rsidRDefault="00075A35" w:rsidP="009D3528">
      <w:pPr>
        <w:numPr>
          <w:ilvl w:val="0"/>
          <w:numId w:val="6"/>
        </w:numPr>
      </w:pPr>
      <w:r>
        <w:t>Company A</w:t>
      </w:r>
    </w:p>
    <w:p w14:paraId="09DAAF4B" w14:textId="77777777" w:rsidR="00075A35" w:rsidRDefault="00075A35" w:rsidP="009D3528">
      <w:pPr>
        <w:numPr>
          <w:ilvl w:val="0"/>
          <w:numId w:val="6"/>
        </w:numPr>
      </w:pPr>
      <w:r>
        <w:t>Company B</w:t>
      </w:r>
    </w:p>
    <w:p w14:paraId="25838F0A" w14:textId="77777777" w:rsidR="00075A35" w:rsidRDefault="00075A35" w:rsidP="009D3528">
      <w:pPr>
        <w:numPr>
          <w:ilvl w:val="0"/>
          <w:numId w:val="6"/>
        </w:numPr>
      </w:pPr>
      <w:r>
        <w:t>Company C</w:t>
      </w:r>
    </w:p>
    <w:p w14:paraId="43132E5A" w14:textId="77777777" w:rsidR="00075A35" w:rsidRDefault="009D3528" w:rsidP="009D3528">
      <w:pPr>
        <w:numPr>
          <w:ilvl w:val="0"/>
          <w:numId w:val="6"/>
        </w:numPr>
      </w:pPr>
      <w:r>
        <w:t>e</w:t>
      </w:r>
      <w:r w:rsidR="00075A35">
        <w:t>tc</w:t>
      </w:r>
      <w:r>
        <w:t>.</w:t>
      </w:r>
    </w:p>
    <w:p w14:paraId="51E6039E" w14:textId="77777777" w:rsidR="00075A35" w:rsidRDefault="00075A35" w:rsidP="00791D9B"/>
    <w:p w14:paraId="0025A4D6" w14:textId="77777777" w:rsidR="00791D9B" w:rsidRDefault="00297497" w:rsidP="00791D9B">
      <w:r>
        <w:t>The following</w:t>
      </w:r>
      <w:r w:rsidR="00791D9B">
        <w:t xml:space="preserve"> </w:t>
      </w:r>
      <w:r w:rsidR="00614957">
        <w:t xml:space="preserve">incremental </w:t>
      </w:r>
      <w:r w:rsidR="00791D9B">
        <w:t xml:space="preserve">agreed upon internal control procedures and substantive audit procedures </w:t>
      </w:r>
      <w:r>
        <w:t>will be performed (see appendices for specific details by control, test and entity)</w:t>
      </w:r>
      <w:r w:rsidR="00791D9B">
        <w:t>:</w:t>
      </w:r>
    </w:p>
    <w:p w14:paraId="3F315074" w14:textId="77777777" w:rsidR="00791D9B" w:rsidRDefault="00791D9B" w:rsidP="00791D9B">
      <w:pPr>
        <w:rPr>
          <w:i/>
          <w:iCs/>
        </w:rPr>
      </w:pPr>
      <w:r>
        <w:rPr>
          <w:i/>
          <w:iCs/>
        </w:rPr>
        <w:br/>
        <w:t>Procedures around internal controls:</w:t>
      </w:r>
    </w:p>
    <w:p w14:paraId="61E83A25" w14:textId="77777777" w:rsidR="00791D9B" w:rsidRPr="00C475E0" w:rsidRDefault="00614957" w:rsidP="00791D9B">
      <w:pPr>
        <w:numPr>
          <w:ilvl w:val="0"/>
          <w:numId w:val="2"/>
        </w:numPr>
        <w:rPr>
          <w:u w:val="single"/>
        </w:rPr>
      </w:pPr>
      <w:r>
        <w:t>Additional i</w:t>
      </w:r>
      <w:r w:rsidR="00636097">
        <w:t>ndependent testing</w:t>
      </w:r>
      <w:r w:rsidR="00791D9B" w:rsidRPr="005146A6">
        <w:t xml:space="preserve"> of management’s</w:t>
      </w:r>
      <w:r w:rsidR="00791D9B">
        <w:t xml:space="preserve"> internal contro</w:t>
      </w:r>
      <w:r w:rsidR="00636097">
        <w:t xml:space="preserve">ls </w:t>
      </w:r>
      <w:r w:rsidR="00791D9B">
        <w:t xml:space="preserve">as listed in appendix </w:t>
      </w:r>
      <w:r w:rsidR="007C4847">
        <w:rPr>
          <w:b/>
          <w:bCs/>
        </w:rPr>
        <w:t>F</w:t>
      </w:r>
    </w:p>
    <w:p w14:paraId="250B9B06" w14:textId="77777777" w:rsidR="00004BDB" w:rsidRPr="00AE3684" w:rsidRDefault="00004BDB" w:rsidP="007C4847">
      <w:pPr>
        <w:rPr>
          <w:u w:val="single"/>
        </w:rPr>
      </w:pPr>
      <w:r>
        <w:t xml:space="preserve">Upon conclusion of this work, the results of the testing will be discussed between the </w:t>
      </w:r>
      <w:r w:rsidR="004F20E5">
        <w:t xml:space="preserve">statutory audit </w:t>
      </w:r>
      <w:r>
        <w:t>team</w:t>
      </w:r>
      <w:r w:rsidR="004F20E5">
        <w:t>s</w:t>
      </w:r>
      <w:r>
        <w:t xml:space="preserve"> and the Shared Service Cent</w:t>
      </w:r>
      <w:r w:rsidR="00312E79">
        <w:t>r</w:t>
      </w:r>
      <w:r>
        <w:t>e team by conference call.</w:t>
      </w:r>
    </w:p>
    <w:p w14:paraId="4946F924" w14:textId="77777777" w:rsidR="00791D9B" w:rsidRDefault="00791D9B" w:rsidP="00791D9B">
      <w:pPr>
        <w:rPr>
          <w:i/>
          <w:iCs/>
        </w:rPr>
      </w:pPr>
    </w:p>
    <w:p w14:paraId="42D0AA40" w14:textId="77777777" w:rsidR="00791D9B" w:rsidRDefault="00791D9B" w:rsidP="00791D9B">
      <w:r>
        <w:rPr>
          <w:i/>
          <w:iCs/>
        </w:rPr>
        <w:t>Substantive audit procedures:</w:t>
      </w:r>
    </w:p>
    <w:p w14:paraId="5A2040BA" w14:textId="77777777" w:rsidR="00791D9B" w:rsidRDefault="00791D9B" w:rsidP="00791D9B">
      <w:pPr>
        <w:numPr>
          <w:ilvl w:val="0"/>
          <w:numId w:val="6"/>
        </w:numPr>
      </w:pPr>
      <w:r>
        <w:t>A</w:t>
      </w:r>
      <w:r w:rsidR="004F20E5">
        <w:t>dditional a</w:t>
      </w:r>
      <w:r>
        <w:t xml:space="preserve">nalytical procedures </w:t>
      </w:r>
      <w:r w:rsidR="000E1F16" w:rsidRPr="000E1F16">
        <w:t xml:space="preserve">for </w:t>
      </w:r>
      <w:r w:rsidR="000E1F16">
        <w:t>the entities listed on page 2</w:t>
      </w:r>
      <w:r w:rsidR="000E1F16" w:rsidRPr="000E1F16">
        <w:t xml:space="preserve"> as </w:t>
      </w:r>
      <w:r w:rsidR="000E1F16">
        <w:t>detail</w:t>
      </w:r>
      <w:r w:rsidR="000E1F16" w:rsidRPr="000E1F16">
        <w:t xml:space="preserve">ed </w:t>
      </w:r>
      <w:r>
        <w:t xml:space="preserve">in appendix </w:t>
      </w:r>
      <w:r w:rsidR="007C4847">
        <w:rPr>
          <w:b/>
          <w:bCs/>
        </w:rPr>
        <w:t xml:space="preserve">G </w:t>
      </w:r>
      <w:r w:rsidR="009367AA">
        <w:rPr>
          <w:b/>
          <w:bCs/>
        </w:rPr>
        <w:t xml:space="preserve">(Note: this is only appropriate in situations where management with reporting and analytical responsibilities for financial results are located at the </w:t>
      </w:r>
      <w:r w:rsidR="007C4847">
        <w:rPr>
          <w:b/>
          <w:bCs/>
        </w:rPr>
        <w:t>SSC</w:t>
      </w:r>
      <w:r w:rsidR="009367AA">
        <w:rPr>
          <w:b/>
          <w:bCs/>
        </w:rPr>
        <w:t>.  If this is not the case, the responsibility for performing analytical procedures will remain with the respective</w:t>
      </w:r>
      <w:r w:rsidR="008E1EE0">
        <w:rPr>
          <w:b/>
          <w:bCs/>
        </w:rPr>
        <w:t xml:space="preserve"> </w:t>
      </w:r>
      <w:r w:rsidR="009367AA">
        <w:rPr>
          <w:b/>
          <w:bCs/>
        </w:rPr>
        <w:t>engagement team</w:t>
      </w:r>
      <w:r w:rsidR="00D32EFA">
        <w:rPr>
          <w:b/>
          <w:bCs/>
        </w:rPr>
        <w:t>s</w:t>
      </w:r>
      <w:r w:rsidR="009367AA">
        <w:rPr>
          <w:b/>
          <w:bCs/>
        </w:rPr>
        <w:t>)</w:t>
      </w:r>
    </w:p>
    <w:p w14:paraId="225FF37E" w14:textId="77777777" w:rsidR="00791D9B" w:rsidRDefault="00791D9B" w:rsidP="00791D9B">
      <w:pPr>
        <w:numPr>
          <w:ilvl w:val="0"/>
          <w:numId w:val="6"/>
        </w:numPr>
      </w:pPr>
      <w:r>
        <w:t>S</w:t>
      </w:r>
      <w:r w:rsidR="000E1F16">
        <w:t>pecific incremental s</w:t>
      </w:r>
      <w:r>
        <w:t xml:space="preserve">ubstantive testing procedures </w:t>
      </w:r>
      <w:r w:rsidR="000E1F16" w:rsidRPr="000E1F16">
        <w:t xml:space="preserve">for </w:t>
      </w:r>
      <w:r w:rsidR="000E1F16">
        <w:t xml:space="preserve">the entities listed on page </w:t>
      </w:r>
      <w:r w:rsidR="00312E79">
        <w:t>__</w:t>
      </w:r>
      <w:r w:rsidR="000E1F16" w:rsidRPr="000E1F16">
        <w:t xml:space="preserve"> as </w:t>
      </w:r>
      <w:r w:rsidR="000E1F16">
        <w:t>detail</w:t>
      </w:r>
      <w:r w:rsidR="000E1F16" w:rsidRPr="000E1F16">
        <w:t xml:space="preserve">ed </w:t>
      </w:r>
      <w:r>
        <w:t xml:space="preserve">in appendix </w:t>
      </w:r>
      <w:r w:rsidR="001F0906" w:rsidRPr="001F0906">
        <w:rPr>
          <w:b/>
        </w:rPr>
        <w:t>H</w:t>
      </w:r>
    </w:p>
    <w:p w14:paraId="560CED08" w14:textId="77777777" w:rsidR="00791D9B" w:rsidRDefault="00791D9B" w:rsidP="00791D9B"/>
    <w:p w14:paraId="48EE37F4" w14:textId="77777777" w:rsidR="006C5541" w:rsidRPr="006C5541" w:rsidRDefault="006C5541" w:rsidP="009A405C">
      <w:pPr>
        <w:keepNext/>
        <w:keepLines/>
        <w:rPr>
          <w:b/>
        </w:rPr>
      </w:pPr>
      <w:r w:rsidRPr="006C5541">
        <w:rPr>
          <w:b/>
        </w:rPr>
        <w:t xml:space="preserve">III </w:t>
      </w:r>
      <w:r>
        <w:rPr>
          <w:b/>
        </w:rPr>
        <w:t xml:space="preserve">- </w:t>
      </w:r>
      <w:r w:rsidR="000E1F16">
        <w:rPr>
          <w:b/>
        </w:rPr>
        <w:t>A</w:t>
      </w:r>
      <w:r w:rsidR="000E1F16" w:rsidRPr="006C5541">
        <w:rPr>
          <w:b/>
        </w:rPr>
        <w:t>ctions required upon receipt of this memorandum</w:t>
      </w:r>
    </w:p>
    <w:p w14:paraId="75E562A1" w14:textId="77777777" w:rsidR="00791D9B" w:rsidRPr="006C5541" w:rsidRDefault="00791D9B" w:rsidP="009A405C">
      <w:pPr>
        <w:keepNext/>
        <w:keepLines/>
      </w:pPr>
    </w:p>
    <w:p w14:paraId="7C05B644" w14:textId="6A8B5FC9" w:rsidR="006C5541" w:rsidRDefault="006C5541" w:rsidP="0039325E">
      <w:pPr>
        <w:rPr>
          <w:b/>
        </w:rPr>
      </w:pPr>
      <w:r w:rsidRPr="006C5541">
        <w:t xml:space="preserve">All </w:t>
      </w:r>
      <w:r>
        <w:t xml:space="preserve">engagement </w:t>
      </w:r>
      <w:r w:rsidRPr="006C5541">
        <w:t>teams receiving</w:t>
      </w:r>
      <w:r>
        <w:t xml:space="preserve"> a copy of this Memorandum o</w:t>
      </w:r>
      <w:r w:rsidR="002F53A2">
        <w:t>f</w:t>
      </w:r>
      <w:r>
        <w:t xml:space="preserve"> Understanding </w:t>
      </w:r>
      <w:r w:rsidR="007B6C19">
        <w:t>need to</w:t>
      </w:r>
      <w:r w:rsidR="007C4847">
        <w:t xml:space="preserve"> </w:t>
      </w:r>
      <w:r>
        <w:t xml:space="preserve">complete and return to the </w:t>
      </w:r>
      <w:r w:rsidR="007C4847">
        <w:t>SSC</w:t>
      </w:r>
      <w:r>
        <w:t xml:space="preserve"> auditor a confirmation of sufficiency of procedures</w:t>
      </w:r>
      <w:r w:rsidR="00B36860">
        <w:t xml:space="preserve"> (a</w:t>
      </w:r>
      <w:r w:rsidR="00004BDB">
        <w:t xml:space="preserve">ppendix </w:t>
      </w:r>
      <w:r w:rsidR="00C97BFF" w:rsidRPr="00C97BFF">
        <w:rPr>
          <w:b/>
        </w:rPr>
        <w:t>I</w:t>
      </w:r>
      <w:r w:rsidR="00004BDB">
        <w:t>)</w:t>
      </w:r>
      <w:r>
        <w:t xml:space="preserve">.  Completed copies of all confirmations will be provided to the </w:t>
      </w:r>
      <w:r w:rsidR="009D3528">
        <w:t>Group audit</w:t>
      </w:r>
      <w:r>
        <w:t xml:space="preserve"> team.  This will complete the planning phase of the shared service centre audit.</w:t>
      </w:r>
    </w:p>
    <w:p w14:paraId="022E519B" w14:textId="77777777" w:rsidR="006C5541" w:rsidRDefault="006C5541" w:rsidP="0039325E">
      <w:pPr>
        <w:rPr>
          <w:b/>
        </w:rPr>
      </w:pPr>
    </w:p>
    <w:p w14:paraId="45FD675F" w14:textId="7FE68166" w:rsidR="00411383" w:rsidRDefault="00004BDB" w:rsidP="0039325E">
      <w:pPr>
        <w:rPr>
          <w:bCs/>
        </w:rPr>
      </w:pPr>
      <w:r>
        <w:rPr>
          <w:bCs/>
        </w:rPr>
        <w:t>In summary, t</w:t>
      </w:r>
      <w:r w:rsidR="00411383" w:rsidRPr="00411383">
        <w:rPr>
          <w:bCs/>
        </w:rPr>
        <w:t>he</w:t>
      </w:r>
      <w:r w:rsidR="00411383">
        <w:rPr>
          <w:bCs/>
        </w:rPr>
        <w:t xml:space="preserve"> </w:t>
      </w:r>
      <w:r w:rsidR="006C5541">
        <w:rPr>
          <w:bCs/>
        </w:rPr>
        <w:t>following</w:t>
      </w:r>
      <w:r w:rsidR="00411383">
        <w:rPr>
          <w:bCs/>
        </w:rPr>
        <w:t xml:space="preserve"> deliverable</w:t>
      </w:r>
      <w:r>
        <w:rPr>
          <w:bCs/>
        </w:rPr>
        <w:t xml:space="preserve"> is required to be completed and returned to </w:t>
      </w:r>
      <w:r w:rsidR="00C0665A">
        <w:rPr>
          <w:bCs/>
        </w:rPr>
        <w:t>OAG</w:t>
      </w:r>
      <w:r>
        <w:rPr>
          <w:bCs/>
        </w:rPr>
        <w:t xml:space="preserve"> (SSC team):</w:t>
      </w:r>
    </w:p>
    <w:p w14:paraId="122DF078" w14:textId="77777777" w:rsidR="007D44DA" w:rsidRDefault="007D44DA" w:rsidP="0039325E">
      <w:pPr>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7"/>
        <w:gridCol w:w="3058"/>
        <w:gridCol w:w="3059"/>
      </w:tblGrid>
      <w:tr w:rsidR="007D44DA" w:rsidRPr="007D44DA" w14:paraId="12D1AF9E" w14:textId="77777777" w:rsidTr="009A405C">
        <w:trPr>
          <w:tblHeader/>
        </w:trPr>
        <w:tc>
          <w:tcPr>
            <w:tcW w:w="2815" w:type="dxa"/>
            <w:shd w:val="clear" w:color="auto" w:fill="1F497D" w:themeFill="text2"/>
          </w:tcPr>
          <w:p w14:paraId="46C360EE" w14:textId="77777777" w:rsidR="007D44DA" w:rsidRPr="00F402EF" w:rsidRDefault="007D44DA" w:rsidP="00642CBC">
            <w:pPr>
              <w:pStyle w:val="TableTitleArial"/>
              <w:rPr>
                <w:rFonts w:ascii="Times New Roman" w:hAnsi="Times New Roman" w:cs="Times New Roman"/>
                <w:b/>
                <w:color w:val="FFFFFF" w:themeColor="background1"/>
                <w:sz w:val="24"/>
                <w:szCs w:val="24"/>
              </w:rPr>
            </w:pPr>
            <w:r w:rsidRPr="00F402EF">
              <w:rPr>
                <w:rFonts w:ascii="Times New Roman" w:hAnsi="Times New Roman" w:cs="Times New Roman"/>
                <w:b/>
                <w:color w:val="FFFFFF" w:themeColor="background1"/>
                <w:sz w:val="24"/>
                <w:szCs w:val="24"/>
              </w:rPr>
              <w:t>Subject</w:t>
            </w:r>
          </w:p>
        </w:tc>
        <w:tc>
          <w:tcPr>
            <w:tcW w:w="2815" w:type="dxa"/>
            <w:shd w:val="clear" w:color="auto" w:fill="1F497D" w:themeFill="text2"/>
          </w:tcPr>
          <w:p w14:paraId="506A6BA4" w14:textId="77777777" w:rsidR="007D44DA" w:rsidRPr="00F402EF" w:rsidRDefault="007D44DA" w:rsidP="00642CBC">
            <w:pPr>
              <w:pStyle w:val="TableTitleArial"/>
              <w:rPr>
                <w:rFonts w:ascii="Times New Roman" w:hAnsi="Times New Roman" w:cs="Times New Roman"/>
                <w:b/>
                <w:color w:val="FFFFFF" w:themeColor="background1"/>
                <w:sz w:val="24"/>
                <w:szCs w:val="24"/>
              </w:rPr>
            </w:pPr>
            <w:r w:rsidRPr="00F402EF">
              <w:rPr>
                <w:rFonts w:ascii="Times New Roman" w:hAnsi="Times New Roman" w:cs="Times New Roman"/>
                <w:b/>
                <w:color w:val="FFFFFF" w:themeColor="background1"/>
                <w:sz w:val="24"/>
                <w:szCs w:val="24"/>
              </w:rPr>
              <w:t>Report Template</w:t>
            </w:r>
          </w:p>
        </w:tc>
        <w:tc>
          <w:tcPr>
            <w:tcW w:w="2816" w:type="dxa"/>
            <w:shd w:val="clear" w:color="auto" w:fill="1F497D" w:themeFill="text2"/>
          </w:tcPr>
          <w:p w14:paraId="1DB062F9" w14:textId="77777777" w:rsidR="007D44DA" w:rsidRPr="00F402EF" w:rsidRDefault="007D44DA" w:rsidP="00642CBC">
            <w:pPr>
              <w:pStyle w:val="TableTitleArial"/>
              <w:rPr>
                <w:rFonts w:ascii="Times New Roman" w:hAnsi="Times New Roman" w:cs="Times New Roman"/>
                <w:b/>
                <w:color w:val="FFFFFF" w:themeColor="background1"/>
                <w:sz w:val="24"/>
                <w:szCs w:val="24"/>
              </w:rPr>
            </w:pPr>
            <w:r w:rsidRPr="00F402EF">
              <w:rPr>
                <w:rFonts w:ascii="Times New Roman" w:hAnsi="Times New Roman" w:cs="Times New Roman"/>
                <w:b/>
                <w:color w:val="FFFFFF" w:themeColor="background1"/>
                <w:sz w:val="24"/>
                <w:szCs w:val="24"/>
              </w:rPr>
              <w:t>Due Date</w:t>
            </w:r>
          </w:p>
        </w:tc>
      </w:tr>
      <w:tr w:rsidR="007D44DA" w:rsidRPr="007D44DA" w14:paraId="0DA7F2E8" w14:textId="77777777" w:rsidTr="0013710F">
        <w:tc>
          <w:tcPr>
            <w:tcW w:w="2815" w:type="dxa"/>
            <w:shd w:val="clear" w:color="auto" w:fill="D9D9D9" w:themeFill="background1" w:themeFillShade="D9"/>
          </w:tcPr>
          <w:p w14:paraId="114B0CFA" w14:textId="77777777" w:rsidR="007D44DA" w:rsidRPr="00F402EF" w:rsidRDefault="007D44DA" w:rsidP="00642CBC">
            <w:pPr>
              <w:pStyle w:val="TableTextArial"/>
              <w:rPr>
                <w:rFonts w:ascii="Times New Roman" w:hAnsi="Times New Roman" w:cs="Times New Roman"/>
                <w:sz w:val="24"/>
                <w:szCs w:val="24"/>
              </w:rPr>
            </w:pPr>
            <w:r w:rsidRPr="00F402EF">
              <w:rPr>
                <w:rFonts w:ascii="Times New Roman" w:hAnsi="Times New Roman" w:cs="Times New Roman"/>
                <w:sz w:val="24"/>
                <w:szCs w:val="24"/>
              </w:rPr>
              <w:t>Confirmation of agreement of sufficiency of procedures</w:t>
            </w:r>
          </w:p>
        </w:tc>
        <w:tc>
          <w:tcPr>
            <w:tcW w:w="2815" w:type="dxa"/>
            <w:shd w:val="clear" w:color="auto" w:fill="D9D9D9" w:themeFill="background1" w:themeFillShade="D9"/>
          </w:tcPr>
          <w:p w14:paraId="073D9EBA" w14:textId="77777777" w:rsidR="007D44DA" w:rsidRPr="00F402EF" w:rsidRDefault="007D44DA" w:rsidP="00642CBC">
            <w:pPr>
              <w:pStyle w:val="TableBulletArial"/>
              <w:tabs>
                <w:tab w:val="clear" w:pos="288"/>
              </w:tabs>
              <w:ind w:left="241" w:hanging="241"/>
              <w:rPr>
                <w:rFonts w:ascii="Times New Roman" w:hAnsi="Times New Roman" w:cs="Times New Roman"/>
                <w:sz w:val="24"/>
                <w:szCs w:val="24"/>
              </w:rPr>
            </w:pPr>
            <w:r w:rsidRPr="00F402EF">
              <w:rPr>
                <w:rFonts w:ascii="Times New Roman" w:hAnsi="Times New Roman" w:cs="Times New Roman"/>
                <w:sz w:val="24"/>
                <w:szCs w:val="24"/>
              </w:rPr>
              <w:t xml:space="preserve">Appendix </w:t>
            </w:r>
            <w:r w:rsidRPr="00F402EF">
              <w:rPr>
                <w:rFonts w:ascii="Times New Roman" w:hAnsi="Times New Roman" w:cs="Times New Roman"/>
                <w:b/>
                <w:sz w:val="24"/>
                <w:szCs w:val="24"/>
              </w:rPr>
              <w:t>I</w:t>
            </w:r>
          </w:p>
        </w:tc>
        <w:tc>
          <w:tcPr>
            <w:tcW w:w="2816" w:type="dxa"/>
            <w:shd w:val="clear" w:color="auto" w:fill="D9D9D9" w:themeFill="background1" w:themeFillShade="D9"/>
          </w:tcPr>
          <w:p w14:paraId="61FEF91F" w14:textId="77777777" w:rsidR="007D44DA" w:rsidRPr="00F402EF" w:rsidRDefault="007D44DA" w:rsidP="00642CBC">
            <w:pPr>
              <w:pStyle w:val="TableTextArial"/>
              <w:rPr>
                <w:rFonts w:ascii="Times New Roman" w:hAnsi="Times New Roman" w:cs="Times New Roman"/>
                <w:sz w:val="24"/>
                <w:szCs w:val="24"/>
              </w:rPr>
            </w:pPr>
            <w:r w:rsidRPr="00F402EF">
              <w:rPr>
                <w:rFonts w:ascii="Times New Roman" w:hAnsi="Times New Roman" w:cs="Times New Roman"/>
                <w:sz w:val="24"/>
                <w:szCs w:val="24"/>
              </w:rPr>
              <w:t>April 15, 201X</w:t>
            </w:r>
          </w:p>
        </w:tc>
      </w:tr>
    </w:tbl>
    <w:p w14:paraId="076EF541" w14:textId="77777777" w:rsidR="007D44DA" w:rsidRDefault="007D44DA" w:rsidP="0039325E">
      <w:pPr>
        <w:rPr>
          <w:bCs/>
        </w:rPr>
      </w:pPr>
    </w:p>
    <w:p w14:paraId="16320EFD" w14:textId="77777777" w:rsidR="00004BDB" w:rsidRDefault="00004BDB" w:rsidP="0039325E">
      <w:pPr>
        <w:rPr>
          <w:bCs/>
        </w:rPr>
      </w:pPr>
    </w:p>
    <w:p w14:paraId="1975B470" w14:textId="77777777" w:rsidR="00004BDB" w:rsidRDefault="00004BDB" w:rsidP="00004BDB">
      <w:pPr>
        <w:rPr>
          <w:b/>
        </w:rPr>
      </w:pPr>
      <w:r>
        <w:rPr>
          <w:b/>
        </w:rPr>
        <w:t>IV - R</w:t>
      </w:r>
      <w:r w:rsidR="000E1F16">
        <w:rPr>
          <w:b/>
        </w:rPr>
        <w:t>eporting</w:t>
      </w:r>
    </w:p>
    <w:p w14:paraId="5397ECD3" w14:textId="77777777" w:rsidR="00004BDB" w:rsidRDefault="00004BDB" w:rsidP="0039325E">
      <w:pPr>
        <w:rPr>
          <w:bCs/>
        </w:rPr>
      </w:pPr>
    </w:p>
    <w:p w14:paraId="06654714" w14:textId="77777777" w:rsidR="0006522E" w:rsidRDefault="0006522E" w:rsidP="0006522E">
      <w:pPr>
        <w:pStyle w:val="BodyText"/>
        <w:rPr>
          <w:noProof w:val="0"/>
          <w:color w:val="auto"/>
        </w:rPr>
      </w:pPr>
      <w:r w:rsidRPr="0006522E">
        <w:rPr>
          <w:noProof w:val="0"/>
          <w:color w:val="auto"/>
        </w:rPr>
        <w:t>We have included in this Memorandum the following confirmations:</w:t>
      </w:r>
    </w:p>
    <w:p w14:paraId="2E836394" w14:textId="77777777" w:rsidR="007D44DA" w:rsidRDefault="007D44DA" w:rsidP="0006522E">
      <w:pPr>
        <w:pStyle w:val="BodyText"/>
        <w:rPr>
          <w:noProof w:val="0"/>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0"/>
        <w:gridCol w:w="4584"/>
      </w:tblGrid>
      <w:tr w:rsidR="007D44DA" w:rsidRPr="007D44DA" w14:paraId="456D55A4" w14:textId="77777777" w:rsidTr="009A405C">
        <w:trPr>
          <w:tblHeader/>
        </w:trPr>
        <w:tc>
          <w:tcPr>
            <w:tcW w:w="5039" w:type="dxa"/>
            <w:shd w:val="clear" w:color="auto" w:fill="1F497D" w:themeFill="text2"/>
          </w:tcPr>
          <w:p w14:paraId="095B9230" w14:textId="77777777" w:rsidR="007D44DA" w:rsidRPr="00F402EF" w:rsidRDefault="007D44DA" w:rsidP="00642CBC">
            <w:pPr>
              <w:pStyle w:val="TableTitleArial"/>
              <w:keepNext/>
              <w:keepLines/>
              <w:rPr>
                <w:rFonts w:ascii="Times New Roman" w:hAnsi="Times New Roman" w:cs="Times New Roman"/>
                <w:b/>
                <w:color w:val="FFFFFF" w:themeColor="background1"/>
                <w:sz w:val="24"/>
                <w:szCs w:val="24"/>
              </w:rPr>
            </w:pPr>
            <w:r w:rsidRPr="00F402EF">
              <w:rPr>
                <w:rFonts w:ascii="Times New Roman" w:hAnsi="Times New Roman" w:cs="Times New Roman"/>
                <w:b/>
                <w:color w:val="FFFFFF" w:themeColor="background1"/>
                <w:sz w:val="24"/>
                <w:szCs w:val="24"/>
              </w:rPr>
              <w:t>Subject</w:t>
            </w:r>
          </w:p>
        </w:tc>
        <w:tc>
          <w:tcPr>
            <w:tcW w:w="5039" w:type="dxa"/>
            <w:shd w:val="clear" w:color="auto" w:fill="1F497D" w:themeFill="text2"/>
          </w:tcPr>
          <w:p w14:paraId="1903E4CD" w14:textId="77777777" w:rsidR="007D44DA" w:rsidRPr="00F402EF" w:rsidRDefault="007D44DA" w:rsidP="00642CBC">
            <w:pPr>
              <w:pStyle w:val="TableTitleArial"/>
              <w:keepNext/>
              <w:keepLines/>
              <w:rPr>
                <w:rFonts w:ascii="Times New Roman" w:hAnsi="Times New Roman" w:cs="Times New Roman"/>
                <w:b/>
                <w:color w:val="FFFFFF" w:themeColor="background1"/>
                <w:sz w:val="24"/>
                <w:szCs w:val="24"/>
              </w:rPr>
            </w:pPr>
            <w:r w:rsidRPr="00F402EF">
              <w:rPr>
                <w:rFonts w:ascii="Times New Roman" w:hAnsi="Times New Roman" w:cs="Times New Roman"/>
                <w:b/>
                <w:color w:val="FFFFFF" w:themeColor="background1"/>
                <w:sz w:val="24"/>
                <w:szCs w:val="24"/>
              </w:rPr>
              <w:t>Location</w:t>
            </w:r>
          </w:p>
        </w:tc>
      </w:tr>
      <w:tr w:rsidR="007D44DA" w:rsidRPr="007D44DA" w14:paraId="1F59961D" w14:textId="77777777" w:rsidTr="0013710F">
        <w:tc>
          <w:tcPr>
            <w:tcW w:w="5039" w:type="dxa"/>
            <w:shd w:val="clear" w:color="auto" w:fill="D9D9D9" w:themeFill="background1" w:themeFillShade="D9"/>
          </w:tcPr>
          <w:p w14:paraId="0E7B4983" w14:textId="77777777" w:rsidR="007D44DA" w:rsidRPr="00F402EF" w:rsidRDefault="007D44DA" w:rsidP="00642CBC">
            <w:pPr>
              <w:pStyle w:val="TableTextArial"/>
              <w:keepNext/>
              <w:keepLines/>
              <w:rPr>
                <w:rFonts w:ascii="Times New Roman" w:hAnsi="Times New Roman" w:cs="Times New Roman"/>
                <w:sz w:val="24"/>
                <w:szCs w:val="24"/>
              </w:rPr>
            </w:pPr>
            <w:r w:rsidRPr="00F402EF">
              <w:rPr>
                <w:rFonts w:ascii="Times New Roman" w:hAnsi="Times New Roman" w:cs="Times New Roman"/>
                <w:sz w:val="24"/>
                <w:szCs w:val="24"/>
              </w:rPr>
              <w:t>Confirmation of compliance with documentation standards (as appropriate)</w:t>
            </w:r>
          </w:p>
        </w:tc>
        <w:tc>
          <w:tcPr>
            <w:tcW w:w="5039" w:type="dxa"/>
            <w:shd w:val="clear" w:color="auto" w:fill="D9D9D9" w:themeFill="background1" w:themeFillShade="D9"/>
          </w:tcPr>
          <w:p w14:paraId="2ABFE8FA" w14:textId="77777777" w:rsidR="007D44DA" w:rsidRPr="00F402EF" w:rsidRDefault="007D44DA" w:rsidP="00642CBC">
            <w:pPr>
              <w:pStyle w:val="TableBulletArial"/>
              <w:keepNext/>
              <w:keepLines/>
              <w:tabs>
                <w:tab w:val="clear" w:pos="288"/>
              </w:tabs>
              <w:ind w:left="241" w:hanging="241"/>
              <w:rPr>
                <w:rFonts w:ascii="Times New Roman" w:hAnsi="Times New Roman" w:cs="Times New Roman"/>
                <w:sz w:val="24"/>
                <w:szCs w:val="24"/>
              </w:rPr>
            </w:pPr>
            <w:r w:rsidRPr="00F402EF">
              <w:rPr>
                <w:rFonts w:ascii="Times New Roman" w:hAnsi="Times New Roman" w:cs="Times New Roman"/>
                <w:sz w:val="24"/>
                <w:szCs w:val="24"/>
              </w:rPr>
              <w:t xml:space="preserve">Appendices </w:t>
            </w:r>
            <w:r w:rsidRPr="00F402EF">
              <w:rPr>
                <w:rFonts w:ascii="Times New Roman" w:hAnsi="Times New Roman" w:cs="Times New Roman"/>
                <w:b/>
                <w:sz w:val="24"/>
                <w:szCs w:val="24"/>
              </w:rPr>
              <w:t>J and M</w:t>
            </w:r>
          </w:p>
        </w:tc>
      </w:tr>
    </w:tbl>
    <w:p w14:paraId="7664775F" w14:textId="77777777" w:rsidR="0006522E" w:rsidRDefault="0006522E" w:rsidP="0006522E">
      <w:pPr>
        <w:pStyle w:val="BodyText"/>
        <w:rPr>
          <w:noProof w:val="0"/>
          <w:color w:val="auto"/>
        </w:rPr>
      </w:pPr>
    </w:p>
    <w:p w14:paraId="4AA37C20" w14:textId="48FF2F06" w:rsidR="00004BDB" w:rsidRDefault="00145C41" w:rsidP="007A49A6">
      <w:r w:rsidRPr="00145C41">
        <w:t>Upon completion</w:t>
      </w:r>
      <w:r>
        <w:t xml:space="preserve"> of our work, we will provide</w:t>
      </w:r>
      <w:r w:rsidR="00F11C47">
        <w:t xml:space="preserve"> a specified procedures report, together with</w:t>
      </w:r>
      <w:r>
        <w:t xml:space="preserve"> the following supporting documentation.  This information </w:t>
      </w:r>
      <w:r w:rsidR="002A7705">
        <w:t>needs to</w:t>
      </w:r>
      <w:r>
        <w:t xml:space="preserve"> be incorporated into your respective working papers to ensure your audits comply with GAAS requirements regarding documentation of an understanding of internal controls sufficient to allow you to plan your audits.</w:t>
      </w:r>
    </w:p>
    <w:p w14:paraId="0D6A4B26" w14:textId="77777777" w:rsidR="007D44DA" w:rsidRDefault="007D44DA" w:rsidP="007A49A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3"/>
        <w:gridCol w:w="3110"/>
        <w:gridCol w:w="2981"/>
      </w:tblGrid>
      <w:tr w:rsidR="007D44DA" w:rsidRPr="007D44DA" w14:paraId="0DF43D97" w14:textId="77777777" w:rsidTr="009A405C">
        <w:trPr>
          <w:tblHeader/>
        </w:trPr>
        <w:tc>
          <w:tcPr>
            <w:tcW w:w="3359" w:type="dxa"/>
            <w:shd w:val="clear" w:color="auto" w:fill="1F497D" w:themeFill="text2"/>
          </w:tcPr>
          <w:p w14:paraId="24BA5742" w14:textId="77777777" w:rsidR="007D44DA" w:rsidRPr="00F402EF" w:rsidRDefault="007D44DA" w:rsidP="00642CBC">
            <w:pPr>
              <w:pStyle w:val="TableTitleArial"/>
              <w:rPr>
                <w:rFonts w:ascii="Times New Roman" w:hAnsi="Times New Roman" w:cs="Times New Roman"/>
                <w:b/>
                <w:color w:val="FFFFFF" w:themeColor="background1"/>
                <w:sz w:val="24"/>
                <w:szCs w:val="24"/>
              </w:rPr>
            </w:pPr>
            <w:r w:rsidRPr="00F402EF">
              <w:rPr>
                <w:rFonts w:ascii="Times New Roman" w:hAnsi="Times New Roman" w:cs="Times New Roman"/>
                <w:b/>
                <w:color w:val="FFFFFF" w:themeColor="background1"/>
                <w:sz w:val="24"/>
                <w:szCs w:val="24"/>
              </w:rPr>
              <w:t>Subject</w:t>
            </w:r>
          </w:p>
        </w:tc>
        <w:tc>
          <w:tcPr>
            <w:tcW w:w="3359" w:type="dxa"/>
            <w:shd w:val="clear" w:color="auto" w:fill="1F497D" w:themeFill="text2"/>
          </w:tcPr>
          <w:p w14:paraId="1BB248A2" w14:textId="77777777" w:rsidR="007D44DA" w:rsidRPr="00F402EF" w:rsidRDefault="007D44DA" w:rsidP="00642CBC">
            <w:pPr>
              <w:pStyle w:val="TableTitleArial"/>
              <w:rPr>
                <w:rFonts w:ascii="Times New Roman" w:hAnsi="Times New Roman" w:cs="Times New Roman"/>
                <w:b/>
                <w:color w:val="FFFFFF" w:themeColor="background1"/>
                <w:sz w:val="24"/>
                <w:szCs w:val="24"/>
              </w:rPr>
            </w:pPr>
            <w:r w:rsidRPr="00F402EF">
              <w:rPr>
                <w:rFonts w:ascii="Times New Roman" w:hAnsi="Times New Roman" w:cs="Times New Roman"/>
                <w:b/>
                <w:color w:val="FFFFFF" w:themeColor="background1"/>
                <w:sz w:val="24"/>
                <w:szCs w:val="24"/>
              </w:rPr>
              <w:t>Report template</w:t>
            </w:r>
          </w:p>
        </w:tc>
        <w:tc>
          <w:tcPr>
            <w:tcW w:w="3360" w:type="dxa"/>
            <w:shd w:val="clear" w:color="auto" w:fill="1F497D" w:themeFill="text2"/>
          </w:tcPr>
          <w:p w14:paraId="21993789" w14:textId="77777777" w:rsidR="007D44DA" w:rsidRPr="00F402EF" w:rsidRDefault="007D44DA" w:rsidP="00642CBC">
            <w:pPr>
              <w:pStyle w:val="TableTitleArial"/>
              <w:rPr>
                <w:rFonts w:ascii="Times New Roman" w:hAnsi="Times New Roman" w:cs="Times New Roman"/>
                <w:b/>
                <w:color w:val="FFFFFF" w:themeColor="background1"/>
                <w:sz w:val="24"/>
                <w:szCs w:val="24"/>
              </w:rPr>
            </w:pPr>
            <w:r w:rsidRPr="00F402EF">
              <w:rPr>
                <w:rFonts w:ascii="Times New Roman" w:hAnsi="Times New Roman" w:cs="Times New Roman"/>
                <w:b/>
                <w:color w:val="FFFFFF" w:themeColor="background1"/>
                <w:sz w:val="24"/>
                <w:szCs w:val="24"/>
              </w:rPr>
              <w:t>Due date</w:t>
            </w:r>
          </w:p>
        </w:tc>
      </w:tr>
      <w:tr w:rsidR="007D44DA" w:rsidRPr="007D44DA" w14:paraId="019530A1" w14:textId="77777777" w:rsidTr="0013710F">
        <w:tc>
          <w:tcPr>
            <w:tcW w:w="10078" w:type="dxa"/>
            <w:gridSpan w:val="3"/>
            <w:shd w:val="clear" w:color="auto" w:fill="95B3D7" w:themeFill="accent1" w:themeFillTint="99"/>
          </w:tcPr>
          <w:p w14:paraId="6DEB93E2" w14:textId="77777777" w:rsidR="007D44DA" w:rsidRPr="00F402EF" w:rsidRDefault="007D44DA" w:rsidP="00642CBC">
            <w:pPr>
              <w:pStyle w:val="TableSecondLevelArial"/>
              <w:rPr>
                <w:rFonts w:ascii="Times New Roman" w:hAnsi="Times New Roman" w:cs="Times New Roman"/>
                <w:b/>
                <w:color w:val="FFFFFF" w:themeColor="background1"/>
                <w:sz w:val="24"/>
                <w:szCs w:val="24"/>
              </w:rPr>
            </w:pPr>
            <w:r w:rsidRPr="00F402EF">
              <w:rPr>
                <w:rFonts w:ascii="Times New Roman" w:hAnsi="Times New Roman" w:cs="Times New Roman"/>
                <w:b/>
                <w:color w:val="FFFFFF" w:themeColor="background1"/>
                <w:sz w:val="24"/>
                <w:szCs w:val="24"/>
              </w:rPr>
              <w:t>Internal controls</w:t>
            </w:r>
          </w:p>
        </w:tc>
      </w:tr>
      <w:tr w:rsidR="007D44DA" w:rsidRPr="007D44DA" w14:paraId="7A702FF3" w14:textId="77777777" w:rsidTr="0013710F">
        <w:tc>
          <w:tcPr>
            <w:tcW w:w="3359" w:type="dxa"/>
            <w:shd w:val="clear" w:color="auto" w:fill="D9D9D9" w:themeFill="background1" w:themeFillShade="D9"/>
          </w:tcPr>
          <w:p w14:paraId="537736C7" w14:textId="77777777" w:rsidR="007D44DA" w:rsidRPr="00F402EF" w:rsidRDefault="007D44DA" w:rsidP="00642CBC">
            <w:pPr>
              <w:pStyle w:val="TableTextArial"/>
              <w:rPr>
                <w:rFonts w:ascii="Times New Roman" w:hAnsi="Times New Roman" w:cs="Times New Roman"/>
                <w:sz w:val="24"/>
                <w:szCs w:val="24"/>
              </w:rPr>
            </w:pPr>
            <w:r w:rsidRPr="00F402EF">
              <w:rPr>
                <w:rFonts w:ascii="Times New Roman" w:hAnsi="Times New Roman" w:cs="Times New Roman"/>
                <w:sz w:val="24"/>
                <w:szCs w:val="24"/>
              </w:rPr>
              <w:t>Sharing of the process and subprocess mapping and documentation of financial statement accounts, mapping</w:t>
            </w:r>
          </w:p>
        </w:tc>
        <w:tc>
          <w:tcPr>
            <w:tcW w:w="3359" w:type="dxa"/>
            <w:shd w:val="clear" w:color="auto" w:fill="D9D9D9" w:themeFill="background1" w:themeFillShade="D9"/>
          </w:tcPr>
          <w:p w14:paraId="1F7D432B" w14:textId="77777777" w:rsidR="007D44DA" w:rsidRPr="00F402EF" w:rsidRDefault="007D44DA" w:rsidP="00642CBC">
            <w:pPr>
              <w:pStyle w:val="TableBulletArial"/>
              <w:rPr>
                <w:rFonts w:ascii="Times New Roman" w:hAnsi="Times New Roman" w:cs="Times New Roman"/>
                <w:sz w:val="24"/>
                <w:szCs w:val="24"/>
              </w:rPr>
            </w:pPr>
            <w:r w:rsidRPr="00F402EF">
              <w:rPr>
                <w:rFonts w:ascii="Times New Roman" w:hAnsi="Times New Roman" w:cs="Times New Roman"/>
                <w:sz w:val="24"/>
                <w:szCs w:val="24"/>
              </w:rPr>
              <w:t>Appendix A - completed</w:t>
            </w:r>
          </w:p>
        </w:tc>
        <w:tc>
          <w:tcPr>
            <w:tcW w:w="3360" w:type="dxa"/>
            <w:shd w:val="clear" w:color="auto" w:fill="D9D9D9" w:themeFill="background1" w:themeFillShade="D9"/>
          </w:tcPr>
          <w:p w14:paraId="23868384" w14:textId="77777777" w:rsidR="007D44DA" w:rsidRPr="00F402EF" w:rsidRDefault="007D44DA" w:rsidP="00642CBC">
            <w:pPr>
              <w:pStyle w:val="TableTextArial"/>
              <w:rPr>
                <w:rFonts w:ascii="Times New Roman" w:hAnsi="Times New Roman" w:cs="Times New Roman"/>
                <w:sz w:val="24"/>
                <w:szCs w:val="24"/>
              </w:rPr>
            </w:pPr>
            <w:r w:rsidRPr="00F402EF">
              <w:rPr>
                <w:rFonts w:ascii="Times New Roman" w:hAnsi="Times New Roman" w:cs="Times New Roman"/>
                <w:sz w:val="24"/>
                <w:szCs w:val="24"/>
              </w:rPr>
              <w:t>January XX, 201X</w:t>
            </w:r>
          </w:p>
        </w:tc>
      </w:tr>
      <w:tr w:rsidR="007D44DA" w:rsidRPr="007D44DA" w14:paraId="358913E3" w14:textId="77777777" w:rsidTr="0013710F">
        <w:tc>
          <w:tcPr>
            <w:tcW w:w="3359" w:type="dxa"/>
            <w:shd w:val="clear" w:color="auto" w:fill="D9D9D9" w:themeFill="background1" w:themeFillShade="D9"/>
          </w:tcPr>
          <w:p w14:paraId="3CEC64AE" w14:textId="77777777" w:rsidR="007D44DA" w:rsidRPr="00F402EF" w:rsidRDefault="007D44DA" w:rsidP="00642CBC">
            <w:pPr>
              <w:pStyle w:val="TableTextArial"/>
              <w:rPr>
                <w:rFonts w:ascii="Times New Roman" w:hAnsi="Times New Roman" w:cs="Times New Roman"/>
                <w:sz w:val="24"/>
                <w:szCs w:val="24"/>
              </w:rPr>
            </w:pPr>
            <w:r w:rsidRPr="00F402EF">
              <w:rPr>
                <w:rFonts w:ascii="Times New Roman" w:hAnsi="Times New Roman" w:cs="Times New Roman"/>
                <w:sz w:val="24"/>
                <w:szCs w:val="24"/>
              </w:rPr>
              <w:t>Results of procedures around internal control over financial reporting as listed in</w:t>
            </w:r>
            <w:r w:rsidRPr="00F402EF">
              <w:rPr>
                <w:rFonts w:ascii="Times New Roman" w:hAnsi="Times New Roman" w:cs="Times New Roman"/>
                <w:sz w:val="24"/>
                <w:szCs w:val="24"/>
              </w:rPr>
              <w:br/>
              <w:t>appendices A, B, C, G</w:t>
            </w:r>
          </w:p>
        </w:tc>
        <w:tc>
          <w:tcPr>
            <w:tcW w:w="3359" w:type="dxa"/>
            <w:shd w:val="clear" w:color="auto" w:fill="D9D9D9" w:themeFill="background1" w:themeFillShade="D9"/>
          </w:tcPr>
          <w:p w14:paraId="53DF3429" w14:textId="77777777" w:rsidR="007D44DA" w:rsidRPr="00F402EF" w:rsidRDefault="007D44DA" w:rsidP="00642CBC">
            <w:pPr>
              <w:pStyle w:val="TableBulletArial"/>
              <w:rPr>
                <w:rFonts w:ascii="Times New Roman" w:hAnsi="Times New Roman" w:cs="Times New Roman"/>
                <w:sz w:val="24"/>
                <w:szCs w:val="24"/>
              </w:rPr>
            </w:pPr>
            <w:r w:rsidRPr="00F402EF">
              <w:rPr>
                <w:rFonts w:ascii="Times New Roman" w:hAnsi="Times New Roman" w:cs="Times New Roman"/>
                <w:sz w:val="24"/>
                <w:szCs w:val="24"/>
              </w:rPr>
              <w:t xml:space="preserve">Appendices A, B, C, </w:t>
            </w:r>
            <w:r w:rsidRPr="00F402EF">
              <w:rPr>
                <w:rFonts w:ascii="Times New Roman" w:hAnsi="Times New Roman" w:cs="Times New Roman"/>
                <w:b/>
                <w:sz w:val="24"/>
                <w:szCs w:val="24"/>
              </w:rPr>
              <w:t>G -completed</w:t>
            </w:r>
          </w:p>
        </w:tc>
        <w:tc>
          <w:tcPr>
            <w:tcW w:w="3360" w:type="dxa"/>
            <w:shd w:val="clear" w:color="auto" w:fill="D9D9D9" w:themeFill="background1" w:themeFillShade="D9"/>
          </w:tcPr>
          <w:p w14:paraId="34E0F7A4" w14:textId="77777777" w:rsidR="007D44DA" w:rsidRPr="00F402EF" w:rsidRDefault="007D44DA" w:rsidP="00642CBC">
            <w:pPr>
              <w:pStyle w:val="TableTextArial"/>
              <w:rPr>
                <w:rFonts w:ascii="Times New Roman" w:hAnsi="Times New Roman" w:cs="Times New Roman"/>
                <w:sz w:val="24"/>
                <w:szCs w:val="24"/>
              </w:rPr>
            </w:pPr>
            <w:r w:rsidRPr="00F402EF">
              <w:rPr>
                <w:rFonts w:ascii="Times New Roman" w:hAnsi="Times New Roman" w:cs="Times New Roman"/>
                <w:sz w:val="24"/>
                <w:szCs w:val="24"/>
              </w:rPr>
              <w:t>January XX, 201X</w:t>
            </w:r>
          </w:p>
        </w:tc>
      </w:tr>
      <w:tr w:rsidR="007D44DA" w:rsidRPr="007D44DA" w14:paraId="58D3F1D8" w14:textId="77777777" w:rsidTr="0013710F">
        <w:tc>
          <w:tcPr>
            <w:tcW w:w="10078" w:type="dxa"/>
            <w:gridSpan w:val="3"/>
            <w:shd w:val="clear" w:color="auto" w:fill="95B3D7" w:themeFill="accent1" w:themeFillTint="99"/>
          </w:tcPr>
          <w:p w14:paraId="66CCC5FA" w14:textId="77777777" w:rsidR="007D44DA" w:rsidRPr="00F402EF" w:rsidRDefault="007D44DA" w:rsidP="00642CBC">
            <w:pPr>
              <w:pStyle w:val="TableSecondLevelArial"/>
              <w:rPr>
                <w:rFonts w:ascii="Times New Roman" w:hAnsi="Times New Roman" w:cs="Times New Roman"/>
                <w:b/>
                <w:color w:val="FFFFFF" w:themeColor="background1"/>
                <w:sz w:val="24"/>
                <w:szCs w:val="24"/>
              </w:rPr>
            </w:pPr>
            <w:r w:rsidRPr="00F402EF">
              <w:rPr>
                <w:rFonts w:ascii="Times New Roman" w:hAnsi="Times New Roman" w:cs="Times New Roman"/>
                <w:b/>
                <w:color w:val="FFFFFF" w:themeColor="background1"/>
                <w:sz w:val="24"/>
                <w:szCs w:val="24"/>
              </w:rPr>
              <w:t>Substantive audit procedures</w:t>
            </w:r>
          </w:p>
        </w:tc>
      </w:tr>
      <w:tr w:rsidR="007D44DA" w:rsidRPr="007D44DA" w14:paraId="5E70405F" w14:textId="77777777" w:rsidTr="0013710F">
        <w:tc>
          <w:tcPr>
            <w:tcW w:w="3359" w:type="dxa"/>
            <w:shd w:val="clear" w:color="auto" w:fill="D9D9D9" w:themeFill="background1" w:themeFillShade="D9"/>
          </w:tcPr>
          <w:p w14:paraId="55F1C622" w14:textId="77777777" w:rsidR="007D44DA" w:rsidRPr="00F402EF" w:rsidRDefault="007D44DA" w:rsidP="00642CBC">
            <w:pPr>
              <w:pStyle w:val="TableTextArial"/>
              <w:rPr>
                <w:rFonts w:ascii="Times New Roman" w:hAnsi="Times New Roman" w:cs="Times New Roman"/>
                <w:sz w:val="24"/>
                <w:szCs w:val="24"/>
              </w:rPr>
            </w:pPr>
            <w:r w:rsidRPr="00F402EF">
              <w:rPr>
                <w:rFonts w:ascii="Times New Roman" w:hAnsi="Times New Roman" w:cs="Times New Roman"/>
                <w:sz w:val="24"/>
                <w:szCs w:val="24"/>
              </w:rPr>
              <w:t>Findings resulting from substantive audit procedures</w:t>
            </w:r>
            <w:r w:rsidRPr="00F402EF">
              <w:rPr>
                <w:rFonts w:ascii="Times New Roman" w:hAnsi="Times New Roman" w:cs="Times New Roman"/>
                <w:b/>
                <w:i/>
                <w:sz w:val="24"/>
                <w:szCs w:val="24"/>
              </w:rPr>
              <w:t xml:space="preserve"> (reported on an exception basis)</w:t>
            </w:r>
          </w:p>
        </w:tc>
        <w:tc>
          <w:tcPr>
            <w:tcW w:w="3359" w:type="dxa"/>
            <w:shd w:val="clear" w:color="auto" w:fill="D9D9D9" w:themeFill="background1" w:themeFillShade="D9"/>
          </w:tcPr>
          <w:p w14:paraId="374AD7F3" w14:textId="77777777" w:rsidR="007D44DA" w:rsidRPr="00F402EF" w:rsidRDefault="007D44DA" w:rsidP="00642CBC">
            <w:pPr>
              <w:pStyle w:val="TableBulletArial"/>
              <w:rPr>
                <w:rFonts w:ascii="Times New Roman" w:hAnsi="Times New Roman" w:cs="Times New Roman"/>
                <w:sz w:val="24"/>
                <w:szCs w:val="24"/>
              </w:rPr>
            </w:pPr>
            <w:r w:rsidRPr="00F402EF">
              <w:rPr>
                <w:rFonts w:ascii="Times New Roman" w:hAnsi="Times New Roman" w:cs="Times New Roman"/>
                <w:sz w:val="24"/>
                <w:szCs w:val="24"/>
              </w:rPr>
              <w:t xml:space="preserve">Incorporated into Memorandum on Examination (Appendix </w:t>
            </w:r>
            <w:r w:rsidRPr="00F402EF">
              <w:rPr>
                <w:rFonts w:ascii="Times New Roman" w:hAnsi="Times New Roman" w:cs="Times New Roman"/>
                <w:b/>
                <w:sz w:val="24"/>
                <w:szCs w:val="24"/>
              </w:rPr>
              <w:t>K</w:t>
            </w:r>
            <w:r w:rsidRPr="00F402EF">
              <w:rPr>
                <w:rFonts w:ascii="Times New Roman" w:hAnsi="Times New Roman" w:cs="Times New Roman"/>
                <w:sz w:val="24"/>
                <w:szCs w:val="24"/>
              </w:rPr>
              <w:t>)</w:t>
            </w:r>
          </w:p>
        </w:tc>
        <w:tc>
          <w:tcPr>
            <w:tcW w:w="3360" w:type="dxa"/>
            <w:shd w:val="clear" w:color="auto" w:fill="D9D9D9" w:themeFill="background1" w:themeFillShade="D9"/>
          </w:tcPr>
          <w:p w14:paraId="4D4B57B3" w14:textId="77777777" w:rsidR="007D44DA" w:rsidRPr="00F402EF" w:rsidRDefault="007D44DA" w:rsidP="00642CBC">
            <w:pPr>
              <w:pStyle w:val="TableTextArial"/>
              <w:rPr>
                <w:rFonts w:ascii="Times New Roman" w:hAnsi="Times New Roman" w:cs="Times New Roman"/>
                <w:sz w:val="24"/>
                <w:szCs w:val="24"/>
              </w:rPr>
            </w:pPr>
            <w:r w:rsidRPr="00F402EF">
              <w:rPr>
                <w:rFonts w:ascii="Times New Roman" w:hAnsi="Times New Roman" w:cs="Times New Roman"/>
                <w:sz w:val="24"/>
                <w:szCs w:val="24"/>
              </w:rPr>
              <w:t>January XX, 201X</w:t>
            </w:r>
          </w:p>
        </w:tc>
      </w:tr>
      <w:tr w:rsidR="007D44DA" w:rsidRPr="007D44DA" w14:paraId="0AD52C0B" w14:textId="77777777" w:rsidTr="0013710F">
        <w:tc>
          <w:tcPr>
            <w:tcW w:w="3359" w:type="dxa"/>
            <w:shd w:val="clear" w:color="auto" w:fill="D9D9D9" w:themeFill="background1" w:themeFillShade="D9"/>
          </w:tcPr>
          <w:p w14:paraId="13626E42" w14:textId="77777777" w:rsidR="007D44DA" w:rsidRPr="00F402EF" w:rsidRDefault="007D44DA" w:rsidP="00642CBC">
            <w:pPr>
              <w:pStyle w:val="TableTextArial"/>
              <w:rPr>
                <w:rFonts w:ascii="Times New Roman" w:hAnsi="Times New Roman" w:cs="Times New Roman"/>
                <w:sz w:val="24"/>
                <w:szCs w:val="24"/>
              </w:rPr>
            </w:pPr>
            <w:r w:rsidRPr="00F402EF">
              <w:rPr>
                <w:rFonts w:ascii="Times New Roman" w:hAnsi="Times New Roman" w:cs="Times New Roman"/>
                <w:sz w:val="24"/>
                <w:szCs w:val="24"/>
              </w:rPr>
              <w:t>Subsequent Events</w:t>
            </w:r>
            <w:r w:rsidRPr="00F402EF">
              <w:rPr>
                <w:rFonts w:ascii="Times New Roman" w:hAnsi="Times New Roman" w:cs="Times New Roman"/>
                <w:sz w:val="24"/>
                <w:szCs w:val="24"/>
              </w:rPr>
              <w:br/>
              <w:t>Review Procedures</w:t>
            </w:r>
          </w:p>
        </w:tc>
        <w:tc>
          <w:tcPr>
            <w:tcW w:w="3359" w:type="dxa"/>
            <w:shd w:val="clear" w:color="auto" w:fill="D9D9D9" w:themeFill="background1" w:themeFillShade="D9"/>
          </w:tcPr>
          <w:p w14:paraId="422C831D" w14:textId="77777777" w:rsidR="007D44DA" w:rsidRPr="00F402EF" w:rsidRDefault="007D44DA" w:rsidP="00642CBC">
            <w:pPr>
              <w:pStyle w:val="TableBulletArial"/>
              <w:rPr>
                <w:rFonts w:ascii="Times New Roman" w:hAnsi="Times New Roman" w:cs="Times New Roman"/>
                <w:sz w:val="24"/>
                <w:szCs w:val="24"/>
              </w:rPr>
            </w:pPr>
            <w:r w:rsidRPr="00F402EF">
              <w:rPr>
                <w:rFonts w:ascii="Times New Roman" w:hAnsi="Times New Roman" w:cs="Times New Roman"/>
                <w:sz w:val="24"/>
                <w:szCs w:val="24"/>
              </w:rPr>
              <w:t xml:space="preserve">Subsequent Events Review (Appendix </w:t>
            </w:r>
            <w:r w:rsidRPr="00F402EF">
              <w:rPr>
                <w:rFonts w:ascii="Times New Roman" w:hAnsi="Times New Roman" w:cs="Times New Roman"/>
                <w:b/>
                <w:sz w:val="24"/>
                <w:szCs w:val="24"/>
              </w:rPr>
              <w:t>L</w:t>
            </w:r>
            <w:r w:rsidRPr="00F402EF">
              <w:rPr>
                <w:rFonts w:ascii="Times New Roman" w:hAnsi="Times New Roman" w:cs="Times New Roman"/>
                <w:sz w:val="24"/>
                <w:szCs w:val="24"/>
              </w:rPr>
              <w:t>)</w:t>
            </w:r>
          </w:p>
        </w:tc>
        <w:tc>
          <w:tcPr>
            <w:tcW w:w="3360" w:type="dxa"/>
            <w:shd w:val="clear" w:color="auto" w:fill="D9D9D9" w:themeFill="background1" w:themeFillShade="D9"/>
          </w:tcPr>
          <w:p w14:paraId="40AEBEA9" w14:textId="77777777" w:rsidR="007D44DA" w:rsidRPr="00F402EF" w:rsidRDefault="007D44DA" w:rsidP="00642CBC">
            <w:pPr>
              <w:pStyle w:val="TableTextArial"/>
              <w:rPr>
                <w:rFonts w:ascii="Times New Roman" w:hAnsi="Times New Roman" w:cs="Times New Roman"/>
                <w:sz w:val="24"/>
                <w:szCs w:val="24"/>
              </w:rPr>
            </w:pPr>
            <w:r w:rsidRPr="00F402EF">
              <w:rPr>
                <w:rFonts w:ascii="Times New Roman" w:hAnsi="Times New Roman" w:cs="Times New Roman"/>
                <w:sz w:val="24"/>
                <w:szCs w:val="24"/>
              </w:rPr>
              <w:t>February XX, 201X</w:t>
            </w:r>
          </w:p>
        </w:tc>
      </w:tr>
      <w:tr w:rsidR="007D44DA" w:rsidRPr="007D44DA" w14:paraId="692F8342" w14:textId="77777777" w:rsidTr="0013710F">
        <w:tc>
          <w:tcPr>
            <w:tcW w:w="3359" w:type="dxa"/>
            <w:shd w:val="clear" w:color="auto" w:fill="D9D9D9" w:themeFill="background1" w:themeFillShade="D9"/>
          </w:tcPr>
          <w:p w14:paraId="2F0762E3" w14:textId="77777777" w:rsidR="007D44DA" w:rsidRPr="00F402EF" w:rsidRDefault="007D44DA" w:rsidP="00642CBC">
            <w:pPr>
              <w:pStyle w:val="TableTextArial"/>
              <w:rPr>
                <w:rFonts w:ascii="Times New Roman" w:hAnsi="Times New Roman" w:cs="Times New Roman"/>
                <w:sz w:val="24"/>
                <w:szCs w:val="24"/>
                <w:lang w:val="fr-CA"/>
              </w:rPr>
            </w:pPr>
            <w:r w:rsidRPr="00F402EF">
              <w:rPr>
                <w:rFonts w:ascii="Times New Roman" w:hAnsi="Times New Roman" w:cs="Times New Roman"/>
                <w:sz w:val="24"/>
                <w:szCs w:val="24"/>
                <w:lang w:val="fr-CA"/>
              </w:rPr>
              <w:t>Completion confirmation</w:t>
            </w:r>
            <w:r w:rsidRPr="00F402EF">
              <w:rPr>
                <w:rFonts w:ascii="Times New Roman" w:hAnsi="Times New Roman" w:cs="Times New Roman"/>
                <w:sz w:val="24"/>
                <w:szCs w:val="24"/>
                <w:lang w:val="fr-CA"/>
              </w:rPr>
              <w:br/>
              <w:t>re applicable Audit</w:t>
            </w:r>
            <w:r w:rsidRPr="00F402EF">
              <w:rPr>
                <w:rFonts w:ascii="Times New Roman" w:hAnsi="Times New Roman" w:cs="Times New Roman"/>
                <w:sz w:val="24"/>
                <w:szCs w:val="24"/>
                <w:lang w:val="fr-CA"/>
              </w:rPr>
              <w:br/>
              <w:t>Documentation Standards</w:t>
            </w:r>
          </w:p>
        </w:tc>
        <w:tc>
          <w:tcPr>
            <w:tcW w:w="3359" w:type="dxa"/>
            <w:shd w:val="clear" w:color="auto" w:fill="D9D9D9" w:themeFill="background1" w:themeFillShade="D9"/>
          </w:tcPr>
          <w:p w14:paraId="49695D7B" w14:textId="77777777" w:rsidR="007D44DA" w:rsidRPr="00F402EF" w:rsidRDefault="007D44DA" w:rsidP="00642CBC">
            <w:pPr>
              <w:pStyle w:val="TableBulletArial"/>
              <w:rPr>
                <w:rFonts w:ascii="Times New Roman" w:hAnsi="Times New Roman" w:cs="Times New Roman"/>
                <w:sz w:val="24"/>
                <w:szCs w:val="24"/>
              </w:rPr>
            </w:pPr>
            <w:r w:rsidRPr="00F402EF">
              <w:rPr>
                <w:rFonts w:ascii="Times New Roman" w:hAnsi="Times New Roman" w:cs="Times New Roman"/>
                <w:sz w:val="24"/>
                <w:szCs w:val="24"/>
              </w:rPr>
              <w:t xml:space="preserve">Appendix </w:t>
            </w:r>
            <w:r w:rsidRPr="00F402EF">
              <w:rPr>
                <w:rFonts w:ascii="Times New Roman" w:hAnsi="Times New Roman" w:cs="Times New Roman"/>
                <w:b/>
                <w:sz w:val="24"/>
                <w:szCs w:val="24"/>
              </w:rPr>
              <w:t>M</w:t>
            </w:r>
          </w:p>
        </w:tc>
        <w:tc>
          <w:tcPr>
            <w:tcW w:w="3360" w:type="dxa"/>
            <w:shd w:val="clear" w:color="auto" w:fill="D9D9D9" w:themeFill="background1" w:themeFillShade="D9"/>
          </w:tcPr>
          <w:p w14:paraId="6A34084E" w14:textId="77777777" w:rsidR="007D44DA" w:rsidRPr="00F402EF" w:rsidRDefault="007D44DA" w:rsidP="00642CBC">
            <w:pPr>
              <w:pStyle w:val="TableTextArial"/>
              <w:rPr>
                <w:rFonts w:ascii="Times New Roman" w:hAnsi="Times New Roman" w:cs="Times New Roman"/>
                <w:sz w:val="24"/>
                <w:szCs w:val="24"/>
              </w:rPr>
            </w:pPr>
            <w:r w:rsidRPr="00F402EF">
              <w:rPr>
                <w:rFonts w:ascii="Times New Roman" w:hAnsi="Times New Roman" w:cs="Times New Roman"/>
                <w:sz w:val="24"/>
                <w:szCs w:val="24"/>
              </w:rPr>
              <w:t>March X, 201X</w:t>
            </w:r>
          </w:p>
        </w:tc>
      </w:tr>
    </w:tbl>
    <w:p w14:paraId="41D1B284" w14:textId="77777777" w:rsidR="007D44DA" w:rsidRPr="00145C41" w:rsidRDefault="007D44DA" w:rsidP="007A49A6"/>
    <w:p w14:paraId="4AA64EE0" w14:textId="7113C8A6" w:rsidR="00B553E4" w:rsidRDefault="00F56FC5" w:rsidP="00F402EF">
      <w:pPr>
        <w:pStyle w:val="Style2"/>
      </w:pPr>
      <w:r w:rsidRPr="00F402EF">
        <w:rPr>
          <w:lang w:val="en-CA"/>
        </w:rPr>
        <w:br w:type="page"/>
      </w:r>
      <w:bookmarkStart w:id="4" w:name="_Toc9420921"/>
      <w:r w:rsidR="00B553E4">
        <w:t>Appendix A</w:t>
      </w:r>
      <w:r w:rsidR="009A405C">
        <w:t>—</w:t>
      </w:r>
      <w:r w:rsidR="00802258">
        <w:t xml:space="preserve">Process and </w:t>
      </w:r>
      <w:r w:rsidR="009315F4">
        <w:t>s</w:t>
      </w:r>
      <w:r w:rsidR="00802258">
        <w:t xml:space="preserve">ystems </w:t>
      </w:r>
      <w:r w:rsidR="009315F4">
        <w:t>d</w:t>
      </w:r>
      <w:r w:rsidR="00802258">
        <w:t>ocumentation</w:t>
      </w:r>
      <w:bookmarkEnd w:id="4"/>
    </w:p>
    <w:p w14:paraId="692CC1A9" w14:textId="77777777" w:rsidR="00B553E4" w:rsidRDefault="00B553E4" w:rsidP="0039325E">
      <w:pPr>
        <w:rPr>
          <w:b/>
        </w:rPr>
      </w:pPr>
    </w:p>
    <w:p w14:paraId="750E6BE0" w14:textId="0472C6A2" w:rsidR="00494392" w:rsidRPr="00004BDB" w:rsidRDefault="00494392" w:rsidP="00494392">
      <w:r w:rsidRPr="00004BDB">
        <w:t xml:space="preserve">Identify all processes and sub-processes to be included in scope to address all financial statement assertions and control objectives upon which the end users will request </w:t>
      </w:r>
      <w:r w:rsidR="002A7705">
        <w:t>evidence</w:t>
      </w:r>
      <w:r w:rsidRPr="00004BDB">
        <w:t xml:space="preserve">.  The mapping </w:t>
      </w:r>
      <w:r w:rsidR="002A7705">
        <w:t>needs to</w:t>
      </w:r>
      <w:r w:rsidRPr="00004BDB">
        <w:t xml:space="preserve"> be included in </w:t>
      </w:r>
      <w:r w:rsidR="009D3528">
        <w:t>Group audit</w:t>
      </w:r>
      <w:r w:rsidR="009D3528" w:rsidRPr="00004BDB">
        <w:t xml:space="preserve"> </w:t>
      </w:r>
      <w:r w:rsidRPr="00004BDB">
        <w:t xml:space="preserve">team and </w:t>
      </w:r>
      <w:r w:rsidR="009D3528">
        <w:t>component/</w:t>
      </w:r>
      <w:r w:rsidRPr="00004BDB">
        <w:t xml:space="preserve">statutory audit </w:t>
      </w:r>
      <w:r w:rsidR="00455D51">
        <w:t>TeamMate audit files, as applicable,</w:t>
      </w:r>
      <w:r w:rsidRPr="00004BDB">
        <w:t xml:space="preserve"> to ensure all assertions and control objectives are addressed – refer to template below:</w:t>
      </w:r>
      <w:r w:rsidR="0073544D" w:rsidRPr="00004BDB">
        <w:t xml:space="preserve"> </w:t>
      </w:r>
    </w:p>
    <w:p w14:paraId="454D5767" w14:textId="77777777" w:rsidR="00494392" w:rsidRPr="00004BDB" w:rsidRDefault="00494392" w:rsidP="00494392">
      <w:pPr>
        <w:autoSpaceDE w:val="0"/>
        <w:autoSpaceDN w:val="0"/>
        <w:adjustRightInd w:val="0"/>
        <w:spacing w:line="240" w:lineRule="atLeast"/>
        <w:ind w:left="288"/>
        <w:rPr>
          <w:b/>
          <w:bCs/>
          <w:color w:val="000000"/>
        </w:rPr>
      </w:pPr>
    </w:p>
    <w:tbl>
      <w:tblPr>
        <w:tblW w:w="9000" w:type="dxa"/>
        <w:tblInd w:w="40" w:type="dxa"/>
        <w:tblLayout w:type="fixed"/>
        <w:tblCellMar>
          <w:left w:w="40" w:type="dxa"/>
          <w:right w:w="40" w:type="dxa"/>
        </w:tblCellMar>
        <w:tblLook w:val="0000" w:firstRow="0" w:lastRow="0" w:firstColumn="0" w:lastColumn="0" w:noHBand="0" w:noVBand="0"/>
      </w:tblPr>
      <w:tblGrid>
        <w:gridCol w:w="1080"/>
        <w:gridCol w:w="1080"/>
        <w:gridCol w:w="1080"/>
        <w:gridCol w:w="1260"/>
        <w:gridCol w:w="1080"/>
        <w:gridCol w:w="1260"/>
        <w:gridCol w:w="1080"/>
        <w:gridCol w:w="540"/>
        <w:gridCol w:w="540"/>
      </w:tblGrid>
      <w:tr w:rsidR="007D44DA" w:rsidRPr="007D44DA" w14:paraId="75FAF7A6" w14:textId="77777777" w:rsidTr="009A405C">
        <w:trPr>
          <w:trHeight w:val="925"/>
          <w:tblHeader/>
        </w:trPr>
        <w:tc>
          <w:tcPr>
            <w:tcW w:w="1080" w:type="dxa"/>
            <w:tcBorders>
              <w:top w:val="nil"/>
              <w:left w:val="nil"/>
              <w:bottom w:val="nil"/>
              <w:right w:val="nil"/>
            </w:tcBorders>
            <w:shd w:val="clear" w:color="auto" w:fill="1F497D" w:themeFill="text2"/>
          </w:tcPr>
          <w:p w14:paraId="11C319B0" w14:textId="77777777" w:rsidR="00494392" w:rsidRPr="00F402EF" w:rsidRDefault="00494392" w:rsidP="00F402EF">
            <w:pPr>
              <w:pStyle w:val="TableTitleArial"/>
              <w:rPr>
                <w:rFonts w:cs="Times New Roman"/>
                <w:b/>
                <w:color w:val="FFFFFF" w:themeColor="background1"/>
                <w:sz w:val="24"/>
                <w:szCs w:val="24"/>
              </w:rPr>
            </w:pPr>
            <w:r w:rsidRPr="00F402EF">
              <w:rPr>
                <w:rFonts w:ascii="Times New Roman" w:hAnsi="Times New Roman" w:cs="Times New Roman"/>
                <w:b/>
                <w:color w:val="FFFFFF" w:themeColor="background1"/>
                <w:sz w:val="24"/>
                <w:szCs w:val="24"/>
              </w:rPr>
              <w:t>Inputs &amp; Outputs</w:t>
            </w:r>
          </w:p>
        </w:tc>
        <w:tc>
          <w:tcPr>
            <w:tcW w:w="1080" w:type="dxa"/>
            <w:tcBorders>
              <w:top w:val="nil"/>
              <w:left w:val="nil"/>
              <w:bottom w:val="nil"/>
              <w:right w:val="nil"/>
            </w:tcBorders>
            <w:shd w:val="clear" w:color="auto" w:fill="1F497D" w:themeFill="text2"/>
          </w:tcPr>
          <w:p w14:paraId="04BD3441" w14:textId="77777777" w:rsidR="00494392" w:rsidRPr="00F402EF" w:rsidRDefault="00494392" w:rsidP="00F402EF">
            <w:pPr>
              <w:pStyle w:val="TableTitleArial"/>
              <w:rPr>
                <w:rFonts w:cs="Times New Roman"/>
                <w:b/>
                <w:color w:val="FFFFFF" w:themeColor="background1"/>
                <w:sz w:val="24"/>
                <w:szCs w:val="24"/>
              </w:rPr>
            </w:pPr>
            <w:r w:rsidRPr="00F402EF">
              <w:rPr>
                <w:rFonts w:ascii="Times New Roman" w:hAnsi="Times New Roman" w:cs="Times New Roman"/>
                <w:b/>
                <w:color w:val="FFFFFF" w:themeColor="background1"/>
                <w:sz w:val="24"/>
                <w:szCs w:val="24"/>
              </w:rPr>
              <w:t>Sub-process/</w:t>
            </w:r>
          </w:p>
          <w:p w14:paraId="698A67BE" w14:textId="77777777" w:rsidR="00494392" w:rsidRPr="00F402EF" w:rsidRDefault="00494392" w:rsidP="00F402EF">
            <w:pPr>
              <w:pStyle w:val="TableTitleArial"/>
              <w:rPr>
                <w:rFonts w:cs="Times New Roman"/>
                <w:b/>
                <w:color w:val="FFFFFF" w:themeColor="background1"/>
                <w:sz w:val="24"/>
                <w:szCs w:val="24"/>
              </w:rPr>
            </w:pPr>
            <w:r w:rsidRPr="00F402EF">
              <w:rPr>
                <w:rFonts w:ascii="Times New Roman" w:hAnsi="Times New Roman" w:cs="Times New Roman"/>
                <w:b/>
                <w:color w:val="FFFFFF" w:themeColor="background1"/>
                <w:sz w:val="24"/>
                <w:szCs w:val="24"/>
              </w:rPr>
              <w:t>transaction</w:t>
            </w:r>
          </w:p>
        </w:tc>
        <w:tc>
          <w:tcPr>
            <w:tcW w:w="1080" w:type="dxa"/>
            <w:tcBorders>
              <w:top w:val="nil"/>
              <w:left w:val="nil"/>
              <w:bottom w:val="nil"/>
              <w:right w:val="nil"/>
            </w:tcBorders>
            <w:shd w:val="clear" w:color="auto" w:fill="1F497D" w:themeFill="text2"/>
          </w:tcPr>
          <w:p w14:paraId="7DBAE4D2" w14:textId="77777777" w:rsidR="00494392" w:rsidRPr="00F402EF" w:rsidRDefault="00494392" w:rsidP="00F402EF">
            <w:pPr>
              <w:pStyle w:val="TableTitleArial"/>
              <w:rPr>
                <w:rFonts w:cs="Times New Roman"/>
                <w:b/>
                <w:color w:val="FFFFFF" w:themeColor="background1"/>
                <w:sz w:val="24"/>
                <w:szCs w:val="24"/>
              </w:rPr>
            </w:pPr>
            <w:r w:rsidRPr="00F402EF">
              <w:rPr>
                <w:rFonts w:ascii="Times New Roman" w:hAnsi="Times New Roman" w:cs="Times New Roman"/>
                <w:b/>
                <w:color w:val="FFFFFF" w:themeColor="background1"/>
                <w:sz w:val="24"/>
                <w:szCs w:val="24"/>
              </w:rPr>
              <w:t>Control Objective</w:t>
            </w:r>
          </w:p>
        </w:tc>
        <w:tc>
          <w:tcPr>
            <w:tcW w:w="1260" w:type="dxa"/>
            <w:tcBorders>
              <w:top w:val="nil"/>
              <w:left w:val="nil"/>
              <w:bottom w:val="nil"/>
              <w:right w:val="nil"/>
            </w:tcBorders>
            <w:shd w:val="clear" w:color="auto" w:fill="1F497D" w:themeFill="text2"/>
          </w:tcPr>
          <w:p w14:paraId="05E955B6" w14:textId="77777777" w:rsidR="00494392" w:rsidRPr="00F402EF" w:rsidRDefault="00494392" w:rsidP="00F402EF">
            <w:pPr>
              <w:pStyle w:val="TableTitleArial"/>
              <w:rPr>
                <w:rFonts w:cs="Times New Roman"/>
                <w:b/>
                <w:color w:val="FFFFFF" w:themeColor="background1"/>
                <w:sz w:val="24"/>
                <w:szCs w:val="24"/>
              </w:rPr>
            </w:pPr>
            <w:r w:rsidRPr="00F402EF">
              <w:rPr>
                <w:rFonts w:ascii="Times New Roman" w:hAnsi="Times New Roman" w:cs="Times New Roman"/>
                <w:b/>
                <w:color w:val="FFFFFF" w:themeColor="background1"/>
                <w:sz w:val="24"/>
                <w:szCs w:val="24"/>
              </w:rPr>
              <w:t>Description of Control Activities</w:t>
            </w:r>
          </w:p>
        </w:tc>
        <w:tc>
          <w:tcPr>
            <w:tcW w:w="1080" w:type="dxa"/>
            <w:tcBorders>
              <w:top w:val="nil"/>
              <w:left w:val="nil"/>
              <w:bottom w:val="nil"/>
              <w:right w:val="nil"/>
            </w:tcBorders>
            <w:shd w:val="clear" w:color="auto" w:fill="1F497D" w:themeFill="text2"/>
          </w:tcPr>
          <w:p w14:paraId="6389DFB0" w14:textId="77777777" w:rsidR="00494392" w:rsidRPr="00F402EF" w:rsidRDefault="00494392" w:rsidP="00F402EF">
            <w:pPr>
              <w:pStyle w:val="TableTitleArial"/>
              <w:rPr>
                <w:rFonts w:cs="Times New Roman"/>
                <w:b/>
                <w:color w:val="FFFFFF" w:themeColor="background1"/>
                <w:sz w:val="24"/>
                <w:szCs w:val="24"/>
              </w:rPr>
            </w:pPr>
            <w:r w:rsidRPr="00F402EF">
              <w:rPr>
                <w:rFonts w:ascii="Times New Roman" w:hAnsi="Times New Roman" w:cs="Times New Roman"/>
                <w:b/>
                <w:color w:val="FFFFFF" w:themeColor="background1"/>
                <w:sz w:val="24"/>
                <w:szCs w:val="24"/>
              </w:rPr>
              <w:t>Significant</w:t>
            </w:r>
          </w:p>
          <w:p w14:paraId="3B574219" w14:textId="77777777" w:rsidR="00494392" w:rsidRPr="00F402EF" w:rsidRDefault="00494392" w:rsidP="00F402EF">
            <w:pPr>
              <w:pStyle w:val="TableTitleArial"/>
              <w:rPr>
                <w:rFonts w:cs="Times New Roman"/>
                <w:b/>
                <w:color w:val="FFFFFF" w:themeColor="background1"/>
                <w:sz w:val="24"/>
                <w:szCs w:val="24"/>
              </w:rPr>
            </w:pPr>
            <w:r w:rsidRPr="00F402EF">
              <w:rPr>
                <w:rFonts w:ascii="Times New Roman" w:hAnsi="Times New Roman" w:cs="Times New Roman"/>
                <w:b/>
                <w:color w:val="FFFFFF" w:themeColor="background1"/>
                <w:sz w:val="24"/>
                <w:szCs w:val="24"/>
              </w:rPr>
              <w:t>Accounts</w:t>
            </w:r>
          </w:p>
        </w:tc>
        <w:tc>
          <w:tcPr>
            <w:tcW w:w="1260" w:type="dxa"/>
            <w:tcBorders>
              <w:top w:val="nil"/>
              <w:left w:val="nil"/>
              <w:bottom w:val="nil"/>
              <w:right w:val="nil"/>
            </w:tcBorders>
            <w:shd w:val="clear" w:color="auto" w:fill="1F497D" w:themeFill="text2"/>
          </w:tcPr>
          <w:p w14:paraId="1D8F86C9" w14:textId="77777777" w:rsidR="00494392" w:rsidRPr="00F402EF" w:rsidRDefault="00494392" w:rsidP="00F402EF">
            <w:pPr>
              <w:pStyle w:val="TableTitleArial"/>
              <w:rPr>
                <w:rFonts w:cs="Times New Roman"/>
                <w:b/>
                <w:color w:val="FFFFFF" w:themeColor="background1"/>
                <w:sz w:val="24"/>
                <w:szCs w:val="24"/>
              </w:rPr>
            </w:pPr>
            <w:r w:rsidRPr="00F402EF">
              <w:rPr>
                <w:rFonts w:ascii="Times New Roman" w:hAnsi="Times New Roman" w:cs="Times New Roman"/>
                <w:b/>
                <w:color w:val="FFFFFF" w:themeColor="background1"/>
                <w:sz w:val="24"/>
                <w:szCs w:val="24"/>
              </w:rPr>
              <w:t>Information</w:t>
            </w:r>
          </w:p>
          <w:p w14:paraId="26328E5C" w14:textId="77777777" w:rsidR="00494392" w:rsidRPr="00F402EF" w:rsidRDefault="00494392" w:rsidP="00F402EF">
            <w:pPr>
              <w:pStyle w:val="TableTitleArial"/>
              <w:rPr>
                <w:rFonts w:cs="Times New Roman"/>
                <w:b/>
                <w:color w:val="FFFFFF" w:themeColor="background1"/>
                <w:sz w:val="24"/>
                <w:szCs w:val="24"/>
              </w:rPr>
            </w:pPr>
            <w:r w:rsidRPr="00F402EF">
              <w:rPr>
                <w:rFonts w:ascii="Times New Roman" w:hAnsi="Times New Roman" w:cs="Times New Roman"/>
                <w:b/>
                <w:color w:val="FFFFFF" w:themeColor="background1"/>
                <w:sz w:val="24"/>
                <w:szCs w:val="24"/>
              </w:rPr>
              <w:t>processing</w:t>
            </w:r>
          </w:p>
          <w:p w14:paraId="7C8C21E1" w14:textId="77777777" w:rsidR="00494392" w:rsidRPr="00F402EF" w:rsidRDefault="00494392" w:rsidP="00F402EF">
            <w:pPr>
              <w:pStyle w:val="TableTitleArial"/>
              <w:rPr>
                <w:rFonts w:cs="Times New Roman"/>
                <w:b/>
                <w:color w:val="FFFFFF" w:themeColor="background1"/>
                <w:sz w:val="24"/>
                <w:szCs w:val="24"/>
              </w:rPr>
            </w:pPr>
            <w:r w:rsidRPr="00F402EF">
              <w:rPr>
                <w:rFonts w:ascii="Times New Roman" w:hAnsi="Times New Roman" w:cs="Times New Roman"/>
                <w:b/>
                <w:color w:val="FFFFFF" w:themeColor="background1"/>
                <w:sz w:val="24"/>
                <w:szCs w:val="24"/>
              </w:rPr>
              <w:t>objective (C,A,V,R)</w:t>
            </w:r>
          </w:p>
        </w:tc>
        <w:tc>
          <w:tcPr>
            <w:tcW w:w="1080" w:type="dxa"/>
            <w:tcBorders>
              <w:top w:val="nil"/>
              <w:left w:val="nil"/>
              <w:bottom w:val="nil"/>
              <w:right w:val="nil"/>
            </w:tcBorders>
            <w:shd w:val="clear" w:color="auto" w:fill="1F497D" w:themeFill="text2"/>
          </w:tcPr>
          <w:p w14:paraId="26FCB95D" w14:textId="77777777" w:rsidR="00494392" w:rsidRPr="00F402EF" w:rsidRDefault="00494392" w:rsidP="00F402EF">
            <w:pPr>
              <w:pStyle w:val="TableTitleArial"/>
              <w:rPr>
                <w:rFonts w:cs="Times New Roman"/>
                <w:b/>
                <w:color w:val="FFFFFF" w:themeColor="background1"/>
                <w:sz w:val="24"/>
                <w:szCs w:val="24"/>
              </w:rPr>
            </w:pPr>
            <w:r w:rsidRPr="00F402EF">
              <w:rPr>
                <w:rFonts w:ascii="Times New Roman" w:hAnsi="Times New Roman" w:cs="Times New Roman"/>
                <w:b/>
                <w:color w:val="FFFFFF" w:themeColor="background1"/>
                <w:sz w:val="24"/>
                <w:szCs w:val="24"/>
              </w:rPr>
              <w:t>Assertion</w:t>
            </w:r>
          </w:p>
          <w:p w14:paraId="485FEBBE" w14:textId="77777777" w:rsidR="00494392" w:rsidRPr="00F402EF" w:rsidRDefault="00494392" w:rsidP="00F402EF">
            <w:pPr>
              <w:pStyle w:val="TableTitleArial"/>
              <w:rPr>
                <w:rFonts w:cs="Times New Roman"/>
                <w:b/>
                <w:color w:val="FFFFFF" w:themeColor="background1"/>
                <w:sz w:val="24"/>
                <w:szCs w:val="24"/>
              </w:rPr>
            </w:pPr>
            <w:r w:rsidRPr="00F402EF">
              <w:rPr>
                <w:rFonts w:ascii="Times New Roman" w:hAnsi="Times New Roman" w:cs="Times New Roman"/>
                <w:b/>
                <w:color w:val="FFFFFF" w:themeColor="background1"/>
                <w:sz w:val="24"/>
                <w:szCs w:val="24"/>
              </w:rPr>
              <w:t>(CO, EO, RO, VA, PD)</w:t>
            </w:r>
          </w:p>
        </w:tc>
        <w:tc>
          <w:tcPr>
            <w:tcW w:w="540" w:type="dxa"/>
            <w:tcBorders>
              <w:top w:val="nil"/>
              <w:left w:val="nil"/>
              <w:bottom w:val="nil"/>
              <w:right w:val="nil"/>
            </w:tcBorders>
            <w:shd w:val="clear" w:color="auto" w:fill="1F497D" w:themeFill="text2"/>
          </w:tcPr>
          <w:p w14:paraId="22E3B264" w14:textId="77777777" w:rsidR="00494392" w:rsidRPr="00F402EF" w:rsidRDefault="00494392" w:rsidP="00F402EF">
            <w:pPr>
              <w:pStyle w:val="TableTitleArial"/>
              <w:rPr>
                <w:rFonts w:cs="Times New Roman"/>
                <w:b/>
                <w:color w:val="FFFFFF" w:themeColor="background1"/>
                <w:sz w:val="24"/>
                <w:szCs w:val="24"/>
              </w:rPr>
            </w:pPr>
            <w:r w:rsidRPr="00F402EF">
              <w:rPr>
                <w:rFonts w:ascii="Times New Roman" w:hAnsi="Times New Roman" w:cs="Times New Roman"/>
                <w:b/>
                <w:color w:val="FFFFFF" w:themeColor="background1"/>
                <w:sz w:val="24"/>
                <w:szCs w:val="24"/>
              </w:rPr>
              <w:t>P or D</w:t>
            </w:r>
          </w:p>
          <w:p w14:paraId="143F5C0E" w14:textId="77777777" w:rsidR="00494392" w:rsidRPr="00F402EF" w:rsidRDefault="00494392" w:rsidP="00F402EF">
            <w:pPr>
              <w:pStyle w:val="TableTitleArial"/>
              <w:rPr>
                <w:rFonts w:cs="Times New Roman"/>
                <w:b/>
                <w:color w:val="FFFFFF" w:themeColor="background1"/>
                <w:sz w:val="24"/>
                <w:szCs w:val="24"/>
              </w:rPr>
            </w:pPr>
            <w:r w:rsidRPr="00F402EF">
              <w:rPr>
                <w:rFonts w:ascii="Times New Roman" w:hAnsi="Times New Roman" w:cs="Times New Roman"/>
                <w:b/>
                <w:color w:val="FFFFFF" w:themeColor="background1"/>
                <w:sz w:val="24"/>
                <w:szCs w:val="24"/>
              </w:rPr>
              <w:t>(1)</w:t>
            </w:r>
          </w:p>
        </w:tc>
        <w:tc>
          <w:tcPr>
            <w:tcW w:w="540" w:type="dxa"/>
            <w:tcBorders>
              <w:top w:val="nil"/>
              <w:left w:val="nil"/>
              <w:bottom w:val="nil"/>
              <w:right w:val="nil"/>
            </w:tcBorders>
            <w:shd w:val="clear" w:color="auto" w:fill="1F497D" w:themeFill="text2"/>
          </w:tcPr>
          <w:p w14:paraId="73D18E55" w14:textId="69686AC1" w:rsidR="00494392" w:rsidRPr="00F402EF" w:rsidRDefault="00494392" w:rsidP="00F402EF">
            <w:pPr>
              <w:pStyle w:val="TableTitleArial"/>
              <w:rPr>
                <w:rFonts w:cs="Times New Roman"/>
                <w:b/>
                <w:color w:val="FFFFFF" w:themeColor="background1"/>
                <w:sz w:val="24"/>
                <w:szCs w:val="24"/>
              </w:rPr>
            </w:pPr>
            <w:r w:rsidRPr="00F402EF">
              <w:rPr>
                <w:rFonts w:cs="Times New Roman"/>
                <w:b/>
                <w:color w:val="FFFFFF" w:themeColor="background1"/>
                <w:sz w:val="24"/>
                <w:szCs w:val="24"/>
              </w:rPr>
              <w:t>A</w:t>
            </w:r>
            <w:r w:rsidR="00AF6F7B" w:rsidRPr="00F402EF">
              <w:rPr>
                <w:rFonts w:cs="Times New Roman"/>
                <w:b/>
                <w:color w:val="FFFFFF" w:themeColor="background1"/>
                <w:sz w:val="24"/>
                <w:szCs w:val="24"/>
              </w:rPr>
              <w:t>,</w:t>
            </w:r>
          </w:p>
          <w:p w14:paraId="494E52B5" w14:textId="77777777" w:rsidR="00494392" w:rsidRPr="00F402EF" w:rsidRDefault="00494392" w:rsidP="00F402EF">
            <w:pPr>
              <w:pStyle w:val="TableTitleArial"/>
              <w:rPr>
                <w:rFonts w:cs="Times New Roman"/>
                <w:b/>
                <w:color w:val="FFFFFF" w:themeColor="background1"/>
                <w:sz w:val="24"/>
                <w:szCs w:val="24"/>
              </w:rPr>
            </w:pPr>
            <w:r w:rsidRPr="00F402EF">
              <w:rPr>
                <w:rFonts w:ascii="Times New Roman" w:hAnsi="Times New Roman" w:cs="Times New Roman"/>
                <w:b/>
                <w:color w:val="FFFFFF" w:themeColor="background1"/>
                <w:sz w:val="24"/>
                <w:szCs w:val="24"/>
              </w:rPr>
              <w:t>M</w:t>
            </w:r>
            <w:r w:rsidR="00AF6F7B" w:rsidRPr="00F402EF">
              <w:rPr>
                <w:rFonts w:ascii="Times New Roman" w:hAnsi="Times New Roman" w:cs="Times New Roman"/>
                <w:b/>
                <w:color w:val="FFFFFF" w:themeColor="background1"/>
                <w:sz w:val="24"/>
                <w:szCs w:val="24"/>
              </w:rPr>
              <w:t xml:space="preserve"> or ITDM</w:t>
            </w:r>
          </w:p>
          <w:p w14:paraId="5CC7BF19" w14:textId="77777777" w:rsidR="00494392" w:rsidRPr="00F402EF" w:rsidRDefault="00494392" w:rsidP="00F402EF">
            <w:pPr>
              <w:pStyle w:val="TableTitleArial"/>
              <w:rPr>
                <w:rFonts w:cs="Times New Roman"/>
                <w:b/>
                <w:color w:val="FFFFFF" w:themeColor="background1"/>
                <w:sz w:val="24"/>
                <w:szCs w:val="24"/>
              </w:rPr>
            </w:pPr>
            <w:r w:rsidRPr="00F402EF">
              <w:rPr>
                <w:rFonts w:ascii="Times New Roman" w:hAnsi="Times New Roman" w:cs="Times New Roman"/>
                <w:b/>
                <w:color w:val="FFFFFF" w:themeColor="background1"/>
                <w:sz w:val="24"/>
                <w:szCs w:val="24"/>
              </w:rPr>
              <w:t>(2)</w:t>
            </w:r>
          </w:p>
        </w:tc>
      </w:tr>
      <w:tr w:rsidR="00494392" w:rsidRPr="007D44DA" w14:paraId="438BA680" w14:textId="77777777" w:rsidTr="00F402EF">
        <w:trPr>
          <w:trHeight w:val="2544"/>
        </w:trPr>
        <w:tc>
          <w:tcPr>
            <w:tcW w:w="1080" w:type="dxa"/>
            <w:tcBorders>
              <w:top w:val="nil"/>
              <w:left w:val="nil"/>
              <w:bottom w:val="nil"/>
              <w:right w:val="nil"/>
            </w:tcBorders>
            <w:shd w:val="clear" w:color="auto" w:fill="D9D9D9" w:themeFill="background1" w:themeFillShade="D9"/>
          </w:tcPr>
          <w:p w14:paraId="37FB85C7" w14:textId="77777777" w:rsidR="00494392" w:rsidRPr="00F402EF" w:rsidRDefault="00040611" w:rsidP="00494392">
            <w:pPr>
              <w:keepNext/>
              <w:keepLines/>
              <w:tabs>
                <w:tab w:val="left" w:pos="0"/>
                <w:tab w:val="left" w:pos="288"/>
                <w:tab w:val="left" w:pos="1008"/>
                <w:tab w:val="left" w:pos="1728"/>
                <w:tab w:val="left" w:pos="2448"/>
                <w:tab w:val="left" w:pos="3168"/>
                <w:tab w:val="left" w:pos="3888"/>
                <w:tab w:val="left" w:pos="4608"/>
              </w:tabs>
              <w:autoSpaceDE w:val="0"/>
              <w:autoSpaceDN w:val="0"/>
              <w:adjustRightInd w:val="0"/>
              <w:spacing w:line="240" w:lineRule="atLeast"/>
              <w:ind w:left="15" w:right="180"/>
              <w:jc w:val="center"/>
              <w:rPr>
                <w:rFonts w:cs="Times New Roman"/>
                <w:color w:val="000000"/>
              </w:rPr>
            </w:pPr>
            <w:r w:rsidRPr="00F402EF">
              <w:rPr>
                <w:rFonts w:cs="Times New Roman"/>
                <w:color w:val="000000"/>
              </w:rPr>
              <w:t>TeamStore</w:t>
            </w:r>
            <w:r w:rsidR="00494392" w:rsidRPr="00F402EF">
              <w:rPr>
                <w:rFonts w:cs="Times New Roman"/>
                <w:color w:val="000000"/>
              </w:rPr>
              <w:t xml:space="preserve"> Change Forms</w:t>
            </w:r>
          </w:p>
          <w:p w14:paraId="4748017A" w14:textId="77777777" w:rsidR="00494392" w:rsidRPr="00F402EF" w:rsidRDefault="00494392" w:rsidP="00494392">
            <w:pPr>
              <w:keepNext/>
              <w:keepLines/>
              <w:tabs>
                <w:tab w:val="left" w:pos="0"/>
                <w:tab w:val="left" w:pos="288"/>
                <w:tab w:val="left" w:pos="1008"/>
                <w:tab w:val="left" w:pos="1728"/>
                <w:tab w:val="left" w:pos="2448"/>
                <w:tab w:val="left" w:pos="3168"/>
                <w:tab w:val="left" w:pos="3888"/>
                <w:tab w:val="left" w:pos="4608"/>
              </w:tabs>
              <w:autoSpaceDE w:val="0"/>
              <w:autoSpaceDN w:val="0"/>
              <w:adjustRightInd w:val="0"/>
              <w:spacing w:line="240" w:lineRule="atLeast"/>
              <w:ind w:left="15" w:right="180"/>
              <w:jc w:val="center"/>
              <w:rPr>
                <w:rFonts w:cs="Times New Roman"/>
                <w:color w:val="000000"/>
              </w:rPr>
            </w:pPr>
          </w:p>
          <w:p w14:paraId="306D8B86" w14:textId="77777777" w:rsidR="00494392" w:rsidRPr="00F402EF" w:rsidRDefault="00494392" w:rsidP="00494392">
            <w:pPr>
              <w:keepNext/>
              <w:keepLines/>
              <w:tabs>
                <w:tab w:val="left" w:pos="0"/>
                <w:tab w:val="left" w:pos="288"/>
                <w:tab w:val="left" w:pos="1008"/>
                <w:tab w:val="left" w:pos="1728"/>
                <w:tab w:val="left" w:pos="2448"/>
                <w:tab w:val="left" w:pos="3168"/>
                <w:tab w:val="left" w:pos="3888"/>
                <w:tab w:val="left" w:pos="4608"/>
              </w:tabs>
              <w:autoSpaceDE w:val="0"/>
              <w:autoSpaceDN w:val="0"/>
              <w:adjustRightInd w:val="0"/>
              <w:spacing w:line="240" w:lineRule="atLeast"/>
              <w:ind w:left="15" w:right="180"/>
              <w:jc w:val="center"/>
              <w:rPr>
                <w:rFonts w:cs="Times New Roman"/>
                <w:color w:val="000000"/>
              </w:rPr>
            </w:pPr>
          </w:p>
          <w:p w14:paraId="758E643A" w14:textId="77777777" w:rsidR="00494392" w:rsidRPr="00F402EF" w:rsidRDefault="00494392" w:rsidP="00494392">
            <w:pPr>
              <w:keepNext/>
              <w:keepLines/>
              <w:tabs>
                <w:tab w:val="left" w:pos="0"/>
                <w:tab w:val="left" w:pos="288"/>
                <w:tab w:val="left" w:pos="1008"/>
                <w:tab w:val="left" w:pos="1728"/>
                <w:tab w:val="left" w:pos="2448"/>
                <w:tab w:val="left" w:pos="3168"/>
                <w:tab w:val="left" w:pos="3888"/>
                <w:tab w:val="left" w:pos="4608"/>
              </w:tabs>
              <w:autoSpaceDE w:val="0"/>
              <w:autoSpaceDN w:val="0"/>
              <w:adjustRightInd w:val="0"/>
              <w:spacing w:line="240" w:lineRule="atLeast"/>
              <w:ind w:left="15" w:right="180"/>
              <w:jc w:val="center"/>
              <w:rPr>
                <w:rFonts w:cs="Times New Roman"/>
                <w:color w:val="000000"/>
              </w:rPr>
            </w:pPr>
          </w:p>
          <w:p w14:paraId="72A7E906" w14:textId="77777777" w:rsidR="00494392" w:rsidRPr="00F402EF" w:rsidRDefault="00494392" w:rsidP="00494392">
            <w:pPr>
              <w:keepNext/>
              <w:keepLines/>
              <w:tabs>
                <w:tab w:val="left" w:pos="0"/>
                <w:tab w:val="left" w:pos="288"/>
                <w:tab w:val="left" w:pos="1008"/>
                <w:tab w:val="left" w:pos="1728"/>
                <w:tab w:val="left" w:pos="2448"/>
                <w:tab w:val="left" w:pos="3168"/>
                <w:tab w:val="left" w:pos="3888"/>
                <w:tab w:val="left" w:pos="4608"/>
              </w:tabs>
              <w:autoSpaceDE w:val="0"/>
              <w:autoSpaceDN w:val="0"/>
              <w:adjustRightInd w:val="0"/>
              <w:spacing w:line="240" w:lineRule="atLeast"/>
              <w:ind w:left="15" w:right="180"/>
              <w:jc w:val="center"/>
              <w:rPr>
                <w:rFonts w:cs="Times New Roman"/>
                <w:color w:val="000000"/>
              </w:rPr>
            </w:pPr>
            <w:r w:rsidRPr="00F402EF">
              <w:rPr>
                <w:rFonts w:cs="Times New Roman"/>
                <w:color w:val="000000"/>
              </w:rPr>
              <w:t xml:space="preserve">Approved </w:t>
            </w:r>
            <w:r w:rsidR="00040611" w:rsidRPr="00F402EF">
              <w:rPr>
                <w:rFonts w:cs="Times New Roman"/>
                <w:color w:val="000000"/>
              </w:rPr>
              <w:t>TeamStore</w:t>
            </w:r>
            <w:r w:rsidRPr="00F402EF">
              <w:rPr>
                <w:rFonts w:cs="Times New Roman"/>
                <w:color w:val="000000"/>
              </w:rPr>
              <w:t xml:space="preserve">in </w:t>
            </w:r>
            <w:r w:rsidR="00040611" w:rsidRPr="00F402EF">
              <w:rPr>
                <w:rFonts w:cs="Times New Roman"/>
                <w:color w:val="000000"/>
              </w:rPr>
              <w:t>TeamStore</w:t>
            </w:r>
            <w:r w:rsidRPr="00F402EF">
              <w:rPr>
                <w:rFonts w:cs="Times New Roman"/>
                <w:color w:val="000000"/>
              </w:rPr>
              <w:t>File</w:t>
            </w:r>
          </w:p>
        </w:tc>
        <w:tc>
          <w:tcPr>
            <w:tcW w:w="1080" w:type="dxa"/>
            <w:tcBorders>
              <w:top w:val="nil"/>
              <w:left w:val="nil"/>
              <w:bottom w:val="nil"/>
              <w:right w:val="nil"/>
            </w:tcBorders>
            <w:shd w:val="clear" w:color="auto" w:fill="D9D9D9" w:themeFill="background1" w:themeFillShade="D9"/>
          </w:tcPr>
          <w:p w14:paraId="2EA37102" w14:textId="77777777" w:rsidR="00494392" w:rsidRPr="00F402EF" w:rsidRDefault="00040611" w:rsidP="00494392">
            <w:pPr>
              <w:keepNext/>
              <w:keepLines/>
              <w:tabs>
                <w:tab w:val="left" w:pos="0"/>
                <w:tab w:val="left" w:pos="288"/>
                <w:tab w:val="left" w:pos="1008"/>
                <w:tab w:val="left" w:pos="1728"/>
                <w:tab w:val="left" w:pos="2448"/>
                <w:tab w:val="left" w:pos="3168"/>
                <w:tab w:val="left" w:pos="3888"/>
                <w:tab w:val="left" w:pos="4608"/>
              </w:tabs>
              <w:autoSpaceDE w:val="0"/>
              <w:autoSpaceDN w:val="0"/>
              <w:adjustRightInd w:val="0"/>
              <w:spacing w:line="240" w:lineRule="atLeast"/>
              <w:ind w:left="15" w:right="180"/>
              <w:rPr>
                <w:rFonts w:cs="Times New Roman"/>
                <w:color w:val="000000"/>
              </w:rPr>
            </w:pPr>
            <w:r w:rsidRPr="00F402EF">
              <w:rPr>
                <w:rFonts w:cs="Times New Roman"/>
                <w:color w:val="000000"/>
              </w:rPr>
              <w:t>TeamStore</w:t>
            </w:r>
          </w:p>
        </w:tc>
        <w:tc>
          <w:tcPr>
            <w:tcW w:w="1080" w:type="dxa"/>
            <w:tcBorders>
              <w:top w:val="nil"/>
              <w:left w:val="nil"/>
              <w:bottom w:val="nil"/>
              <w:right w:val="nil"/>
            </w:tcBorders>
            <w:shd w:val="clear" w:color="auto" w:fill="D9D9D9" w:themeFill="background1" w:themeFillShade="D9"/>
          </w:tcPr>
          <w:p w14:paraId="4F332DDF" w14:textId="77777777" w:rsidR="00494392" w:rsidRPr="00F402EF" w:rsidRDefault="00494392" w:rsidP="00494392">
            <w:pPr>
              <w:keepNext/>
              <w:keepLines/>
              <w:tabs>
                <w:tab w:val="left" w:pos="0"/>
                <w:tab w:val="left" w:pos="288"/>
                <w:tab w:val="left" w:pos="1008"/>
                <w:tab w:val="left" w:pos="1728"/>
                <w:tab w:val="left" w:pos="2448"/>
                <w:tab w:val="left" w:pos="3168"/>
                <w:tab w:val="left" w:pos="3888"/>
                <w:tab w:val="left" w:pos="4608"/>
              </w:tabs>
              <w:autoSpaceDE w:val="0"/>
              <w:autoSpaceDN w:val="0"/>
              <w:adjustRightInd w:val="0"/>
              <w:spacing w:line="240" w:lineRule="atLeast"/>
              <w:ind w:left="15" w:right="140"/>
              <w:rPr>
                <w:rFonts w:cs="Times New Roman"/>
                <w:color w:val="000000"/>
              </w:rPr>
            </w:pPr>
            <w:r w:rsidRPr="00F402EF">
              <w:rPr>
                <w:rFonts w:cs="Times New Roman"/>
                <w:color w:val="000000"/>
              </w:rPr>
              <w:t xml:space="preserve">Customer </w:t>
            </w:r>
            <w:r w:rsidR="00040611" w:rsidRPr="00F402EF">
              <w:rPr>
                <w:rFonts w:cs="Times New Roman"/>
                <w:color w:val="000000"/>
              </w:rPr>
              <w:t>TeamStore</w:t>
            </w:r>
            <w:r w:rsidRPr="00F402EF">
              <w:rPr>
                <w:rFonts w:cs="Times New Roman"/>
                <w:color w:val="000000"/>
              </w:rPr>
              <w:t xml:space="preserve"> including changes are entered and processed completely, accurately, and are properly authorized</w:t>
            </w:r>
          </w:p>
        </w:tc>
        <w:tc>
          <w:tcPr>
            <w:tcW w:w="1260" w:type="dxa"/>
            <w:tcBorders>
              <w:top w:val="nil"/>
              <w:left w:val="nil"/>
              <w:bottom w:val="nil"/>
              <w:right w:val="nil"/>
            </w:tcBorders>
            <w:shd w:val="clear" w:color="auto" w:fill="D9D9D9" w:themeFill="background1" w:themeFillShade="D9"/>
          </w:tcPr>
          <w:p w14:paraId="79739D2C" w14:textId="77777777" w:rsidR="00494392" w:rsidRPr="00F402EF" w:rsidRDefault="00040611" w:rsidP="00494392">
            <w:pPr>
              <w:keepNext/>
              <w:keepLines/>
              <w:tabs>
                <w:tab w:val="left" w:pos="0"/>
                <w:tab w:val="left" w:pos="288"/>
                <w:tab w:val="left" w:pos="1008"/>
                <w:tab w:val="left" w:pos="1728"/>
                <w:tab w:val="left" w:pos="2448"/>
                <w:tab w:val="left" w:pos="3168"/>
                <w:tab w:val="left" w:pos="3888"/>
                <w:tab w:val="left" w:pos="4608"/>
              </w:tabs>
              <w:autoSpaceDE w:val="0"/>
              <w:autoSpaceDN w:val="0"/>
              <w:adjustRightInd w:val="0"/>
              <w:spacing w:line="240" w:lineRule="atLeast"/>
              <w:ind w:left="15"/>
              <w:rPr>
                <w:rFonts w:cs="Times New Roman"/>
                <w:color w:val="000000"/>
              </w:rPr>
            </w:pPr>
            <w:r w:rsidRPr="00F402EF">
              <w:rPr>
                <w:rFonts w:cs="Times New Roman"/>
                <w:color w:val="000000"/>
              </w:rPr>
              <w:t>TeamStore</w:t>
            </w:r>
            <w:r w:rsidR="00494392" w:rsidRPr="00F402EF">
              <w:rPr>
                <w:rFonts w:cs="Times New Roman"/>
                <w:color w:val="000000"/>
              </w:rPr>
              <w:t xml:space="preserve"> changes need to be reviewed and approved authorized company personnel prior to being processed.</w:t>
            </w:r>
          </w:p>
        </w:tc>
        <w:tc>
          <w:tcPr>
            <w:tcW w:w="1080" w:type="dxa"/>
            <w:tcBorders>
              <w:top w:val="nil"/>
              <w:left w:val="nil"/>
              <w:bottom w:val="nil"/>
              <w:right w:val="nil"/>
            </w:tcBorders>
            <w:shd w:val="clear" w:color="auto" w:fill="D9D9D9" w:themeFill="background1" w:themeFillShade="D9"/>
          </w:tcPr>
          <w:p w14:paraId="6361A707" w14:textId="2F6B4019" w:rsidR="00040611" w:rsidRPr="00F402EF" w:rsidRDefault="00040611" w:rsidP="00494392">
            <w:pPr>
              <w:keepNext/>
              <w:keepLines/>
              <w:tabs>
                <w:tab w:val="left" w:pos="0"/>
                <w:tab w:val="left" w:pos="288"/>
                <w:tab w:val="left" w:pos="1008"/>
                <w:tab w:val="left" w:pos="1728"/>
                <w:tab w:val="left" w:pos="2448"/>
                <w:tab w:val="left" w:pos="3168"/>
                <w:tab w:val="left" w:pos="3888"/>
                <w:tab w:val="left" w:pos="4608"/>
              </w:tabs>
              <w:autoSpaceDE w:val="0"/>
              <w:autoSpaceDN w:val="0"/>
              <w:adjustRightInd w:val="0"/>
              <w:spacing w:line="240" w:lineRule="atLeast"/>
              <w:ind w:left="15" w:right="172"/>
              <w:rPr>
                <w:rFonts w:cs="Times New Roman"/>
                <w:color w:val="000000"/>
              </w:rPr>
            </w:pPr>
            <w:r w:rsidRPr="00F402EF">
              <w:rPr>
                <w:rFonts w:cs="Times New Roman"/>
                <w:color w:val="000000"/>
              </w:rPr>
              <w:t>-</w:t>
            </w:r>
            <w:r w:rsidR="00494392" w:rsidRPr="00F402EF">
              <w:rPr>
                <w:rFonts w:cs="Times New Roman"/>
                <w:color w:val="000000"/>
              </w:rPr>
              <w:t>Trade Receivables,</w:t>
            </w:r>
          </w:p>
          <w:p w14:paraId="3451B619" w14:textId="65D45A3C" w:rsidR="00040611" w:rsidRPr="00F402EF" w:rsidRDefault="00AF6F7B" w:rsidP="00494392">
            <w:pPr>
              <w:keepNext/>
              <w:keepLines/>
              <w:tabs>
                <w:tab w:val="left" w:pos="0"/>
                <w:tab w:val="left" w:pos="288"/>
                <w:tab w:val="left" w:pos="1008"/>
                <w:tab w:val="left" w:pos="1728"/>
                <w:tab w:val="left" w:pos="2448"/>
                <w:tab w:val="left" w:pos="3168"/>
                <w:tab w:val="left" w:pos="3888"/>
                <w:tab w:val="left" w:pos="4608"/>
              </w:tabs>
              <w:autoSpaceDE w:val="0"/>
              <w:autoSpaceDN w:val="0"/>
              <w:adjustRightInd w:val="0"/>
              <w:spacing w:line="240" w:lineRule="atLeast"/>
              <w:ind w:left="15" w:right="172"/>
              <w:rPr>
                <w:rFonts w:cs="Times New Roman"/>
                <w:color w:val="000000"/>
              </w:rPr>
            </w:pPr>
            <w:r w:rsidRPr="00F402EF">
              <w:rPr>
                <w:rFonts w:cs="Times New Roman"/>
                <w:color w:val="000000"/>
              </w:rPr>
              <w:t xml:space="preserve"> </w:t>
            </w:r>
            <w:r w:rsidR="00494392" w:rsidRPr="00F402EF">
              <w:rPr>
                <w:rFonts w:cs="Times New Roman"/>
                <w:color w:val="000000"/>
              </w:rPr>
              <w:t xml:space="preserve">Net sales, </w:t>
            </w:r>
          </w:p>
          <w:p w14:paraId="3DC3AEE7" w14:textId="1E968DC2" w:rsidR="00494392" w:rsidRPr="00F402EF" w:rsidRDefault="00494392" w:rsidP="00494392">
            <w:pPr>
              <w:keepNext/>
              <w:keepLines/>
              <w:tabs>
                <w:tab w:val="left" w:pos="0"/>
                <w:tab w:val="left" w:pos="288"/>
                <w:tab w:val="left" w:pos="1008"/>
                <w:tab w:val="left" w:pos="1728"/>
                <w:tab w:val="left" w:pos="2448"/>
                <w:tab w:val="left" w:pos="3168"/>
                <w:tab w:val="left" w:pos="3888"/>
                <w:tab w:val="left" w:pos="4608"/>
              </w:tabs>
              <w:autoSpaceDE w:val="0"/>
              <w:autoSpaceDN w:val="0"/>
              <w:adjustRightInd w:val="0"/>
              <w:spacing w:line="240" w:lineRule="atLeast"/>
              <w:ind w:left="15" w:right="172"/>
              <w:rPr>
                <w:rFonts w:cs="Times New Roman"/>
                <w:color w:val="000000"/>
              </w:rPr>
            </w:pPr>
            <w:r w:rsidRPr="00F402EF">
              <w:rPr>
                <w:rFonts w:cs="Times New Roman"/>
                <w:color w:val="000000"/>
              </w:rPr>
              <w:t>Note 5 Receivables</w:t>
            </w:r>
          </w:p>
        </w:tc>
        <w:tc>
          <w:tcPr>
            <w:tcW w:w="1260" w:type="dxa"/>
            <w:tcBorders>
              <w:top w:val="nil"/>
              <w:left w:val="nil"/>
              <w:bottom w:val="nil"/>
              <w:right w:val="nil"/>
            </w:tcBorders>
            <w:shd w:val="clear" w:color="auto" w:fill="D9D9D9" w:themeFill="background1" w:themeFillShade="D9"/>
          </w:tcPr>
          <w:p w14:paraId="1719BB3F" w14:textId="77777777" w:rsidR="00494392" w:rsidRPr="00F402EF" w:rsidRDefault="00494392" w:rsidP="00494392">
            <w:pPr>
              <w:autoSpaceDE w:val="0"/>
              <w:autoSpaceDN w:val="0"/>
              <w:adjustRightInd w:val="0"/>
              <w:spacing w:line="240" w:lineRule="atLeast"/>
              <w:ind w:left="15"/>
              <w:jc w:val="center"/>
              <w:rPr>
                <w:rFonts w:cs="Times New Roman"/>
                <w:color w:val="000000"/>
              </w:rPr>
            </w:pPr>
            <w:r w:rsidRPr="00F402EF">
              <w:rPr>
                <w:rFonts w:cs="Times New Roman"/>
                <w:color w:val="000000"/>
              </w:rPr>
              <w:t>V, A</w:t>
            </w:r>
          </w:p>
        </w:tc>
        <w:tc>
          <w:tcPr>
            <w:tcW w:w="1080" w:type="dxa"/>
            <w:tcBorders>
              <w:top w:val="nil"/>
              <w:left w:val="nil"/>
              <w:bottom w:val="nil"/>
              <w:right w:val="nil"/>
            </w:tcBorders>
            <w:shd w:val="clear" w:color="auto" w:fill="D9D9D9" w:themeFill="background1" w:themeFillShade="D9"/>
          </w:tcPr>
          <w:p w14:paraId="513125DE" w14:textId="77777777" w:rsidR="00494392" w:rsidRPr="00F402EF" w:rsidRDefault="00494392" w:rsidP="00494392">
            <w:pPr>
              <w:autoSpaceDE w:val="0"/>
              <w:autoSpaceDN w:val="0"/>
              <w:adjustRightInd w:val="0"/>
              <w:spacing w:line="240" w:lineRule="atLeast"/>
              <w:ind w:left="15"/>
              <w:jc w:val="center"/>
              <w:rPr>
                <w:rFonts w:cs="Times New Roman"/>
                <w:color w:val="000000"/>
              </w:rPr>
            </w:pPr>
            <w:r w:rsidRPr="00F402EF">
              <w:rPr>
                <w:rFonts w:cs="Times New Roman"/>
                <w:color w:val="000000"/>
              </w:rPr>
              <w:t>EO, RO, VA</w:t>
            </w:r>
          </w:p>
        </w:tc>
        <w:tc>
          <w:tcPr>
            <w:tcW w:w="540" w:type="dxa"/>
            <w:tcBorders>
              <w:top w:val="nil"/>
              <w:left w:val="nil"/>
              <w:bottom w:val="nil"/>
              <w:right w:val="nil"/>
            </w:tcBorders>
            <w:shd w:val="clear" w:color="auto" w:fill="D9D9D9" w:themeFill="background1" w:themeFillShade="D9"/>
          </w:tcPr>
          <w:p w14:paraId="6586A883" w14:textId="77777777" w:rsidR="00494392" w:rsidRPr="00F402EF" w:rsidRDefault="00494392" w:rsidP="00494392">
            <w:pPr>
              <w:autoSpaceDE w:val="0"/>
              <w:autoSpaceDN w:val="0"/>
              <w:adjustRightInd w:val="0"/>
              <w:spacing w:line="240" w:lineRule="atLeast"/>
              <w:ind w:left="15" w:right="22"/>
              <w:jc w:val="center"/>
              <w:rPr>
                <w:rFonts w:cs="Times New Roman"/>
                <w:color w:val="000000"/>
              </w:rPr>
            </w:pPr>
            <w:r w:rsidRPr="00F402EF">
              <w:rPr>
                <w:rFonts w:cs="Times New Roman"/>
                <w:color w:val="000000"/>
              </w:rPr>
              <w:t>P</w:t>
            </w:r>
          </w:p>
        </w:tc>
        <w:tc>
          <w:tcPr>
            <w:tcW w:w="540" w:type="dxa"/>
            <w:tcBorders>
              <w:top w:val="nil"/>
              <w:left w:val="nil"/>
              <w:bottom w:val="nil"/>
              <w:right w:val="nil"/>
            </w:tcBorders>
            <w:shd w:val="clear" w:color="auto" w:fill="D9D9D9" w:themeFill="background1" w:themeFillShade="D9"/>
          </w:tcPr>
          <w:p w14:paraId="79FB94E2" w14:textId="77777777" w:rsidR="00494392" w:rsidRPr="00F402EF" w:rsidRDefault="00494392" w:rsidP="00494392">
            <w:pPr>
              <w:autoSpaceDE w:val="0"/>
              <w:autoSpaceDN w:val="0"/>
              <w:adjustRightInd w:val="0"/>
              <w:ind w:right="140"/>
              <w:jc w:val="center"/>
              <w:rPr>
                <w:rFonts w:cs="Times New Roman"/>
                <w:color w:val="000000"/>
              </w:rPr>
            </w:pPr>
            <w:r w:rsidRPr="00F402EF">
              <w:rPr>
                <w:rFonts w:cs="Times New Roman"/>
                <w:color w:val="000000"/>
              </w:rPr>
              <w:t>A,M</w:t>
            </w:r>
          </w:p>
        </w:tc>
      </w:tr>
    </w:tbl>
    <w:p w14:paraId="5F7F54D7" w14:textId="77777777" w:rsidR="00494392" w:rsidRPr="00004BDB" w:rsidRDefault="00494392" w:rsidP="00494392">
      <w:pPr>
        <w:autoSpaceDE w:val="0"/>
        <w:autoSpaceDN w:val="0"/>
        <w:adjustRightInd w:val="0"/>
        <w:ind w:right="1008"/>
        <w:rPr>
          <w:color w:val="000000"/>
        </w:rPr>
      </w:pPr>
    </w:p>
    <w:p w14:paraId="32E69BDD" w14:textId="10C91CC7" w:rsidR="00494392" w:rsidRPr="00004BDB" w:rsidRDefault="00494392" w:rsidP="00494392">
      <w:pPr>
        <w:autoSpaceDE w:val="0"/>
        <w:autoSpaceDN w:val="0"/>
        <w:adjustRightInd w:val="0"/>
        <w:spacing w:line="240" w:lineRule="atLeast"/>
        <w:rPr>
          <w:color w:val="000080"/>
          <w:sz w:val="20"/>
          <w:szCs w:val="20"/>
        </w:rPr>
      </w:pPr>
      <w:r w:rsidRPr="00004BDB">
        <w:rPr>
          <w:color w:val="000080"/>
          <w:sz w:val="20"/>
          <w:szCs w:val="20"/>
        </w:rPr>
        <w:t>(1)</w:t>
      </w:r>
      <w:r w:rsidRPr="00004BDB">
        <w:rPr>
          <w:color w:val="000080"/>
          <w:sz w:val="20"/>
          <w:szCs w:val="20"/>
        </w:rPr>
        <w:tab/>
        <w:t>Preventative (P) or Detective (D) control</w:t>
      </w:r>
    </w:p>
    <w:p w14:paraId="53F64C5E" w14:textId="65098711" w:rsidR="00494392" w:rsidRPr="00004BDB" w:rsidRDefault="00494392" w:rsidP="00494392">
      <w:pPr>
        <w:autoSpaceDE w:val="0"/>
        <w:autoSpaceDN w:val="0"/>
        <w:adjustRightInd w:val="0"/>
        <w:spacing w:line="240" w:lineRule="atLeast"/>
        <w:rPr>
          <w:color w:val="000080"/>
          <w:sz w:val="20"/>
          <w:szCs w:val="20"/>
        </w:rPr>
      </w:pPr>
      <w:r w:rsidRPr="00004BDB">
        <w:rPr>
          <w:color w:val="000080"/>
          <w:sz w:val="20"/>
          <w:szCs w:val="20"/>
        </w:rPr>
        <w:t>(2)</w:t>
      </w:r>
      <w:r w:rsidRPr="00004BDB">
        <w:rPr>
          <w:color w:val="000080"/>
          <w:sz w:val="20"/>
          <w:szCs w:val="20"/>
        </w:rPr>
        <w:tab/>
        <w:t>Automated (A)</w:t>
      </w:r>
      <w:r w:rsidR="00AF6F7B">
        <w:rPr>
          <w:color w:val="000080"/>
          <w:sz w:val="20"/>
          <w:szCs w:val="20"/>
        </w:rPr>
        <w:t>,</w:t>
      </w:r>
      <w:r w:rsidRPr="00004BDB">
        <w:rPr>
          <w:color w:val="000080"/>
          <w:sz w:val="20"/>
          <w:szCs w:val="20"/>
        </w:rPr>
        <w:t xml:space="preserve"> Manual (M) </w:t>
      </w:r>
      <w:r w:rsidR="00AF6F7B">
        <w:rPr>
          <w:color w:val="000080"/>
          <w:sz w:val="20"/>
          <w:szCs w:val="20"/>
        </w:rPr>
        <w:t>or (ITD</w:t>
      </w:r>
      <w:r w:rsidR="00423BEA">
        <w:rPr>
          <w:color w:val="000080"/>
          <w:sz w:val="20"/>
          <w:szCs w:val="20"/>
        </w:rPr>
        <w:t>M</w:t>
      </w:r>
      <w:r w:rsidR="00AF6F7B">
        <w:rPr>
          <w:color w:val="000080"/>
          <w:sz w:val="20"/>
          <w:szCs w:val="20"/>
        </w:rPr>
        <w:t xml:space="preserve">) IT Dependent Manual </w:t>
      </w:r>
      <w:r w:rsidRPr="00004BDB">
        <w:rPr>
          <w:color w:val="000080"/>
          <w:sz w:val="20"/>
          <w:szCs w:val="20"/>
        </w:rPr>
        <w:t>control</w:t>
      </w:r>
    </w:p>
    <w:p w14:paraId="2ADC9F3F" w14:textId="77777777" w:rsidR="00B553E4" w:rsidRPr="00004BDB" w:rsidRDefault="00B553E4" w:rsidP="0039325E">
      <w:pPr>
        <w:rPr>
          <w:b/>
        </w:rPr>
      </w:pPr>
    </w:p>
    <w:p w14:paraId="6CD5F958" w14:textId="77777777" w:rsidR="009040D9" w:rsidRPr="00F402EF" w:rsidRDefault="009040D9" w:rsidP="0039325E">
      <w:pPr>
        <w:rPr>
          <w:b/>
          <w:color w:val="1F497D" w:themeColor="text2"/>
          <w:sz w:val="32"/>
          <w:szCs w:val="32"/>
        </w:rPr>
      </w:pPr>
      <w:r w:rsidRPr="00F402EF">
        <w:rPr>
          <w:b/>
          <w:color w:val="1F497D" w:themeColor="text2"/>
          <w:sz w:val="32"/>
          <w:szCs w:val="32"/>
        </w:rPr>
        <w:t xml:space="preserve">Process flow documentation </w:t>
      </w:r>
    </w:p>
    <w:p w14:paraId="67CB8D6B" w14:textId="398F74C3" w:rsidR="00B553E4" w:rsidRPr="00004BDB" w:rsidRDefault="00B755E5" w:rsidP="0039325E">
      <w:pPr>
        <w:rPr>
          <w:bCs/>
        </w:rPr>
      </w:pPr>
      <w:r w:rsidRPr="00004BDB">
        <w:rPr>
          <w:bCs/>
        </w:rPr>
        <w:t xml:space="preserve">In addition to the above matrix, the engagement teams utilizing the work of the </w:t>
      </w:r>
      <w:r w:rsidR="007C4847">
        <w:rPr>
          <w:bCs/>
        </w:rPr>
        <w:t>SSC</w:t>
      </w:r>
      <w:r w:rsidR="009D3528">
        <w:rPr>
          <w:bCs/>
        </w:rPr>
        <w:t xml:space="preserve"> audit team</w:t>
      </w:r>
      <w:r w:rsidR="009D3528" w:rsidRPr="00004BDB">
        <w:rPr>
          <w:bCs/>
        </w:rPr>
        <w:t xml:space="preserve"> </w:t>
      </w:r>
      <w:r w:rsidRPr="00004BDB">
        <w:rPr>
          <w:bCs/>
        </w:rPr>
        <w:t>obtain a copy of the documentation of the process flows (e.g.</w:t>
      </w:r>
      <w:r w:rsidR="009D3528">
        <w:rPr>
          <w:bCs/>
        </w:rPr>
        <w:t>,</w:t>
      </w:r>
      <w:r w:rsidRPr="00004BDB">
        <w:rPr>
          <w:bCs/>
        </w:rPr>
        <w:t xml:space="preserve"> flowcharts and or narratives) by either (</w:t>
      </w:r>
      <w:r w:rsidR="005E627A">
        <w:rPr>
          <w:bCs/>
        </w:rPr>
        <w:t>entity</w:t>
      </w:r>
      <w:r w:rsidR="005E627A" w:rsidRPr="00004BDB">
        <w:rPr>
          <w:bCs/>
        </w:rPr>
        <w:t xml:space="preserve"> </w:t>
      </w:r>
      <w:r w:rsidRPr="00004BDB">
        <w:rPr>
          <w:bCs/>
        </w:rPr>
        <w:t>consent required)</w:t>
      </w:r>
    </w:p>
    <w:p w14:paraId="06FD23CE" w14:textId="77777777" w:rsidR="00B755E5" w:rsidRPr="00004BDB" w:rsidRDefault="00B755E5" w:rsidP="00B755E5">
      <w:pPr>
        <w:numPr>
          <w:ilvl w:val="0"/>
          <w:numId w:val="8"/>
        </w:numPr>
        <w:rPr>
          <w:bCs/>
        </w:rPr>
      </w:pPr>
      <w:r w:rsidRPr="00004BDB">
        <w:rPr>
          <w:bCs/>
        </w:rPr>
        <w:t>Sharing the documentation directly with the appropriate teams via e-mail</w:t>
      </w:r>
    </w:p>
    <w:p w14:paraId="385358D3" w14:textId="77777777" w:rsidR="00B755E5" w:rsidRPr="00004BDB" w:rsidRDefault="00B755E5" w:rsidP="00B755E5">
      <w:pPr>
        <w:numPr>
          <w:ilvl w:val="0"/>
          <w:numId w:val="8"/>
        </w:numPr>
        <w:rPr>
          <w:bCs/>
        </w:rPr>
      </w:pPr>
      <w:r w:rsidRPr="00004BDB">
        <w:rPr>
          <w:bCs/>
        </w:rPr>
        <w:t xml:space="preserve">Sharing the documentation directly with the appropriate teams via a </w:t>
      </w:r>
      <w:r w:rsidR="008E1EE0">
        <w:rPr>
          <w:bCs/>
        </w:rPr>
        <w:t>TeamMate</w:t>
      </w:r>
      <w:r w:rsidRPr="00004BDB">
        <w:rPr>
          <w:bCs/>
        </w:rPr>
        <w:t xml:space="preserve"> Transport</w:t>
      </w:r>
      <w:r w:rsidR="008E1EE0">
        <w:rPr>
          <w:bCs/>
        </w:rPr>
        <w:t xml:space="preserve"> </w:t>
      </w:r>
      <w:r w:rsidRPr="00004BDB">
        <w:rPr>
          <w:bCs/>
        </w:rPr>
        <w:t>file</w:t>
      </w:r>
    </w:p>
    <w:p w14:paraId="708358F6" w14:textId="77777777" w:rsidR="00B755E5" w:rsidRPr="00004BDB" w:rsidRDefault="00B755E5" w:rsidP="00B755E5">
      <w:pPr>
        <w:numPr>
          <w:ilvl w:val="0"/>
          <w:numId w:val="8"/>
        </w:numPr>
        <w:rPr>
          <w:bCs/>
        </w:rPr>
      </w:pPr>
      <w:r w:rsidRPr="00004BDB">
        <w:rPr>
          <w:bCs/>
        </w:rPr>
        <w:t xml:space="preserve">Sharing the documentation by incorporating it into the </w:t>
      </w:r>
      <w:r w:rsidR="009D3528">
        <w:rPr>
          <w:bCs/>
        </w:rPr>
        <w:t xml:space="preserve">Memorandum of Examination (Appendix </w:t>
      </w:r>
      <w:r w:rsidR="000C633D" w:rsidRPr="00423BEA">
        <w:rPr>
          <w:b/>
          <w:bCs/>
        </w:rPr>
        <w:t>K</w:t>
      </w:r>
      <w:r w:rsidR="009D3528">
        <w:rPr>
          <w:bCs/>
        </w:rPr>
        <w:t>)</w:t>
      </w:r>
    </w:p>
    <w:p w14:paraId="79F8CC0D" w14:textId="77777777" w:rsidR="009040D9" w:rsidRPr="00004BDB" w:rsidRDefault="009040D9" w:rsidP="0039325E">
      <w:pPr>
        <w:rPr>
          <w:b/>
        </w:rPr>
      </w:pPr>
    </w:p>
    <w:p w14:paraId="58B90422" w14:textId="77777777" w:rsidR="009040D9" w:rsidRPr="00F402EF" w:rsidRDefault="009040D9" w:rsidP="0039325E">
      <w:pPr>
        <w:rPr>
          <w:b/>
          <w:color w:val="1F497D" w:themeColor="text2"/>
          <w:sz w:val="32"/>
          <w:szCs w:val="32"/>
        </w:rPr>
      </w:pPr>
      <w:r w:rsidRPr="00F402EF">
        <w:rPr>
          <w:b/>
          <w:color w:val="1F497D" w:themeColor="text2"/>
          <w:sz w:val="32"/>
          <w:szCs w:val="32"/>
        </w:rPr>
        <w:t>IT System documentation</w:t>
      </w:r>
    </w:p>
    <w:p w14:paraId="4CE07E78" w14:textId="77777777" w:rsidR="009040D9" w:rsidRPr="00004BDB" w:rsidRDefault="009040D9" w:rsidP="0039325E">
      <w:pPr>
        <w:rPr>
          <w:bCs/>
        </w:rPr>
      </w:pPr>
      <w:r w:rsidRPr="00004BDB">
        <w:rPr>
          <w:bCs/>
        </w:rPr>
        <w:t xml:space="preserve">Make sure to share the complete inventory of IT Systems and instances that are </w:t>
      </w:r>
      <w:r w:rsidR="009D3528">
        <w:rPr>
          <w:bCs/>
        </w:rPr>
        <w:t>relevant to</w:t>
      </w:r>
      <w:r w:rsidRPr="00004BDB">
        <w:rPr>
          <w:bCs/>
        </w:rPr>
        <w:t xml:space="preserve"> the above processes. </w:t>
      </w:r>
    </w:p>
    <w:p w14:paraId="5B608D92" w14:textId="77777777" w:rsidR="009040D9" w:rsidRPr="00004BDB" w:rsidRDefault="009040D9" w:rsidP="0039325E">
      <w:pPr>
        <w:rPr>
          <w:bCs/>
        </w:rPr>
      </w:pPr>
    </w:p>
    <w:p w14:paraId="2223FAEC" w14:textId="4F7F31A8" w:rsidR="009040D9" w:rsidRPr="00F402EF" w:rsidRDefault="009040D9" w:rsidP="0039325E">
      <w:pPr>
        <w:rPr>
          <w:b/>
          <w:color w:val="1F497D" w:themeColor="text2"/>
          <w:sz w:val="32"/>
          <w:szCs w:val="32"/>
        </w:rPr>
      </w:pPr>
      <w:r w:rsidRPr="00F402EF">
        <w:rPr>
          <w:b/>
          <w:color w:val="1F497D" w:themeColor="text2"/>
          <w:sz w:val="32"/>
          <w:szCs w:val="32"/>
        </w:rPr>
        <w:t xml:space="preserve">Recognition of what are considered </w:t>
      </w:r>
      <w:r w:rsidR="002A7705" w:rsidRPr="00F402EF">
        <w:rPr>
          <w:b/>
          <w:color w:val="1F497D" w:themeColor="text2"/>
          <w:sz w:val="32"/>
          <w:szCs w:val="32"/>
        </w:rPr>
        <w:t>selected relevant</w:t>
      </w:r>
      <w:r w:rsidRPr="00F402EF">
        <w:rPr>
          <w:b/>
          <w:color w:val="1F497D" w:themeColor="text2"/>
          <w:sz w:val="32"/>
          <w:szCs w:val="32"/>
        </w:rPr>
        <w:t xml:space="preserve"> controls in scope for the internal control agreed upon procedures work</w:t>
      </w:r>
    </w:p>
    <w:p w14:paraId="595E0441" w14:textId="362AD3C4" w:rsidR="00F56FC5" w:rsidRPr="0013710F" w:rsidRDefault="009040D9" w:rsidP="0013710F">
      <w:r w:rsidRPr="00004BDB">
        <w:t xml:space="preserve">Through unique identifiers, the </w:t>
      </w:r>
      <w:r w:rsidR="002A7705">
        <w:t>selected relevant</w:t>
      </w:r>
      <w:r w:rsidRPr="00004BDB">
        <w:t xml:space="preserve"> controls that are subject to testing by the </w:t>
      </w:r>
      <w:r w:rsidR="007C4847">
        <w:t>SSC</w:t>
      </w:r>
      <w:r w:rsidRPr="00004BDB">
        <w:t xml:space="preserve"> for the purpose of each of the constituent audit teams, </w:t>
      </w:r>
      <w:r w:rsidR="002A7705">
        <w:t>need to</w:t>
      </w:r>
      <w:r w:rsidRPr="00004BDB">
        <w:t xml:space="preserve"> be clearly identified in </w:t>
      </w:r>
      <w:r w:rsidR="007C4847">
        <w:t xml:space="preserve">the </w:t>
      </w:r>
      <w:r w:rsidRPr="00004BDB">
        <w:t xml:space="preserve">above documentation. </w:t>
      </w:r>
      <w:r w:rsidR="00B553E4">
        <w:rPr>
          <w:b/>
        </w:rPr>
        <w:br w:type="page"/>
      </w:r>
      <w:r w:rsidR="00F56FC5" w:rsidRPr="009A405C">
        <w:rPr>
          <w:rStyle w:val="Style2Car"/>
        </w:rPr>
        <w:t xml:space="preserve">Appendix </w:t>
      </w:r>
      <w:r w:rsidR="00B553E4" w:rsidRPr="009A405C">
        <w:rPr>
          <w:rStyle w:val="Style2Car"/>
        </w:rPr>
        <w:t>B</w:t>
      </w:r>
      <w:r w:rsidR="009A405C" w:rsidRPr="009A405C">
        <w:rPr>
          <w:rFonts w:ascii="Georgia" w:hAnsi="Georgia" w:cs="Times New Roman"/>
          <w:sz w:val="56"/>
          <w:szCs w:val="56"/>
        </w:rPr>
        <w:t>—</w:t>
      </w:r>
      <w:r w:rsidR="00AF6F7B" w:rsidRPr="009A405C">
        <w:rPr>
          <w:rStyle w:val="Style2Car"/>
        </w:rPr>
        <w:t>Group-wide</w:t>
      </w:r>
      <w:r w:rsidR="00AF6F7B" w:rsidRPr="0013710F">
        <w:rPr>
          <w:rStyle w:val="Style2Car"/>
        </w:rPr>
        <w:t xml:space="preserve"> c</w:t>
      </w:r>
      <w:r w:rsidR="00802258" w:rsidRPr="0013710F">
        <w:rPr>
          <w:rStyle w:val="Style2Car"/>
        </w:rPr>
        <w:t xml:space="preserve">ontrols </w:t>
      </w:r>
      <w:r w:rsidR="00AF6F7B" w:rsidRPr="0013710F">
        <w:rPr>
          <w:rStyle w:val="Style2Car"/>
        </w:rPr>
        <w:t>t</w:t>
      </w:r>
      <w:r w:rsidR="00802258" w:rsidRPr="0013710F">
        <w:rPr>
          <w:rStyle w:val="Style2Car"/>
        </w:rPr>
        <w:t xml:space="preserve">esting </w:t>
      </w:r>
      <w:r w:rsidR="00AF6F7B" w:rsidRPr="0013710F">
        <w:rPr>
          <w:rStyle w:val="Style2Car"/>
        </w:rPr>
        <w:t>i</w:t>
      </w:r>
      <w:r w:rsidR="00802258" w:rsidRPr="0013710F">
        <w:rPr>
          <w:rStyle w:val="Style2Car"/>
        </w:rPr>
        <w:t xml:space="preserve">nstructions </w:t>
      </w:r>
      <w:r w:rsidR="00E13DAA" w:rsidRPr="0013710F">
        <w:rPr>
          <w:rStyle w:val="Style2Car"/>
        </w:rPr>
        <w:t>(</w:t>
      </w:r>
      <w:r w:rsidR="009D3528" w:rsidRPr="0013710F">
        <w:rPr>
          <w:rStyle w:val="Style2Car"/>
        </w:rPr>
        <w:t>illustrative e</w:t>
      </w:r>
      <w:r w:rsidR="00E13DAA" w:rsidRPr="0013710F">
        <w:rPr>
          <w:rStyle w:val="Style2Car"/>
        </w:rPr>
        <w:t>xample)</w:t>
      </w:r>
      <w:r w:rsidR="00F56FC5" w:rsidRPr="0013710F">
        <w:br/>
      </w:r>
    </w:p>
    <w:p w14:paraId="06D60743" w14:textId="77777777" w:rsidR="00B65C76" w:rsidRDefault="00B65C76" w:rsidP="00B65C76">
      <w:pPr>
        <w:pStyle w:val="BodyText"/>
        <w:rPr>
          <w:noProof w:val="0"/>
          <w:color w:val="auto"/>
        </w:rPr>
      </w:pPr>
      <w:r w:rsidRPr="00B65C76">
        <w:rPr>
          <w:noProof w:val="0"/>
          <w:color w:val="auto"/>
        </w:rPr>
        <w:t>Consider relevant control activities performed at a business process level (process-wide considerations) when evaluating transaction level and direct group-wide level controls over a process. Process-wide considerations relate to topics such as:</w:t>
      </w:r>
    </w:p>
    <w:p w14:paraId="5BE13A0E" w14:textId="77777777" w:rsidR="00B65C76" w:rsidRPr="00B65C76" w:rsidRDefault="00B65C76" w:rsidP="00B65C76">
      <w:pPr>
        <w:pStyle w:val="BodyText"/>
        <w:rPr>
          <w:noProof w:val="0"/>
          <w:color w:val="auto"/>
        </w:rPr>
      </w:pPr>
    </w:p>
    <w:p w14:paraId="6A7D0513" w14:textId="77777777" w:rsidR="00B65C76" w:rsidRPr="00B65C76" w:rsidRDefault="00B65C76" w:rsidP="00B65C76">
      <w:pPr>
        <w:pStyle w:val="ListBullet"/>
        <w:numPr>
          <w:ilvl w:val="0"/>
          <w:numId w:val="47"/>
        </w:numPr>
        <w:ind w:left="360" w:hanging="360"/>
        <w:rPr>
          <w:rFonts w:ascii="Times New Roman" w:eastAsia="Times New Roman" w:hAnsi="Times New Roman" w:cs="Angsana New"/>
          <w:sz w:val="24"/>
          <w:szCs w:val="24"/>
        </w:rPr>
      </w:pPr>
      <w:r w:rsidRPr="00B65C76">
        <w:rPr>
          <w:rFonts w:ascii="Times New Roman" w:eastAsia="Times New Roman" w:hAnsi="Times New Roman" w:cs="Angsana New"/>
          <w:sz w:val="24"/>
          <w:szCs w:val="24"/>
        </w:rPr>
        <w:t>Controls over standing data</w:t>
      </w:r>
    </w:p>
    <w:p w14:paraId="59388982" w14:textId="77777777" w:rsidR="00B65C76" w:rsidRPr="00B65C76" w:rsidRDefault="00B65C76" w:rsidP="00B65C76">
      <w:pPr>
        <w:pStyle w:val="ListBullet"/>
        <w:numPr>
          <w:ilvl w:val="0"/>
          <w:numId w:val="47"/>
        </w:numPr>
        <w:ind w:left="360" w:hanging="360"/>
        <w:rPr>
          <w:rFonts w:ascii="Times New Roman" w:eastAsia="Times New Roman" w:hAnsi="Times New Roman" w:cs="Angsana New"/>
          <w:sz w:val="24"/>
          <w:szCs w:val="24"/>
        </w:rPr>
      </w:pPr>
      <w:r w:rsidRPr="00B65C76">
        <w:rPr>
          <w:rFonts w:ascii="Times New Roman" w:eastAsia="Times New Roman" w:hAnsi="Times New Roman" w:cs="Angsana New"/>
          <w:sz w:val="24"/>
          <w:szCs w:val="24"/>
        </w:rPr>
        <w:t>Controls over end-user computer tools, such as spreadsheets</w:t>
      </w:r>
    </w:p>
    <w:p w14:paraId="690037BC" w14:textId="77777777" w:rsidR="00B65C76" w:rsidRPr="00B65C76" w:rsidRDefault="00B65C76" w:rsidP="00B65C76">
      <w:pPr>
        <w:pStyle w:val="ListBullet"/>
        <w:numPr>
          <w:ilvl w:val="0"/>
          <w:numId w:val="47"/>
        </w:numPr>
        <w:ind w:left="360" w:hanging="360"/>
        <w:rPr>
          <w:rFonts w:ascii="Times New Roman" w:eastAsia="Times New Roman" w:hAnsi="Times New Roman" w:cs="Angsana New"/>
          <w:sz w:val="24"/>
          <w:szCs w:val="24"/>
        </w:rPr>
      </w:pPr>
      <w:r w:rsidRPr="00B65C76">
        <w:rPr>
          <w:rFonts w:ascii="Times New Roman" w:eastAsia="Times New Roman" w:hAnsi="Times New Roman" w:cs="Angsana New"/>
          <w:sz w:val="24"/>
          <w:szCs w:val="24"/>
        </w:rPr>
        <w:t>Management's review of access rights</w:t>
      </w:r>
    </w:p>
    <w:p w14:paraId="48671CA2" w14:textId="77777777" w:rsidR="00B65C76" w:rsidRPr="00B65C76" w:rsidRDefault="00B65C76" w:rsidP="00B65C76">
      <w:pPr>
        <w:pStyle w:val="ListBullet"/>
        <w:numPr>
          <w:ilvl w:val="0"/>
          <w:numId w:val="47"/>
        </w:numPr>
        <w:ind w:left="360" w:hanging="360"/>
        <w:rPr>
          <w:rFonts w:ascii="Times New Roman" w:eastAsia="Times New Roman" w:hAnsi="Times New Roman" w:cs="Angsana New"/>
          <w:sz w:val="24"/>
          <w:szCs w:val="24"/>
        </w:rPr>
      </w:pPr>
      <w:r w:rsidRPr="00B65C76">
        <w:rPr>
          <w:rFonts w:ascii="Times New Roman" w:eastAsia="Times New Roman" w:hAnsi="Times New Roman" w:cs="Angsana New"/>
          <w:sz w:val="24"/>
          <w:szCs w:val="24"/>
        </w:rPr>
        <w:t>Segregation of duties</w:t>
      </w:r>
    </w:p>
    <w:p w14:paraId="36C25DED" w14:textId="77777777" w:rsidR="00B65C76" w:rsidRPr="00B65C76" w:rsidRDefault="00B65C76" w:rsidP="00B65C76">
      <w:pPr>
        <w:pStyle w:val="ListBullet"/>
        <w:numPr>
          <w:ilvl w:val="0"/>
          <w:numId w:val="47"/>
        </w:numPr>
        <w:ind w:left="360" w:hanging="360"/>
        <w:rPr>
          <w:rFonts w:ascii="Times New Roman" w:eastAsia="Times New Roman" w:hAnsi="Times New Roman" w:cs="Angsana New"/>
          <w:sz w:val="24"/>
          <w:szCs w:val="24"/>
        </w:rPr>
      </w:pPr>
      <w:r w:rsidRPr="00B65C76">
        <w:rPr>
          <w:rFonts w:ascii="Times New Roman" w:eastAsia="Times New Roman" w:hAnsi="Times New Roman" w:cs="Angsana New"/>
          <w:sz w:val="24"/>
          <w:szCs w:val="24"/>
        </w:rPr>
        <w:t>System postings (based on pre-defined accounts mapping)</w:t>
      </w:r>
    </w:p>
    <w:p w14:paraId="599A163A" w14:textId="77777777" w:rsidR="00B65C76" w:rsidRPr="00B65C76" w:rsidRDefault="00B65C76" w:rsidP="00B65C76">
      <w:pPr>
        <w:pStyle w:val="ListBullet"/>
        <w:numPr>
          <w:ilvl w:val="0"/>
          <w:numId w:val="47"/>
        </w:numPr>
        <w:ind w:left="360" w:hanging="360"/>
        <w:rPr>
          <w:rFonts w:ascii="Times New Roman" w:eastAsia="Times New Roman" w:hAnsi="Times New Roman" w:cs="Angsana New"/>
          <w:sz w:val="24"/>
          <w:szCs w:val="24"/>
        </w:rPr>
      </w:pPr>
      <w:r w:rsidRPr="00B65C76">
        <w:rPr>
          <w:rFonts w:ascii="Times New Roman" w:eastAsia="Times New Roman" w:hAnsi="Times New Roman" w:cs="Angsana New"/>
          <w:sz w:val="24"/>
          <w:szCs w:val="24"/>
        </w:rPr>
        <w:t>Use of service organizations, including controls over inputs and outputs</w:t>
      </w:r>
    </w:p>
    <w:p w14:paraId="075393B4" w14:textId="77777777" w:rsidR="00B65C76" w:rsidRPr="00B65C76" w:rsidRDefault="00B65C76" w:rsidP="00B65C76">
      <w:pPr>
        <w:pStyle w:val="BodyText"/>
        <w:rPr>
          <w:noProof w:val="0"/>
          <w:color w:val="auto"/>
        </w:rPr>
      </w:pPr>
      <w:r w:rsidRPr="00B65C76">
        <w:rPr>
          <w:noProof w:val="0"/>
          <w:color w:val="auto"/>
        </w:rPr>
        <w:t>Remember that process-wide considerations are generally applicable to multiple sub-processes</w:t>
      </w:r>
      <w:r>
        <w:rPr>
          <w:noProof w:val="0"/>
          <w:color w:val="auto"/>
        </w:rPr>
        <w:t xml:space="preserve"> </w:t>
      </w:r>
      <w:r w:rsidRPr="00B65C76">
        <w:rPr>
          <w:noProof w:val="0"/>
          <w:color w:val="auto"/>
        </w:rPr>
        <w:t>within a process.</w:t>
      </w:r>
    </w:p>
    <w:p w14:paraId="2C5611B2" w14:textId="77777777" w:rsidR="00B65C76" w:rsidRDefault="00B65C76" w:rsidP="0039325E">
      <w:pPr>
        <w:rPr>
          <w:b/>
        </w:rPr>
      </w:pPr>
    </w:p>
    <w:p w14:paraId="7CF1A111" w14:textId="16DB099B" w:rsidR="0039325E" w:rsidRPr="00F402EF" w:rsidRDefault="0039325E" w:rsidP="0039325E">
      <w:pPr>
        <w:rPr>
          <w:b/>
          <w:color w:val="1F497D" w:themeColor="text2"/>
          <w:sz w:val="32"/>
          <w:szCs w:val="32"/>
        </w:rPr>
      </w:pPr>
      <w:r w:rsidRPr="00F402EF">
        <w:rPr>
          <w:b/>
          <w:color w:val="1F497D" w:themeColor="text2"/>
          <w:sz w:val="32"/>
          <w:szCs w:val="32"/>
        </w:rPr>
        <w:t xml:space="preserve">Specific testing of </w:t>
      </w:r>
      <w:r w:rsidR="00AF6F7B" w:rsidRPr="00F402EF">
        <w:rPr>
          <w:b/>
          <w:color w:val="1F497D" w:themeColor="text2"/>
          <w:sz w:val="32"/>
          <w:szCs w:val="32"/>
        </w:rPr>
        <w:t>group-wide</w:t>
      </w:r>
      <w:r w:rsidR="008E1EE0" w:rsidRPr="00F402EF">
        <w:rPr>
          <w:b/>
          <w:color w:val="1F497D" w:themeColor="text2"/>
          <w:sz w:val="32"/>
          <w:szCs w:val="32"/>
        </w:rPr>
        <w:t xml:space="preserve"> </w:t>
      </w:r>
      <w:r w:rsidR="00AF6F7B" w:rsidRPr="00F402EF">
        <w:rPr>
          <w:b/>
          <w:color w:val="1F497D" w:themeColor="text2"/>
          <w:sz w:val="32"/>
          <w:szCs w:val="32"/>
        </w:rPr>
        <w:t>c</w:t>
      </w:r>
      <w:r w:rsidR="008E1EE0" w:rsidRPr="00F402EF">
        <w:rPr>
          <w:b/>
          <w:color w:val="1F497D" w:themeColor="text2"/>
          <w:sz w:val="32"/>
          <w:szCs w:val="32"/>
        </w:rPr>
        <w:t>ontrols</w:t>
      </w:r>
      <w:r w:rsidRPr="00F402EF">
        <w:rPr>
          <w:b/>
          <w:color w:val="1F497D" w:themeColor="text2"/>
          <w:sz w:val="32"/>
          <w:szCs w:val="32"/>
        </w:rPr>
        <w:t xml:space="preserve"> </w:t>
      </w:r>
    </w:p>
    <w:p w14:paraId="5CBD0D59" w14:textId="055ED2D1" w:rsidR="0039325E" w:rsidRDefault="00BA7F61" w:rsidP="0039325E">
      <w:r>
        <w:t xml:space="preserve">Note that the </w:t>
      </w:r>
      <w:r w:rsidR="00B65C76">
        <w:t>Group-wide</w:t>
      </w:r>
      <w:r w:rsidR="008E1EE0">
        <w:t xml:space="preserve"> Control</w:t>
      </w:r>
      <w:r>
        <w:t xml:space="preserve"> testing performed will be applicable and relevant for all group and </w:t>
      </w:r>
      <w:r w:rsidR="007C4847">
        <w:t xml:space="preserve">component </w:t>
      </w:r>
      <w:r>
        <w:t xml:space="preserve">statutory audit teams. </w:t>
      </w:r>
      <w:r w:rsidR="002C0E9D">
        <w:t xml:space="preserve">We will perform </w:t>
      </w:r>
      <w:r w:rsidR="0039325E">
        <w:t xml:space="preserve">tests of </w:t>
      </w:r>
      <w:r w:rsidR="006D2BE5">
        <w:t>Group-wide</w:t>
      </w:r>
      <w:r w:rsidR="008E1EE0">
        <w:t xml:space="preserve"> controls</w:t>
      </w:r>
      <w:r w:rsidR="0039325E">
        <w:t xml:space="preserve"> as follows</w:t>
      </w:r>
      <w:r w:rsidR="00000AC0">
        <w:t>:</w:t>
      </w:r>
      <w:r w:rsidR="00E13DAA">
        <w:br/>
      </w:r>
    </w:p>
    <w:tbl>
      <w:tblPr>
        <w:tblW w:w="5000" w:type="pct"/>
        <w:tblInd w:w="108" w:type="dxa"/>
        <w:tblLook w:val="01E0" w:firstRow="1" w:lastRow="1" w:firstColumn="1" w:lastColumn="1" w:noHBand="0" w:noVBand="0"/>
      </w:tblPr>
      <w:tblGrid>
        <w:gridCol w:w="6198"/>
        <w:gridCol w:w="2986"/>
      </w:tblGrid>
      <w:tr w:rsidR="002D174D" w:rsidRPr="007D44DA" w14:paraId="47F959A9" w14:textId="77777777" w:rsidTr="009A405C">
        <w:trPr>
          <w:tblHeader/>
        </w:trPr>
        <w:tc>
          <w:tcPr>
            <w:tcW w:w="5508" w:type="dxa"/>
            <w:shd w:val="clear" w:color="auto" w:fill="1F497D" w:themeFill="text2"/>
          </w:tcPr>
          <w:p w14:paraId="6E6D9D34" w14:textId="77777777" w:rsidR="002D174D" w:rsidRPr="00F402EF" w:rsidRDefault="002D174D" w:rsidP="00FA57D4">
            <w:pPr>
              <w:pStyle w:val="TableTitleArial"/>
              <w:rPr>
                <w:rFonts w:ascii="Times New Roman" w:hAnsi="Times New Roman" w:cs="Times New Roman"/>
                <w:b/>
                <w:color w:val="FFFFFF" w:themeColor="background1"/>
                <w:sz w:val="24"/>
                <w:szCs w:val="24"/>
              </w:rPr>
            </w:pPr>
            <w:r w:rsidRPr="00F402EF">
              <w:rPr>
                <w:rFonts w:ascii="Times New Roman" w:hAnsi="Times New Roman" w:cs="Times New Roman"/>
                <w:b/>
                <w:color w:val="FFFFFF" w:themeColor="background1"/>
                <w:sz w:val="24"/>
                <w:szCs w:val="24"/>
              </w:rPr>
              <w:t>Procedure</w:t>
            </w:r>
          </w:p>
        </w:tc>
        <w:tc>
          <w:tcPr>
            <w:tcW w:w="2654" w:type="dxa"/>
            <w:shd w:val="clear" w:color="auto" w:fill="1F497D" w:themeFill="text2"/>
          </w:tcPr>
          <w:p w14:paraId="7E34BB10" w14:textId="77777777" w:rsidR="002D174D" w:rsidRPr="00F402EF" w:rsidRDefault="002D174D" w:rsidP="00FA57D4">
            <w:pPr>
              <w:pStyle w:val="TableTitleArial"/>
              <w:rPr>
                <w:rFonts w:ascii="Times New Roman" w:hAnsi="Times New Roman" w:cs="Times New Roman"/>
                <w:b/>
                <w:color w:val="FFFFFF" w:themeColor="background1"/>
                <w:sz w:val="24"/>
                <w:szCs w:val="24"/>
              </w:rPr>
            </w:pPr>
            <w:r w:rsidRPr="00F402EF">
              <w:rPr>
                <w:rFonts w:ascii="Times New Roman" w:hAnsi="Times New Roman" w:cs="Times New Roman"/>
                <w:b/>
                <w:color w:val="FFFFFF" w:themeColor="background1"/>
                <w:sz w:val="24"/>
                <w:szCs w:val="24"/>
              </w:rPr>
              <w:t>Results of testing</w:t>
            </w:r>
          </w:p>
        </w:tc>
      </w:tr>
      <w:tr w:rsidR="002D174D" w:rsidRPr="007D44DA" w14:paraId="0584DB25" w14:textId="77777777" w:rsidTr="00F402EF">
        <w:tc>
          <w:tcPr>
            <w:tcW w:w="5508" w:type="dxa"/>
            <w:tcBorders>
              <w:bottom w:val="single" w:sz="4" w:space="0" w:color="1F497D" w:themeColor="text2"/>
            </w:tcBorders>
            <w:shd w:val="clear" w:color="auto" w:fill="D9D9D9" w:themeFill="background1" w:themeFillShade="D9"/>
          </w:tcPr>
          <w:p w14:paraId="43F1842F" w14:textId="77777777" w:rsidR="002D174D" w:rsidRPr="00F402EF" w:rsidRDefault="002D174D" w:rsidP="00FA57D4">
            <w:pPr>
              <w:pStyle w:val="TableTextArial"/>
              <w:rPr>
                <w:rFonts w:ascii="Times New Roman" w:hAnsi="Times New Roman" w:cs="Times New Roman"/>
                <w:sz w:val="24"/>
                <w:szCs w:val="24"/>
              </w:rPr>
            </w:pPr>
          </w:p>
        </w:tc>
        <w:tc>
          <w:tcPr>
            <w:tcW w:w="2654" w:type="dxa"/>
            <w:tcBorders>
              <w:bottom w:val="single" w:sz="4" w:space="0" w:color="1F497D" w:themeColor="text2"/>
            </w:tcBorders>
            <w:shd w:val="clear" w:color="auto" w:fill="D9D9D9" w:themeFill="background1" w:themeFillShade="D9"/>
          </w:tcPr>
          <w:p w14:paraId="2368C61C" w14:textId="77777777" w:rsidR="002D174D" w:rsidRPr="00F402EF" w:rsidRDefault="002D174D" w:rsidP="00FA57D4">
            <w:pPr>
              <w:pStyle w:val="TableTextArial"/>
              <w:rPr>
                <w:rFonts w:ascii="Times New Roman" w:hAnsi="Times New Roman" w:cs="Times New Roman"/>
                <w:sz w:val="24"/>
                <w:szCs w:val="24"/>
              </w:rPr>
            </w:pPr>
          </w:p>
        </w:tc>
      </w:tr>
      <w:tr w:rsidR="002D174D" w:rsidRPr="007D44DA" w14:paraId="3AC0621F" w14:textId="77777777" w:rsidTr="00F402EF">
        <w:tc>
          <w:tcPr>
            <w:tcW w:w="5508" w:type="dxa"/>
            <w:tcBorders>
              <w:top w:val="single" w:sz="4" w:space="0" w:color="1F497D" w:themeColor="text2"/>
              <w:bottom w:val="single" w:sz="4" w:space="0" w:color="1F497D" w:themeColor="text2"/>
            </w:tcBorders>
            <w:shd w:val="clear" w:color="auto" w:fill="D9D9D9" w:themeFill="background1" w:themeFillShade="D9"/>
          </w:tcPr>
          <w:p w14:paraId="54D7CC0B" w14:textId="77777777" w:rsidR="002D174D" w:rsidRPr="00F402EF" w:rsidDel="008E51B9" w:rsidRDefault="002D174D" w:rsidP="00FA57D4">
            <w:pPr>
              <w:pStyle w:val="TableTextArial"/>
              <w:rPr>
                <w:rFonts w:ascii="Times New Roman" w:hAnsi="Times New Roman" w:cs="Times New Roman"/>
                <w:sz w:val="24"/>
                <w:szCs w:val="24"/>
              </w:rPr>
            </w:pPr>
          </w:p>
        </w:tc>
        <w:tc>
          <w:tcPr>
            <w:tcW w:w="2654" w:type="dxa"/>
            <w:tcBorders>
              <w:top w:val="single" w:sz="4" w:space="0" w:color="1F497D" w:themeColor="text2"/>
              <w:bottom w:val="single" w:sz="4" w:space="0" w:color="1F497D" w:themeColor="text2"/>
            </w:tcBorders>
            <w:shd w:val="clear" w:color="auto" w:fill="D9D9D9" w:themeFill="background1" w:themeFillShade="D9"/>
          </w:tcPr>
          <w:p w14:paraId="75BBA546" w14:textId="77777777" w:rsidR="002D174D" w:rsidRPr="00F402EF" w:rsidRDefault="002D174D" w:rsidP="00FA57D4">
            <w:pPr>
              <w:pStyle w:val="TableTextArial"/>
              <w:rPr>
                <w:rFonts w:ascii="Times New Roman" w:hAnsi="Times New Roman" w:cs="Times New Roman"/>
                <w:sz w:val="24"/>
                <w:szCs w:val="24"/>
              </w:rPr>
            </w:pPr>
          </w:p>
        </w:tc>
      </w:tr>
      <w:tr w:rsidR="002D174D" w:rsidRPr="007D44DA" w14:paraId="731BA2E7" w14:textId="77777777" w:rsidTr="00F402EF">
        <w:tc>
          <w:tcPr>
            <w:tcW w:w="5508" w:type="dxa"/>
            <w:tcBorders>
              <w:top w:val="single" w:sz="4" w:space="0" w:color="1F497D" w:themeColor="text2"/>
              <w:bottom w:val="single" w:sz="4" w:space="0" w:color="1F497D" w:themeColor="text2"/>
            </w:tcBorders>
            <w:shd w:val="clear" w:color="auto" w:fill="D9D9D9" w:themeFill="background1" w:themeFillShade="D9"/>
          </w:tcPr>
          <w:p w14:paraId="01810420" w14:textId="77777777" w:rsidR="002D174D" w:rsidRPr="00F402EF" w:rsidDel="008E51B9" w:rsidRDefault="002D174D" w:rsidP="00FA57D4">
            <w:pPr>
              <w:pStyle w:val="TableTextArial"/>
              <w:rPr>
                <w:rFonts w:ascii="Times New Roman" w:hAnsi="Times New Roman" w:cs="Times New Roman"/>
                <w:sz w:val="24"/>
                <w:szCs w:val="24"/>
              </w:rPr>
            </w:pPr>
          </w:p>
        </w:tc>
        <w:tc>
          <w:tcPr>
            <w:tcW w:w="2654" w:type="dxa"/>
            <w:tcBorders>
              <w:top w:val="single" w:sz="4" w:space="0" w:color="1F497D" w:themeColor="text2"/>
              <w:bottom w:val="single" w:sz="4" w:space="0" w:color="1F497D" w:themeColor="text2"/>
            </w:tcBorders>
            <w:shd w:val="clear" w:color="auto" w:fill="D9D9D9" w:themeFill="background1" w:themeFillShade="D9"/>
          </w:tcPr>
          <w:p w14:paraId="4D87F054" w14:textId="77777777" w:rsidR="002D174D" w:rsidRPr="00F402EF" w:rsidRDefault="002D174D" w:rsidP="00FA57D4">
            <w:pPr>
              <w:pStyle w:val="TableTextArial"/>
              <w:rPr>
                <w:rFonts w:ascii="Times New Roman" w:hAnsi="Times New Roman" w:cs="Times New Roman"/>
                <w:sz w:val="24"/>
                <w:szCs w:val="24"/>
              </w:rPr>
            </w:pPr>
          </w:p>
        </w:tc>
      </w:tr>
      <w:tr w:rsidR="002D174D" w:rsidRPr="007D44DA" w14:paraId="723A4569" w14:textId="77777777" w:rsidTr="00F402EF">
        <w:tc>
          <w:tcPr>
            <w:tcW w:w="5508" w:type="dxa"/>
            <w:tcBorders>
              <w:top w:val="single" w:sz="4" w:space="0" w:color="1F497D" w:themeColor="text2"/>
              <w:bottom w:val="single" w:sz="4" w:space="0" w:color="1F497D" w:themeColor="text2"/>
            </w:tcBorders>
            <w:shd w:val="clear" w:color="auto" w:fill="D9D9D9" w:themeFill="background1" w:themeFillShade="D9"/>
          </w:tcPr>
          <w:p w14:paraId="06455BCD" w14:textId="77777777" w:rsidR="002D174D" w:rsidRPr="00F402EF" w:rsidDel="008E51B9" w:rsidRDefault="002D174D" w:rsidP="00FA57D4">
            <w:pPr>
              <w:pStyle w:val="TableTextArial"/>
              <w:rPr>
                <w:rFonts w:ascii="Times New Roman" w:hAnsi="Times New Roman" w:cs="Times New Roman"/>
                <w:sz w:val="24"/>
                <w:szCs w:val="24"/>
              </w:rPr>
            </w:pPr>
          </w:p>
        </w:tc>
        <w:tc>
          <w:tcPr>
            <w:tcW w:w="2654" w:type="dxa"/>
            <w:tcBorders>
              <w:top w:val="single" w:sz="4" w:space="0" w:color="1F497D" w:themeColor="text2"/>
              <w:bottom w:val="single" w:sz="4" w:space="0" w:color="1F497D" w:themeColor="text2"/>
            </w:tcBorders>
            <w:shd w:val="clear" w:color="auto" w:fill="D9D9D9" w:themeFill="background1" w:themeFillShade="D9"/>
          </w:tcPr>
          <w:p w14:paraId="2DDF7FE5" w14:textId="77777777" w:rsidR="002D174D" w:rsidRPr="00F402EF" w:rsidRDefault="002D174D" w:rsidP="00FA57D4">
            <w:pPr>
              <w:pStyle w:val="TableTextArial"/>
              <w:rPr>
                <w:rFonts w:ascii="Times New Roman" w:hAnsi="Times New Roman" w:cs="Times New Roman"/>
                <w:sz w:val="24"/>
                <w:szCs w:val="24"/>
              </w:rPr>
            </w:pPr>
          </w:p>
        </w:tc>
      </w:tr>
    </w:tbl>
    <w:p w14:paraId="01F3BB96" w14:textId="77777777" w:rsidR="00E13DAA" w:rsidRDefault="00E13DAA" w:rsidP="00E13DAA"/>
    <w:p w14:paraId="7E701E63" w14:textId="72444543" w:rsidR="006E57DF" w:rsidRPr="006E57DF" w:rsidRDefault="006E57DF" w:rsidP="00F402EF">
      <w:pPr>
        <w:pStyle w:val="Style2"/>
        <w:rPr>
          <w:u w:val="single"/>
        </w:rPr>
      </w:pPr>
      <w:r>
        <w:br w:type="page"/>
      </w:r>
      <w:bookmarkStart w:id="5" w:name="_Toc9420922"/>
      <w:r w:rsidR="009A405C">
        <w:t>Appendix C—</w:t>
      </w:r>
      <w:r w:rsidR="008E3D48">
        <w:t>Independent testing</w:t>
      </w:r>
      <w:r w:rsidRPr="006E57DF">
        <w:t xml:space="preserve"> of management’s internal control</w:t>
      </w:r>
      <w:r w:rsidR="008E3D48">
        <w:t>s</w:t>
      </w:r>
      <w:r w:rsidR="009A405C">
        <w:t>—</w:t>
      </w:r>
      <w:r w:rsidR="00BA7F61">
        <w:t>Group</w:t>
      </w:r>
      <w:bookmarkEnd w:id="5"/>
    </w:p>
    <w:p w14:paraId="3D6963B9" w14:textId="77777777" w:rsidR="002D174D" w:rsidRDefault="002D174D" w:rsidP="006D2BE5">
      <w:pPr>
        <w:pStyle w:val="BodyText"/>
        <w:rPr>
          <w:noProof w:val="0"/>
          <w:color w:val="auto"/>
        </w:rPr>
      </w:pPr>
    </w:p>
    <w:p w14:paraId="0F237C7D" w14:textId="77777777" w:rsidR="002D174D" w:rsidRDefault="002D174D" w:rsidP="006D2BE5">
      <w:pPr>
        <w:pStyle w:val="BodyText"/>
        <w:rPr>
          <w:noProof w:val="0"/>
          <w:color w:val="auto"/>
        </w:rPr>
      </w:pPr>
    </w:p>
    <w:p w14:paraId="2E4AC550" w14:textId="77777777" w:rsidR="006D2BE5" w:rsidRDefault="006D2BE5" w:rsidP="006D2BE5">
      <w:pPr>
        <w:pStyle w:val="BodyText"/>
        <w:rPr>
          <w:noProof w:val="0"/>
          <w:color w:val="auto"/>
        </w:rPr>
      </w:pPr>
      <w:r w:rsidRPr="006D2BE5">
        <w:rPr>
          <w:noProof w:val="0"/>
          <w:color w:val="auto"/>
        </w:rPr>
        <w:t>Consider relevant control activities performed at a business process level (process-wide considerations) when evaluating transaction level and direct group-wide controls over a process (See above).</w:t>
      </w:r>
    </w:p>
    <w:p w14:paraId="0D3B6624" w14:textId="77777777" w:rsidR="002D174D" w:rsidRDefault="002D174D" w:rsidP="006D2BE5">
      <w:pPr>
        <w:pStyle w:val="BodyText"/>
        <w:rPr>
          <w:noProof w:val="0"/>
          <w:color w:val="auto"/>
        </w:rPr>
      </w:pPr>
    </w:p>
    <w:tbl>
      <w:tblPr>
        <w:tblW w:w="5000" w:type="pct"/>
        <w:tblLayout w:type="fixed"/>
        <w:tblLook w:val="01E0" w:firstRow="1" w:lastRow="1" w:firstColumn="1" w:lastColumn="1" w:noHBand="0" w:noVBand="0"/>
      </w:tblPr>
      <w:tblGrid>
        <w:gridCol w:w="2295"/>
        <w:gridCol w:w="2297"/>
        <w:gridCol w:w="2295"/>
        <w:gridCol w:w="2297"/>
      </w:tblGrid>
      <w:tr w:rsidR="002D174D" w:rsidRPr="007D44DA" w14:paraId="54CBFF7E" w14:textId="77777777" w:rsidTr="00F402EF">
        <w:trPr>
          <w:tblHeader/>
        </w:trPr>
        <w:tc>
          <w:tcPr>
            <w:tcW w:w="2076" w:type="dxa"/>
            <w:shd w:val="clear" w:color="auto" w:fill="1F497D" w:themeFill="text2"/>
          </w:tcPr>
          <w:p w14:paraId="47068C4D" w14:textId="77777777" w:rsidR="002D174D" w:rsidRPr="00F402EF" w:rsidRDefault="002D174D" w:rsidP="00FA57D4">
            <w:pPr>
              <w:pStyle w:val="TableTitleArial"/>
              <w:rPr>
                <w:rFonts w:ascii="Times New Roman" w:hAnsi="Times New Roman" w:cs="Times New Roman"/>
                <w:b/>
                <w:color w:val="EEECE1" w:themeColor="background2"/>
                <w:sz w:val="24"/>
                <w:szCs w:val="24"/>
              </w:rPr>
            </w:pPr>
            <w:r w:rsidRPr="00F402EF">
              <w:rPr>
                <w:rFonts w:ascii="Times New Roman" w:hAnsi="Times New Roman" w:cs="Times New Roman"/>
                <w:b/>
                <w:color w:val="EEECE1" w:themeColor="background2"/>
                <w:sz w:val="24"/>
                <w:szCs w:val="24"/>
              </w:rPr>
              <w:t>Location</w:t>
            </w:r>
          </w:p>
        </w:tc>
        <w:tc>
          <w:tcPr>
            <w:tcW w:w="2077" w:type="dxa"/>
            <w:shd w:val="clear" w:color="auto" w:fill="1F497D" w:themeFill="text2"/>
          </w:tcPr>
          <w:p w14:paraId="614135C5" w14:textId="77777777" w:rsidR="002D174D" w:rsidRPr="00F402EF" w:rsidRDefault="002D174D" w:rsidP="00FA57D4">
            <w:pPr>
              <w:pStyle w:val="TableTitleArial"/>
              <w:rPr>
                <w:rFonts w:ascii="Times New Roman" w:hAnsi="Times New Roman" w:cs="Times New Roman"/>
                <w:b/>
                <w:color w:val="EEECE1" w:themeColor="background2"/>
                <w:sz w:val="24"/>
                <w:szCs w:val="24"/>
              </w:rPr>
            </w:pPr>
            <w:r w:rsidRPr="00F402EF">
              <w:rPr>
                <w:rFonts w:ascii="Times New Roman" w:hAnsi="Times New Roman" w:cs="Times New Roman"/>
                <w:b/>
                <w:color w:val="EEECE1" w:themeColor="background2"/>
                <w:sz w:val="24"/>
                <w:szCs w:val="24"/>
              </w:rPr>
              <w:t>Process/control</w:t>
            </w:r>
          </w:p>
        </w:tc>
        <w:tc>
          <w:tcPr>
            <w:tcW w:w="2076" w:type="dxa"/>
            <w:shd w:val="clear" w:color="auto" w:fill="1F497D" w:themeFill="text2"/>
          </w:tcPr>
          <w:p w14:paraId="1DB8B191" w14:textId="77777777" w:rsidR="002D174D" w:rsidRPr="00F402EF" w:rsidRDefault="002D174D" w:rsidP="00FA57D4">
            <w:pPr>
              <w:pStyle w:val="TableTitleArial"/>
              <w:rPr>
                <w:rFonts w:ascii="Times New Roman" w:hAnsi="Times New Roman" w:cs="Times New Roman"/>
                <w:b/>
                <w:color w:val="EEECE1" w:themeColor="background2"/>
                <w:sz w:val="24"/>
                <w:szCs w:val="24"/>
              </w:rPr>
            </w:pPr>
            <w:r w:rsidRPr="00F402EF">
              <w:rPr>
                <w:rFonts w:ascii="Times New Roman" w:hAnsi="Times New Roman" w:cs="Times New Roman"/>
                <w:b/>
                <w:color w:val="EEECE1" w:themeColor="background2"/>
                <w:sz w:val="24"/>
                <w:szCs w:val="24"/>
              </w:rPr>
              <w:t>Operating effectiveness procedures performed</w:t>
            </w:r>
          </w:p>
        </w:tc>
        <w:tc>
          <w:tcPr>
            <w:tcW w:w="2077" w:type="dxa"/>
            <w:shd w:val="clear" w:color="auto" w:fill="1F497D" w:themeFill="text2"/>
          </w:tcPr>
          <w:p w14:paraId="5180C9D6" w14:textId="77777777" w:rsidR="002D174D" w:rsidRPr="00F402EF" w:rsidRDefault="002D174D" w:rsidP="00FA57D4">
            <w:pPr>
              <w:pStyle w:val="TableTitleArial"/>
              <w:rPr>
                <w:rFonts w:ascii="Times New Roman" w:hAnsi="Times New Roman" w:cs="Times New Roman"/>
                <w:b/>
                <w:color w:val="EEECE1" w:themeColor="background2"/>
                <w:sz w:val="24"/>
                <w:szCs w:val="24"/>
              </w:rPr>
            </w:pPr>
            <w:r w:rsidRPr="00F402EF">
              <w:rPr>
                <w:rFonts w:ascii="Times New Roman" w:hAnsi="Times New Roman" w:cs="Times New Roman"/>
                <w:b/>
                <w:color w:val="EEECE1" w:themeColor="background2"/>
                <w:sz w:val="24"/>
                <w:szCs w:val="24"/>
              </w:rPr>
              <w:t>Results of testing</w:t>
            </w:r>
          </w:p>
        </w:tc>
      </w:tr>
      <w:tr w:rsidR="002D174D" w:rsidRPr="007D44DA" w14:paraId="449B1D54" w14:textId="77777777" w:rsidTr="00F402EF">
        <w:tc>
          <w:tcPr>
            <w:tcW w:w="2076" w:type="dxa"/>
            <w:tcBorders>
              <w:bottom w:val="single" w:sz="4" w:space="0" w:color="1F497D" w:themeColor="text2"/>
            </w:tcBorders>
            <w:shd w:val="clear" w:color="auto" w:fill="D9D9D9" w:themeFill="background1" w:themeFillShade="D9"/>
          </w:tcPr>
          <w:p w14:paraId="31155C11" w14:textId="77777777" w:rsidR="002D174D" w:rsidRPr="00F402EF" w:rsidRDefault="002D174D" w:rsidP="00FA57D4">
            <w:pPr>
              <w:pStyle w:val="TableTextArial"/>
              <w:rPr>
                <w:rFonts w:ascii="Times New Roman" w:hAnsi="Times New Roman" w:cs="Times New Roman"/>
                <w:sz w:val="24"/>
                <w:szCs w:val="24"/>
              </w:rPr>
            </w:pPr>
          </w:p>
        </w:tc>
        <w:tc>
          <w:tcPr>
            <w:tcW w:w="2077" w:type="dxa"/>
            <w:tcBorders>
              <w:bottom w:val="single" w:sz="4" w:space="0" w:color="1F497D" w:themeColor="text2"/>
            </w:tcBorders>
            <w:shd w:val="clear" w:color="auto" w:fill="D9D9D9" w:themeFill="background1" w:themeFillShade="D9"/>
          </w:tcPr>
          <w:p w14:paraId="1B79C31B" w14:textId="77777777" w:rsidR="002D174D" w:rsidRPr="00F402EF" w:rsidRDefault="002D174D" w:rsidP="00FA57D4">
            <w:pPr>
              <w:pStyle w:val="TableTextArial"/>
              <w:rPr>
                <w:rFonts w:ascii="Times New Roman" w:hAnsi="Times New Roman" w:cs="Times New Roman"/>
                <w:sz w:val="24"/>
                <w:szCs w:val="24"/>
              </w:rPr>
            </w:pPr>
          </w:p>
        </w:tc>
        <w:tc>
          <w:tcPr>
            <w:tcW w:w="2076" w:type="dxa"/>
            <w:tcBorders>
              <w:bottom w:val="single" w:sz="4" w:space="0" w:color="1F497D" w:themeColor="text2"/>
            </w:tcBorders>
            <w:shd w:val="clear" w:color="auto" w:fill="D9D9D9" w:themeFill="background1" w:themeFillShade="D9"/>
          </w:tcPr>
          <w:p w14:paraId="293EAEDD" w14:textId="77777777" w:rsidR="002D174D" w:rsidRPr="00F402EF" w:rsidRDefault="002D174D" w:rsidP="00FA57D4">
            <w:pPr>
              <w:pStyle w:val="TableTextArial"/>
              <w:rPr>
                <w:rFonts w:ascii="Times New Roman" w:hAnsi="Times New Roman" w:cs="Times New Roman"/>
                <w:sz w:val="24"/>
                <w:szCs w:val="24"/>
              </w:rPr>
            </w:pPr>
          </w:p>
        </w:tc>
        <w:tc>
          <w:tcPr>
            <w:tcW w:w="2077" w:type="dxa"/>
            <w:tcBorders>
              <w:bottom w:val="single" w:sz="4" w:space="0" w:color="1F497D" w:themeColor="text2"/>
            </w:tcBorders>
            <w:shd w:val="clear" w:color="auto" w:fill="D9D9D9" w:themeFill="background1" w:themeFillShade="D9"/>
          </w:tcPr>
          <w:p w14:paraId="64C715C5" w14:textId="77777777" w:rsidR="002D174D" w:rsidRPr="00F402EF" w:rsidRDefault="002D174D" w:rsidP="00FA57D4">
            <w:pPr>
              <w:pStyle w:val="TableTextArial"/>
              <w:rPr>
                <w:rFonts w:ascii="Times New Roman" w:hAnsi="Times New Roman" w:cs="Times New Roman"/>
                <w:sz w:val="24"/>
                <w:szCs w:val="24"/>
              </w:rPr>
            </w:pPr>
          </w:p>
        </w:tc>
      </w:tr>
      <w:tr w:rsidR="002D174D" w:rsidRPr="007D44DA" w14:paraId="0E089740" w14:textId="77777777" w:rsidTr="00F402EF">
        <w:tc>
          <w:tcPr>
            <w:tcW w:w="2076" w:type="dxa"/>
            <w:tcBorders>
              <w:top w:val="single" w:sz="4" w:space="0" w:color="1F497D" w:themeColor="text2"/>
              <w:bottom w:val="single" w:sz="4" w:space="0" w:color="1F497D" w:themeColor="text2"/>
            </w:tcBorders>
            <w:shd w:val="clear" w:color="auto" w:fill="D9D9D9" w:themeFill="background1" w:themeFillShade="D9"/>
          </w:tcPr>
          <w:p w14:paraId="0DC0F589" w14:textId="77777777" w:rsidR="002D174D" w:rsidRPr="00F402EF" w:rsidRDefault="002D174D" w:rsidP="00FA57D4">
            <w:pPr>
              <w:pStyle w:val="TableTextArial"/>
              <w:rPr>
                <w:rFonts w:ascii="Times New Roman" w:hAnsi="Times New Roman" w:cs="Times New Roman"/>
                <w:sz w:val="24"/>
                <w:szCs w:val="24"/>
              </w:rPr>
            </w:pPr>
          </w:p>
        </w:tc>
        <w:tc>
          <w:tcPr>
            <w:tcW w:w="2077" w:type="dxa"/>
            <w:tcBorders>
              <w:top w:val="single" w:sz="4" w:space="0" w:color="1F497D" w:themeColor="text2"/>
              <w:bottom w:val="single" w:sz="4" w:space="0" w:color="1F497D" w:themeColor="text2"/>
            </w:tcBorders>
            <w:shd w:val="clear" w:color="auto" w:fill="D9D9D9" w:themeFill="background1" w:themeFillShade="D9"/>
          </w:tcPr>
          <w:p w14:paraId="3E985054" w14:textId="77777777" w:rsidR="002D174D" w:rsidRPr="00F402EF" w:rsidRDefault="002D174D" w:rsidP="00FA57D4">
            <w:pPr>
              <w:pStyle w:val="TableTextArial"/>
              <w:rPr>
                <w:rFonts w:ascii="Times New Roman" w:hAnsi="Times New Roman" w:cs="Times New Roman"/>
                <w:sz w:val="24"/>
                <w:szCs w:val="24"/>
              </w:rPr>
            </w:pPr>
          </w:p>
        </w:tc>
        <w:tc>
          <w:tcPr>
            <w:tcW w:w="2076" w:type="dxa"/>
            <w:tcBorders>
              <w:top w:val="single" w:sz="4" w:space="0" w:color="1F497D" w:themeColor="text2"/>
              <w:bottom w:val="single" w:sz="4" w:space="0" w:color="1F497D" w:themeColor="text2"/>
            </w:tcBorders>
            <w:shd w:val="clear" w:color="auto" w:fill="D9D9D9" w:themeFill="background1" w:themeFillShade="D9"/>
          </w:tcPr>
          <w:p w14:paraId="744E6BE5" w14:textId="77777777" w:rsidR="002D174D" w:rsidRPr="00F402EF" w:rsidRDefault="002D174D" w:rsidP="00FA57D4">
            <w:pPr>
              <w:pStyle w:val="TableTextArial"/>
              <w:rPr>
                <w:rFonts w:ascii="Times New Roman" w:hAnsi="Times New Roman" w:cs="Times New Roman"/>
                <w:sz w:val="24"/>
                <w:szCs w:val="24"/>
              </w:rPr>
            </w:pPr>
          </w:p>
        </w:tc>
        <w:tc>
          <w:tcPr>
            <w:tcW w:w="2077" w:type="dxa"/>
            <w:tcBorders>
              <w:top w:val="single" w:sz="4" w:space="0" w:color="1F497D" w:themeColor="text2"/>
              <w:bottom w:val="single" w:sz="4" w:space="0" w:color="1F497D" w:themeColor="text2"/>
            </w:tcBorders>
            <w:shd w:val="clear" w:color="auto" w:fill="D9D9D9" w:themeFill="background1" w:themeFillShade="D9"/>
          </w:tcPr>
          <w:p w14:paraId="7F8E3808" w14:textId="77777777" w:rsidR="002D174D" w:rsidRPr="00F402EF" w:rsidRDefault="002D174D" w:rsidP="00FA57D4">
            <w:pPr>
              <w:pStyle w:val="TableTextArial"/>
              <w:rPr>
                <w:rFonts w:ascii="Times New Roman" w:hAnsi="Times New Roman" w:cs="Times New Roman"/>
                <w:b/>
                <w:sz w:val="24"/>
                <w:szCs w:val="24"/>
              </w:rPr>
            </w:pPr>
          </w:p>
        </w:tc>
      </w:tr>
      <w:tr w:rsidR="002D174D" w:rsidRPr="007D44DA" w14:paraId="21CC7C24" w14:textId="77777777" w:rsidTr="00F402EF">
        <w:tc>
          <w:tcPr>
            <w:tcW w:w="2076" w:type="dxa"/>
            <w:tcBorders>
              <w:top w:val="single" w:sz="4" w:space="0" w:color="1F497D" w:themeColor="text2"/>
              <w:bottom w:val="single" w:sz="4" w:space="0" w:color="1F497D" w:themeColor="text2"/>
            </w:tcBorders>
            <w:shd w:val="clear" w:color="auto" w:fill="D9D9D9" w:themeFill="background1" w:themeFillShade="D9"/>
          </w:tcPr>
          <w:p w14:paraId="7A9F2DF7" w14:textId="77777777" w:rsidR="002D174D" w:rsidRPr="00F402EF" w:rsidRDefault="002D174D" w:rsidP="00FA57D4">
            <w:pPr>
              <w:pStyle w:val="TableTextArial"/>
              <w:rPr>
                <w:rFonts w:ascii="Times New Roman" w:hAnsi="Times New Roman" w:cs="Times New Roman"/>
                <w:sz w:val="24"/>
                <w:szCs w:val="24"/>
              </w:rPr>
            </w:pPr>
          </w:p>
        </w:tc>
        <w:tc>
          <w:tcPr>
            <w:tcW w:w="2077" w:type="dxa"/>
            <w:tcBorders>
              <w:top w:val="single" w:sz="4" w:space="0" w:color="1F497D" w:themeColor="text2"/>
              <w:bottom w:val="single" w:sz="4" w:space="0" w:color="1F497D" w:themeColor="text2"/>
            </w:tcBorders>
            <w:shd w:val="clear" w:color="auto" w:fill="D9D9D9" w:themeFill="background1" w:themeFillShade="D9"/>
          </w:tcPr>
          <w:p w14:paraId="47B35404" w14:textId="77777777" w:rsidR="002D174D" w:rsidRPr="00F402EF" w:rsidRDefault="002D174D" w:rsidP="00FA57D4">
            <w:pPr>
              <w:pStyle w:val="TableTextArial"/>
              <w:rPr>
                <w:rFonts w:ascii="Times New Roman" w:hAnsi="Times New Roman" w:cs="Times New Roman"/>
                <w:sz w:val="24"/>
                <w:szCs w:val="24"/>
              </w:rPr>
            </w:pPr>
          </w:p>
        </w:tc>
        <w:tc>
          <w:tcPr>
            <w:tcW w:w="2076" w:type="dxa"/>
            <w:tcBorders>
              <w:top w:val="single" w:sz="4" w:space="0" w:color="1F497D" w:themeColor="text2"/>
              <w:bottom w:val="single" w:sz="4" w:space="0" w:color="1F497D" w:themeColor="text2"/>
            </w:tcBorders>
            <w:shd w:val="clear" w:color="auto" w:fill="D9D9D9" w:themeFill="background1" w:themeFillShade="D9"/>
          </w:tcPr>
          <w:p w14:paraId="45AAFDE3" w14:textId="77777777" w:rsidR="002D174D" w:rsidRPr="00F402EF" w:rsidRDefault="002D174D" w:rsidP="00FA57D4">
            <w:pPr>
              <w:pStyle w:val="TableTextArial"/>
              <w:rPr>
                <w:rFonts w:ascii="Times New Roman" w:hAnsi="Times New Roman" w:cs="Times New Roman"/>
                <w:sz w:val="24"/>
                <w:szCs w:val="24"/>
              </w:rPr>
            </w:pPr>
          </w:p>
        </w:tc>
        <w:tc>
          <w:tcPr>
            <w:tcW w:w="2077" w:type="dxa"/>
            <w:tcBorders>
              <w:top w:val="single" w:sz="4" w:space="0" w:color="1F497D" w:themeColor="text2"/>
              <w:bottom w:val="single" w:sz="4" w:space="0" w:color="1F497D" w:themeColor="text2"/>
            </w:tcBorders>
            <w:shd w:val="clear" w:color="auto" w:fill="D9D9D9" w:themeFill="background1" w:themeFillShade="D9"/>
          </w:tcPr>
          <w:p w14:paraId="4BDABE89" w14:textId="77777777" w:rsidR="002D174D" w:rsidRPr="00F402EF" w:rsidRDefault="002D174D" w:rsidP="00FA57D4">
            <w:pPr>
              <w:pStyle w:val="TableTextArial"/>
              <w:rPr>
                <w:rFonts w:ascii="Times New Roman" w:hAnsi="Times New Roman" w:cs="Times New Roman"/>
                <w:sz w:val="24"/>
                <w:szCs w:val="24"/>
              </w:rPr>
            </w:pPr>
          </w:p>
        </w:tc>
      </w:tr>
      <w:tr w:rsidR="002D174D" w:rsidRPr="007D44DA" w14:paraId="492A0CDE" w14:textId="77777777" w:rsidTr="00F402EF">
        <w:tc>
          <w:tcPr>
            <w:tcW w:w="2076" w:type="dxa"/>
            <w:tcBorders>
              <w:top w:val="single" w:sz="4" w:space="0" w:color="1F497D" w:themeColor="text2"/>
              <w:bottom w:val="single" w:sz="4" w:space="0" w:color="1F497D" w:themeColor="text2"/>
            </w:tcBorders>
            <w:shd w:val="clear" w:color="auto" w:fill="D9D9D9" w:themeFill="background1" w:themeFillShade="D9"/>
          </w:tcPr>
          <w:p w14:paraId="3CC339E9" w14:textId="77777777" w:rsidR="002D174D" w:rsidRPr="00F402EF" w:rsidRDefault="002D174D" w:rsidP="00FA57D4">
            <w:pPr>
              <w:pStyle w:val="TableTextArial"/>
              <w:rPr>
                <w:rFonts w:ascii="Times New Roman" w:hAnsi="Times New Roman" w:cs="Times New Roman"/>
                <w:sz w:val="24"/>
                <w:szCs w:val="24"/>
              </w:rPr>
            </w:pPr>
          </w:p>
        </w:tc>
        <w:tc>
          <w:tcPr>
            <w:tcW w:w="2077" w:type="dxa"/>
            <w:tcBorders>
              <w:top w:val="single" w:sz="4" w:space="0" w:color="1F497D" w:themeColor="text2"/>
              <w:bottom w:val="single" w:sz="4" w:space="0" w:color="1F497D" w:themeColor="text2"/>
            </w:tcBorders>
            <w:shd w:val="clear" w:color="auto" w:fill="D9D9D9" w:themeFill="background1" w:themeFillShade="D9"/>
          </w:tcPr>
          <w:p w14:paraId="28916867" w14:textId="77777777" w:rsidR="002D174D" w:rsidRPr="00F402EF" w:rsidRDefault="002D174D" w:rsidP="00FA57D4">
            <w:pPr>
              <w:pStyle w:val="TableTextArial"/>
              <w:rPr>
                <w:rFonts w:ascii="Times New Roman" w:hAnsi="Times New Roman" w:cs="Times New Roman"/>
                <w:sz w:val="24"/>
                <w:szCs w:val="24"/>
              </w:rPr>
            </w:pPr>
          </w:p>
        </w:tc>
        <w:tc>
          <w:tcPr>
            <w:tcW w:w="2076" w:type="dxa"/>
            <w:tcBorders>
              <w:top w:val="single" w:sz="4" w:space="0" w:color="1F497D" w:themeColor="text2"/>
              <w:bottom w:val="single" w:sz="4" w:space="0" w:color="1F497D" w:themeColor="text2"/>
            </w:tcBorders>
            <w:shd w:val="clear" w:color="auto" w:fill="D9D9D9" w:themeFill="background1" w:themeFillShade="D9"/>
          </w:tcPr>
          <w:p w14:paraId="6D5EF934" w14:textId="77777777" w:rsidR="002D174D" w:rsidRPr="00F402EF" w:rsidRDefault="002D174D" w:rsidP="00FA57D4">
            <w:pPr>
              <w:pStyle w:val="TableTextArial"/>
              <w:rPr>
                <w:rFonts w:ascii="Times New Roman" w:hAnsi="Times New Roman" w:cs="Times New Roman"/>
                <w:sz w:val="24"/>
                <w:szCs w:val="24"/>
              </w:rPr>
            </w:pPr>
          </w:p>
        </w:tc>
        <w:tc>
          <w:tcPr>
            <w:tcW w:w="2077" w:type="dxa"/>
            <w:tcBorders>
              <w:top w:val="single" w:sz="4" w:space="0" w:color="1F497D" w:themeColor="text2"/>
              <w:bottom w:val="single" w:sz="4" w:space="0" w:color="1F497D" w:themeColor="text2"/>
            </w:tcBorders>
            <w:shd w:val="clear" w:color="auto" w:fill="D9D9D9" w:themeFill="background1" w:themeFillShade="D9"/>
          </w:tcPr>
          <w:p w14:paraId="6F8B2C29" w14:textId="77777777" w:rsidR="002D174D" w:rsidRPr="00F402EF" w:rsidRDefault="002D174D" w:rsidP="00FA57D4">
            <w:pPr>
              <w:pStyle w:val="TableTextArial"/>
              <w:rPr>
                <w:rFonts w:ascii="Times New Roman" w:hAnsi="Times New Roman" w:cs="Times New Roman"/>
                <w:sz w:val="24"/>
                <w:szCs w:val="24"/>
              </w:rPr>
            </w:pPr>
          </w:p>
        </w:tc>
      </w:tr>
    </w:tbl>
    <w:p w14:paraId="7C328B08" w14:textId="77777777" w:rsidR="002D174D" w:rsidRDefault="002D174D" w:rsidP="006D2BE5">
      <w:pPr>
        <w:pStyle w:val="BodyText"/>
        <w:rPr>
          <w:noProof w:val="0"/>
          <w:color w:val="auto"/>
        </w:rPr>
      </w:pPr>
    </w:p>
    <w:p w14:paraId="2783F898" w14:textId="694694BC" w:rsidR="004A0A3A" w:rsidRDefault="00735235" w:rsidP="00E13DAA">
      <w:r>
        <w:rPr>
          <w:i/>
          <w:iCs/>
        </w:rPr>
        <w:t>Include here details of all controls to be tested, incorporating details</w:t>
      </w:r>
    </w:p>
    <w:p w14:paraId="39F5203F" w14:textId="77777777" w:rsidR="005C37D8" w:rsidRDefault="005C37D8" w:rsidP="004A0A3A">
      <w:pPr>
        <w:rPr>
          <w:i/>
          <w:iCs/>
        </w:rPr>
      </w:pPr>
    </w:p>
    <w:p w14:paraId="0BE2D886" w14:textId="77777777" w:rsidR="005C37D8" w:rsidRDefault="005C37D8" w:rsidP="004A0A3A">
      <w:pPr>
        <w:rPr>
          <w:i/>
          <w:iCs/>
        </w:rPr>
      </w:pPr>
    </w:p>
    <w:p w14:paraId="189932AC" w14:textId="60C01AF7" w:rsidR="0051178B" w:rsidRPr="0051178B" w:rsidRDefault="005C37D8" w:rsidP="00F402EF">
      <w:pPr>
        <w:pStyle w:val="Style2"/>
      </w:pPr>
      <w:r>
        <w:br w:type="page"/>
      </w:r>
      <w:bookmarkStart w:id="6" w:name="_Toc9420923"/>
      <w:r w:rsidR="0051178B" w:rsidRPr="0051178B">
        <w:t xml:space="preserve">Appendix </w:t>
      </w:r>
      <w:r w:rsidR="00B22277">
        <w:t>D</w:t>
      </w:r>
      <w:r w:rsidR="009A405C">
        <w:t>—</w:t>
      </w:r>
      <w:r w:rsidR="0051178B" w:rsidRPr="0051178B">
        <w:t>Analytical procedures</w:t>
      </w:r>
      <w:bookmarkEnd w:id="6"/>
    </w:p>
    <w:p w14:paraId="4839A77B" w14:textId="77777777" w:rsidR="0051178B" w:rsidRDefault="0051178B" w:rsidP="0051178B"/>
    <w:p w14:paraId="66DAFFF5" w14:textId="53C4DE4A" w:rsidR="0051178B" w:rsidRDefault="00AB4D89" w:rsidP="0051178B">
      <w:r>
        <w:t xml:space="preserve">For the purpose of the Group Audit, we </w:t>
      </w:r>
      <w:r w:rsidR="001D3E5E">
        <w:t>will</w:t>
      </w:r>
      <w:r>
        <w:t xml:space="preserve"> perform </w:t>
      </w:r>
      <w:r w:rsidR="00B77489">
        <w:t xml:space="preserve">disaggregated </w:t>
      </w:r>
      <w:r>
        <w:t xml:space="preserve">analytical procedures </w:t>
      </w:r>
      <w:r w:rsidR="001D3E5E">
        <w:t xml:space="preserve">(subject to materiality thresholds of </w:t>
      </w:r>
      <w:r w:rsidR="00B22277">
        <w:t>_______</w:t>
      </w:r>
      <w:r w:rsidR="001D3E5E">
        <w:t xml:space="preserve">), </w:t>
      </w:r>
      <w:r w:rsidR="00211CDA">
        <w:t>according to</w:t>
      </w:r>
      <w:r w:rsidR="00F11C47">
        <w:t xml:space="preserve"> OAG Audit </w:t>
      </w:r>
      <w:r w:rsidR="00D32EFA">
        <w:t>7033.1</w:t>
      </w:r>
      <w:r w:rsidR="00F11C47">
        <w:t xml:space="preserve">, </w:t>
      </w:r>
      <w:r w:rsidR="001D3E5E">
        <w:t>over the follow</w:t>
      </w:r>
      <w:r w:rsidR="001F0906">
        <w:t>ing</w:t>
      </w:r>
      <w:r w:rsidR="001D3E5E">
        <w:t xml:space="preserve"> accounts</w:t>
      </w:r>
      <w:r>
        <w:t>:</w:t>
      </w:r>
    </w:p>
    <w:p w14:paraId="7A9A57E1" w14:textId="77777777" w:rsidR="00AB4D89" w:rsidRDefault="00AB4D89" w:rsidP="0051178B"/>
    <w:p w14:paraId="0E2A58F0" w14:textId="77777777" w:rsidR="00AB4D89" w:rsidRDefault="001D3E5E" w:rsidP="00AB4D89">
      <w:pPr>
        <w:numPr>
          <w:ilvl w:val="0"/>
          <w:numId w:val="3"/>
        </w:numPr>
      </w:pPr>
      <w:r>
        <w:t>List all applicable accounts</w:t>
      </w:r>
    </w:p>
    <w:p w14:paraId="09A2AEF5" w14:textId="77777777" w:rsidR="00AB4D89" w:rsidRDefault="00AB4D89" w:rsidP="00AB4D89"/>
    <w:p w14:paraId="411E9038" w14:textId="3B5C87DD" w:rsidR="001D3E5E" w:rsidRDefault="001D3E5E" w:rsidP="001D3E5E">
      <w:pPr>
        <w:numPr>
          <w:ilvl w:val="0"/>
          <w:numId w:val="6"/>
        </w:numPr>
      </w:pPr>
      <w:r>
        <w:rPr>
          <w:b/>
          <w:bCs/>
        </w:rPr>
        <w:t>Note: this is only appropriate in situations where management with reporting and analytical responsibilities for financial results are located</w:t>
      </w:r>
      <w:r w:rsidR="009A405C">
        <w:rPr>
          <w:b/>
          <w:bCs/>
        </w:rPr>
        <w:t xml:space="preserve"> at the Shared Service Centre. </w:t>
      </w:r>
      <w:r>
        <w:rPr>
          <w:b/>
          <w:bCs/>
        </w:rPr>
        <w:t>If this is not the case, the responsibility for performing analytical procedures will remain with the respective engagement teams.</w:t>
      </w:r>
    </w:p>
    <w:p w14:paraId="4C8F9C6B" w14:textId="70709B74" w:rsidR="0051178B" w:rsidRPr="0051178B" w:rsidRDefault="00873E0D" w:rsidP="00F402EF">
      <w:pPr>
        <w:pStyle w:val="Style2"/>
      </w:pPr>
      <w:r>
        <w:br w:type="page"/>
      </w:r>
      <w:bookmarkStart w:id="7" w:name="_Toc9420924"/>
      <w:r w:rsidR="0051178B" w:rsidRPr="0051178B">
        <w:t xml:space="preserve">Appendix </w:t>
      </w:r>
      <w:r w:rsidR="00B22277">
        <w:t>E</w:t>
      </w:r>
      <w:r w:rsidR="009A405C">
        <w:t>—</w:t>
      </w:r>
      <w:r w:rsidR="0051178B" w:rsidRPr="0051178B">
        <w:t>Substantive testing procedures</w:t>
      </w:r>
      <w:r w:rsidR="009A405C">
        <w:t>—</w:t>
      </w:r>
      <w:r w:rsidR="00A838C9">
        <w:t>Group</w:t>
      </w:r>
      <w:bookmarkEnd w:id="7"/>
    </w:p>
    <w:p w14:paraId="3C709A2D" w14:textId="77777777" w:rsidR="0051178B" w:rsidRDefault="0051178B" w:rsidP="0051178B"/>
    <w:p w14:paraId="46D77A01" w14:textId="77777777" w:rsidR="0051178B" w:rsidRDefault="0051178B" w:rsidP="0051178B"/>
    <w:p w14:paraId="5370410B" w14:textId="77777777" w:rsidR="00A838C9" w:rsidRDefault="00611D71" w:rsidP="0051178B">
      <w:r w:rsidRPr="00611D71">
        <w:t>T</w:t>
      </w:r>
      <w:r>
        <w:t>he following agreed upon substantive audit procedures will be performed</w:t>
      </w:r>
      <w:r w:rsidR="00594F51">
        <w:t xml:space="preserve">.  Issues arising as a result of testing will be reported on an exception basis in our Memorandum on Examination (Appendix </w:t>
      </w:r>
      <w:r w:rsidR="000C633D">
        <w:rPr>
          <w:b/>
        </w:rPr>
        <w:t>K</w:t>
      </w:r>
      <w:r w:rsidR="00594F51">
        <w:t>).</w:t>
      </w:r>
    </w:p>
    <w:p w14:paraId="147C242E" w14:textId="77777777" w:rsidR="00A838C9" w:rsidRDefault="00A838C9" w:rsidP="0051178B"/>
    <w:p w14:paraId="7984C2BD" w14:textId="43AD5DF1" w:rsidR="00611D71" w:rsidRPr="00040611" w:rsidRDefault="00A838C9" w:rsidP="0051178B">
      <w:pPr>
        <w:rPr>
          <w:b/>
          <w:i/>
        </w:rPr>
      </w:pPr>
      <w:r w:rsidRPr="00040611">
        <w:rPr>
          <w:b/>
          <w:i/>
        </w:rPr>
        <w:t>Examples included below of substantive procedures – tailor as necessary</w:t>
      </w:r>
    </w:p>
    <w:p w14:paraId="752FB82E" w14:textId="77777777" w:rsidR="00611D71" w:rsidRDefault="00611D71" w:rsidP="0051178B"/>
    <w:p w14:paraId="42B9AFBA" w14:textId="77777777" w:rsidR="00D557E1" w:rsidRPr="00F402EF" w:rsidRDefault="00D557E1" w:rsidP="00D557E1">
      <w:pPr>
        <w:rPr>
          <w:b/>
          <w:color w:val="1F497D" w:themeColor="text2"/>
          <w:sz w:val="32"/>
          <w:szCs w:val="32"/>
        </w:rPr>
      </w:pPr>
      <w:r w:rsidRPr="00F402EF">
        <w:rPr>
          <w:b/>
          <w:color w:val="1F497D" w:themeColor="text2"/>
          <w:sz w:val="32"/>
          <w:szCs w:val="32"/>
        </w:rPr>
        <w:t>Accounts Receivable</w:t>
      </w:r>
    </w:p>
    <w:p w14:paraId="68974584" w14:textId="77777777" w:rsidR="00E170AE" w:rsidRPr="00E170AE" w:rsidRDefault="00E170AE" w:rsidP="00D557E1">
      <w:pPr>
        <w:rPr>
          <w:b/>
          <w:bCs/>
        </w:rPr>
      </w:pPr>
    </w:p>
    <w:p w14:paraId="0E52B5B8" w14:textId="77777777" w:rsidR="00611D71" w:rsidRDefault="00611D71" w:rsidP="00611D71">
      <w:pPr>
        <w:numPr>
          <w:ilvl w:val="0"/>
          <w:numId w:val="9"/>
        </w:numPr>
        <w:rPr>
          <w:b/>
          <w:bCs/>
        </w:rPr>
      </w:pPr>
      <w:r w:rsidRPr="00611D71">
        <w:t xml:space="preserve">Audit of the reconciliation of the subledger to the general ledger and resolution of reconciling items above </w:t>
      </w:r>
      <w:r w:rsidR="00B22277">
        <w:t>______</w:t>
      </w:r>
      <w:r w:rsidR="00594F51">
        <w:t>.</w:t>
      </w:r>
    </w:p>
    <w:p w14:paraId="16120261" w14:textId="77777777" w:rsidR="00611D71" w:rsidRPr="00611D71" w:rsidRDefault="00611D71" w:rsidP="00611D71">
      <w:pPr>
        <w:numPr>
          <w:ilvl w:val="0"/>
          <w:numId w:val="9"/>
        </w:numPr>
        <w:rPr>
          <w:b/>
          <w:bCs/>
        </w:rPr>
      </w:pPr>
      <w:r>
        <w:t>Scanning Analytics of the A/R subledger to identify</w:t>
      </w:r>
    </w:p>
    <w:p w14:paraId="4BF1EEFF" w14:textId="77777777" w:rsidR="00611D71" w:rsidRPr="00926DDC" w:rsidRDefault="00611D71" w:rsidP="00611D71">
      <w:pPr>
        <w:numPr>
          <w:ilvl w:val="1"/>
          <w:numId w:val="9"/>
        </w:numPr>
        <w:rPr>
          <w:bCs/>
        </w:rPr>
      </w:pPr>
      <w:r w:rsidRPr="00926DDC">
        <w:t xml:space="preserve">Unusually large items (defined as individual items </w:t>
      </w:r>
      <w:r w:rsidR="002A7705" w:rsidRPr="0039155C">
        <w:rPr>
          <w:rFonts w:asciiTheme="majorHAnsi" w:hAnsiTheme="majorHAnsi"/>
        </w:rPr>
        <w:t>&gt;</w:t>
      </w:r>
      <w:r w:rsidRPr="00926DDC">
        <w:t xml:space="preserve"> </w:t>
      </w:r>
      <w:r w:rsidR="00B22277">
        <w:t>____</w:t>
      </w:r>
      <w:r w:rsidRPr="00926DDC">
        <w:t xml:space="preserve"> million)</w:t>
      </w:r>
    </w:p>
    <w:p w14:paraId="1B6A897A" w14:textId="77777777" w:rsidR="00611D71" w:rsidRPr="00926DDC" w:rsidRDefault="00611D71" w:rsidP="00611D71">
      <w:pPr>
        <w:numPr>
          <w:ilvl w:val="1"/>
          <w:numId w:val="9"/>
        </w:numPr>
        <w:rPr>
          <w:bCs/>
        </w:rPr>
      </w:pPr>
      <w:r w:rsidRPr="00926DDC">
        <w:t>Credit balances</w:t>
      </w:r>
    </w:p>
    <w:p w14:paraId="6128C2D1" w14:textId="77777777" w:rsidR="00611D71" w:rsidRPr="00926DDC" w:rsidRDefault="00611D71" w:rsidP="00611D71">
      <w:pPr>
        <w:numPr>
          <w:ilvl w:val="0"/>
          <w:numId w:val="9"/>
        </w:numPr>
        <w:rPr>
          <w:bCs/>
        </w:rPr>
      </w:pPr>
      <w:r w:rsidRPr="00926DDC">
        <w:t>Substantive procedures designed to confirm the existence, occurrence and valuation assertions:</w:t>
      </w:r>
    </w:p>
    <w:p w14:paraId="73C6C049" w14:textId="77777777" w:rsidR="00611D71" w:rsidRPr="00926DDC" w:rsidRDefault="00611D71" w:rsidP="00611D71">
      <w:pPr>
        <w:numPr>
          <w:ilvl w:val="1"/>
          <w:numId w:val="9"/>
        </w:numPr>
        <w:rPr>
          <w:bCs/>
        </w:rPr>
      </w:pPr>
      <w:r w:rsidRPr="00926DDC">
        <w:t xml:space="preserve">Accounts receivable confirmation on the balance as of December 31. </w:t>
      </w:r>
    </w:p>
    <w:p w14:paraId="2ACBB418" w14:textId="77777777" w:rsidR="00611D71" w:rsidRPr="00926DDC" w:rsidRDefault="00611D71" w:rsidP="00611D71">
      <w:pPr>
        <w:numPr>
          <w:ilvl w:val="1"/>
          <w:numId w:val="9"/>
        </w:numPr>
        <w:rPr>
          <w:bCs/>
        </w:rPr>
      </w:pPr>
      <w:r w:rsidRPr="00926DDC">
        <w:t>Tracing of subsequent cash remittance for those balances selected but not confirmed by the third party</w:t>
      </w:r>
    </w:p>
    <w:p w14:paraId="63C8D50F" w14:textId="77777777" w:rsidR="00611D71" w:rsidRDefault="00611D71" w:rsidP="00611D71">
      <w:pPr>
        <w:numPr>
          <w:ilvl w:val="1"/>
          <w:numId w:val="9"/>
        </w:numPr>
      </w:pPr>
      <w:r w:rsidRPr="00926DDC">
        <w:t>Examining shipping documents and copies of sales invoices and other relevant correspondence</w:t>
      </w:r>
      <w:r w:rsidRPr="00611D71">
        <w:t xml:space="preserve"> supporting the paid and unpaid portion of the account balances, and;</w:t>
      </w:r>
    </w:p>
    <w:p w14:paraId="2AA28036" w14:textId="77777777" w:rsidR="00611D71" w:rsidRPr="00611D71" w:rsidRDefault="00611D71" w:rsidP="00611D71">
      <w:pPr>
        <w:numPr>
          <w:ilvl w:val="1"/>
          <w:numId w:val="9"/>
        </w:numPr>
      </w:pPr>
      <w:r w:rsidRPr="00611D71">
        <w:t>Considering whether it is necessary to verify further the existence of the customer.</w:t>
      </w:r>
    </w:p>
    <w:p w14:paraId="371D5057" w14:textId="77777777" w:rsidR="00A838C9" w:rsidRPr="00F402EF" w:rsidRDefault="00A838C9" w:rsidP="00611D71">
      <w:pPr>
        <w:rPr>
          <w:b/>
          <w:color w:val="1F497D" w:themeColor="text2"/>
          <w:sz w:val="32"/>
          <w:szCs w:val="32"/>
        </w:rPr>
      </w:pPr>
    </w:p>
    <w:p w14:paraId="7A9FE056" w14:textId="77777777" w:rsidR="00D557E1" w:rsidRPr="00F402EF" w:rsidRDefault="00D557E1" w:rsidP="00D557E1">
      <w:pPr>
        <w:rPr>
          <w:b/>
          <w:color w:val="1F497D" w:themeColor="text2"/>
          <w:sz w:val="32"/>
          <w:szCs w:val="32"/>
        </w:rPr>
      </w:pPr>
      <w:r w:rsidRPr="00F402EF">
        <w:rPr>
          <w:b/>
          <w:color w:val="1F497D" w:themeColor="text2"/>
          <w:sz w:val="32"/>
          <w:szCs w:val="32"/>
        </w:rPr>
        <w:t>Cash and Bank</w:t>
      </w:r>
    </w:p>
    <w:p w14:paraId="626E2F10" w14:textId="77777777" w:rsidR="00D557E1" w:rsidRPr="00A74471" w:rsidRDefault="00D557E1" w:rsidP="00D557E1">
      <w:r w:rsidRPr="00A74471">
        <w:t> </w:t>
      </w:r>
    </w:p>
    <w:p w14:paraId="38106157" w14:textId="77777777" w:rsidR="00D557E1" w:rsidRDefault="00D557E1" w:rsidP="00D557E1">
      <w:pPr>
        <w:numPr>
          <w:ilvl w:val="0"/>
          <w:numId w:val="25"/>
        </w:numPr>
      </w:pPr>
      <w:r w:rsidRPr="00A74471">
        <w:t xml:space="preserve">To the extent not selected as part of your controls testing sample, audit reconciliation of general ledger to 3rd party bank statements at </w:t>
      </w:r>
      <w:r w:rsidR="00B22277">
        <w:t>December 31, XX</w:t>
      </w:r>
      <w:r>
        <w:t>.</w:t>
      </w:r>
    </w:p>
    <w:p w14:paraId="677308FD" w14:textId="77777777" w:rsidR="00D557E1" w:rsidRPr="00A74471" w:rsidRDefault="00D557E1" w:rsidP="00D557E1"/>
    <w:p w14:paraId="432CCF91" w14:textId="77777777" w:rsidR="00D557E1" w:rsidRPr="00F402EF" w:rsidRDefault="00D557E1" w:rsidP="00D557E1">
      <w:pPr>
        <w:rPr>
          <w:b/>
          <w:color w:val="1F497D" w:themeColor="text2"/>
          <w:sz w:val="32"/>
          <w:szCs w:val="32"/>
        </w:rPr>
      </w:pPr>
      <w:r w:rsidRPr="00F402EF">
        <w:rPr>
          <w:b/>
          <w:color w:val="1F497D" w:themeColor="text2"/>
          <w:sz w:val="32"/>
          <w:szCs w:val="32"/>
        </w:rPr>
        <w:t>Procurement through Payables</w:t>
      </w:r>
    </w:p>
    <w:p w14:paraId="2923B89B" w14:textId="77777777" w:rsidR="00D557E1" w:rsidRPr="00A74471" w:rsidRDefault="00D557E1" w:rsidP="00D557E1"/>
    <w:p w14:paraId="5A6DDE5C" w14:textId="77777777" w:rsidR="00D557E1" w:rsidRPr="00A74471" w:rsidRDefault="00D557E1" w:rsidP="00D557E1">
      <w:pPr>
        <w:numPr>
          <w:ilvl w:val="0"/>
          <w:numId w:val="27"/>
        </w:numPr>
      </w:pPr>
      <w:r w:rsidRPr="00A74471">
        <w:t xml:space="preserve">Perform a search for unrecorded liabilities </w:t>
      </w:r>
    </w:p>
    <w:p w14:paraId="43F85746" w14:textId="6CF9CCD3" w:rsidR="00D557E1" w:rsidRPr="00A74471" w:rsidRDefault="00D557E1" w:rsidP="00D557E1">
      <w:pPr>
        <w:numPr>
          <w:ilvl w:val="0"/>
          <w:numId w:val="27"/>
        </w:numPr>
      </w:pPr>
      <w:r w:rsidRPr="00A74471">
        <w:t>To the extent not selected as part of your</w:t>
      </w:r>
      <w:r>
        <w:t xml:space="preserve"> controls testing sample, audit r</w:t>
      </w:r>
      <w:r w:rsidRPr="00A74471">
        <w:t xml:space="preserve">econciliation of general ledger to subledger at </w:t>
      </w:r>
      <w:r w:rsidR="00B22277">
        <w:t>December 31, XX</w:t>
      </w:r>
    </w:p>
    <w:p w14:paraId="2938E8D4" w14:textId="77777777" w:rsidR="00D557E1" w:rsidRPr="00A06FB7" w:rsidRDefault="00D557E1" w:rsidP="00D557E1">
      <w:pPr>
        <w:rPr>
          <w:rFonts w:cs="Arial"/>
          <w:sz w:val="20"/>
          <w:szCs w:val="20"/>
        </w:rPr>
      </w:pPr>
    </w:p>
    <w:p w14:paraId="0748E309" w14:textId="77777777" w:rsidR="00164D28" w:rsidRPr="00A74471" w:rsidRDefault="00164D28" w:rsidP="00164D28">
      <w:pPr>
        <w:rPr>
          <w:b/>
          <w:bCs/>
        </w:rPr>
      </w:pPr>
      <w:r w:rsidRPr="00A74471">
        <w:rPr>
          <w:b/>
          <w:bCs/>
        </w:rPr>
        <w:t>Notes:</w:t>
      </w:r>
    </w:p>
    <w:p w14:paraId="123A97D4" w14:textId="2FF38B99" w:rsidR="00164D28" w:rsidRPr="00A74471" w:rsidRDefault="00164D28" w:rsidP="00164D28">
      <w:pPr>
        <w:numPr>
          <w:ilvl w:val="0"/>
          <w:numId w:val="26"/>
        </w:numPr>
      </w:pPr>
      <w:r w:rsidRPr="00A74471">
        <w:t xml:space="preserve">Reporting on the results of the above </w:t>
      </w:r>
      <w:r>
        <w:t>s</w:t>
      </w:r>
      <w:r w:rsidRPr="00A74471">
        <w:t xml:space="preserve">ubstantive </w:t>
      </w:r>
      <w:r>
        <w:t>t</w:t>
      </w:r>
      <w:r w:rsidRPr="00A74471">
        <w:t xml:space="preserve">esting </w:t>
      </w:r>
      <w:r>
        <w:t>will</w:t>
      </w:r>
      <w:r w:rsidRPr="00A74471">
        <w:t xml:space="preserve"> be by exception only. All other documentation associated with the substantive testing above </w:t>
      </w:r>
      <w:r w:rsidR="002A7705">
        <w:t>needs to</w:t>
      </w:r>
      <w:r w:rsidRPr="00A74471">
        <w:t xml:space="preserve"> be documented within your </w:t>
      </w:r>
      <w:r w:rsidR="008E1EE0">
        <w:t>team</w:t>
      </w:r>
      <w:r w:rsidR="00040611">
        <w:t>’</w:t>
      </w:r>
      <w:r w:rsidR="008E1EE0">
        <w:t>s</w:t>
      </w:r>
      <w:r w:rsidRPr="00A74471">
        <w:t xml:space="preserve"> </w:t>
      </w:r>
      <w:r w:rsidR="008E1EE0">
        <w:t>TeamMate</w:t>
      </w:r>
      <w:r w:rsidRPr="00A74471">
        <w:t xml:space="preserve"> </w:t>
      </w:r>
      <w:r w:rsidR="00211CDA">
        <w:t>audit file, as applicable</w:t>
      </w:r>
      <w:r>
        <w:t xml:space="preserve">. </w:t>
      </w:r>
      <w:r w:rsidRPr="00A74471">
        <w:t xml:space="preserve">The procedures detailed above </w:t>
      </w:r>
      <w:r w:rsidR="002A7705">
        <w:t>need to</w:t>
      </w:r>
      <w:r w:rsidRPr="00A74471">
        <w:t xml:space="preserve"> be performed accord</w:t>
      </w:r>
      <w:r w:rsidR="00211CDA">
        <w:t>ing to</w:t>
      </w:r>
      <w:r w:rsidRPr="00A74471">
        <w:t xml:space="preserve"> </w:t>
      </w:r>
      <w:r w:rsidR="00C0665A">
        <w:t>OAG</w:t>
      </w:r>
      <w:r w:rsidR="00854D7D">
        <w:t xml:space="preserve"> Annual</w:t>
      </w:r>
      <w:r w:rsidRPr="00A74471">
        <w:t xml:space="preserve"> Audit Methodology.</w:t>
      </w:r>
    </w:p>
    <w:p w14:paraId="6CDF6566" w14:textId="2D3F3C9B" w:rsidR="00164D28" w:rsidRPr="00A74471" w:rsidRDefault="00164D28" w:rsidP="00164D28">
      <w:pPr>
        <w:numPr>
          <w:ilvl w:val="0"/>
          <w:numId w:val="26"/>
        </w:numPr>
      </w:pPr>
      <w:r w:rsidRPr="00A74471">
        <w:t xml:space="preserve">Materiality for sampling, </w:t>
      </w:r>
      <w:r w:rsidR="00B85268">
        <w:t>fluctuation analysis</w:t>
      </w:r>
      <w:r w:rsidRPr="00A74471">
        <w:t xml:space="preserve"> and group reporting purposes </w:t>
      </w:r>
      <w:r w:rsidR="002A7705">
        <w:t>would</w:t>
      </w:r>
      <w:r w:rsidRPr="00A74471">
        <w:t xml:space="preserve"> be based on reporting of balance sheet adjustments of </w:t>
      </w:r>
      <w:r w:rsidR="00B22277">
        <w:t>_______</w:t>
      </w:r>
      <w:r w:rsidRPr="00A74471">
        <w:t xml:space="preserve">or greater and income statement adjustments of </w:t>
      </w:r>
      <w:r w:rsidR="00B22277">
        <w:t>________</w:t>
      </w:r>
      <w:r w:rsidRPr="00A74471">
        <w:t xml:space="preserve"> or greater, unless other materiality amounts are specifically noted in the tests above. </w:t>
      </w:r>
    </w:p>
    <w:p w14:paraId="5141DB89" w14:textId="7945FED9" w:rsidR="00B3354B" w:rsidRPr="00B3354B" w:rsidRDefault="00164D28" w:rsidP="00F402EF">
      <w:pPr>
        <w:pStyle w:val="Style2"/>
      </w:pPr>
      <w:r>
        <w:br w:type="page"/>
      </w:r>
      <w:bookmarkStart w:id="8" w:name="_Toc9420925"/>
      <w:r w:rsidR="00B3354B" w:rsidRPr="00B3354B">
        <w:t xml:space="preserve">Appendix </w:t>
      </w:r>
      <w:r w:rsidR="000C633D">
        <w:t>F</w:t>
      </w:r>
      <w:r w:rsidR="009A405C">
        <w:t>—</w:t>
      </w:r>
      <w:r>
        <w:t>Independent testing of management’s</w:t>
      </w:r>
      <w:r w:rsidR="009A405C">
        <w:t xml:space="preserve"> internal controls—</w:t>
      </w:r>
      <w:r>
        <w:t>Statutory</w:t>
      </w:r>
      <w:bookmarkEnd w:id="8"/>
      <w:r w:rsidR="00B3354B" w:rsidRPr="00B3354B">
        <w:t xml:space="preserve"> </w:t>
      </w:r>
    </w:p>
    <w:p w14:paraId="668FFCBF" w14:textId="77777777" w:rsidR="00B3354B" w:rsidRPr="00791D9B" w:rsidRDefault="00B3354B" w:rsidP="00B3354B"/>
    <w:p w14:paraId="3CE00D65" w14:textId="77777777" w:rsidR="00AD5738" w:rsidRPr="00AD5738" w:rsidRDefault="00164D28" w:rsidP="00B3354B">
      <w:pPr>
        <w:rPr>
          <w:i/>
          <w:iCs/>
        </w:rPr>
      </w:pPr>
      <w:r>
        <w:rPr>
          <w:i/>
          <w:iCs/>
        </w:rPr>
        <w:t xml:space="preserve">The SSC team would incorporate here incremental internal control testing procedures requested by statutory teams, in a format consistent with </w:t>
      </w:r>
      <w:r w:rsidRPr="00AD5738">
        <w:rPr>
          <w:i/>
          <w:iCs/>
        </w:rPr>
        <w:t>Appendix C</w:t>
      </w:r>
      <w:r w:rsidR="00AD5738" w:rsidRPr="00AD5738">
        <w:rPr>
          <w:i/>
          <w:iCs/>
        </w:rPr>
        <w:t>.</w:t>
      </w:r>
    </w:p>
    <w:p w14:paraId="7A6EA5A4" w14:textId="21351177" w:rsidR="00B3354B" w:rsidRDefault="00B3354B" w:rsidP="00F402EF">
      <w:pPr>
        <w:pStyle w:val="Style2"/>
      </w:pPr>
      <w:r>
        <w:br w:type="page"/>
      </w:r>
      <w:bookmarkStart w:id="9" w:name="_Toc9420926"/>
      <w:r>
        <w:t xml:space="preserve">Appendix </w:t>
      </w:r>
      <w:r w:rsidR="000C633D">
        <w:t>G</w:t>
      </w:r>
      <w:r w:rsidR="009A405C">
        <w:t>—Analytical procedures—</w:t>
      </w:r>
      <w:r w:rsidR="00164D28">
        <w:t>Statutory</w:t>
      </w:r>
      <w:bookmarkEnd w:id="9"/>
    </w:p>
    <w:p w14:paraId="01D58F80" w14:textId="77777777" w:rsidR="00B3354B" w:rsidRDefault="00B3354B" w:rsidP="00F402EF">
      <w:pPr>
        <w:pStyle w:val="Style2"/>
      </w:pPr>
    </w:p>
    <w:p w14:paraId="78EECBFB" w14:textId="1264F14D" w:rsidR="001D3E5E" w:rsidRDefault="001D3E5E" w:rsidP="001D3E5E">
      <w:r>
        <w:t xml:space="preserve">For the purpose of the statutory audits of the entities listed on page </w:t>
      </w:r>
      <w:r w:rsidR="006F51ED">
        <w:t xml:space="preserve">__ </w:t>
      </w:r>
      <w:r>
        <w:t xml:space="preserve">of this Memorandum, we will perform </w:t>
      </w:r>
      <w:r w:rsidR="00B85268">
        <w:t xml:space="preserve">disaggregated </w:t>
      </w:r>
      <w:r>
        <w:t xml:space="preserve">analytical procedures (subject to materiality thresholds of </w:t>
      </w:r>
      <w:r w:rsidR="006F51ED">
        <w:t>__________</w:t>
      </w:r>
      <w:r>
        <w:t xml:space="preserve">), </w:t>
      </w:r>
      <w:r w:rsidR="00F11C47">
        <w:t>accord</w:t>
      </w:r>
      <w:r w:rsidR="00E712D9">
        <w:t>ing to</w:t>
      </w:r>
      <w:r w:rsidR="00F11C47">
        <w:t xml:space="preserve"> OAG Audit </w:t>
      </w:r>
      <w:r w:rsidR="00D32EFA">
        <w:t>7033.1</w:t>
      </w:r>
      <w:r w:rsidR="00F11C47">
        <w:t xml:space="preserve">, </w:t>
      </w:r>
      <w:r>
        <w:t>over the follow</w:t>
      </w:r>
      <w:r w:rsidR="0006522E">
        <w:t>ing</w:t>
      </w:r>
      <w:r>
        <w:t xml:space="preserve"> accounts:</w:t>
      </w:r>
    </w:p>
    <w:p w14:paraId="7C145C03" w14:textId="77777777" w:rsidR="001D3E5E" w:rsidRDefault="001D3E5E" w:rsidP="001D3E5E"/>
    <w:p w14:paraId="341ACB5D" w14:textId="77777777" w:rsidR="001D3E5E" w:rsidRDefault="001D3E5E" w:rsidP="001D3E5E">
      <w:pPr>
        <w:numPr>
          <w:ilvl w:val="0"/>
          <w:numId w:val="3"/>
        </w:numPr>
      </w:pPr>
      <w:r>
        <w:t>List all applicable accounts, by entity.</w:t>
      </w:r>
    </w:p>
    <w:p w14:paraId="02F87466" w14:textId="77777777" w:rsidR="001D3E5E" w:rsidRDefault="001D3E5E" w:rsidP="001D3E5E"/>
    <w:p w14:paraId="109616B8" w14:textId="77777777" w:rsidR="001D3E5E" w:rsidRDefault="001D3E5E" w:rsidP="001D3E5E">
      <w:pPr>
        <w:numPr>
          <w:ilvl w:val="0"/>
          <w:numId w:val="6"/>
        </w:numPr>
      </w:pPr>
      <w:r>
        <w:rPr>
          <w:b/>
          <w:bCs/>
        </w:rPr>
        <w:t>Note: this is only appropriate in situations where management with reporting and analytical responsibilities for financial results are located at the Shared Service Centre.  If this is not the case, the responsibility for performing analytical procedures will remain with the respective engagement teams.</w:t>
      </w:r>
    </w:p>
    <w:p w14:paraId="68F24405" w14:textId="53D08FBE" w:rsidR="00B3354B" w:rsidRPr="00B3354B" w:rsidRDefault="00B3354B" w:rsidP="00F402EF">
      <w:pPr>
        <w:pStyle w:val="Style2"/>
      </w:pPr>
      <w:r>
        <w:br w:type="page"/>
      </w:r>
      <w:bookmarkStart w:id="10" w:name="_Toc9420927"/>
      <w:r>
        <w:t xml:space="preserve">Appendix </w:t>
      </w:r>
      <w:r w:rsidR="000C633D">
        <w:t>H</w:t>
      </w:r>
      <w:r w:rsidR="009A405C">
        <w:t>—</w:t>
      </w:r>
      <w:r w:rsidR="00117DF7">
        <w:t>S</w:t>
      </w:r>
      <w:r w:rsidR="009A405C">
        <w:t>ubstantive testing procedures—</w:t>
      </w:r>
      <w:r w:rsidR="00117DF7">
        <w:t>Statutory</w:t>
      </w:r>
      <w:bookmarkEnd w:id="10"/>
      <w:r w:rsidRPr="00B3354B">
        <w:t xml:space="preserve"> </w:t>
      </w:r>
    </w:p>
    <w:p w14:paraId="312866FB" w14:textId="77777777" w:rsidR="00B3354B" w:rsidRPr="00B3354B" w:rsidRDefault="00B3354B" w:rsidP="00F402EF">
      <w:pPr>
        <w:pStyle w:val="Style2"/>
      </w:pPr>
    </w:p>
    <w:p w14:paraId="76038BFD" w14:textId="77777777" w:rsidR="000637D1" w:rsidRPr="00117DF7" w:rsidRDefault="00117DF7" w:rsidP="0051178B">
      <w:pPr>
        <w:rPr>
          <w:i/>
        </w:rPr>
      </w:pPr>
      <w:r w:rsidRPr="00117DF7">
        <w:rPr>
          <w:i/>
        </w:rPr>
        <w:t xml:space="preserve">The SSC team will include here incremental substantive testing requested by statutory teams, in a format consistent with Appendix </w:t>
      </w:r>
      <w:r w:rsidR="006F51ED">
        <w:rPr>
          <w:i/>
        </w:rPr>
        <w:t>E</w:t>
      </w:r>
      <w:r w:rsidRPr="00117DF7">
        <w:rPr>
          <w:i/>
        </w:rPr>
        <w:t>.</w:t>
      </w:r>
    </w:p>
    <w:p w14:paraId="011E5CD4" w14:textId="77777777" w:rsidR="000637D1" w:rsidRDefault="000637D1" w:rsidP="0051178B"/>
    <w:p w14:paraId="04DBE47F" w14:textId="77777777" w:rsidR="0039325E" w:rsidRDefault="0039325E" w:rsidP="0039325E">
      <w:pPr>
        <w:pStyle w:val="BodyText"/>
        <w:rPr>
          <w:highlight w:val="yellow"/>
        </w:rPr>
      </w:pPr>
    </w:p>
    <w:p w14:paraId="02D98773" w14:textId="7C3D668D" w:rsidR="0039325E" w:rsidRPr="00EA31DD" w:rsidRDefault="00EA31DD" w:rsidP="00F402EF">
      <w:pPr>
        <w:pStyle w:val="Style2"/>
        <w:rPr>
          <w:highlight w:val="yellow"/>
        </w:rPr>
      </w:pPr>
      <w:r>
        <w:rPr>
          <w:highlight w:val="yellow"/>
        </w:rPr>
        <w:br w:type="page"/>
      </w:r>
      <w:bookmarkStart w:id="11" w:name="_Toc9420928"/>
      <w:r w:rsidRPr="0071637A">
        <w:t xml:space="preserve">Appendix </w:t>
      </w:r>
      <w:r w:rsidR="009A405C">
        <w:t>I—</w:t>
      </w:r>
      <w:r w:rsidR="00B1234A">
        <w:t>Confirmation of sufficiency of procedures</w:t>
      </w:r>
      <w:bookmarkEnd w:id="11"/>
    </w:p>
    <w:p w14:paraId="6E2E054C" w14:textId="77777777" w:rsidR="0039325E" w:rsidRPr="001B1EC8" w:rsidRDefault="0039325E" w:rsidP="0039325E"/>
    <w:p w14:paraId="768E3038" w14:textId="22D10E6A" w:rsidR="0071637A" w:rsidRDefault="0071637A" w:rsidP="0071637A">
      <w:pPr>
        <w:widowControl w:val="0"/>
      </w:pPr>
      <w:r>
        <w:t xml:space="preserve">To </w:t>
      </w:r>
      <w:r w:rsidR="008E1EE0">
        <w:t>Office of the Auditor General</w:t>
      </w:r>
      <w:r w:rsidR="004E23A0">
        <w:t xml:space="preserve"> of Canada</w:t>
      </w:r>
      <w:r w:rsidR="008E1EE0">
        <w:t xml:space="preserve"> </w:t>
      </w:r>
      <w:r>
        <w:t>– SSC team</w:t>
      </w:r>
    </w:p>
    <w:p w14:paraId="47DCBA2C" w14:textId="77777777" w:rsidR="0071637A" w:rsidRDefault="0071637A" w:rsidP="0071637A">
      <w:pPr>
        <w:rPr>
          <w:u w:val="single"/>
        </w:rPr>
      </w:pPr>
    </w:p>
    <w:p w14:paraId="79DEFE20" w14:textId="314EF4F7" w:rsidR="0071637A" w:rsidRPr="00F402EF" w:rsidRDefault="002D174D" w:rsidP="00F402EF">
      <w:pPr>
        <w:rPr>
          <w:b/>
        </w:rPr>
      </w:pPr>
      <w:r w:rsidRPr="00F402EF">
        <w:rPr>
          <w:b/>
        </w:rPr>
        <w:t>Acknowledgement of Receipt of Memorandum And Sufficiency of Procedures</w:t>
      </w:r>
    </w:p>
    <w:p w14:paraId="7AC81126" w14:textId="77777777" w:rsidR="0071637A" w:rsidRPr="00F402EF" w:rsidRDefault="0071637A" w:rsidP="0087291F">
      <w:pPr>
        <w:rPr>
          <w:rFonts w:ascii="Georgia" w:hAnsi="Georgia"/>
          <w:b/>
          <w:sz w:val="20"/>
          <w:szCs w:val="20"/>
        </w:rPr>
      </w:pPr>
    </w:p>
    <w:p w14:paraId="02CC1722" w14:textId="1DAA2198" w:rsidR="0071637A" w:rsidRDefault="0071637A" w:rsidP="0071637A">
      <w:r>
        <w:t>We acknowledge r</w:t>
      </w:r>
      <w:r w:rsidR="00812649">
        <w:t>eceipt of your Memorandum of U</w:t>
      </w:r>
      <w:r>
        <w:t xml:space="preserve">nderstanding dated </w:t>
      </w:r>
      <w:r w:rsidR="002C72B4">
        <w:t>[</w:t>
      </w:r>
      <w:r w:rsidR="002C72B4" w:rsidRPr="00F402EF">
        <w:rPr>
          <w:color w:val="0000FF"/>
        </w:rPr>
        <w:t>date</w:t>
      </w:r>
      <w:r w:rsidR="002C72B4">
        <w:t>]</w:t>
      </w:r>
      <w:r w:rsidRPr="00DF1388">
        <w:t>.</w:t>
      </w:r>
      <w:r>
        <w:t xml:space="preserve">  We do not anticipate any issues with the scope of the work that you have outlined above, or the time anticipated for completing your report.</w:t>
      </w:r>
    </w:p>
    <w:p w14:paraId="1A8EA0C2" w14:textId="77777777" w:rsidR="0071637A" w:rsidRDefault="0071637A" w:rsidP="0071637A"/>
    <w:p w14:paraId="6CB9E20E" w14:textId="77777777" w:rsidR="0071637A" w:rsidRDefault="0071637A" w:rsidP="0071637A">
      <w:r>
        <w:t>[</w:t>
      </w:r>
      <w:r w:rsidRPr="00E4525E">
        <w:rPr>
          <w:b/>
        </w:rPr>
        <w:t xml:space="preserve">We request that you perform the following additional procedures in support of our statutory audit. </w:t>
      </w:r>
      <w:r>
        <w:rPr>
          <w:b/>
        </w:rPr>
        <w:t xml:space="preserve">Please provide us with the estimated </w:t>
      </w:r>
      <w:r w:rsidR="008E1EE0">
        <w:rPr>
          <w:b/>
        </w:rPr>
        <w:t>hours</w:t>
      </w:r>
      <w:r>
        <w:rPr>
          <w:b/>
        </w:rPr>
        <w:t xml:space="preserve"> for these additional procedures.]</w:t>
      </w:r>
    </w:p>
    <w:p w14:paraId="32221A0A" w14:textId="77777777" w:rsidR="0071637A" w:rsidRDefault="0071637A" w:rsidP="0071637A"/>
    <w:tbl>
      <w:tblPr>
        <w:tblW w:w="5000" w:type="pct"/>
        <w:tblLayout w:type="fixed"/>
        <w:tblLook w:val="01E0" w:firstRow="1" w:lastRow="1" w:firstColumn="1" w:lastColumn="1" w:noHBand="0" w:noVBand="0"/>
      </w:tblPr>
      <w:tblGrid>
        <w:gridCol w:w="3061"/>
        <w:gridCol w:w="3061"/>
        <w:gridCol w:w="3062"/>
      </w:tblGrid>
      <w:tr w:rsidR="002D174D" w:rsidRPr="007D44DA" w14:paraId="4605A4C0" w14:textId="77777777" w:rsidTr="009A405C">
        <w:trPr>
          <w:tblHeader/>
        </w:trPr>
        <w:tc>
          <w:tcPr>
            <w:tcW w:w="3359" w:type="dxa"/>
            <w:shd w:val="clear" w:color="auto" w:fill="1F497D" w:themeFill="text2"/>
          </w:tcPr>
          <w:p w14:paraId="4DACC63C" w14:textId="77777777" w:rsidR="002D174D" w:rsidRPr="00F402EF" w:rsidRDefault="002D174D" w:rsidP="00FA57D4">
            <w:pPr>
              <w:pStyle w:val="TableTitleArial"/>
              <w:rPr>
                <w:rFonts w:ascii="Times New Roman" w:hAnsi="Times New Roman" w:cs="Times New Roman"/>
                <w:b/>
                <w:color w:val="FFFFFF" w:themeColor="background1"/>
                <w:sz w:val="24"/>
                <w:szCs w:val="24"/>
              </w:rPr>
            </w:pPr>
            <w:r w:rsidRPr="00F402EF">
              <w:rPr>
                <w:rFonts w:ascii="Times New Roman" w:hAnsi="Times New Roman" w:cs="Times New Roman"/>
                <w:b/>
                <w:color w:val="FFFFFF" w:themeColor="background1"/>
                <w:sz w:val="24"/>
                <w:szCs w:val="24"/>
              </w:rPr>
              <w:t>Procedures</w:t>
            </w:r>
          </w:p>
        </w:tc>
        <w:tc>
          <w:tcPr>
            <w:tcW w:w="3359" w:type="dxa"/>
            <w:shd w:val="clear" w:color="auto" w:fill="1F497D" w:themeFill="text2"/>
          </w:tcPr>
          <w:p w14:paraId="783DB96B" w14:textId="77777777" w:rsidR="002D174D" w:rsidRPr="00F402EF" w:rsidRDefault="002D174D" w:rsidP="00FA57D4">
            <w:pPr>
              <w:pStyle w:val="TableTitleArial"/>
              <w:rPr>
                <w:rFonts w:ascii="Times New Roman" w:hAnsi="Times New Roman" w:cs="Times New Roman"/>
                <w:b/>
                <w:color w:val="FFFFFF" w:themeColor="background1"/>
                <w:sz w:val="24"/>
                <w:szCs w:val="24"/>
              </w:rPr>
            </w:pPr>
            <w:r w:rsidRPr="00F402EF">
              <w:rPr>
                <w:rFonts w:ascii="Times New Roman" w:hAnsi="Times New Roman" w:cs="Times New Roman"/>
                <w:b/>
                <w:color w:val="FFFFFF" w:themeColor="background1"/>
                <w:sz w:val="24"/>
                <w:szCs w:val="24"/>
              </w:rPr>
              <w:t>Sample Size</w:t>
            </w:r>
          </w:p>
        </w:tc>
        <w:tc>
          <w:tcPr>
            <w:tcW w:w="3360" w:type="dxa"/>
            <w:shd w:val="clear" w:color="auto" w:fill="1F497D" w:themeFill="text2"/>
          </w:tcPr>
          <w:p w14:paraId="72FF44F7" w14:textId="77777777" w:rsidR="002D174D" w:rsidRPr="00F402EF" w:rsidRDefault="002D174D" w:rsidP="00FA57D4">
            <w:pPr>
              <w:pStyle w:val="TableTitleArial"/>
              <w:rPr>
                <w:rFonts w:ascii="Times New Roman" w:hAnsi="Times New Roman" w:cs="Times New Roman"/>
                <w:b/>
                <w:color w:val="FFFFFF" w:themeColor="background1"/>
                <w:sz w:val="24"/>
                <w:szCs w:val="24"/>
              </w:rPr>
            </w:pPr>
            <w:r w:rsidRPr="00F402EF">
              <w:rPr>
                <w:rFonts w:ascii="Times New Roman" w:hAnsi="Times New Roman" w:cs="Times New Roman"/>
                <w:b/>
                <w:color w:val="FFFFFF" w:themeColor="background1"/>
                <w:sz w:val="24"/>
                <w:szCs w:val="24"/>
              </w:rPr>
              <w:t>Comments</w:t>
            </w:r>
          </w:p>
        </w:tc>
      </w:tr>
      <w:tr w:rsidR="002D174D" w:rsidRPr="007D44DA" w14:paraId="57D5938F" w14:textId="77777777" w:rsidTr="00F402EF">
        <w:tc>
          <w:tcPr>
            <w:tcW w:w="3359" w:type="dxa"/>
            <w:tcBorders>
              <w:bottom w:val="single" w:sz="4" w:space="0" w:color="1F497D" w:themeColor="text2"/>
            </w:tcBorders>
            <w:shd w:val="clear" w:color="auto" w:fill="D9D9D9" w:themeFill="background1" w:themeFillShade="D9"/>
          </w:tcPr>
          <w:p w14:paraId="618E3EAD" w14:textId="77777777" w:rsidR="002D174D" w:rsidRPr="00F402EF" w:rsidRDefault="002D174D" w:rsidP="00FA57D4">
            <w:pPr>
              <w:pStyle w:val="TableTextArial"/>
              <w:rPr>
                <w:rFonts w:ascii="Times New Roman" w:hAnsi="Times New Roman" w:cs="Times New Roman"/>
                <w:sz w:val="24"/>
                <w:szCs w:val="24"/>
              </w:rPr>
            </w:pPr>
          </w:p>
        </w:tc>
        <w:tc>
          <w:tcPr>
            <w:tcW w:w="3359" w:type="dxa"/>
            <w:tcBorders>
              <w:bottom w:val="single" w:sz="4" w:space="0" w:color="1F497D" w:themeColor="text2"/>
            </w:tcBorders>
            <w:shd w:val="clear" w:color="auto" w:fill="D9D9D9" w:themeFill="background1" w:themeFillShade="D9"/>
          </w:tcPr>
          <w:p w14:paraId="29076664" w14:textId="77777777" w:rsidR="002D174D" w:rsidRPr="00F402EF" w:rsidRDefault="002D174D" w:rsidP="00FA57D4">
            <w:pPr>
              <w:pStyle w:val="TableTextArial"/>
              <w:rPr>
                <w:rFonts w:ascii="Times New Roman" w:hAnsi="Times New Roman" w:cs="Times New Roman"/>
                <w:sz w:val="24"/>
                <w:szCs w:val="24"/>
              </w:rPr>
            </w:pPr>
          </w:p>
        </w:tc>
        <w:tc>
          <w:tcPr>
            <w:tcW w:w="3360" w:type="dxa"/>
            <w:tcBorders>
              <w:bottom w:val="single" w:sz="4" w:space="0" w:color="1F497D" w:themeColor="text2"/>
            </w:tcBorders>
            <w:shd w:val="clear" w:color="auto" w:fill="D9D9D9" w:themeFill="background1" w:themeFillShade="D9"/>
          </w:tcPr>
          <w:p w14:paraId="1BEFC141" w14:textId="77777777" w:rsidR="002D174D" w:rsidRPr="00F402EF" w:rsidRDefault="002D174D" w:rsidP="00FA57D4">
            <w:pPr>
              <w:pStyle w:val="TableTextArial"/>
              <w:rPr>
                <w:rFonts w:ascii="Times New Roman" w:hAnsi="Times New Roman" w:cs="Times New Roman"/>
                <w:sz w:val="24"/>
                <w:szCs w:val="24"/>
              </w:rPr>
            </w:pPr>
          </w:p>
        </w:tc>
      </w:tr>
      <w:tr w:rsidR="002D174D" w:rsidRPr="007D44DA" w14:paraId="1C15FA6A" w14:textId="77777777" w:rsidTr="00F402EF">
        <w:tc>
          <w:tcPr>
            <w:tcW w:w="3359" w:type="dxa"/>
            <w:tcBorders>
              <w:top w:val="single" w:sz="4" w:space="0" w:color="1F497D" w:themeColor="text2"/>
              <w:bottom w:val="single" w:sz="4" w:space="0" w:color="1F497D" w:themeColor="text2"/>
            </w:tcBorders>
            <w:shd w:val="clear" w:color="auto" w:fill="D9D9D9" w:themeFill="background1" w:themeFillShade="D9"/>
          </w:tcPr>
          <w:p w14:paraId="378AB096" w14:textId="77777777" w:rsidR="002D174D" w:rsidRPr="00F402EF" w:rsidRDefault="002D174D" w:rsidP="00FA57D4">
            <w:pPr>
              <w:pStyle w:val="TableTextArial"/>
              <w:rPr>
                <w:rFonts w:ascii="Times New Roman" w:hAnsi="Times New Roman" w:cs="Times New Roman"/>
                <w:sz w:val="24"/>
                <w:szCs w:val="24"/>
              </w:rPr>
            </w:pPr>
          </w:p>
        </w:tc>
        <w:tc>
          <w:tcPr>
            <w:tcW w:w="3359" w:type="dxa"/>
            <w:tcBorders>
              <w:top w:val="single" w:sz="4" w:space="0" w:color="1F497D" w:themeColor="text2"/>
              <w:bottom w:val="single" w:sz="4" w:space="0" w:color="1F497D" w:themeColor="text2"/>
            </w:tcBorders>
            <w:shd w:val="clear" w:color="auto" w:fill="D9D9D9" w:themeFill="background1" w:themeFillShade="D9"/>
          </w:tcPr>
          <w:p w14:paraId="5EA549F3" w14:textId="77777777" w:rsidR="002D174D" w:rsidRPr="00F402EF" w:rsidRDefault="002D174D" w:rsidP="00FA57D4">
            <w:pPr>
              <w:pStyle w:val="TableTextArial"/>
              <w:rPr>
                <w:rFonts w:ascii="Times New Roman" w:hAnsi="Times New Roman" w:cs="Times New Roman"/>
                <w:sz w:val="24"/>
                <w:szCs w:val="24"/>
              </w:rPr>
            </w:pPr>
          </w:p>
        </w:tc>
        <w:tc>
          <w:tcPr>
            <w:tcW w:w="3360" w:type="dxa"/>
            <w:tcBorders>
              <w:top w:val="single" w:sz="4" w:space="0" w:color="1F497D" w:themeColor="text2"/>
              <w:bottom w:val="single" w:sz="4" w:space="0" w:color="1F497D" w:themeColor="text2"/>
            </w:tcBorders>
            <w:shd w:val="clear" w:color="auto" w:fill="D9D9D9" w:themeFill="background1" w:themeFillShade="D9"/>
          </w:tcPr>
          <w:p w14:paraId="0612D8DB" w14:textId="77777777" w:rsidR="002D174D" w:rsidRPr="00F402EF" w:rsidRDefault="002D174D" w:rsidP="00FA57D4">
            <w:pPr>
              <w:pStyle w:val="TableTextArial"/>
              <w:rPr>
                <w:rFonts w:ascii="Times New Roman" w:hAnsi="Times New Roman" w:cs="Times New Roman"/>
                <w:sz w:val="24"/>
                <w:szCs w:val="24"/>
              </w:rPr>
            </w:pPr>
          </w:p>
        </w:tc>
      </w:tr>
      <w:tr w:rsidR="002D174D" w:rsidRPr="007D44DA" w14:paraId="7CB91021" w14:textId="77777777" w:rsidTr="00F402EF">
        <w:tc>
          <w:tcPr>
            <w:tcW w:w="3359" w:type="dxa"/>
            <w:tcBorders>
              <w:top w:val="single" w:sz="4" w:space="0" w:color="1F497D" w:themeColor="text2"/>
              <w:bottom w:val="single" w:sz="4" w:space="0" w:color="1F497D" w:themeColor="text2"/>
            </w:tcBorders>
            <w:shd w:val="clear" w:color="auto" w:fill="D9D9D9" w:themeFill="background1" w:themeFillShade="D9"/>
          </w:tcPr>
          <w:p w14:paraId="12347879" w14:textId="77777777" w:rsidR="002D174D" w:rsidRPr="00F402EF" w:rsidRDefault="002D174D" w:rsidP="00FA57D4">
            <w:pPr>
              <w:pStyle w:val="TableTextArial"/>
              <w:rPr>
                <w:rFonts w:ascii="Times New Roman" w:hAnsi="Times New Roman" w:cs="Times New Roman"/>
                <w:sz w:val="24"/>
                <w:szCs w:val="24"/>
              </w:rPr>
            </w:pPr>
          </w:p>
        </w:tc>
        <w:tc>
          <w:tcPr>
            <w:tcW w:w="3359" w:type="dxa"/>
            <w:tcBorders>
              <w:top w:val="single" w:sz="4" w:space="0" w:color="1F497D" w:themeColor="text2"/>
              <w:bottom w:val="single" w:sz="4" w:space="0" w:color="1F497D" w:themeColor="text2"/>
            </w:tcBorders>
            <w:shd w:val="clear" w:color="auto" w:fill="D9D9D9" w:themeFill="background1" w:themeFillShade="D9"/>
          </w:tcPr>
          <w:p w14:paraId="01FE63C5" w14:textId="77777777" w:rsidR="002D174D" w:rsidRPr="00F402EF" w:rsidRDefault="002D174D" w:rsidP="00FA57D4">
            <w:pPr>
              <w:pStyle w:val="TableTextArial"/>
              <w:rPr>
                <w:rFonts w:ascii="Times New Roman" w:hAnsi="Times New Roman" w:cs="Times New Roman"/>
                <w:sz w:val="24"/>
                <w:szCs w:val="24"/>
              </w:rPr>
            </w:pPr>
          </w:p>
        </w:tc>
        <w:tc>
          <w:tcPr>
            <w:tcW w:w="3360" w:type="dxa"/>
            <w:tcBorders>
              <w:top w:val="single" w:sz="4" w:space="0" w:color="1F497D" w:themeColor="text2"/>
              <w:bottom w:val="single" w:sz="4" w:space="0" w:color="1F497D" w:themeColor="text2"/>
            </w:tcBorders>
            <w:shd w:val="clear" w:color="auto" w:fill="D9D9D9" w:themeFill="background1" w:themeFillShade="D9"/>
          </w:tcPr>
          <w:p w14:paraId="17463DAF" w14:textId="77777777" w:rsidR="002D174D" w:rsidRPr="00F402EF" w:rsidRDefault="002D174D" w:rsidP="00FA57D4">
            <w:pPr>
              <w:pStyle w:val="TableTextArial"/>
              <w:rPr>
                <w:rFonts w:ascii="Times New Roman" w:hAnsi="Times New Roman" w:cs="Times New Roman"/>
                <w:sz w:val="24"/>
                <w:szCs w:val="24"/>
              </w:rPr>
            </w:pPr>
          </w:p>
        </w:tc>
      </w:tr>
      <w:tr w:rsidR="002D174D" w:rsidRPr="007D44DA" w14:paraId="30DD1631" w14:textId="77777777" w:rsidTr="00F402EF">
        <w:tc>
          <w:tcPr>
            <w:tcW w:w="3359" w:type="dxa"/>
            <w:tcBorders>
              <w:top w:val="single" w:sz="4" w:space="0" w:color="1F497D" w:themeColor="text2"/>
              <w:bottom w:val="single" w:sz="4" w:space="0" w:color="1F497D" w:themeColor="text2"/>
            </w:tcBorders>
            <w:shd w:val="clear" w:color="auto" w:fill="D9D9D9" w:themeFill="background1" w:themeFillShade="D9"/>
          </w:tcPr>
          <w:p w14:paraId="62ACC39D" w14:textId="77777777" w:rsidR="002D174D" w:rsidRPr="00F402EF" w:rsidRDefault="002D174D" w:rsidP="00FA57D4">
            <w:pPr>
              <w:pStyle w:val="TableTextArial"/>
              <w:rPr>
                <w:rFonts w:ascii="Times New Roman" w:hAnsi="Times New Roman" w:cs="Times New Roman"/>
                <w:sz w:val="24"/>
                <w:szCs w:val="24"/>
              </w:rPr>
            </w:pPr>
          </w:p>
        </w:tc>
        <w:tc>
          <w:tcPr>
            <w:tcW w:w="3359" w:type="dxa"/>
            <w:tcBorders>
              <w:top w:val="single" w:sz="4" w:space="0" w:color="1F497D" w:themeColor="text2"/>
              <w:bottom w:val="single" w:sz="4" w:space="0" w:color="1F497D" w:themeColor="text2"/>
            </w:tcBorders>
            <w:shd w:val="clear" w:color="auto" w:fill="D9D9D9" w:themeFill="background1" w:themeFillShade="D9"/>
          </w:tcPr>
          <w:p w14:paraId="18D9412B" w14:textId="77777777" w:rsidR="002D174D" w:rsidRPr="00F402EF" w:rsidRDefault="002D174D" w:rsidP="00FA57D4">
            <w:pPr>
              <w:pStyle w:val="TableTextArial"/>
              <w:rPr>
                <w:rFonts w:ascii="Times New Roman" w:hAnsi="Times New Roman" w:cs="Times New Roman"/>
                <w:sz w:val="24"/>
                <w:szCs w:val="24"/>
              </w:rPr>
            </w:pPr>
          </w:p>
        </w:tc>
        <w:tc>
          <w:tcPr>
            <w:tcW w:w="3360" w:type="dxa"/>
            <w:tcBorders>
              <w:top w:val="single" w:sz="4" w:space="0" w:color="1F497D" w:themeColor="text2"/>
              <w:bottom w:val="single" w:sz="4" w:space="0" w:color="1F497D" w:themeColor="text2"/>
            </w:tcBorders>
            <w:shd w:val="clear" w:color="auto" w:fill="D9D9D9" w:themeFill="background1" w:themeFillShade="D9"/>
          </w:tcPr>
          <w:p w14:paraId="61A5CE02" w14:textId="77777777" w:rsidR="002D174D" w:rsidRPr="00F402EF" w:rsidRDefault="002D174D" w:rsidP="00FA57D4">
            <w:pPr>
              <w:pStyle w:val="TableTextArial"/>
              <w:rPr>
                <w:rFonts w:ascii="Times New Roman" w:hAnsi="Times New Roman" w:cs="Times New Roman"/>
                <w:sz w:val="24"/>
                <w:szCs w:val="24"/>
              </w:rPr>
            </w:pPr>
          </w:p>
        </w:tc>
      </w:tr>
    </w:tbl>
    <w:p w14:paraId="1B0C9B41" w14:textId="77777777" w:rsidR="002D174D" w:rsidRDefault="002D174D" w:rsidP="0071637A"/>
    <w:p w14:paraId="614DBB49" w14:textId="77777777" w:rsidR="0071637A" w:rsidRDefault="0071637A" w:rsidP="0071637A"/>
    <w:p w14:paraId="178A9DD6" w14:textId="77777777" w:rsidR="0039325E" w:rsidRDefault="0039325E" w:rsidP="0039325E">
      <w:pPr>
        <w:pStyle w:val="BodyText"/>
      </w:pPr>
    </w:p>
    <w:p w14:paraId="3BD5E333" w14:textId="54663C9A" w:rsidR="006D2BE5" w:rsidRDefault="008668CB" w:rsidP="00F402EF">
      <w:pPr>
        <w:pStyle w:val="Style2"/>
        <w:rPr>
          <w:lang w:val="en-CA"/>
        </w:rPr>
      </w:pPr>
      <w:r w:rsidRPr="00067EDC">
        <w:rPr>
          <w:lang w:val="en-CA"/>
        </w:rPr>
        <w:br w:type="page"/>
      </w:r>
      <w:bookmarkStart w:id="12" w:name="_Toc9420929"/>
      <w:r w:rsidR="00E05CEE" w:rsidRPr="006D2BE5">
        <w:rPr>
          <w:noProof/>
        </w:rPr>
        <w:t xml:space="preserve">Appendix </w:t>
      </w:r>
      <w:r w:rsidR="001F0906" w:rsidRPr="006D2BE5">
        <w:rPr>
          <w:noProof/>
        </w:rPr>
        <w:t>J</w:t>
      </w:r>
      <w:r w:rsidR="009A405C">
        <w:t>—</w:t>
      </w:r>
      <w:r w:rsidR="006D2BE5" w:rsidRPr="006D2BE5">
        <w:rPr>
          <w:noProof/>
        </w:rPr>
        <w:t>Confirmation</w:t>
      </w:r>
      <w:r w:rsidR="006D2BE5">
        <w:rPr>
          <w:noProof/>
        </w:rPr>
        <w:t xml:space="preserve"> </w:t>
      </w:r>
      <w:r w:rsidR="006D2BE5" w:rsidRPr="006D2BE5">
        <w:rPr>
          <w:noProof/>
        </w:rPr>
        <w:t>of compliance with documentation standards</w:t>
      </w:r>
      <w:bookmarkEnd w:id="12"/>
      <w:r w:rsidR="006D2BE5" w:rsidRPr="006D2BE5">
        <w:rPr>
          <w:lang w:val="en-CA"/>
        </w:rPr>
        <w:t xml:space="preserve"> </w:t>
      </w:r>
    </w:p>
    <w:p w14:paraId="1779E7CF" w14:textId="77777777" w:rsidR="006D2BE5" w:rsidRPr="00F402EF" w:rsidRDefault="006D2BE5" w:rsidP="00F402EF">
      <w:pPr>
        <w:pStyle w:val="Style2"/>
        <w:rPr>
          <w:sz w:val="32"/>
          <w:szCs w:val="32"/>
          <w:lang w:val="en-CA"/>
        </w:rPr>
      </w:pPr>
    </w:p>
    <w:p w14:paraId="3ABEA03B" w14:textId="77777777" w:rsidR="006D2BE5" w:rsidRPr="006D2BE5" w:rsidRDefault="006D2BE5" w:rsidP="006D2BE5">
      <w:pPr>
        <w:pStyle w:val="BodyText"/>
        <w:rPr>
          <w:rFonts w:cs="Times New Roman"/>
          <w:b/>
        </w:rPr>
      </w:pPr>
      <w:r w:rsidRPr="008A4C77">
        <w:rPr>
          <w:rFonts w:asciiTheme="majorHAnsi" w:hAnsiTheme="majorHAnsi"/>
          <w:b/>
        </w:rPr>
        <w:t>(</w:t>
      </w:r>
      <w:r w:rsidRPr="006D2BE5">
        <w:rPr>
          <w:rFonts w:cs="Times New Roman"/>
          <w:b/>
        </w:rPr>
        <w:t xml:space="preserve">Note - The SSC team will tailor and sign this confirmation prior to despatch of the Memorandum) </w:t>
      </w:r>
    </w:p>
    <w:p w14:paraId="3E15BB78" w14:textId="77777777" w:rsidR="006D2BE5" w:rsidRPr="006D2BE5" w:rsidRDefault="006D2BE5" w:rsidP="006D2BE5">
      <w:pPr>
        <w:pStyle w:val="BodyText"/>
        <w:rPr>
          <w:rFonts w:cs="Times New Roman"/>
          <w:b/>
        </w:rPr>
      </w:pPr>
    </w:p>
    <w:p w14:paraId="62C5C1BC" w14:textId="77777777" w:rsidR="006D2BE5" w:rsidRPr="00F402EF" w:rsidRDefault="006D2BE5" w:rsidP="006D2BE5">
      <w:pPr>
        <w:pStyle w:val="BodyText"/>
        <w:rPr>
          <w:rFonts w:cs="Times New Roman"/>
          <w:color w:val="auto"/>
        </w:rPr>
      </w:pPr>
      <w:r w:rsidRPr="006D2BE5">
        <w:rPr>
          <w:rFonts w:cs="Times New Roman"/>
        </w:rPr>
        <w:t xml:space="preserve">In connection with our audit of the </w:t>
      </w:r>
      <w:r w:rsidRPr="00F402EF">
        <w:rPr>
          <w:rFonts w:cs="Times New Roman"/>
          <w:color w:val="auto"/>
        </w:rPr>
        <w:t>[</w:t>
      </w:r>
      <w:r w:rsidRPr="00F402EF">
        <w:rPr>
          <w:rFonts w:cs="Times New Roman"/>
          <w:color w:val="0000FF"/>
        </w:rPr>
        <w:t>describe work to be performed</w:t>
      </w:r>
      <w:r w:rsidRPr="00F402EF">
        <w:rPr>
          <w:rFonts w:cs="Times New Roman"/>
          <w:color w:val="auto"/>
        </w:rPr>
        <w:t xml:space="preserve">] </w:t>
      </w:r>
      <w:r w:rsidRPr="006D2BE5">
        <w:rPr>
          <w:rFonts w:cs="Times New Roman"/>
        </w:rPr>
        <w:t xml:space="preserve">of </w:t>
      </w:r>
      <w:r w:rsidRPr="00F402EF">
        <w:rPr>
          <w:rFonts w:cs="Times New Roman"/>
          <w:color w:val="auto"/>
        </w:rPr>
        <w:t>[</w:t>
      </w:r>
      <w:r w:rsidRPr="00F402EF">
        <w:rPr>
          <w:rFonts w:cs="Times New Roman"/>
          <w:color w:val="0000FF"/>
        </w:rPr>
        <w:t>name of component</w:t>
      </w:r>
      <w:r w:rsidRPr="00F402EF">
        <w:rPr>
          <w:rFonts w:cs="Times New Roman"/>
          <w:color w:val="auto"/>
        </w:rPr>
        <w:t>] as of [</w:t>
      </w:r>
      <w:r w:rsidRPr="00F402EF">
        <w:rPr>
          <w:rFonts w:cs="Times New Roman"/>
          <w:color w:val="0000FF"/>
        </w:rPr>
        <w:t>date</w:t>
      </w:r>
      <w:r w:rsidRPr="00F402EF">
        <w:rPr>
          <w:rFonts w:cs="Times New Roman"/>
          <w:color w:val="auto"/>
        </w:rPr>
        <w:t>] and for the [</w:t>
      </w:r>
      <w:r w:rsidRPr="00F402EF">
        <w:rPr>
          <w:rFonts w:cs="Times New Roman"/>
          <w:color w:val="0000FF"/>
        </w:rPr>
        <w:t>period of audit</w:t>
      </w:r>
      <w:r w:rsidRPr="00F402EF">
        <w:rPr>
          <w:rFonts w:cs="Times New Roman"/>
          <w:color w:val="auto"/>
        </w:rPr>
        <w:t>]:</w:t>
      </w:r>
    </w:p>
    <w:p w14:paraId="57A62CA7" w14:textId="77777777" w:rsidR="006D2BE5" w:rsidRPr="006D2BE5" w:rsidRDefault="006D2BE5" w:rsidP="006D2BE5">
      <w:pPr>
        <w:pStyle w:val="BodyText"/>
        <w:rPr>
          <w:rFonts w:cs="Times New Roman"/>
        </w:rPr>
      </w:pPr>
    </w:p>
    <w:p w14:paraId="1D0BD6F7" w14:textId="050D2E7A" w:rsidR="006D2BE5" w:rsidRPr="006D2BE5" w:rsidRDefault="006D2BE5" w:rsidP="006D2BE5">
      <w:pPr>
        <w:pStyle w:val="ListBullet2"/>
        <w:numPr>
          <w:ilvl w:val="0"/>
          <w:numId w:val="47"/>
        </w:numPr>
        <w:spacing w:after="180" w:line="260" w:lineRule="atLeast"/>
        <w:ind w:left="360" w:hanging="360"/>
        <w:contextualSpacing w:val="0"/>
        <w:rPr>
          <w:rFonts w:cs="Times New Roman"/>
        </w:rPr>
      </w:pPr>
      <w:r w:rsidRPr="006D2BE5">
        <w:rPr>
          <w:rFonts w:cs="Times New Roman"/>
        </w:rPr>
        <w:t xml:space="preserve">We understand the training and supervision requirements of the </w:t>
      </w:r>
      <w:r>
        <w:rPr>
          <w:rFonts w:cs="Times New Roman"/>
        </w:rPr>
        <w:t>Canadian</w:t>
      </w:r>
      <w:r w:rsidRPr="006D2BE5">
        <w:rPr>
          <w:rFonts w:cs="Times New Roman"/>
        </w:rPr>
        <w:t xml:space="preserve"> Standards on Auditing (</w:t>
      </w:r>
      <w:r>
        <w:rPr>
          <w:rFonts w:cs="Times New Roman"/>
        </w:rPr>
        <w:t>C</w:t>
      </w:r>
      <w:r w:rsidRPr="006D2BE5">
        <w:rPr>
          <w:rFonts w:cs="Times New Roman"/>
        </w:rPr>
        <w:t>A</w:t>
      </w:r>
      <w:r>
        <w:rPr>
          <w:rFonts w:cs="Times New Roman"/>
        </w:rPr>
        <w:t>S</w:t>
      </w:r>
      <w:r w:rsidRPr="006D2BE5">
        <w:rPr>
          <w:rFonts w:cs="Times New Roman"/>
        </w:rPr>
        <w:t xml:space="preserve">s) and </w:t>
      </w:r>
      <w:r w:rsidR="00F73A13">
        <w:rPr>
          <w:rFonts w:cs="Times New Roman"/>
        </w:rPr>
        <w:t>Canadian</w:t>
      </w:r>
      <w:r w:rsidRPr="006D2BE5">
        <w:rPr>
          <w:rFonts w:cs="Times New Roman"/>
        </w:rPr>
        <w:t xml:space="preserve"> Standard on Quality </w:t>
      </w:r>
      <w:r w:rsidR="00936B8E">
        <w:rPr>
          <w:rFonts w:cs="Times New Roman"/>
        </w:rPr>
        <w:t>Management</w:t>
      </w:r>
      <w:r w:rsidR="00936B8E" w:rsidRPr="006D2BE5">
        <w:rPr>
          <w:rFonts w:cs="Times New Roman"/>
        </w:rPr>
        <w:t xml:space="preserve"> </w:t>
      </w:r>
      <w:r w:rsidRPr="006D2BE5">
        <w:rPr>
          <w:rFonts w:cs="Times New Roman"/>
        </w:rPr>
        <w:t>(</w:t>
      </w:r>
      <w:r w:rsidR="00F73A13">
        <w:rPr>
          <w:rFonts w:cs="Times New Roman"/>
        </w:rPr>
        <w:t>C</w:t>
      </w:r>
      <w:r w:rsidRPr="006D2BE5">
        <w:rPr>
          <w:rFonts w:cs="Times New Roman"/>
        </w:rPr>
        <w:t>SQ</w:t>
      </w:r>
      <w:r w:rsidR="00750513">
        <w:rPr>
          <w:rFonts w:cs="Times New Roman"/>
        </w:rPr>
        <w:t>M</w:t>
      </w:r>
      <w:r w:rsidRPr="006D2BE5">
        <w:rPr>
          <w:rFonts w:cs="Times New Roman"/>
        </w:rPr>
        <w:t>) 1, (“the Standards”). I hereby confirm that the engagement team collectively has the required competency to perform the requested work according to the Standards.</w:t>
      </w:r>
    </w:p>
    <w:p w14:paraId="14940D0A" w14:textId="1746FFD4" w:rsidR="006D2BE5" w:rsidRPr="006D2BE5" w:rsidRDefault="006D2BE5" w:rsidP="006D2BE5">
      <w:pPr>
        <w:pStyle w:val="ListBullet"/>
        <w:numPr>
          <w:ilvl w:val="0"/>
          <w:numId w:val="47"/>
        </w:numPr>
        <w:ind w:left="360" w:hanging="360"/>
        <w:rPr>
          <w:rFonts w:ascii="Times New Roman" w:hAnsi="Times New Roman" w:cs="Times New Roman"/>
          <w:sz w:val="24"/>
          <w:szCs w:val="24"/>
        </w:rPr>
      </w:pPr>
      <w:r w:rsidRPr="006D2BE5">
        <w:rPr>
          <w:rFonts w:ascii="Times New Roman" w:hAnsi="Times New Roman" w:cs="Times New Roman"/>
          <w:sz w:val="24"/>
          <w:szCs w:val="24"/>
        </w:rPr>
        <w:t>With regards</w:t>
      </w:r>
      <w:r w:rsidRPr="00423BEA">
        <w:rPr>
          <w:rFonts w:ascii="Times New Roman" w:hAnsi="Times New Roman" w:cs="Times New Roman"/>
          <w:sz w:val="24"/>
          <w:szCs w:val="24"/>
        </w:rPr>
        <w:t xml:space="preserve"> </w:t>
      </w:r>
      <w:r w:rsidR="00423BEA" w:rsidRPr="00F402EF">
        <w:rPr>
          <w:rFonts w:ascii="Times New Roman" w:hAnsi="Times New Roman" w:cs="Times New Roman"/>
          <w:sz w:val="24"/>
          <w:szCs w:val="24"/>
        </w:rPr>
        <w:t xml:space="preserve">to </w:t>
      </w:r>
      <w:r>
        <w:rPr>
          <w:rFonts w:ascii="Times New Roman" w:hAnsi="Times New Roman" w:cs="Times New Roman"/>
          <w:sz w:val="24"/>
          <w:szCs w:val="24"/>
        </w:rPr>
        <w:t>C</w:t>
      </w:r>
      <w:r w:rsidRPr="006D2BE5">
        <w:rPr>
          <w:rFonts w:ascii="Times New Roman" w:hAnsi="Times New Roman" w:cs="Times New Roman"/>
          <w:sz w:val="24"/>
          <w:szCs w:val="24"/>
        </w:rPr>
        <w:t>A</w:t>
      </w:r>
      <w:r>
        <w:rPr>
          <w:rFonts w:ascii="Times New Roman" w:hAnsi="Times New Roman" w:cs="Times New Roman"/>
          <w:sz w:val="24"/>
          <w:szCs w:val="24"/>
        </w:rPr>
        <w:t>S</w:t>
      </w:r>
      <w:r w:rsidRPr="006D2BE5">
        <w:rPr>
          <w:rFonts w:ascii="Times New Roman" w:hAnsi="Times New Roman" w:cs="Times New Roman"/>
          <w:sz w:val="24"/>
          <w:szCs w:val="24"/>
        </w:rPr>
        <w:t xml:space="preserve"> 230 and </w:t>
      </w:r>
      <w:r w:rsidR="00F73A13">
        <w:rPr>
          <w:rFonts w:ascii="Times New Roman" w:hAnsi="Times New Roman" w:cs="Times New Roman"/>
          <w:sz w:val="24"/>
          <w:szCs w:val="24"/>
        </w:rPr>
        <w:t>C</w:t>
      </w:r>
      <w:r w:rsidRPr="006D2BE5">
        <w:rPr>
          <w:rFonts w:ascii="Times New Roman" w:hAnsi="Times New Roman" w:cs="Times New Roman"/>
          <w:sz w:val="24"/>
          <w:szCs w:val="24"/>
        </w:rPr>
        <w:t>SQ</w:t>
      </w:r>
      <w:r w:rsidR="00750513">
        <w:rPr>
          <w:rFonts w:ascii="Times New Roman" w:hAnsi="Times New Roman" w:cs="Times New Roman"/>
          <w:sz w:val="24"/>
          <w:szCs w:val="24"/>
        </w:rPr>
        <w:t>M</w:t>
      </w:r>
      <w:r w:rsidRPr="006D2BE5">
        <w:rPr>
          <w:rFonts w:ascii="Times New Roman" w:hAnsi="Times New Roman" w:cs="Times New Roman"/>
          <w:sz w:val="24"/>
          <w:szCs w:val="24"/>
        </w:rPr>
        <w:t xml:space="preserve"> 1, we: </w:t>
      </w:r>
    </w:p>
    <w:p w14:paraId="0EC4EB23" w14:textId="5FDECC21" w:rsidR="006D2BE5" w:rsidRPr="0090789F" w:rsidRDefault="006D2BE5" w:rsidP="006D2BE5">
      <w:pPr>
        <w:pStyle w:val="ListBullet2"/>
        <w:numPr>
          <w:ilvl w:val="1"/>
          <w:numId w:val="47"/>
        </w:numPr>
        <w:spacing w:after="180" w:line="260" w:lineRule="atLeast"/>
        <w:ind w:left="720" w:hanging="360"/>
        <w:contextualSpacing w:val="0"/>
        <w:rPr>
          <w:rFonts w:cs="Times New Roman"/>
        </w:rPr>
      </w:pPr>
      <w:r w:rsidRPr="00067EDC">
        <w:rPr>
          <w:rFonts w:cs="Times New Roman"/>
        </w:rPr>
        <w:t>Are familiar with and will comply with the Standards, and key members of our engagement team including myself</w:t>
      </w:r>
      <w:r w:rsidRPr="0090789F">
        <w:rPr>
          <w:rFonts w:cs="Times New Roman"/>
        </w:rPr>
        <w:t xml:space="preserve">, </w:t>
      </w:r>
      <w:r w:rsidR="0090789F" w:rsidRPr="0090789F">
        <w:rPr>
          <w:rFonts w:cs="Times New Roman"/>
        </w:rPr>
        <w:t xml:space="preserve">team </w:t>
      </w:r>
      <w:r w:rsidRPr="0090789F">
        <w:rPr>
          <w:rFonts w:cs="Times New Roman"/>
        </w:rPr>
        <w:t xml:space="preserve">managers, </w:t>
      </w:r>
      <w:r w:rsidR="0090789F" w:rsidRPr="00F402EF">
        <w:rPr>
          <w:rFonts w:cs="Times New Roman"/>
        </w:rPr>
        <w:t>team members</w:t>
      </w:r>
      <w:r w:rsidRPr="0090789F">
        <w:rPr>
          <w:rFonts w:cs="Times New Roman"/>
        </w:rPr>
        <w:t xml:space="preserve">, specialists and internal experts have participated in training; </w:t>
      </w:r>
    </w:p>
    <w:p w14:paraId="337D6187" w14:textId="77777777" w:rsidR="006D2BE5" w:rsidRPr="00067EDC" w:rsidRDefault="006D2BE5" w:rsidP="006D2BE5">
      <w:pPr>
        <w:pStyle w:val="ListBullet2"/>
        <w:numPr>
          <w:ilvl w:val="1"/>
          <w:numId w:val="47"/>
        </w:numPr>
        <w:spacing w:after="180" w:line="260" w:lineRule="atLeast"/>
        <w:ind w:left="720" w:hanging="360"/>
        <w:contextualSpacing w:val="0"/>
        <w:rPr>
          <w:rFonts w:cs="Times New Roman"/>
        </w:rPr>
      </w:pPr>
      <w:r w:rsidRPr="00067EDC">
        <w:rPr>
          <w:rFonts w:cs="Times New Roman"/>
        </w:rPr>
        <w:t xml:space="preserve">Will prepare as of the report date audit documentation sufficient to meet the requirements of the Standards; </w:t>
      </w:r>
    </w:p>
    <w:p w14:paraId="6C133A47" w14:textId="2AB1FFF0" w:rsidR="006D2BE5" w:rsidRPr="00067EDC" w:rsidRDefault="006D2BE5" w:rsidP="006D2BE5">
      <w:pPr>
        <w:pStyle w:val="ListBullet2"/>
        <w:numPr>
          <w:ilvl w:val="1"/>
          <w:numId w:val="47"/>
        </w:numPr>
        <w:spacing w:after="180" w:line="260" w:lineRule="atLeast"/>
        <w:ind w:left="720" w:hanging="360"/>
        <w:contextualSpacing w:val="0"/>
        <w:rPr>
          <w:rFonts w:cs="Times New Roman"/>
        </w:rPr>
      </w:pPr>
      <w:r w:rsidRPr="00067EDC">
        <w:rPr>
          <w:rFonts w:cs="Times New Roman"/>
        </w:rPr>
        <w:t>Will assemble a complete and final set of audit documentation as of a date not more than 60 days</w:t>
      </w:r>
      <w:r w:rsidR="00362450">
        <w:rPr>
          <w:rFonts w:cs="Times New Roman"/>
        </w:rPr>
        <w:t xml:space="preserve"> </w:t>
      </w:r>
      <w:r w:rsidRPr="00067EDC">
        <w:rPr>
          <w:rFonts w:cs="Times New Roman"/>
        </w:rPr>
        <w:t xml:space="preserve">after the report date of the consolidated (group) audit report, and will retain such documentation for a period of </w:t>
      </w:r>
      <w:r w:rsidR="00362450">
        <w:rPr>
          <w:rFonts w:cs="Times New Roman"/>
        </w:rPr>
        <w:t>seven</w:t>
      </w:r>
      <w:r w:rsidRPr="00067EDC">
        <w:rPr>
          <w:rFonts w:cs="Times New Roman"/>
        </w:rPr>
        <w:t xml:space="preserve"> years from the report date; and</w:t>
      </w:r>
    </w:p>
    <w:p w14:paraId="38AFA583" w14:textId="43075A9D" w:rsidR="006D2BE5" w:rsidRPr="00067EDC" w:rsidRDefault="006D2BE5" w:rsidP="006D2BE5">
      <w:pPr>
        <w:pStyle w:val="ListBullet2"/>
        <w:numPr>
          <w:ilvl w:val="1"/>
          <w:numId w:val="47"/>
        </w:numPr>
        <w:spacing w:after="180" w:line="260" w:lineRule="atLeast"/>
        <w:ind w:left="720" w:hanging="360"/>
        <w:contextualSpacing w:val="0"/>
        <w:rPr>
          <w:rFonts w:cs="Times New Roman"/>
        </w:rPr>
      </w:pPr>
      <w:r w:rsidRPr="00067EDC">
        <w:rPr>
          <w:rFonts w:cs="Times New Roman"/>
        </w:rPr>
        <w:t xml:space="preserve">Will make any changes to our audit documentation after the report date and documentation completion date according to the Standards. </w:t>
      </w:r>
    </w:p>
    <w:p w14:paraId="456D65D6" w14:textId="77777777" w:rsidR="006D2BE5" w:rsidRPr="00067EDC" w:rsidRDefault="006D2BE5" w:rsidP="006D2BE5">
      <w:pPr>
        <w:pStyle w:val="BodyText"/>
        <w:rPr>
          <w:rFonts w:cs="Times New Roman"/>
        </w:rPr>
      </w:pPr>
    </w:p>
    <w:p w14:paraId="10E89504" w14:textId="77777777" w:rsidR="006D2BE5" w:rsidRPr="00067EDC" w:rsidRDefault="006D2BE5" w:rsidP="006D2BE5">
      <w:pPr>
        <w:pStyle w:val="BodyText"/>
        <w:rPr>
          <w:rFonts w:cs="Times New Roman"/>
        </w:rPr>
      </w:pPr>
      <w:r w:rsidRPr="00067EDC">
        <w:rPr>
          <w:rFonts w:cs="Times New Roman"/>
        </w:rPr>
        <w:t>______________________________</w:t>
      </w:r>
      <w:r w:rsidRPr="00067EDC">
        <w:rPr>
          <w:rFonts w:cs="Times New Roman"/>
        </w:rPr>
        <w:br/>
        <w:t>Name of the component audit team</w:t>
      </w:r>
    </w:p>
    <w:p w14:paraId="45A97EDD" w14:textId="77777777" w:rsidR="006D2BE5" w:rsidRPr="00067EDC" w:rsidRDefault="006D2BE5" w:rsidP="006D2BE5">
      <w:pPr>
        <w:pStyle w:val="BodyText"/>
        <w:rPr>
          <w:rFonts w:cs="Times New Roman"/>
        </w:rPr>
      </w:pPr>
    </w:p>
    <w:p w14:paraId="1274B7E9" w14:textId="77777777" w:rsidR="006D2BE5" w:rsidRPr="00067EDC" w:rsidRDefault="006D2BE5" w:rsidP="006D2BE5">
      <w:pPr>
        <w:pStyle w:val="BodyText"/>
        <w:rPr>
          <w:rFonts w:cs="Times New Roman"/>
        </w:rPr>
      </w:pPr>
      <w:r w:rsidRPr="00067EDC">
        <w:rPr>
          <w:rFonts w:cs="Times New Roman"/>
        </w:rPr>
        <w:t>______________________________</w:t>
      </w:r>
      <w:r w:rsidRPr="00067EDC">
        <w:rPr>
          <w:rFonts w:cs="Times New Roman"/>
        </w:rPr>
        <w:br/>
        <w:t>Engagement Leader</w:t>
      </w:r>
    </w:p>
    <w:p w14:paraId="22C00E08" w14:textId="77777777" w:rsidR="006D2BE5" w:rsidRPr="00067EDC" w:rsidRDefault="006D2BE5" w:rsidP="006D2BE5">
      <w:pPr>
        <w:pStyle w:val="BodyText"/>
        <w:rPr>
          <w:rFonts w:cs="Times New Roman"/>
        </w:rPr>
      </w:pPr>
    </w:p>
    <w:p w14:paraId="3CE71F13" w14:textId="77777777" w:rsidR="006D2BE5" w:rsidRPr="00067EDC" w:rsidRDefault="006D2BE5" w:rsidP="006D2BE5">
      <w:pPr>
        <w:rPr>
          <w:rFonts w:cs="Times New Roman"/>
        </w:rPr>
      </w:pPr>
      <w:r w:rsidRPr="00067EDC">
        <w:rPr>
          <w:rFonts w:cs="Times New Roman"/>
        </w:rPr>
        <w:t>______________________________</w:t>
      </w:r>
      <w:r w:rsidRPr="00067EDC">
        <w:rPr>
          <w:rFonts w:cs="Times New Roman"/>
        </w:rPr>
        <w:br/>
        <w:t>Date</w:t>
      </w:r>
    </w:p>
    <w:p w14:paraId="099FF166" w14:textId="77777777" w:rsidR="006D2BE5" w:rsidRPr="00067EDC" w:rsidRDefault="006D2BE5" w:rsidP="006D2BE5">
      <w:pPr>
        <w:rPr>
          <w:rFonts w:cs="Times New Roman"/>
        </w:rPr>
      </w:pPr>
    </w:p>
    <w:p w14:paraId="57FC9332" w14:textId="361C1037" w:rsidR="00362450" w:rsidRDefault="00362450" w:rsidP="00FA57D4">
      <w:pPr>
        <w:pStyle w:val="Style2"/>
      </w:pPr>
      <w:r>
        <w:br w:type="page"/>
      </w:r>
    </w:p>
    <w:p w14:paraId="4C57CA74" w14:textId="321BA659" w:rsidR="00A014DE" w:rsidRDefault="009A405C" w:rsidP="00F402EF">
      <w:pPr>
        <w:pStyle w:val="Style2"/>
      </w:pPr>
      <w:bookmarkStart w:id="13" w:name="_Toc9420930"/>
      <w:r>
        <w:t>Appendix K—</w:t>
      </w:r>
      <w:r w:rsidR="00C42528">
        <w:t xml:space="preserve">Memorandum on </w:t>
      </w:r>
      <w:r w:rsidR="00FA57D4">
        <w:t>e</w:t>
      </w:r>
      <w:r w:rsidR="00C42528">
        <w:t>xamination</w:t>
      </w:r>
      <w:bookmarkEnd w:id="13"/>
    </w:p>
    <w:p w14:paraId="5EFE90A4" w14:textId="77777777" w:rsidR="00C42528" w:rsidRDefault="00C42528" w:rsidP="00996F2C">
      <w:pPr>
        <w:rPr>
          <w:b/>
        </w:rPr>
      </w:pPr>
    </w:p>
    <w:p w14:paraId="66FFCEE0" w14:textId="77777777" w:rsidR="00C42528" w:rsidRDefault="00C42528" w:rsidP="00996F2C">
      <w:r w:rsidRPr="00C42528">
        <w:t>Upon</w:t>
      </w:r>
      <w:r>
        <w:t xml:space="preserve"> completion of our procedures, we will provide you with a copy of our Memorandum on Examination containing the following information:</w:t>
      </w:r>
    </w:p>
    <w:p w14:paraId="7EB04568" w14:textId="77777777" w:rsidR="00C42528" w:rsidRDefault="00C42528" w:rsidP="00996F2C"/>
    <w:p w14:paraId="4B63A569" w14:textId="77777777" w:rsidR="00C42528" w:rsidRPr="00C42528" w:rsidRDefault="00C42528" w:rsidP="00C42528">
      <w:pPr>
        <w:tabs>
          <w:tab w:val="left" w:pos="0"/>
        </w:tabs>
        <w:autoSpaceDE w:val="0"/>
        <w:autoSpaceDN w:val="0"/>
        <w:adjustRightInd w:val="0"/>
        <w:spacing w:line="240" w:lineRule="atLeast"/>
        <w:rPr>
          <w:b/>
          <w:bCs/>
          <w:color w:val="000000"/>
        </w:rPr>
      </w:pPr>
      <w:r w:rsidRPr="00C42528">
        <w:rPr>
          <w:b/>
          <w:bCs/>
          <w:color w:val="000000"/>
        </w:rPr>
        <w:t xml:space="preserve">Note - Content will vary depending </w:t>
      </w:r>
      <w:r w:rsidR="00703FD9">
        <w:rPr>
          <w:b/>
          <w:bCs/>
          <w:color w:val="000000"/>
        </w:rPr>
        <w:t>on whether work has been performed on</w:t>
      </w:r>
      <w:r w:rsidRPr="00C42528">
        <w:rPr>
          <w:b/>
          <w:bCs/>
          <w:color w:val="000000"/>
        </w:rPr>
        <w:t xml:space="preserve"> internal controls,  </w:t>
      </w:r>
      <w:r w:rsidR="00F11C47">
        <w:rPr>
          <w:b/>
          <w:bCs/>
          <w:color w:val="000000"/>
        </w:rPr>
        <w:t>IT</w:t>
      </w:r>
      <w:r w:rsidR="008E1EE0">
        <w:rPr>
          <w:b/>
          <w:bCs/>
          <w:color w:val="000000"/>
        </w:rPr>
        <w:t>GC</w:t>
      </w:r>
      <w:r w:rsidRPr="00C42528">
        <w:rPr>
          <w:b/>
          <w:bCs/>
          <w:color w:val="000000"/>
        </w:rPr>
        <w:t>, or substantive audit procedures</w:t>
      </w:r>
      <w:r w:rsidR="00703FD9">
        <w:rPr>
          <w:b/>
          <w:bCs/>
          <w:color w:val="000000"/>
        </w:rPr>
        <w:t xml:space="preserve"> at the</w:t>
      </w:r>
      <w:r w:rsidRPr="00C42528">
        <w:rPr>
          <w:b/>
          <w:bCs/>
          <w:color w:val="000000"/>
        </w:rPr>
        <w:t xml:space="preserve"> </w:t>
      </w:r>
      <w:r w:rsidR="007C4847">
        <w:rPr>
          <w:b/>
          <w:bCs/>
          <w:color w:val="000000"/>
        </w:rPr>
        <w:t>SSC</w:t>
      </w:r>
      <w:r w:rsidRPr="00C42528">
        <w:rPr>
          <w:b/>
          <w:bCs/>
          <w:color w:val="000000"/>
        </w:rPr>
        <w:t>, therefore</w:t>
      </w:r>
      <w:r w:rsidR="00703FD9">
        <w:rPr>
          <w:b/>
          <w:bCs/>
          <w:color w:val="000000"/>
        </w:rPr>
        <w:t xml:space="preserve"> the following template has been</w:t>
      </w:r>
      <w:r w:rsidRPr="00C42528">
        <w:rPr>
          <w:b/>
          <w:bCs/>
          <w:color w:val="000000"/>
        </w:rPr>
        <w:t xml:space="preserve"> segregated into “controls” and “substantive</w:t>
      </w:r>
      <w:r w:rsidR="007205FA" w:rsidRPr="00C42528">
        <w:rPr>
          <w:b/>
          <w:bCs/>
          <w:color w:val="000000"/>
        </w:rPr>
        <w:t>”</w:t>
      </w:r>
      <w:r w:rsidRPr="00C42528">
        <w:rPr>
          <w:b/>
          <w:bCs/>
          <w:color w:val="000000"/>
        </w:rPr>
        <w:t xml:space="preserve"> captions.</w:t>
      </w:r>
    </w:p>
    <w:p w14:paraId="48CD8616" w14:textId="77777777" w:rsidR="00C42528" w:rsidRPr="000140B0" w:rsidRDefault="00C42528" w:rsidP="00C42528">
      <w:pPr>
        <w:autoSpaceDE w:val="0"/>
        <w:autoSpaceDN w:val="0"/>
        <w:adjustRightInd w:val="0"/>
        <w:spacing w:line="240" w:lineRule="atLeast"/>
        <w:rPr>
          <w:bCs/>
          <w:color w:val="000000"/>
        </w:rPr>
      </w:pPr>
    </w:p>
    <w:p w14:paraId="0F9DC4C6" w14:textId="77777777" w:rsidR="00C42528" w:rsidRPr="00F402EF" w:rsidRDefault="00C42528" w:rsidP="00F402EF">
      <w:pPr>
        <w:rPr>
          <w:b/>
          <w:color w:val="1F497D" w:themeColor="text2"/>
          <w:sz w:val="32"/>
          <w:szCs w:val="32"/>
        </w:rPr>
      </w:pPr>
      <w:r w:rsidRPr="00F402EF">
        <w:rPr>
          <w:b/>
          <w:color w:val="1F497D" w:themeColor="text2"/>
          <w:sz w:val="32"/>
          <w:szCs w:val="32"/>
        </w:rPr>
        <w:t>REQUIRED TOPICS</w:t>
      </w:r>
    </w:p>
    <w:p w14:paraId="32929E0C" w14:textId="612B6DFC" w:rsidR="00C42528" w:rsidRPr="000140B0" w:rsidRDefault="00C42528" w:rsidP="00C42528">
      <w:pPr>
        <w:numPr>
          <w:ilvl w:val="0"/>
          <w:numId w:val="43"/>
        </w:numPr>
        <w:spacing w:line="260" w:lineRule="atLeast"/>
      </w:pPr>
      <w:r w:rsidRPr="000140B0">
        <w:t xml:space="preserve">An engagement completion document which describes the findings identified by the </w:t>
      </w:r>
      <w:r w:rsidR="007205FA">
        <w:t>SSC</w:t>
      </w:r>
      <w:r w:rsidRPr="000140B0">
        <w:t xml:space="preserve"> team.  The information on each </w:t>
      </w:r>
      <w:r w:rsidR="0050656B">
        <w:t>significant</w:t>
      </w:r>
      <w:r w:rsidR="00B85268">
        <w:t xml:space="preserve"> matter </w:t>
      </w:r>
      <w:r w:rsidR="0050656B">
        <w:t>w</w:t>
      </w:r>
      <w:r w:rsidRPr="000140B0">
        <w:t>ould include a description of the matter; implications of the matter; actions taken to address the matter and any additional evidence obtained;</w:t>
      </w:r>
      <w:r w:rsidR="007205FA">
        <w:t xml:space="preserve"> and</w:t>
      </w:r>
      <w:r w:rsidRPr="000140B0">
        <w:t xml:space="preserve"> results of consultations with others</w:t>
      </w:r>
      <w:r w:rsidR="007205FA">
        <w:t>.</w:t>
      </w:r>
    </w:p>
    <w:p w14:paraId="3DC5FC17" w14:textId="77777777" w:rsidR="00C42528" w:rsidRPr="000140B0" w:rsidRDefault="00C42528" w:rsidP="00AD5738">
      <w:pPr>
        <w:spacing w:line="260" w:lineRule="atLeast"/>
      </w:pPr>
    </w:p>
    <w:p w14:paraId="6F64CE00" w14:textId="5A2754F5" w:rsidR="00347AA6" w:rsidRPr="00347AA6" w:rsidRDefault="00C42528" w:rsidP="00347AA6">
      <w:pPr>
        <w:numPr>
          <w:ilvl w:val="0"/>
          <w:numId w:val="41"/>
        </w:numPr>
        <w:tabs>
          <w:tab w:val="clear" w:pos="540"/>
        </w:tabs>
        <w:autoSpaceDE w:val="0"/>
        <w:autoSpaceDN w:val="0"/>
        <w:adjustRightInd w:val="0"/>
        <w:ind w:left="360"/>
        <w:rPr>
          <w:bCs/>
          <w:color w:val="000000"/>
        </w:rPr>
      </w:pPr>
      <w:r w:rsidRPr="000140B0">
        <w:t xml:space="preserve">All matters to be communicated to </w:t>
      </w:r>
      <w:r w:rsidR="0050656B">
        <w:t>those charged with governance</w:t>
      </w:r>
    </w:p>
    <w:p w14:paraId="093FD96E" w14:textId="77777777" w:rsidR="00347AA6" w:rsidRPr="00347AA6" w:rsidRDefault="00347AA6" w:rsidP="00347AA6">
      <w:pPr>
        <w:autoSpaceDE w:val="0"/>
        <w:autoSpaceDN w:val="0"/>
        <w:adjustRightInd w:val="0"/>
        <w:rPr>
          <w:bCs/>
          <w:color w:val="000000"/>
        </w:rPr>
      </w:pPr>
    </w:p>
    <w:p w14:paraId="7184F526" w14:textId="77777777" w:rsidR="00347AA6" w:rsidRPr="00DD6AC5" w:rsidRDefault="00903D05" w:rsidP="00347AA6">
      <w:pPr>
        <w:numPr>
          <w:ilvl w:val="0"/>
          <w:numId w:val="41"/>
        </w:numPr>
        <w:tabs>
          <w:tab w:val="clear" w:pos="540"/>
        </w:tabs>
        <w:autoSpaceDE w:val="0"/>
        <w:autoSpaceDN w:val="0"/>
        <w:adjustRightInd w:val="0"/>
        <w:ind w:left="360"/>
      </w:pPr>
      <w:r w:rsidRPr="00DD6AC5">
        <w:t xml:space="preserve">Restrictions on the use of the report, such as the following paragraphs: </w:t>
      </w:r>
    </w:p>
    <w:p w14:paraId="14BDA8BF" w14:textId="77777777" w:rsidR="00347AA6" w:rsidRPr="0087291F" w:rsidRDefault="00FB3816" w:rsidP="00347AA6">
      <w:pPr>
        <w:numPr>
          <w:ilvl w:val="1"/>
          <w:numId w:val="41"/>
        </w:numPr>
        <w:tabs>
          <w:tab w:val="clear" w:pos="1620"/>
          <w:tab w:val="num" w:pos="1080"/>
        </w:tabs>
        <w:autoSpaceDE w:val="0"/>
        <w:autoSpaceDN w:val="0"/>
        <w:adjustRightInd w:val="0"/>
        <w:ind w:left="1080"/>
      </w:pPr>
      <w:r>
        <w:t xml:space="preserve">Because the procedures performed do not constitute either an audit or a review conducted in accordance </w:t>
      </w:r>
      <w:r w:rsidRPr="0087291F">
        <w:t>with [</w:t>
      </w:r>
      <w:r w:rsidRPr="00F402EF">
        <w:rPr>
          <w:color w:val="0000FF"/>
        </w:rPr>
        <w:t>Canadian Auditing Standards or Canadian Standards on Review Engagements</w:t>
      </w:r>
      <w:r w:rsidRPr="0087291F">
        <w:t>], we do not express any assurance on [</w:t>
      </w:r>
      <w:r w:rsidRPr="00F402EF">
        <w:rPr>
          <w:color w:val="0000FF"/>
        </w:rPr>
        <w:t>identify financial statements/special purpose financial information</w:t>
      </w:r>
      <w:r w:rsidRPr="0087291F">
        <w:t xml:space="preserve">]. </w:t>
      </w:r>
      <w:r w:rsidRPr="00F402EF">
        <w:t>[</w:t>
      </w:r>
      <w:r w:rsidRPr="00F402EF">
        <w:rPr>
          <w:b/>
          <w:color w:val="0000FF"/>
        </w:rPr>
        <w:t>Include when relevant in the circumstances</w:t>
      </w:r>
      <w:r w:rsidRPr="00F402EF">
        <w:rPr>
          <w:color w:val="0000FF"/>
        </w:rPr>
        <w:t>: This report relates only to the [financial information] specified above and does not extend to the [financial statements/special purpose financial information] of [name of component] taken as a whole.</w:t>
      </w:r>
      <w:r w:rsidRPr="00F402EF">
        <w:t>]</w:t>
      </w:r>
    </w:p>
    <w:p w14:paraId="4AFF5744" w14:textId="77777777" w:rsidR="00347AA6" w:rsidRPr="00DD6AC5" w:rsidRDefault="00FB3816" w:rsidP="00347AA6">
      <w:pPr>
        <w:numPr>
          <w:ilvl w:val="1"/>
          <w:numId w:val="41"/>
        </w:numPr>
        <w:tabs>
          <w:tab w:val="clear" w:pos="1620"/>
          <w:tab w:val="num" w:pos="1080"/>
        </w:tabs>
        <w:autoSpaceDE w:val="0"/>
        <w:autoSpaceDN w:val="0"/>
        <w:adjustRightInd w:val="0"/>
        <w:ind w:left="1080"/>
      </w:pPr>
      <w:r w:rsidRPr="0087291F">
        <w:t xml:space="preserve">This report is intended solely for the use of Office of the Auditor General of Canada - </w:t>
      </w:r>
      <w:r w:rsidRPr="00F402EF">
        <w:t>[</w:t>
      </w:r>
      <w:r w:rsidRPr="00F402EF">
        <w:rPr>
          <w:color w:val="0000FF"/>
        </w:rPr>
        <w:t>name of team</w:t>
      </w:r>
      <w:r w:rsidRPr="00F402EF">
        <w:t>] [</w:t>
      </w:r>
      <w:r w:rsidRPr="00F402EF">
        <w:rPr>
          <w:color w:val="0000FF"/>
        </w:rPr>
        <w:t>name of parent company</w:t>
      </w:r>
      <w:r w:rsidRPr="00F402EF">
        <w:t>]</w:t>
      </w:r>
      <w:r w:rsidRPr="0087291F">
        <w:t xml:space="preserve"> Group Audit Team in connection with the </w:t>
      </w:r>
      <w:r w:rsidRPr="00F402EF">
        <w:t>[</w:t>
      </w:r>
      <w:r w:rsidRPr="00F402EF">
        <w:rPr>
          <w:color w:val="0000FF"/>
        </w:rPr>
        <w:t>audit/review</w:t>
      </w:r>
      <w:r w:rsidRPr="00F402EF">
        <w:t>]</w:t>
      </w:r>
      <w:r w:rsidRPr="0087291F">
        <w:t xml:space="preserve"> of the consolidated financial statements of </w:t>
      </w:r>
      <w:r w:rsidRPr="00F402EF">
        <w:t>[</w:t>
      </w:r>
      <w:r w:rsidRPr="00F402EF">
        <w:rPr>
          <w:color w:val="0000FF"/>
        </w:rPr>
        <w:t>name of parent company</w:t>
      </w:r>
      <w:r w:rsidRPr="00F402EF">
        <w:t>]</w:t>
      </w:r>
      <w:r w:rsidRPr="0087291F">
        <w:t xml:space="preserve"> and </w:t>
      </w:r>
      <w:r>
        <w:t>should not be used for any other purpose</w:t>
      </w:r>
      <w:r w:rsidR="00903D05" w:rsidRPr="00DD6AC5">
        <w:t>.</w:t>
      </w:r>
    </w:p>
    <w:p w14:paraId="40C3A82A" w14:textId="77777777" w:rsidR="00C42528" w:rsidRPr="000140B0" w:rsidRDefault="00C42528" w:rsidP="00C42528">
      <w:pPr>
        <w:autoSpaceDE w:val="0"/>
        <w:autoSpaceDN w:val="0"/>
        <w:adjustRightInd w:val="0"/>
        <w:spacing w:line="240" w:lineRule="atLeast"/>
        <w:rPr>
          <w:bCs/>
          <w:color w:val="000000"/>
        </w:rPr>
      </w:pPr>
    </w:p>
    <w:p w14:paraId="2D1732A5" w14:textId="77777777" w:rsidR="00C42528" w:rsidRPr="00F402EF" w:rsidRDefault="00C42528" w:rsidP="00F402EF">
      <w:pPr>
        <w:rPr>
          <w:b/>
          <w:color w:val="1F497D" w:themeColor="text2"/>
          <w:sz w:val="32"/>
          <w:szCs w:val="32"/>
        </w:rPr>
      </w:pPr>
      <w:r w:rsidRPr="00F402EF">
        <w:rPr>
          <w:b/>
          <w:color w:val="1F497D" w:themeColor="text2"/>
          <w:sz w:val="32"/>
          <w:szCs w:val="32"/>
        </w:rPr>
        <w:t xml:space="preserve">SUGGESTED ADDITIONAL TOPICS </w:t>
      </w:r>
    </w:p>
    <w:p w14:paraId="6DFEA02E" w14:textId="77777777" w:rsidR="00C42528" w:rsidRPr="00F402EF" w:rsidRDefault="00C42528" w:rsidP="00C42528">
      <w:pPr>
        <w:autoSpaceDE w:val="0"/>
        <w:autoSpaceDN w:val="0"/>
        <w:adjustRightInd w:val="0"/>
        <w:spacing w:line="240" w:lineRule="atLeast"/>
        <w:rPr>
          <w:b/>
          <w:bCs/>
          <w:color w:val="000000"/>
          <w:sz w:val="32"/>
          <w:szCs w:val="32"/>
        </w:rPr>
      </w:pPr>
      <w:r w:rsidRPr="00F402EF">
        <w:rPr>
          <w:b/>
          <w:bCs/>
          <w:color w:val="000000"/>
          <w:sz w:val="32"/>
          <w:szCs w:val="32"/>
        </w:rPr>
        <w:t>Controls</w:t>
      </w:r>
    </w:p>
    <w:p w14:paraId="5C540669" w14:textId="77777777" w:rsidR="00C42528" w:rsidRPr="00AD5738" w:rsidRDefault="007205FA" w:rsidP="00C42528">
      <w:pPr>
        <w:autoSpaceDE w:val="0"/>
        <w:autoSpaceDN w:val="0"/>
        <w:adjustRightInd w:val="0"/>
        <w:spacing w:line="240" w:lineRule="atLeast"/>
      </w:pPr>
      <w:r w:rsidRPr="00AD5738">
        <w:t>Attach the completed templates in Appendices B and C.</w:t>
      </w:r>
    </w:p>
    <w:p w14:paraId="1E86D42C" w14:textId="77777777" w:rsidR="00C42528" w:rsidRPr="00AD5738" w:rsidRDefault="00C42528" w:rsidP="00C42528">
      <w:pPr>
        <w:autoSpaceDE w:val="0"/>
        <w:autoSpaceDN w:val="0"/>
        <w:adjustRightInd w:val="0"/>
        <w:spacing w:line="240" w:lineRule="atLeast"/>
        <w:rPr>
          <w:rFonts w:cs="Symbol"/>
          <w:color w:val="000000"/>
        </w:rPr>
      </w:pPr>
    </w:p>
    <w:p w14:paraId="7CC2D21D" w14:textId="54DB1AFE" w:rsidR="00C42528" w:rsidRPr="00AD5738" w:rsidRDefault="00C42528" w:rsidP="00EB78E2">
      <w:pPr>
        <w:autoSpaceDE w:val="0"/>
        <w:autoSpaceDN w:val="0"/>
        <w:adjustRightInd w:val="0"/>
        <w:spacing w:line="240" w:lineRule="atLeast"/>
        <w:rPr>
          <w:rFonts w:cs="Symbol"/>
          <w:color w:val="000000"/>
        </w:rPr>
      </w:pPr>
      <w:r w:rsidRPr="00F402EF">
        <w:rPr>
          <w:rFonts w:cs="Symbol"/>
          <w:b/>
          <w:color w:val="000000"/>
          <w:sz w:val="32"/>
          <w:szCs w:val="32"/>
        </w:rPr>
        <w:t>Substantive Procedures</w:t>
      </w:r>
    </w:p>
    <w:p w14:paraId="59039B51" w14:textId="77777777" w:rsidR="00C42528" w:rsidRPr="00AD5738" w:rsidRDefault="00C42528" w:rsidP="00C42528">
      <w:pPr>
        <w:numPr>
          <w:ilvl w:val="0"/>
          <w:numId w:val="39"/>
        </w:numPr>
        <w:autoSpaceDE w:val="0"/>
        <w:autoSpaceDN w:val="0"/>
        <w:adjustRightInd w:val="0"/>
        <w:spacing w:line="240" w:lineRule="atLeast"/>
        <w:rPr>
          <w:color w:val="000000"/>
        </w:rPr>
      </w:pPr>
      <w:r w:rsidRPr="00AD5738">
        <w:rPr>
          <w:color w:val="000000"/>
        </w:rPr>
        <w:t>Summary of out</w:t>
      </w:r>
      <w:r w:rsidR="007C4847" w:rsidRPr="00AD5738">
        <w:rPr>
          <w:color w:val="000000"/>
        </w:rPr>
        <w:t>-</w:t>
      </w:r>
      <w:r w:rsidRPr="00AD5738">
        <w:rPr>
          <w:color w:val="000000"/>
        </w:rPr>
        <w:t>of</w:t>
      </w:r>
      <w:r w:rsidR="007C4847" w:rsidRPr="00AD5738">
        <w:rPr>
          <w:color w:val="000000"/>
        </w:rPr>
        <w:t>-</w:t>
      </w:r>
      <w:r w:rsidRPr="00AD5738">
        <w:rPr>
          <w:color w:val="000000"/>
        </w:rPr>
        <w:t>balance situations</w:t>
      </w:r>
      <w:r w:rsidR="00EB78E2" w:rsidRPr="00AD5738">
        <w:rPr>
          <w:color w:val="000000"/>
        </w:rPr>
        <w:t xml:space="preserve"> in accounts reconciled at the SSC.</w:t>
      </w:r>
    </w:p>
    <w:p w14:paraId="7A6A6B22" w14:textId="77777777" w:rsidR="00EB78E2" w:rsidRPr="000140B0" w:rsidRDefault="00EB78E2" w:rsidP="00C42528">
      <w:pPr>
        <w:numPr>
          <w:ilvl w:val="0"/>
          <w:numId w:val="39"/>
        </w:numPr>
        <w:autoSpaceDE w:val="0"/>
        <w:autoSpaceDN w:val="0"/>
        <w:adjustRightInd w:val="0"/>
        <w:spacing w:line="240" w:lineRule="atLeast"/>
        <w:rPr>
          <w:color w:val="000000"/>
        </w:rPr>
      </w:pPr>
      <w:r>
        <w:rPr>
          <w:color w:val="000000"/>
        </w:rPr>
        <w:t xml:space="preserve">Details of any exceptions noted in substantive </w:t>
      </w:r>
      <w:r w:rsidR="007205FA">
        <w:rPr>
          <w:color w:val="000000"/>
        </w:rPr>
        <w:t>procedures below:</w:t>
      </w:r>
    </w:p>
    <w:p w14:paraId="21A70D5F" w14:textId="77777777" w:rsidR="00C42528" w:rsidRPr="00C42528" w:rsidRDefault="00C42528" w:rsidP="00996F2C"/>
    <w:p w14:paraId="20B8AC36" w14:textId="77777777" w:rsidR="00A014DE" w:rsidRDefault="007205FA" w:rsidP="00996F2C">
      <w:pPr>
        <w:rPr>
          <w:b/>
        </w:rPr>
      </w:pPr>
      <w:r w:rsidRPr="007205FA">
        <w:rPr>
          <w:b/>
        </w:rPr>
        <w:t>Test of Details Result</w:t>
      </w:r>
      <w:r w:rsidR="007C4847">
        <w:rPr>
          <w:b/>
        </w:rPr>
        <w:t>s</w:t>
      </w:r>
      <w:r w:rsidRPr="007205FA">
        <w:rPr>
          <w:b/>
        </w:rPr>
        <w:t xml:space="preserve"> (on exception basis)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4"/>
        <w:gridCol w:w="2079"/>
        <w:gridCol w:w="2078"/>
        <w:gridCol w:w="2075"/>
      </w:tblGrid>
      <w:tr w:rsidR="00FA57D4" w:rsidRPr="00B76125" w14:paraId="613D0A49" w14:textId="77777777" w:rsidTr="00FA57D4">
        <w:tc>
          <w:tcPr>
            <w:tcW w:w="2064" w:type="dxa"/>
            <w:tcBorders>
              <w:top w:val="single" w:sz="4" w:space="0" w:color="auto"/>
              <w:left w:val="single" w:sz="4" w:space="0" w:color="auto"/>
              <w:bottom w:val="single" w:sz="4" w:space="0" w:color="auto"/>
              <w:right w:val="single" w:sz="4" w:space="0" w:color="auto"/>
            </w:tcBorders>
            <w:shd w:val="clear" w:color="auto" w:fill="1F497D" w:themeFill="text2"/>
          </w:tcPr>
          <w:p w14:paraId="4788E186" w14:textId="77777777" w:rsidR="00FA57D4" w:rsidRPr="00F402EF" w:rsidRDefault="00FA57D4" w:rsidP="00FA57D4">
            <w:pPr>
              <w:rPr>
                <w:b/>
                <w:color w:val="FFFFFF" w:themeColor="background1"/>
              </w:rPr>
            </w:pPr>
            <w:r w:rsidRPr="00F402EF">
              <w:rPr>
                <w:b/>
                <w:color w:val="FFFFFF" w:themeColor="background1"/>
              </w:rPr>
              <w:t>Account</w:t>
            </w:r>
          </w:p>
        </w:tc>
        <w:tc>
          <w:tcPr>
            <w:tcW w:w="2079" w:type="dxa"/>
            <w:tcBorders>
              <w:top w:val="single" w:sz="4" w:space="0" w:color="auto"/>
              <w:left w:val="single" w:sz="4" w:space="0" w:color="auto"/>
              <w:bottom w:val="single" w:sz="4" w:space="0" w:color="auto"/>
              <w:right w:val="single" w:sz="4" w:space="0" w:color="auto"/>
            </w:tcBorders>
            <w:shd w:val="clear" w:color="auto" w:fill="1F497D" w:themeFill="text2"/>
          </w:tcPr>
          <w:p w14:paraId="6940BC27" w14:textId="77777777" w:rsidR="00FA57D4" w:rsidRPr="00F402EF" w:rsidRDefault="00FA57D4" w:rsidP="00FA57D4">
            <w:pPr>
              <w:rPr>
                <w:b/>
                <w:color w:val="FFFFFF" w:themeColor="background1"/>
              </w:rPr>
            </w:pPr>
            <w:r w:rsidRPr="00F402EF">
              <w:rPr>
                <w:b/>
                <w:color w:val="FFFFFF" w:themeColor="background1"/>
              </w:rPr>
              <w:t>Procedures Specified</w:t>
            </w:r>
          </w:p>
        </w:tc>
        <w:tc>
          <w:tcPr>
            <w:tcW w:w="2078" w:type="dxa"/>
            <w:tcBorders>
              <w:top w:val="single" w:sz="4" w:space="0" w:color="auto"/>
              <w:left w:val="single" w:sz="4" w:space="0" w:color="auto"/>
              <w:bottom w:val="single" w:sz="4" w:space="0" w:color="auto"/>
              <w:right w:val="single" w:sz="4" w:space="0" w:color="auto"/>
            </w:tcBorders>
            <w:shd w:val="clear" w:color="auto" w:fill="1F497D" w:themeFill="text2"/>
          </w:tcPr>
          <w:p w14:paraId="737F0246" w14:textId="77777777" w:rsidR="00FA57D4" w:rsidRPr="00F402EF" w:rsidRDefault="00FA57D4" w:rsidP="00FA57D4">
            <w:pPr>
              <w:rPr>
                <w:b/>
                <w:color w:val="FFFFFF" w:themeColor="background1"/>
              </w:rPr>
            </w:pPr>
            <w:r w:rsidRPr="00F402EF">
              <w:rPr>
                <w:b/>
                <w:color w:val="FFFFFF" w:themeColor="background1"/>
              </w:rPr>
              <w:t>Sample size &amp; population</w:t>
            </w:r>
          </w:p>
        </w:tc>
        <w:tc>
          <w:tcPr>
            <w:tcW w:w="2075" w:type="dxa"/>
            <w:tcBorders>
              <w:top w:val="single" w:sz="4" w:space="0" w:color="auto"/>
              <w:left w:val="single" w:sz="4" w:space="0" w:color="auto"/>
              <w:bottom w:val="single" w:sz="4" w:space="0" w:color="auto"/>
              <w:right w:val="single" w:sz="4" w:space="0" w:color="auto"/>
            </w:tcBorders>
            <w:shd w:val="clear" w:color="auto" w:fill="1F497D" w:themeFill="text2"/>
          </w:tcPr>
          <w:p w14:paraId="6A873D06" w14:textId="77777777" w:rsidR="00FA57D4" w:rsidRPr="00F402EF" w:rsidRDefault="00FA57D4" w:rsidP="00FA57D4">
            <w:pPr>
              <w:rPr>
                <w:b/>
                <w:color w:val="FFFFFF" w:themeColor="background1"/>
              </w:rPr>
            </w:pPr>
            <w:r w:rsidRPr="00F402EF">
              <w:rPr>
                <w:b/>
                <w:color w:val="FFFFFF" w:themeColor="background1"/>
              </w:rPr>
              <w:t>Exception noted</w:t>
            </w:r>
          </w:p>
        </w:tc>
      </w:tr>
      <w:tr w:rsidR="00FA57D4" w:rsidRPr="00291205" w14:paraId="43E7CEFC" w14:textId="77777777" w:rsidTr="00F402EF">
        <w:tc>
          <w:tcPr>
            <w:tcW w:w="20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C07D10" w14:textId="77777777" w:rsidR="00FA57D4" w:rsidRPr="00FA57D4" w:rsidRDefault="00FA57D4" w:rsidP="00FA57D4"/>
        </w:tc>
        <w:tc>
          <w:tcPr>
            <w:tcW w:w="20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8ADA41" w14:textId="77777777" w:rsidR="00FA57D4" w:rsidRPr="00FA57D4" w:rsidRDefault="00FA57D4" w:rsidP="00FA57D4"/>
        </w:tc>
        <w:tc>
          <w:tcPr>
            <w:tcW w:w="2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E3CACD" w14:textId="77777777" w:rsidR="00FA57D4" w:rsidRPr="00FA57D4" w:rsidRDefault="00FA57D4" w:rsidP="00FA57D4"/>
        </w:tc>
        <w:tc>
          <w:tcPr>
            <w:tcW w:w="20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E7F67D" w14:textId="77777777" w:rsidR="00FA57D4" w:rsidRPr="00FA57D4" w:rsidRDefault="00FA57D4" w:rsidP="00FA57D4"/>
        </w:tc>
      </w:tr>
    </w:tbl>
    <w:p w14:paraId="46753C49" w14:textId="77777777" w:rsidR="007205FA" w:rsidRPr="00C42528" w:rsidRDefault="007205FA" w:rsidP="00996F2C"/>
    <w:p w14:paraId="1A968F65" w14:textId="77777777" w:rsidR="007205FA" w:rsidRDefault="007205FA" w:rsidP="00996F2C">
      <w:pPr>
        <w:rPr>
          <w:b/>
        </w:rPr>
      </w:pPr>
    </w:p>
    <w:p w14:paraId="1D07C520" w14:textId="77777777" w:rsidR="007205FA" w:rsidRDefault="007205FA" w:rsidP="009A405C">
      <w:pPr>
        <w:keepNext/>
        <w:keepLines/>
        <w:rPr>
          <w:b/>
        </w:rPr>
      </w:pPr>
      <w:r>
        <w:rPr>
          <w:b/>
        </w:rPr>
        <w:t>Substantive Analytical Procedures</w:t>
      </w:r>
    </w:p>
    <w:tbl>
      <w:tblPr>
        <w:tblW w:w="5000" w:type="pct"/>
        <w:tblLook w:val="01E0" w:firstRow="1" w:lastRow="1" w:firstColumn="1" w:lastColumn="1" w:noHBand="0" w:noVBand="0"/>
      </w:tblPr>
      <w:tblGrid>
        <w:gridCol w:w="2259"/>
        <w:gridCol w:w="2302"/>
        <w:gridCol w:w="2311"/>
        <w:gridCol w:w="2312"/>
      </w:tblGrid>
      <w:tr w:rsidR="00FA57D4" w:rsidRPr="00B76125" w14:paraId="08470CF1" w14:textId="77777777" w:rsidTr="00FA57D4">
        <w:tc>
          <w:tcPr>
            <w:tcW w:w="2519" w:type="dxa"/>
            <w:shd w:val="clear" w:color="auto" w:fill="1F497D" w:themeFill="text2"/>
          </w:tcPr>
          <w:p w14:paraId="4C29E56C" w14:textId="77777777" w:rsidR="00FA57D4" w:rsidRPr="00F402EF" w:rsidRDefault="00FA57D4" w:rsidP="00F402EF">
            <w:pPr>
              <w:rPr>
                <w:b/>
                <w:color w:val="FFFFFF" w:themeColor="background1"/>
              </w:rPr>
            </w:pPr>
            <w:r w:rsidRPr="00F402EF">
              <w:rPr>
                <w:b/>
                <w:color w:val="FFFFFF" w:themeColor="background1"/>
              </w:rPr>
              <w:t>Account</w:t>
            </w:r>
          </w:p>
        </w:tc>
        <w:tc>
          <w:tcPr>
            <w:tcW w:w="2520" w:type="dxa"/>
            <w:shd w:val="clear" w:color="auto" w:fill="1F497D" w:themeFill="text2"/>
          </w:tcPr>
          <w:p w14:paraId="7E533CB1" w14:textId="77777777" w:rsidR="00FA57D4" w:rsidRPr="00F402EF" w:rsidRDefault="00FA57D4" w:rsidP="00F402EF">
            <w:pPr>
              <w:rPr>
                <w:b/>
                <w:color w:val="FFFFFF" w:themeColor="background1"/>
              </w:rPr>
            </w:pPr>
            <w:r w:rsidRPr="00F402EF">
              <w:rPr>
                <w:b/>
                <w:color w:val="FFFFFF" w:themeColor="background1"/>
              </w:rPr>
              <w:t>Test performed</w:t>
            </w:r>
          </w:p>
        </w:tc>
        <w:tc>
          <w:tcPr>
            <w:tcW w:w="2519" w:type="dxa"/>
            <w:shd w:val="clear" w:color="auto" w:fill="1F497D" w:themeFill="text2"/>
          </w:tcPr>
          <w:p w14:paraId="5A4C580C" w14:textId="77777777" w:rsidR="00FA57D4" w:rsidRPr="00F402EF" w:rsidRDefault="00FA57D4" w:rsidP="00F402EF">
            <w:pPr>
              <w:rPr>
                <w:b/>
                <w:color w:val="FFFFFF" w:themeColor="background1"/>
              </w:rPr>
            </w:pPr>
            <w:r w:rsidRPr="00F402EF">
              <w:rPr>
                <w:b/>
                <w:color w:val="FFFFFF" w:themeColor="background1"/>
              </w:rPr>
              <w:t>Conclusion</w:t>
            </w:r>
          </w:p>
        </w:tc>
        <w:tc>
          <w:tcPr>
            <w:tcW w:w="2520" w:type="dxa"/>
            <w:shd w:val="clear" w:color="auto" w:fill="1F497D" w:themeFill="text2"/>
          </w:tcPr>
          <w:p w14:paraId="3DDAA70A" w14:textId="77777777" w:rsidR="00FA57D4" w:rsidRPr="00F402EF" w:rsidRDefault="00FA57D4" w:rsidP="00F402EF">
            <w:pPr>
              <w:rPr>
                <w:b/>
                <w:color w:val="FFFFFF" w:themeColor="background1"/>
              </w:rPr>
            </w:pPr>
            <w:r w:rsidRPr="00F402EF">
              <w:rPr>
                <w:b/>
                <w:color w:val="FFFFFF" w:themeColor="background1"/>
              </w:rPr>
              <w:t>Rationale for Conclusion</w:t>
            </w:r>
          </w:p>
        </w:tc>
      </w:tr>
      <w:tr w:rsidR="00FA57D4" w:rsidRPr="00291205" w14:paraId="66C57D73" w14:textId="77777777" w:rsidTr="00F402EF">
        <w:tc>
          <w:tcPr>
            <w:tcW w:w="2519" w:type="dxa"/>
            <w:tcBorders>
              <w:bottom w:val="single" w:sz="4" w:space="0" w:color="1F497D" w:themeColor="text2"/>
            </w:tcBorders>
            <w:shd w:val="clear" w:color="auto" w:fill="D9D9D9" w:themeFill="background1" w:themeFillShade="D9"/>
          </w:tcPr>
          <w:p w14:paraId="28C83904" w14:textId="77777777" w:rsidR="00FA57D4" w:rsidRPr="0039155C" w:rsidRDefault="00FA57D4" w:rsidP="00FA57D4">
            <w:pPr>
              <w:pStyle w:val="TableTextArial"/>
              <w:rPr>
                <w:rFonts w:asciiTheme="majorHAnsi" w:hAnsiTheme="majorHAnsi"/>
              </w:rPr>
            </w:pPr>
          </w:p>
        </w:tc>
        <w:tc>
          <w:tcPr>
            <w:tcW w:w="2520" w:type="dxa"/>
            <w:tcBorders>
              <w:bottom w:val="single" w:sz="4" w:space="0" w:color="1F497D" w:themeColor="text2"/>
            </w:tcBorders>
            <w:shd w:val="clear" w:color="auto" w:fill="D9D9D9" w:themeFill="background1" w:themeFillShade="D9"/>
          </w:tcPr>
          <w:p w14:paraId="24402286" w14:textId="77777777" w:rsidR="00FA57D4" w:rsidRPr="0039155C" w:rsidRDefault="00FA57D4" w:rsidP="00FA57D4">
            <w:pPr>
              <w:pStyle w:val="TableTextArial"/>
              <w:rPr>
                <w:rFonts w:asciiTheme="majorHAnsi" w:hAnsiTheme="majorHAnsi"/>
              </w:rPr>
            </w:pPr>
          </w:p>
        </w:tc>
        <w:tc>
          <w:tcPr>
            <w:tcW w:w="2519" w:type="dxa"/>
            <w:tcBorders>
              <w:bottom w:val="single" w:sz="4" w:space="0" w:color="1F497D" w:themeColor="text2"/>
            </w:tcBorders>
            <w:shd w:val="clear" w:color="auto" w:fill="D9D9D9" w:themeFill="background1" w:themeFillShade="D9"/>
          </w:tcPr>
          <w:p w14:paraId="4B7940E0" w14:textId="77777777" w:rsidR="00FA57D4" w:rsidRPr="0039155C" w:rsidRDefault="00FA57D4" w:rsidP="00FA57D4">
            <w:pPr>
              <w:pStyle w:val="TableTextArial"/>
              <w:rPr>
                <w:rFonts w:asciiTheme="majorHAnsi" w:hAnsiTheme="majorHAnsi"/>
              </w:rPr>
            </w:pPr>
          </w:p>
        </w:tc>
        <w:tc>
          <w:tcPr>
            <w:tcW w:w="2520" w:type="dxa"/>
            <w:tcBorders>
              <w:bottom w:val="single" w:sz="4" w:space="0" w:color="1F497D" w:themeColor="text2"/>
            </w:tcBorders>
            <w:shd w:val="clear" w:color="auto" w:fill="D9D9D9" w:themeFill="background1" w:themeFillShade="D9"/>
          </w:tcPr>
          <w:p w14:paraId="05BAB52F" w14:textId="77777777" w:rsidR="00FA57D4" w:rsidRPr="0039155C" w:rsidRDefault="00FA57D4" w:rsidP="00FA57D4">
            <w:pPr>
              <w:pStyle w:val="TableTextArial"/>
              <w:rPr>
                <w:rFonts w:asciiTheme="majorHAnsi" w:hAnsiTheme="majorHAnsi"/>
              </w:rPr>
            </w:pPr>
          </w:p>
        </w:tc>
      </w:tr>
    </w:tbl>
    <w:p w14:paraId="36196A61" w14:textId="77777777" w:rsidR="00FA57D4" w:rsidRDefault="00FA57D4" w:rsidP="00996F2C">
      <w:pPr>
        <w:rPr>
          <w:b/>
        </w:rPr>
      </w:pPr>
    </w:p>
    <w:p w14:paraId="0812E7EE" w14:textId="77777777" w:rsidR="00FA57D4" w:rsidRDefault="00FA57D4" w:rsidP="00996F2C">
      <w:pPr>
        <w:rPr>
          <w:b/>
        </w:rPr>
      </w:pPr>
    </w:p>
    <w:p w14:paraId="58583D06" w14:textId="77777777" w:rsidR="00FA57D4" w:rsidRDefault="00FA57D4" w:rsidP="00996F2C">
      <w:pPr>
        <w:rPr>
          <w:b/>
        </w:rPr>
      </w:pPr>
    </w:p>
    <w:p w14:paraId="341FC070" w14:textId="3CE8B88A" w:rsidR="00A014DE" w:rsidRDefault="00A014DE" w:rsidP="00F402EF">
      <w:pPr>
        <w:pStyle w:val="Style2"/>
      </w:pPr>
      <w:r>
        <w:br w:type="page"/>
      </w:r>
      <w:bookmarkStart w:id="14" w:name="_Toc9420931"/>
      <w:r>
        <w:t xml:space="preserve">Appendix </w:t>
      </w:r>
      <w:r w:rsidR="00010554">
        <w:t>L</w:t>
      </w:r>
      <w:r w:rsidR="009A405C">
        <w:t>—</w:t>
      </w:r>
      <w:r>
        <w:t xml:space="preserve">Subsequent </w:t>
      </w:r>
      <w:r w:rsidR="00FA57D4">
        <w:t>e</w:t>
      </w:r>
      <w:r>
        <w:t xml:space="preserve">vents </w:t>
      </w:r>
      <w:r w:rsidR="00FA57D4">
        <w:t>r</w:t>
      </w:r>
      <w:r>
        <w:t>eview</w:t>
      </w:r>
      <w:bookmarkEnd w:id="14"/>
    </w:p>
    <w:p w14:paraId="41264D9F" w14:textId="77777777" w:rsidR="00A014DE" w:rsidRDefault="00A014DE" w:rsidP="00996F2C">
      <w:pPr>
        <w:rPr>
          <w:b/>
        </w:rPr>
      </w:pPr>
    </w:p>
    <w:p w14:paraId="757CAACB" w14:textId="77777777" w:rsidR="00A014DE" w:rsidRDefault="00A014DE" w:rsidP="00996F2C">
      <w:r w:rsidRPr="00A014DE">
        <w:t>As part</w:t>
      </w:r>
      <w:r>
        <w:t xml:space="preserve"> of our subsequent events review, we will perform the following procedures:</w:t>
      </w:r>
    </w:p>
    <w:p w14:paraId="4AB12C60" w14:textId="77777777" w:rsidR="00A014DE" w:rsidRDefault="00A014DE" w:rsidP="00996F2C"/>
    <w:p w14:paraId="0A0037D2" w14:textId="77777777" w:rsidR="00A014DE" w:rsidRPr="00A014DE" w:rsidRDefault="00A014DE" w:rsidP="00996F2C">
      <w:pPr>
        <w:rPr>
          <w:i/>
        </w:rPr>
      </w:pPr>
      <w:r w:rsidRPr="00A014DE">
        <w:rPr>
          <w:i/>
        </w:rPr>
        <w:t>Tailor as appropriate</w:t>
      </w:r>
    </w:p>
    <w:p w14:paraId="456A17B4" w14:textId="77777777" w:rsidR="00A014DE" w:rsidRDefault="00A014DE" w:rsidP="00996F2C"/>
    <w:p w14:paraId="121C38DF" w14:textId="77777777" w:rsidR="00A014DE" w:rsidRDefault="00A014DE" w:rsidP="00A014DE">
      <w:pPr>
        <w:numPr>
          <w:ilvl w:val="0"/>
          <w:numId w:val="37"/>
        </w:numPr>
      </w:pPr>
      <w:r>
        <w:t xml:space="preserve">Review of </w:t>
      </w:r>
      <w:r w:rsidR="00584D4C">
        <w:t>latest available financial information;</w:t>
      </w:r>
    </w:p>
    <w:p w14:paraId="5FBE8CBD" w14:textId="77777777" w:rsidR="00584D4C" w:rsidRDefault="00584D4C" w:rsidP="00A014DE">
      <w:pPr>
        <w:numPr>
          <w:ilvl w:val="0"/>
          <w:numId w:val="37"/>
        </w:numPr>
      </w:pPr>
      <w:r>
        <w:t>Search for unrecorded liabilities; and</w:t>
      </w:r>
    </w:p>
    <w:p w14:paraId="2C2A24AC" w14:textId="77777777" w:rsidR="00584D4C" w:rsidRDefault="00584D4C" w:rsidP="00A014DE">
      <w:pPr>
        <w:numPr>
          <w:ilvl w:val="0"/>
          <w:numId w:val="37"/>
        </w:numPr>
      </w:pPr>
      <w:r>
        <w:t>Enquiries of management.</w:t>
      </w:r>
    </w:p>
    <w:p w14:paraId="67CDB78B" w14:textId="77777777" w:rsidR="00584D4C" w:rsidRDefault="00584D4C" w:rsidP="00584D4C"/>
    <w:p w14:paraId="5A074043" w14:textId="3EDF3C5A" w:rsidR="00584D4C" w:rsidRPr="00D44818" w:rsidRDefault="009A405C" w:rsidP="00584D4C">
      <w:pPr>
        <w:rPr>
          <w:b/>
        </w:rPr>
      </w:pPr>
      <w:r>
        <w:rPr>
          <w:b/>
        </w:rPr>
        <w:t>Note</w:t>
      </w:r>
      <w:r>
        <w:t>—</w:t>
      </w:r>
      <w:r w:rsidR="00584D4C" w:rsidRPr="00D44818">
        <w:rPr>
          <w:b/>
        </w:rPr>
        <w:t xml:space="preserve">Given that the timing of signing of reports for the Group consolidated financial statements and the various statutory financial statements may vary considerably, the nature, extent and timing of subsequent events procedures is likely to vary substantially for different engagement teams – the SSC team should consider </w:t>
      </w:r>
      <w:r w:rsidR="00D44818" w:rsidRPr="00D44818">
        <w:rPr>
          <w:b/>
        </w:rPr>
        <w:t>tailoring these procedures for each party as appropriate.</w:t>
      </w:r>
    </w:p>
    <w:p w14:paraId="130DCADB" w14:textId="77777777" w:rsidR="00010554" w:rsidRDefault="00010554" w:rsidP="001F0906">
      <w:pPr>
        <w:tabs>
          <w:tab w:val="left" w:pos="360"/>
        </w:tabs>
        <w:rPr>
          <w:b/>
        </w:rPr>
      </w:pPr>
    </w:p>
    <w:p w14:paraId="132BECBB" w14:textId="77777777" w:rsidR="00010554" w:rsidRDefault="00010554" w:rsidP="001F0906">
      <w:pPr>
        <w:tabs>
          <w:tab w:val="left" w:pos="360"/>
        </w:tabs>
        <w:rPr>
          <w:b/>
        </w:rPr>
      </w:pPr>
    </w:p>
    <w:p w14:paraId="17258C1E" w14:textId="77777777" w:rsidR="00010554" w:rsidRDefault="00010554" w:rsidP="001F0906">
      <w:pPr>
        <w:tabs>
          <w:tab w:val="left" w:pos="360"/>
        </w:tabs>
        <w:rPr>
          <w:b/>
        </w:rPr>
      </w:pPr>
    </w:p>
    <w:p w14:paraId="559A962F" w14:textId="151B19C5" w:rsidR="009A405C" w:rsidRDefault="009A405C">
      <w:pPr>
        <w:rPr>
          <w:b/>
        </w:rPr>
      </w:pPr>
      <w:r>
        <w:rPr>
          <w:b/>
        </w:rPr>
        <w:br w:type="page"/>
      </w:r>
    </w:p>
    <w:p w14:paraId="6B4010E5" w14:textId="5F7491D8" w:rsidR="00010554" w:rsidRDefault="009A405C" w:rsidP="00F402EF">
      <w:pPr>
        <w:pStyle w:val="Style2"/>
        <w:rPr>
          <w:lang w:val="en-CA"/>
        </w:rPr>
      </w:pPr>
      <w:bookmarkStart w:id="15" w:name="_Toc320230980"/>
      <w:bookmarkStart w:id="16" w:name="_Toc9420932"/>
      <w:r>
        <w:rPr>
          <w:lang w:val="en-CA"/>
        </w:rPr>
        <w:t>Appendix M</w:t>
      </w:r>
      <w:r>
        <w:t>—</w:t>
      </w:r>
      <w:r w:rsidR="00010554" w:rsidRPr="00010554">
        <w:rPr>
          <w:lang w:val="en-CA"/>
        </w:rPr>
        <w:t>Confirmation of compliance</w:t>
      </w:r>
      <w:r>
        <w:rPr>
          <w:lang w:val="en-CA"/>
        </w:rPr>
        <w:t xml:space="preserve"> with documentation standards</w:t>
      </w:r>
      <w:r>
        <w:t>—</w:t>
      </w:r>
      <w:r w:rsidR="00010554" w:rsidRPr="00010554">
        <w:rPr>
          <w:lang w:val="en-CA"/>
        </w:rPr>
        <w:t>Completion</w:t>
      </w:r>
      <w:bookmarkEnd w:id="15"/>
      <w:bookmarkEnd w:id="16"/>
    </w:p>
    <w:p w14:paraId="323ACF5C" w14:textId="77777777" w:rsidR="00010554" w:rsidRPr="00010554" w:rsidRDefault="00010554" w:rsidP="00F402EF">
      <w:pPr>
        <w:pStyle w:val="Style2"/>
        <w:rPr>
          <w:lang w:val="en-CA"/>
        </w:rPr>
      </w:pPr>
    </w:p>
    <w:p w14:paraId="13D50F6A" w14:textId="65BCB0F8" w:rsidR="00010554" w:rsidRPr="00010554" w:rsidRDefault="00010554" w:rsidP="00010554">
      <w:pPr>
        <w:tabs>
          <w:tab w:val="left" w:pos="360"/>
        </w:tabs>
        <w:rPr>
          <w:rFonts w:cs="Times New Roman"/>
          <w:color w:val="000000"/>
        </w:rPr>
      </w:pPr>
      <w:r w:rsidRPr="00010554">
        <w:rPr>
          <w:rStyle w:val="BodyTextChar"/>
          <w:rFonts w:cs="Times New Roman"/>
        </w:rPr>
        <w:t xml:space="preserve">Audit documentation sufficient to meet the requirements of </w:t>
      </w:r>
      <w:r>
        <w:rPr>
          <w:rStyle w:val="BodyTextChar"/>
          <w:rFonts w:cs="Times New Roman"/>
        </w:rPr>
        <w:t>C</w:t>
      </w:r>
      <w:r w:rsidRPr="00010554">
        <w:rPr>
          <w:rStyle w:val="BodyTextChar"/>
          <w:rFonts w:cs="Times New Roman"/>
        </w:rPr>
        <w:t>A</w:t>
      </w:r>
      <w:r>
        <w:rPr>
          <w:rStyle w:val="BodyTextChar"/>
          <w:rFonts w:cs="Times New Roman"/>
        </w:rPr>
        <w:t>S</w:t>
      </w:r>
      <w:r w:rsidRPr="00010554">
        <w:rPr>
          <w:rStyle w:val="BodyTextChar"/>
          <w:rFonts w:cs="Times New Roman"/>
        </w:rPr>
        <w:t xml:space="preserve"> 230 and </w:t>
      </w:r>
      <w:r>
        <w:rPr>
          <w:rStyle w:val="BodyTextChar"/>
          <w:rFonts w:cs="Times New Roman"/>
        </w:rPr>
        <w:t>C</w:t>
      </w:r>
      <w:r w:rsidRPr="00010554">
        <w:rPr>
          <w:rStyle w:val="BodyTextChar"/>
          <w:rFonts w:cs="Times New Roman"/>
        </w:rPr>
        <w:t>SQ</w:t>
      </w:r>
      <w:r w:rsidR="002E20A0">
        <w:rPr>
          <w:rStyle w:val="BodyTextChar"/>
          <w:rFonts w:cs="Times New Roman"/>
        </w:rPr>
        <w:t>M</w:t>
      </w:r>
      <w:r w:rsidRPr="00010554">
        <w:rPr>
          <w:rStyle w:val="BodyTextChar"/>
          <w:rFonts w:cs="Times New Roman"/>
        </w:rPr>
        <w:t xml:space="preserve"> 1 (“the Standards”) was prepared as of the report date. Engagement personnel assembled a complete and final set of audit documentation as of a date not more than 60 days after the report date. This audit documentation will be retained for a period of </w:t>
      </w:r>
      <w:r w:rsidR="00362450">
        <w:rPr>
          <w:rStyle w:val="BodyTextChar"/>
          <w:rFonts w:cs="Times New Roman"/>
        </w:rPr>
        <w:t>seven</w:t>
      </w:r>
      <w:r w:rsidRPr="00010554">
        <w:rPr>
          <w:rStyle w:val="BodyTextChar"/>
          <w:rFonts w:cs="Times New Roman"/>
        </w:rPr>
        <w:t xml:space="preserve"> years from the report date. Any changes to this documentation after the report date and documentation completion date will be made according to the Standards</w:t>
      </w:r>
      <w:r w:rsidRPr="00010554">
        <w:rPr>
          <w:rFonts w:cs="Times New Roman"/>
          <w:color w:val="000000"/>
        </w:rPr>
        <w:t>.</w:t>
      </w:r>
    </w:p>
    <w:p w14:paraId="6FBD1079" w14:textId="77777777" w:rsidR="00010554" w:rsidRDefault="00010554" w:rsidP="00010554">
      <w:pPr>
        <w:pStyle w:val="BodyText"/>
        <w:rPr>
          <w:rFonts w:cs="Times New Roman"/>
        </w:rPr>
      </w:pPr>
    </w:p>
    <w:p w14:paraId="2CB3498B" w14:textId="77777777" w:rsidR="00FA57D4" w:rsidRDefault="00FA57D4" w:rsidP="00010554">
      <w:pPr>
        <w:pStyle w:val="BodyText"/>
        <w:rPr>
          <w:rFonts w:cs="Times New Roman"/>
        </w:rPr>
      </w:pPr>
    </w:p>
    <w:p w14:paraId="751925B2" w14:textId="77777777" w:rsidR="00FA57D4" w:rsidRPr="00010554" w:rsidRDefault="00FA57D4" w:rsidP="00010554">
      <w:pPr>
        <w:pStyle w:val="BodyText"/>
        <w:rPr>
          <w:rFonts w:cs="Times New Roman"/>
        </w:rPr>
      </w:pPr>
    </w:p>
    <w:p w14:paraId="432DF049" w14:textId="77777777" w:rsidR="00010554" w:rsidRPr="00010554" w:rsidRDefault="00010554" w:rsidP="00010554">
      <w:pPr>
        <w:pStyle w:val="BodyText"/>
        <w:rPr>
          <w:rFonts w:cs="Times New Roman"/>
        </w:rPr>
      </w:pPr>
      <w:r w:rsidRPr="00010554">
        <w:rPr>
          <w:rFonts w:cs="Times New Roman"/>
        </w:rPr>
        <w:t>______________________________</w:t>
      </w:r>
      <w:r w:rsidRPr="00010554">
        <w:rPr>
          <w:rFonts w:cs="Times New Roman"/>
        </w:rPr>
        <w:br/>
        <w:t>Name of component audit team</w:t>
      </w:r>
    </w:p>
    <w:p w14:paraId="546803F3" w14:textId="77777777" w:rsidR="00010554" w:rsidRDefault="00010554" w:rsidP="00010554">
      <w:pPr>
        <w:pStyle w:val="BodyText"/>
        <w:rPr>
          <w:rFonts w:cs="Times New Roman"/>
        </w:rPr>
      </w:pPr>
    </w:p>
    <w:p w14:paraId="4CF5B4E7" w14:textId="77777777" w:rsidR="00FA57D4" w:rsidRDefault="00FA57D4" w:rsidP="00010554">
      <w:pPr>
        <w:pStyle w:val="BodyText"/>
        <w:rPr>
          <w:rFonts w:cs="Times New Roman"/>
        </w:rPr>
      </w:pPr>
    </w:p>
    <w:p w14:paraId="60C81373" w14:textId="77777777" w:rsidR="00FA57D4" w:rsidRPr="00010554" w:rsidRDefault="00FA57D4" w:rsidP="00010554">
      <w:pPr>
        <w:pStyle w:val="BodyText"/>
        <w:rPr>
          <w:rFonts w:cs="Times New Roman"/>
        </w:rPr>
      </w:pPr>
    </w:p>
    <w:p w14:paraId="356C5C8A" w14:textId="77777777" w:rsidR="00010554" w:rsidRPr="00010554" w:rsidRDefault="00010554" w:rsidP="00010554">
      <w:pPr>
        <w:pStyle w:val="BodyText"/>
        <w:rPr>
          <w:rFonts w:cs="Times New Roman"/>
        </w:rPr>
      </w:pPr>
      <w:r w:rsidRPr="00010554">
        <w:rPr>
          <w:rFonts w:cs="Times New Roman"/>
        </w:rPr>
        <w:t>______________________________</w:t>
      </w:r>
      <w:r w:rsidRPr="00010554">
        <w:rPr>
          <w:rFonts w:cs="Times New Roman"/>
        </w:rPr>
        <w:br/>
        <w:t>Engagement Leader</w:t>
      </w:r>
    </w:p>
    <w:p w14:paraId="1926FD1E" w14:textId="77777777" w:rsidR="00010554" w:rsidRDefault="00010554" w:rsidP="00010554">
      <w:pPr>
        <w:pStyle w:val="BodyText"/>
        <w:rPr>
          <w:rFonts w:cs="Times New Roman"/>
        </w:rPr>
      </w:pPr>
    </w:p>
    <w:p w14:paraId="769F114B" w14:textId="77777777" w:rsidR="00FA57D4" w:rsidRDefault="00FA57D4" w:rsidP="00010554">
      <w:pPr>
        <w:pStyle w:val="BodyText"/>
        <w:rPr>
          <w:rFonts w:cs="Times New Roman"/>
        </w:rPr>
      </w:pPr>
    </w:p>
    <w:p w14:paraId="4F676760" w14:textId="77777777" w:rsidR="00FA57D4" w:rsidRPr="00010554" w:rsidRDefault="00FA57D4" w:rsidP="00010554">
      <w:pPr>
        <w:pStyle w:val="BodyText"/>
        <w:rPr>
          <w:rFonts w:cs="Times New Roman"/>
        </w:rPr>
      </w:pPr>
    </w:p>
    <w:p w14:paraId="07C9195B" w14:textId="77777777" w:rsidR="00010554" w:rsidRPr="00010554" w:rsidRDefault="00010554" w:rsidP="00010554">
      <w:pPr>
        <w:pStyle w:val="FootnoteText"/>
        <w:rPr>
          <w:rFonts w:cs="Times New Roman"/>
          <w:sz w:val="24"/>
          <w:szCs w:val="24"/>
        </w:rPr>
      </w:pPr>
      <w:r w:rsidRPr="00010554">
        <w:rPr>
          <w:rFonts w:cs="Times New Roman"/>
          <w:sz w:val="24"/>
          <w:szCs w:val="24"/>
        </w:rPr>
        <w:t>______________________________</w:t>
      </w:r>
      <w:r w:rsidRPr="00010554">
        <w:rPr>
          <w:rFonts w:cs="Times New Roman"/>
          <w:sz w:val="24"/>
          <w:szCs w:val="24"/>
        </w:rPr>
        <w:br/>
        <w:t>Date</w:t>
      </w:r>
    </w:p>
    <w:p w14:paraId="13879AED" w14:textId="77777777" w:rsidR="00010554" w:rsidRPr="00A014DE" w:rsidRDefault="00010554" w:rsidP="001F0906">
      <w:pPr>
        <w:tabs>
          <w:tab w:val="left" w:pos="360"/>
        </w:tabs>
        <w:rPr>
          <w:b/>
        </w:rPr>
      </w:pPr>
    </w:p>
    <w:sectPr w:rsidR="00010554" w:rsidRPr="00A014DE" w:rsidSect="00F402EF">
      <w:headerReference w:type="even" r:id="rId10"/>
      <w:headerReference w:type="default" r:id="rId11"/>
      <w:footerReference w:type="default" r:id="rId12"/>
      <w:headerReference w:type="first" r:id="rId13"/>
      <w:pgSz w:w="11906" w:h="16838"/>
      <w:pgMar w:top="1440" w:right="1361" w:bottom="1440" w:left="136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649B2A" w14:textId="77777777" w:rsidR="00642CBC" w:rsidRDefault="00642CBC">
      <w:r>
        <w:separator/>
      </w:r>
    </w:p>
  </w:endnote>
  <w:endnote w:type="continuationSeparator" w:id="0">
    <w:p w14:paraId="756563F0" w14:textId="77777777" w:rsidR="00642CBC" w:rsidRDefault="00642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92FE0" w14:textId="2D668284" w:rsidR="00642CBC" w:rsidRDefault="00642CBC">
    <w:pPr>
      <w:pStyle w:val="Footer"/>
      <w:rPr>
        <w:rFonts w:ascii="Arial" w:hAnsi="Arial" w:cs="Arial"/>
        <w:sz w:val="16"/>
        <w:szCs w:val="16"/>
      </w:rPr>
    </w:pPr>
    <w:r>
      <w:rPr>
        <w:rFonts w:ascii="Arial" w:hAnsi="Arial" w:cs="Arial"/>
        <w:sz w:val="16"/>
        <w:szCs w:val="16"/>
      </w:rPr>
      <w:t>Jun-2019</w:t>
    </w:r>
  </w:p>
  <w:p w14:paraId="45BE92F8" w14:textId="0E0556DA" w:rsidR="00642CBC" w:rsidRDefault="009F690C">
    <w:pPr>
      <w:pStyle w:val="Footer"/>
    </w:pPr>
    <w:r>
      <w:rPr>
        <w:rFonts w:ascii="Arial" w:hAnsi="Arial" w:cs="Arial"/>
        <w:sz w:val="16"/>
        <w:szCs w:val="16"/>
      </w:rPr>
      <w:t>Template Owner: Audit Services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1228595"/>
      <w:docPartObj>
        <w:docPartGallery w:val="Page Numbers (Bottom of Page)"/>
        <w:docPartUnique/>
      </w:docPartObj>
    </w:sdtPr>
    <w:sdtEndPr>
      <w:rPr>
        <w:rFonts w:ascii="Arial" w:hAnsi="Arial" w:cs="Arial"/>
        <w:sz w:val="20"/>
        <w:szCs w:val="20"/>
      </w:rPr>
    </w:sdtEndPr>
    <w:sdtContent>
      <w:p w14:paraId="5600F67A" w14:textId="77777777" w:rsidR="00642CBC" w:rsidRPr="00021947" w:rsidRDefault="00642CBC">
        <w:pPr>
          <w:pStyle w:val="Footer"/>
          <w:jc w:val="right"/>
          <w:rPr>
            <w:rFonts w:ascii="Arial" w:hAnsi="Arial" w:cs="Arial"/>
            <w:sz w:val="20"/>
            <w:szCs w:val="20"/>
          </w:rPr>
        </w:pPr>
        <w:r w:rsidRPr="00021947">
          <w:rPr>
            <w:rFonts w:ascii="Arial" w:hAnsi="Arial" w:cs="Arial"/>
            <w:sz w:val="20"/>
            <w:szCs w:val="20"/>
          </w:rPr>
          <w:fldChar w:fldCharType="begin"/>
        </w:r>
        <w:r w:rsidRPr="00021947">
          <w:rPr>
            <w:rFonts w:ascii="Arial" w:hAnsi="Arial" w:cs="Arial"/>
            <w:sz w:val="20"/>
            <w:szCs w:val="20"/>
          </w:rPr>
          <w:instrText xml:space="preserve"> PAGE   \* MERGEFORMAT </w:instrText>
        </w:r>
        <w:r w:rsidRPr="00021947">
          <w:rPr>
            <w:rFonts w:ascii="Arial" w:hAnsi="Arial" w:cs="Arial"/>
            <w:sz w:val="20"/>
            <w:szCs w:val="20"/>
          </w:rPr>
          <w:fldChar w:fldCharType="separate"/>
        </w:r>
        <w:r w:rsidR="009D1A04">
          <w:rPr>
            <w:rFonts w:ascii="Arial" w:hAnsi="Arial" w:cs="Arial"/>
            <w:noProof/>
            <w:sz w:val="20"/>
            <w:szCs w:val="20"/>
          </w:rPr>
          <w:t>20</w:t>
        </w:r>
        <w:r w:rsidRPr="00021947">
          <w:rPr>
            <w:rFonts w:ascii="Arial" w:hAnsi="Arial" w:cs="Arial"/>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0DB94E" w14:textId="77777777" w:rsidR="00642CBC" w:rsidRDefault="00642CBC">
      <w:r>
        <w:separator/>
      </w:r>
    </w:p>
  </w:footnote>
  <w:footnote w:type="continuationSeparator" w:id="0">
    <w:p w14:paraId="2C9B759C" w14:textId="77777777" w:rsidR="00642CBC" w:rsidRDefault="00642CBC">
      <w:r>
        <w:continuationSeparator/>
      </w:r>
    </w:p>
  </w:footnote>
  <w:footnote w:id="1">
    <w:p w14:paraId="2E269FFB" w14:textId="77777777" w:rsidR="00642CBC" w:rsidRDefault="00642CBC">
      <w:pPr>
        <w:pStyle w:val="FootnoteText"/>
      </w:pPr>
      <w:r>
        <w:rPr>
          <w:rStyle w:val="FootnoteReference"/>
        </w:rPr>
        <w:footnoteRef/>
      </w:r>
      <w:r>
        <w:t xml:space="preserve"> This can be tailored as appropriate to include all report users, or to refer to an appendix.</w:t>
      </w:r>
    </w:p>
  </w:footnote>
  <w:footnote w:id="2">
    <w:p w14:paraId="1AD438D4" w14:textId="77777777" w:rsidR="00642CBC" w:rsidRDefault="00642CBC">
      <w:pPr>
        <w:pStyle w:val="FootnoteText"/>
      </w:pPr>
      <w:r>
        <w:rPr>
          <w:rStyle w:val="FootnoteReference"/>
        </w:rPr>
        <w:footnoteRef/>
      </w:r>
      <w:r>
        <w:t xml:space="preserve"> Tailor as appropriate.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3C286" w14:textId="77777777" w:rsidR="00642CBC" w:rsidRPr="000B23B3" w:rsidRDefault="009D1A04" w:rsidP="006012D5">
    <w:pPr>
      <w:pStyle w:val="Header"/>
      <w:jc w:val="right"/>
      <w:rPr>
        <w:rFonts w:ascii="Arial" w:hAnsi="Arial" w:cs="Arial"/>
        <w:sz w:val="22"/>
        <w:szCs w:val="22"/>
      </w:rPr>
    </w:pPr>
    <w:sdt>
      <w:sdtPr>
        <w:rPr>
          <w:rFonts w:ascii="Arial" w:hAnsi="Arial" w:cs="Arial"/>
          <w:b/>
          <w:sz w:val="22"/>
          <w:szCs w:val="22"/>
          <w:lang w:val="fr-CA"/>
        </w:rPr>
        <w:alias w:val="Security Label"/>
        <w:tag w:val="OAG-BVG-Classification"/>
        <w:id w:val="-583986055"/>
        <w:placeholder>
          <w:docPart w:val="3B1869055AC346F885521D922D026234"/>
        </w:placeholder>
        <w:dropDownList>
          <w:listItem w:displayText="UNCLASSIFIED" w:value="0"/>
          <w:listItem w:displayText="NON CLASSIFIÉ" w:value="1"/>
          <w:listItem w:displayText="PROTECTED A" w:value="2"/>
          <w:listItem w:displayText="PROTÉGÉ A" w:value="3"/>
          <w:listItem w:displayText="PROTECTED B" w:value="4"/>
          <w:listItem w:displayText="PROTÉGÉ B" w:value="5"/>
          <w:listItem w:displayText="PROTECTED A (when completed)" w:value="6"/>
          <w:listItem w:displayText="PROTÉGÉ A (lorsque rempli)" w:value="7"/>
          <w:listItem w:displayText="PROTECTED B (when completed)" w:value="8"/>
          <w:listItem w:displayText="PROTÉGÉ B (lorsque rempli)" w:value="9"/>
        </w:dropDownList>
      </w:sdtPr>
      <w:sdtEndPr>
        <w:rPr>
          <w:b w:val="0"/>
        </w:rPr>
      </w:sdtEndPr>
      <w:sdtContent>
        <w:r w:rsidR="00642CBC" w:rsidRPr="000B23B3">
          <w:rPr>
            <w:rFonts w:ascii="Arial" w:hAnsi="Arial" w:cs="Arial"/>
            <w:b/>
            <w:sz w:val="22"/>
            <w:szCs w:val="22"/>
            <w:lang w:val="fr-CA"/>
          </w:rPr>
          <w:t>PROTECTED A (when completed)</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DD4C5" w14:textId="77777777" w:rsidR="00642CBC" w:rsidRDefault="00642CB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margin" w:tblpY="1182"/>
      <w:tblOverlap w:val="never"/>
      <w:tblW w:w="5000" w:type="pct"/>
      <w:tblBorders>
        <w:top w:val="single" w:sz="6" w:space="0" w:color="1F497D" w:themeColor="text2"/>
        <w:left w:val="single" w:sz="6" w:space="0" w:color="1F497D" w:themeColor="text2"/>
        <w:bottom w:val="none" w:sz="0" w:space="0" w:color="auto"/>
        <w:right w:val="none" w:sz="0" w:space="0" w:color="auto"/>
        <w:insideH w:val="none" w:sz="0" w:space="0" w:color="auto"/>
        <w:insideV w:val="none" w:sz="0" w:space="0" w:color="auto"/>
      </w:tblBorders>
      <w:tblLayout w:type="fixed"/>
      <w:tblCellMar>
        <w:left w:w="227" w:type="dxa"/>
        <w:right w:w="115" w:type="dxa"/>
      </w:tblCellMar>
      <w:tblLook w:val="04A0" w:firstRow="1" w:lastRow="0" w:firstColumn="1" w:lastColumn="0" w:noHBand="0" w:noVBand="1"/>
    </w:tblPr>
    <w:tblGrid>
      <w:gridCol w:w="9176"/>
    </w:tblGrid>
    <w:tr w:rsidR="00642CBC" w:rsidRPr="001C3517" w14:paraId="420FC7C2" w14:textId="77777777" w:rsidTr="00FA57D4">
      <w:tc>
        <w:tcPr>
          <w:tcW w:w="5000" w:type="pct"/>
        </w:tcPr>
        <w:p w14:paraId="2B179083" w14:textId="77777777" w:rsidR="00642CBC" w:rsidRPr="001C3517" w:rsidRDefault="00642CBC" w:rsidP="009315F4"/>
      </w:tc>
    </w:tr>
  </w:tbl>
  <w:p w14:paraId="6C0A83CF" w14:textId="77777777" w:rsidR="00642CBC" w:rsidRPr="008B67DB" w:rsidRDefault="00642CBC" w:rsidP="008B67D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09CE7" w14:textId="77777777" w:rsidR="00642CBC" w:rsidRDefault="00642C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320239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9C12F5D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6F6B77"/>
    <w:multiLevelType w:val="hybridMultilevel"/>
    <w:tmpl w:val="8ABA67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95B4A534">
      <w:start w:val="4"/>
      <w:numFmt w:val="bullet"/>
      <w:lvlText w:val=""/>
      <w:lvlJc w:val="left"/>
      <w:pPr>
        <w:tabs>
          <w:tab w:val="num" w:pos="2160"/>
        </w:tabs>
        <w:ind w:left="2160" w:hanging="360"/>
      </w:pPr>
      <w:rPr>
        <w:rFonts w:ascii="Wingdings" w:eastAsia="Times New Roman" w:hAnsi="Wingding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BF64AE"/>
    <w:multiLevelType w:val="hybridMultilevel"/>
    <w:tmpl w:val="48B4A074"/>
    <w:lvl w:ilvl="0" w:tplc="FCF6310C">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D720F1"/>
    <w:multiLevelType w:val="hybridMultilevel"/>
    <w:tmpl w:val="CD302AF0"/>
    <w:lvl w:ilvl="0" w:tplc="B1B4B796">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0F4670"/>
    <w:multiLevelType w:val="hybridMultilevel"/>
    <w:tmpl w:val="08AAE4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E1D245C"/>
    <w:multiLevelType w:val="multilevel"/>
    <w:tmpl w:val="6B46F6B8"/>
    <w:numStyleLink w:val="Style1"/>
  </w:abstractNum>
  <w:abstractNum w:abstractNumId="7" w15:restartNumberingAfterBreak="0">
    <w:nsid w:val="0E4343A4"/>
    <w:multiLevelType w:val="hybridMultilevel"/>
    <w:tmpl w:val="F78E830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0106926"/>
    <w:multiLevelType w:val="hybridMultilevel"/>
    <w:tmpl w:val="D85A7036"/>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4D6AAF"/>
    <w:multiLevelType w:val="hybridMultilevel"/>
    <w:tmpl w:val="FA6A6A9C"/>
    <w:lvl w:ilvl="0" w:tplc="FEACB458">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CC27C85"/>
    <w:multiLevelType w:val="hybridMultilevel"/>
    <w:tmpl w:val="1272E6F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E4C7468"/>
    <w:multiLevelType w:val="hybridMultilevel"/>
    <w:tmpl w:val="38FEE386"/>
    <w:lvl w:ilvl="0" w:tplc="A596E0E2">
      <w:start w:val="1"/>
      <w:numFmt w:val="upperRoman"/>
      <w:lvlText w:val="%1."/>
      <w:lvlJc w:val="right"/>
      <w:pPr>
        <w:tabs>
          <w:tab w:val="num" w:pos="540"/>
        </w:tabs>
        <w:ind w:left="540" w:hanging="180"/>
      </w:pPr>
      <w:rPr>
        <w:rFonts w:hint="default"/>
      </w:rPr>
    </w:lvl>
    <w:lvl w:ilvl="1" w:tplc="19A071F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FB17388"/>
    <w:multiLevelType w:val="hybridMultilevel"/>
    <w:tmpl w:val="5122E5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7159A0"/>
    <w:multiLevelType w:val="hybridMultilevel"/>
    <w:tmpl w:val="8CA4DE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0730D26"/>
    <w:multiLevelType w:val="hybridMultilevel"/>
    <w:tmpl w:val="57C6B1EC"/>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5" w15:restartNumberingAfterBreak="0">
    <w:nsid w:val="20E76884"/>
    <w:multiLevelType w:val="hybridMultilevel"/>
    <w:tmpl w:val="BFBC0A4C"/>
    <w:lvl w:ilvl="0" w:tplc="61463788">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905486"/>
    <w:multiLevelType w:val="multilevel"/>
    <w:tmpl w:val="F962C966"/>
    <w:numStyleLink w:val="PwCListBullets1"/>
  </w:abstractNum>
  <w:abstractNum w:abstractNumId="17" w15:restartNumberingAfterBreak="0">
    <w:nsid w:val="292F384B"/>
    <w:multiLevelType w:val="hybridMultilevel"/>
    <w:tmpl w:val="4724A634"/>
    <w:lvl w:ilvl="0" w:tplc="B2AC128E">
      <w:start w:val="8"/>
      <w:numFmt w:val="decimal"/>
      <w:lvlText w:val="%1)"/>
      <w:lvlJc w:val="left"/>
      <w:pPr>
        <w:tabs>
          <w:tab w:val="num" w:pos="720"/>
        </w:tabs>
        <w:ind w:left="720" w:hanging="360"/>
      </w:pPr>
      <w:rPr>
        <w:rFonts w:hint="default"/>
      </w:rPr>
    </w:lvl>
    <w:lvl w:ilvl="1" w:tplc="0E2055E2">
      <w:start w:val="1"/>
      <w:numFmt w:val="lowerLetter"/>
      <w:lvlText w:val="%2."/>
      <w:lvlJc w:val="left"/>
      <w:pPr>
        <w:tabs>
          <w:tab w:val="num" w:pos="1440"/>
        </w:tabs>
        <w:ind w:left="1440" w:hanging="360"/>
      </w:pPr>
      <w:rPr>
        <w:rFonts w:hint="default"/>
      </w:rPr>
    </w:lvl>
    <w:lvl w:ilvl="2" w:tplc="12E675F2">
      <w:start w:val="1"/>
      <w:numFmt w:val="lowerRoman"/>
      <w:lvlText w:val="%3)"/>
      <w:lvlJc w:val="left"/>
      <w:pPr>
        <w:tabs>
          <w:tab w:val="num" w:pos="2700"/>
        </w:tabs>
        <w:ind w:left="2700" w:hanging="720"/>
      </w:pPr>
      <w:rPr>
        <w:rFonts w:hint="default"/>
      </w:rPr>
    </w:lvl>
    <w:lvl w:ilvl="3" w:tplc="AFC49D9E">
      <w:start w:val="3"/>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9846B88"/>
    <w:multiLevelType w:val="singleLevel"/>
    <w:tmpl w:val="37169F10"/>
    <w:lvl w:ilvl="0">
      <w:start w:val="1"/>
      <w:numFmt w:val="bullet"/>
      <w:pStyle w:val="Bullet"/>
      <w:lvlText w:val=""/>
      <w:lvlJc w:val="left"/>
      <w:pPr>
        <w:tabs>
          <w:tab w:val="num" w:pos="504"/>
        </w:tabs>
        <w:ind w:left="360" w:hanging="216"/>
      </w:pPr>
      <w:rPr>
        <w:rFonts w:ascii="Symbol" w:hAnsi="Symbol" w:cs="Times New Roman" w:hint="default"/>
        <w:sz w:val="16"/>
        <w:szCs w:val="16"/>
      </w:rPr>
    </w:lvl>
  </w:abstractNum>
  <w:abstractNum w:abstractNumId="19" w15:restartNumberingAfterBreak="0">
    <w:nsid w:val="2C487A8A"/>
    <w:multiLevelType w:val="hybridMultilevel"/>
    <w:tmpl w:val="9244A194"/>
    <w:lvl w:ilvl="0" w:tplc="19A071F4">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34294279"/>
    <w:multiLevelType w:val="hybridMultilevel"/>
    <w:tmpl w:val="B274A594"/>
    <w:lvl w:ilvl="0" w:tplc="0409001B">
      <w:start w:val="1"/>
      <w:numFmt w:val="lowerRoman"/>
      <w:lvlText w:val="%1."/>
      <w:lvlJc w:val="righ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37B37CF8"/>
    <w:multiLevelType w:val="hybridMultilevel"/>
    <w:tmpl w:val="FDE0096C"/>
    <w:lvl w:ilvl="0" w:tplc="800EF96C">
      <w:start w:val="8"/>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403D26C6"/>
    <w:multiLevelType w:val="multilevel"/>
    <w:tmpl w:val="6B46F6B8"/>
    <w:styleLink w:val="Style1"/>
    <w:lvl w:ilvl="0">
      <w:start w:val="1"/>
      <w:numFmt w:val="bullet"/>
      <w:lvlText w:val=""/>
      <w:lvlJc w:val="left"/>
      <w:pPr>
        <w:tabs>
          <w:tab w:val="num" w:pos="288"/>
        </w:tabs>
        <w:ind w:left="288" w:hanging="288"/>
      </w:pPr>
      <w:rPr>
        <w:rFonts w:ascii="Symbol" w:hAnsi="Symbol" w:hint="default"/>
        <w:b w:val="0"/>
        <w:i w:val="0"/>
        <w:color w:val="auto"/>
        <w:sz w:val="20"/>
      </w:rPr>
    </w:lvl>
    <w:lvl w:ilvl="1">
      <w:start w:val="1"/>
      <w:numFmt w:val="bullet"/>
      <w:lvlText w:val=""/>
      <w:lvlJc w:val="left"/>
      <w:pPr>
        <w:tabs>
          <w:tab w:val="num" w:pos="576"/>
        </w:tabs>
        <w:ind w:left="576" w:hanging="288"/>
      </w:pPr>
      <w:rPr>
        <w:rFonts w:ascii="Symbol" w:hAnsi="Symbol" w:hint="default"/>
        <w:b w:val="0"/>
        <w:i w:val="0"/>
        <w:color w:val="auto"/>
        <w:sz w:val="20"/>
      </w:rPr>
    </w:lvl>
    <w:lvl w:ilvl="2">
      <w:start w:val="1"/>
      <w:numFmt w:val="bullet"/>
      <w:lvlText w:val="o"/>
      <w:lvlJc w:val="left"/>
      <w:pPr>
        <w:tabs>
          <w:tab w:val="num" w:pos="864"/>
        </w:tabs>
        <w:ind w:left="864" w:hanging="288"/>
      </w:pPr>
      <w:rPr>
        <w:rFonts w:ascii="Courier New" w:hAnsi="Courier New" w:hint="default"/>
        <w:b w:val="0"/>
        <w:i w:val="0"/>
        <w:color w:val="auto"/>
        <w:sz w:val="20"/>
      </w:rPr>
    </w:lvl>
    <w:lvl w:ilvl="3">
      <w:start w:val="1"/>
      <w:numFmt w:val="bullet"/>
      <w:lvlText w:val=""/>
      <w:lvlJc w:val="left"/>
      <w:pPr>
        <w:tabs>
          <w:tab w:val="num" w:pos="1152"/>
        </w:tabs>
        <w:ind w:left="1152" w:hanging="288"/>
      </w:pPr>
      <w:rPr>
        <w:rFonts w:ascii="Symbol" w:hAnsi="Symbol" w:hint="default"/>
        <w:b w:val="0"/>
        <w:i w:val="0"/>
        <w:color w:val="auto"/>
        <w:sz w:val="20"/>
      </w:rPr>
    </w:lvl>
    <w:lvl w:ilvl="4">
      <w:start w:val="1"/>
      <w:numFmt w:val="bullet"/>
      <w:lvlText w:val="~"/>
      <w:lvlJc w:val="left"/>
      <w:pPr>
        <w:tabs>
          <w:tab w:val="num" w:pos="1440"/>
        </w:tabs>
        <w:ind w:left="1440" w:hanging="288"/>
      </w:pPr>
      <w:rPr>
        <w:rFonts w:ascii="Arial" w:hAnsi="Arial" w:hint="default"/>
        <w:b w:val="0"/>
        <w:i w:val="0"/>
        <w:color w:val="auto"/>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163478C"/>
    <w:multiLevelType w:val="hybridMultilevel"/>
    <w:tmpl w:val="F364D2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1DB1F60"/>
    <w:multiLevelType w:val="hybridMultilevel"/>
    <w:tmpl w:val="8914606E"/>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F3FA8452">
      <w:start w:val="1"/>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3247ED7"/>
    <w:multiLevelType w:val="hybridMultilevel"/>
    <w:tmpl w:val="893E881C"/>
    <w:lvl w:ilvl="0" w:tplc="D688DDAA">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hint="default"/>
      </w:rPr>
    </w:lvl>
    <w:lvl w:ilvl="2" w:tplc="42BA31A8">
      <w:start w:val="8"/>
      <w:numFmt w:val="bullet"/>
      <w:lvlText w:val="-"/>
      <w:lvlJc w:val="left"/>
      <w:pPr>
        <w:tabs>
          <w:tab w:val="num" w:pos="2520"/>
        </w:tabs>
        <w:ind w:left="2520" w:hanging="360"/>
      </w:pPr>
      <w:rPr>
        <w:rFonts w:ascii="Times New Roman" w:eastAsia="Times New Roman" w:hAnsi="Times New Roman" w:cs="Times New Roman"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36F4AA5"/>
    <w:multiLevelType w:val="hybridMultilevel"/>
    <w:tmpl w:val="A28C6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6F7FAC"/>
    <w:multiLevelType w:val="hybridMultilevel"/>
    <w:tmpl w:val="9112CE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712365B"/>
    <w:multiLevelType w:val="hybridMultilevel"/>
    <w:tmpl w:val="DF7089AA"/>
    <w:lvl w:ilvl="0" w:tplc="61463788">
      <w:start w:val="1"/>
      <w:numFmt w:val="bullet"/>
      <w:lvlText w:val=""/>
      <w:lvlJc w:val="left"/>
      <w:pPr>
        <w:tabs>
          <w:tab w:val="num" w:pos="36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8C85556"/>
    <w:multiLevelType w:val="hybridMultilevel"/>
    <w:tmpl w:val="777EA9D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D0E53F6"/>
    <w:multiLevelType w:val="hybridMultilevel"/>
    <w:tmpl w:val="954E5D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1C10F13"/>
    <w:multiLevelType w:val="singleLevel"/>
    <w:tmpl w:val="0409000F"/>
    <w:lvl w:ilvl="0">
      <w:start w:val="1"/>
      <w:numFmt w:val="decimal"/>
      <w:lvlText w:val="%1."/>
      <w:lvlJc w:val="left"/>
      <w:pPr>
        <w:tabs>
          <w:tab w:val="num" w:pos="360"/>
        </w:tabs>
        <w:ind w:left="360" w:hanging="360"/>
      </w:pPr>
    </w:lvl>
  </w:abstractNum>
  <w:abstractNum w:abstractNumId="32" w15:restartNumberingAfterBreak="0">
    <w:nsid w:val="57855796"/>
    <w:multiLevelType w:val="hybridMultilevel"/>
    <w:tmpl w:val="15AA77D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33" w15:restartNumberingAfterBreak="0">
    <w:nsid w:val="57F059AF"/>
    <w:multiLevelType w:val="hybridMultilevel"/>
    <w:tmpl w:val="6D4A3FFE"/>
    <w:lvl w:ilvl="0" w:tplc="3A703FE6">
      <w:start w:val="1"/>
      <w:numFmt w:val="decimal"/>
      <w:lvlText w:val="%1."/>
      <w:lvlJc w:val="left"/>
      <w:pPr>
        <w:tabs>
          <w:tab w:val="num" w:pos="720"/>
        </w:tabs>
        <w:ind w:left="720" w:hanging="360"/>
      </w:pPr>
      <w:rPr>
        <w:rFonts w:hint="default"/>
      </w:rPr>
    </w:lvl>
    <w:lvl w:ilvl="1" w:tplc="6C68312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B1469F5"/>
    <w:multiLevelType w:val="hybridMultilevel"/>
    <w:tmpl w:val="55C4C3D2"/>
    <w:lvl w:ilvl="0" w:tplc="04090001">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5" w15:restartNumberingAfterBreak="0">
    <w:nsid w:val="5E595245"/>
    <w:multiLevelType w:val="hybridMultilevel"/>
    <w:tmpl w:val="6FEEA15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5F7D1A5D"/>
    <w:multiLevelType w:val="hybridMultilevel"/>
    <w:tmpl w:val="4F12BAAC"/>
    <w:lvl w:ilvl="0" w:tplc="0E2055E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602C3E78"/>
    <w:multiLevelType w:val="hybridMultilevel"/>
    <w:tmpl w:val="F4DAE988"/>
    <w:lvl w:ilvl="0" w:tplc="0409000F">
      <w:start w:val="2"/>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3365B22"/>
    <w:multiLevelType w:val="hybridMultilevel"/>
    <w:tmpl w:val="C86C7BA6"/>
    <w:lvl w:ilvl="0" w:tplc="05E0C568">
      <w:start w:val="2"/>
      <w:numFmt w:val="upperRoman"/>
      <w:lvlText w:val="%1."/>
      <w:lvlJc w:val="right"/>
      <w:pPr>
        <w:tabs>
          <w:tab w:val="num" w:pos="540"/>
        </w:tabs>
        <w:ind w:left="5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36B5862"/>
    <w:multiLevelType w:val="hybridMultilevel"/>
    <w:tmpl w:val="2B64203E"/>
    <w:lvl w:ilvl="0" w:tplc="04090011">
      <w:start w:val="1"/>
      <w:numFmt w:val="decimal"/>
      <w:lvlText w:val="%1)"/>
      <w:lvlJc w:val="left"/>
      <w:pPr>
        <w:tabs>
          <w:tab w:val="num" w:pos="720"/>
        </w:tabs>
        <w:ind w:left="720" w:hanging="360"/>
      </w:pPr>
    </w:lvl>
    <w:lvl w:ilvl="1" w:tplc="7862B0FE">
      <w:start w:val="8"/>
      <w:numFmt w:val="lowerLetter"/>
      <w:lvlText w:val="%2)"/>
      <w:lvlJc w:val="left"/>
      <w:pPr>
        <w:tabs>
          <w:tab w:val="num" w:pos="1440"/>
        </w:tabs>
        <w:ind w:left="1440" w:hanging="360"/>
      </w:pPr>
      <w:rPr>
        <w:rFonts w:hint="default"/>
      </w:rPr>
    </w:lvl>
    <w:lvl w:ilvl="2" w:tplc="734A6392">
      <w:start w:val="4"/>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82D538F"/>
    <w:multiLevelType w:val="hybridMultilevel"/>
    <w:tmpl w:val="82D8390C"/>
    <w:lvl w:ilvl="0" w:tplc="0413000F">
      <w:start w:val="1"/>
      <w:numFmt w:val="decimal"/>
      <w:lvlText w:val="%1."/>
      <w:lvlJc w:val="left"/>
      <w:pPr>
        <w:tabs>
          <w:tab w:val="num" w:pos="720"/>
        </w:tabs>
        <w:ind w:left="720" w:hanging="360"/>
      </w:pPr>
      <w:rPr>
        <w:rFonts w:hint="default"/>
        <w:b w:val="0"/>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1" w15:restartNumberingAfterBreak="0">
    <w:nsid w:val="6868242E"/>
    <w:multiLevelType w:val="hybridMultilevel"/>
    <w:tmpl w:val="F1841FEC"/>
    <w:lvl w:ilvl="0" w:tplc="CB1EB65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9971E42"/>
    <w:multiLevelType w:val="hybridMultilevel"/>
    <w:tmpl w:val="200821A8"/>
    <w:lvl w:ilvl="0" w:tplc="3A703FE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CA23F2E"/>
    <w:multiLevelType w:val="hybridMultilevel"/>
    <w:tmpl w:val="4F9ECC7C"/>
    <w:lvl w:ilvl="0" w:tplc="04090013">
      <w:start w:val="1"/>
      <w:numFmt w:val="upperRoman"/>
      <w:lvlText w:val="%1."/>
      <w:lvlJc w:val="right"/>
      <w:pPr>
        <w:tabs>
          <w:tab w:val="num" w:pos="540"/>
        </w:tabs>
        <w:ind w:left="540" w:hanging="180"/>
      </w:pPr>
    </w:lvl>
    <w:lvl w:ilvl="1" w:tplc="0E2055E2">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2591CA9"/>
    <w:multiLevelType w:val="multilevel"/>
    <w:tmpl w:val="F962C966"/>
    <w:styleLink w:val="PwCListBullets1"/>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Georgia" w:hAnsi="Georgia" w:hint="default"/>
        <w:b/>
      </w:rPr>
    </w:lvl>
    <w:lvl w:ilvl="3">
      <w:start w:val="1"/>
      <w:numFmt w:val="bullet"/>
      <w:pStyle w:val="ListBullet4"/>
      <w:lvlText w:val=""/>
      <w:lvlJc w:val="left"/>
      <w:pPr>
        <w:tabs>
          <w:tab w:val="num" w:pos="2268"/>
        </w:tabs>
        <w:ind w:left="2268" w:hanging="567"/>
      </w:pPr>
      <w:rPr>
        <w:rFonts w:ascii="Symbol" w:hAnsi="Symbol" w:hint="default"/>
      </w:rPr>
    </w:lvl>
    <w:lvl w:ilvl="4">
      <w:start w:val="1"/>
      <w:numFmt w:val="bullet"/>
      <w:pStyle w:val="ListBullet5"/>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45" w15:restartNumberingAfterBreak="0">
    <w:nsid w:val="747E5325"/>
    <w:multiLevelType w:val="hybridMultilevel"/>
    <w:tmpl w:val="9F702B56"/>
    <w:lvl w:ilvl="0" w:tplc="61463788">
      <w:start w:val="1"/>
      <w:numFmt w:val="bullet"/>
      <w:lvlText w:val=""/>
      <w:lvlJc w:val="left"/>
      <w:pPr>
        <w:tabs>
          <w:tab w:val="num" w:pos="36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61463788">
      <w:start w:val="1"/>
      <w:numFmt w:val="bullet"/>
      <w:lvlText w:val=""/>
      <w:lvlJc w:val="left"/>
      <w:pPr>
        <w:tabs>
          <w:tab w:val="num" w:pos="180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85F28A6"/>
    <w:multiLevelType w:val="hybridMultilevel"/>
    <w:tmpl w:val="2E5E47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A8E5BE0"/>
    <w:multiLevelType w:val="hybridMultilevel"/>
    <w:tmpl w:val="C7C2F6F4"/>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F6049ED"/>
    <w:multiLevelType w:val="hybridMultilevel"/>
    <w:tmpl w:val="9F1EED46"/>
    <w:lvl w:ilvl="0" w:tplc="B1B4B796">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num w:numId="1">
    <w:abstractNumId w:val="24"/>
  </w:num>
  <w:num w:numId="2">
    <w:abstractNumId w:val="2"/>
  </w:num>
  <w:num w:numId="3">
    <w:abstractNumId w:val="35"/>
  </w:num>
  <w:num w:numId="4">
    <w:abstractNumId w:val="12"/>
  </w:num>
  <w:num w:numId="5">
    <w:abstractNumId w:val="3"/>
  </w:num>
  <w:num w:numId="6">
    <w:abstractNumId w:val="45"/>
  </w:num>
  <w:num w:numId="7">
    <w:abstractNumId w:val="4"/>
  </w:num>
  <w:num w:numId="8">
    <w:abstractNumId w:val="48"/>
  </w:num>
  <w:num w:numId="9">
    <w:abstractNumId w:val="40"/>
  </w:num>
  <w:num w:numId="10">
    <w:abstractNumId w:val="43"/>
  </w:num>
  <w:num w:numId="11">
    <w:abstractNumId w:val="39"/>
  </w:num>
  <w:num w:numId="12">
    <w:abstractNumId w:val="17"/>
  </w:num>
  <w:num w:numId="13">
    <w:abstractNumId w:val="20"/>
  </w:num>
  <w:num w:numId="14">
    <w:abstractNumId w:val="19"/>
  </w:num>
  <w:num w:numId="15">
    <w:abstractNumId w:val="11"/>
  </w:num>
  <w:num w:numId="16">
    <w:abstractNumId w:val="33"/>
  </w:num>
  <w:num w:numId="17">
    <w:abstractNumId w:val="38"/>
  </w:num>
  <w:num w:numId="18">
    <w:abstractNumId w:val="42"/>
  </w:num>
  <w:num w:numId="19">
    <w:abstractNumId w:val="21"/>
  </w:num>
  <w:num w:numId="20">
    <w:abstractNumId w:val="36"/>
  </w:num>
  <w:num w:numId="21">
    <w:abstractNumId w:val="25"/>
  </w:num>
  <w:num w:numId="22">
    <w:abstractNumId w:val="47"/>
  </w:num>
  <w:num w:numId="23">
    <w:abstractNumId w:val="37"/>
  </w:num>
  <w:num w:numId="24">
    <w:abstractNumId w:val="31"/>
  </w:num>
  <w:num w:numId="25">
    <w:abstractNumId w:val="8"/>
  </w:num>
  <w:num w:numId="26">
    <w:abstractNumId w:val="15"/>
  </w:num>
  <w:num w:numId="27">
    <w:abstractNumId w:val="23"/>
  </w:num>
  <w:num w:numId="28">
    <w:abstractNumId w:val="28"/>
  </w:num>
  <w:num w:numId="29">
    <w:abstractNumId w:val="30"/>
  </w:num>
  <w:num w:numId="30">
    <w:abstractNumId w:val="29"/>
  </w:num>
  <w:num w:numId="31">
    <w:abstractNumId w:val="41"/>
  </w:num>
  <w:num w:numId="32">
    <w:abstractNumId w:val="27"/>
  </w:num>
  <w:num w:numId="33">
    <w:abstractNumId w:val="5"/>
  </w:num>
  <w:num w:numId="34">
    <w:abstractNumId w:val="9"/>
  </w:num>
  <w:num w:numId="35">
    <w:abstractNumId w:val="18"/>
  </w:num>
  <w:num w:numId="36">
    <w:abstractNumId w:val="32"/>
  </w:num>
  <w:num w:numId="37">
    <w:abstractNumId w:val="26"/>
  </w:num>
  <w:num w:numId="38">
    <w:abstractNumId w:val="10"/>
  </w:num>
  <w:num w:numId="39">
    <w:abstractNumId w:val="13"/>
  </w:num>
  <w:num w:numId="40">
    <w:abstractNumId w:val="7"/>
  </w:num>
  <w:num w:numId="41">
    <w:abstractNumId w:val="34"/>
  </w:num>
  <w:num w:numId="42">
    <w:abstractNumId w:val="14"/>
  </w:num>
  <w:num w:numId="43">
    <w:abstractNumId w:val="46"/>
  </w:num>
  <w:num w:numId="44">
    <w:abstractNumId w:val="22"/>
  </w:num>
  <w:num w:numId="45">
    <w:abstractNumId w:val="6"/>
  </w:num>
  <w:num w:numId="46">
    <w:abstractNumId w:val="44"/>
  </w:num>
  <w:num w:numId="47">
    <w:abstractNumId w:val="16"/>
  </w:num>
  <w:num w:numId="48">
    <w:abstractNumId w:val="1"/>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noPunctuationKerning/>
  <w:characterSpacingControl w:val="doNotCompress"/>
  <w:hdrShapeDefaults>
    <o:shapedefaults v:ext="edit" spidmax="870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25E"/>
    <w:rsid w:val="00000AC0"/>
    <w:rsid w:val="00000B3E"/>
    <w:rsid w:val="0000111D"/>
    <w:rsid w:val="00004BDB"/>
    <w:rsid w:val="00010554"/>
    <w:rsid w:val="0001608F"/>
    <w:rsid w:val="00016B2A"/>
    <w:rsid w:val="00021947"/>
    <w:rsid w:val="00031A62"/>
    <w:rsid w:val="00040463"/>
    <w:rsid w:val="00040611"/>
    <w:rsid w:val="00056969"/>
    <w:rsid w:val="00060424"/>
    <w:rsid w:val="000637D1"/>
    <w:rsid w:val="0006522E"/>
    <w:rsid w:val="00067EDC"/>
    <w:rsid w:val="00075A35"/>
    <w:rsid w:val="0008137E"/>
    <w:rsid w:val="00082B0B"/>
    <w:rsid w:val="00082EE8"/>
    <w:rsid w:val="00085A66"/>
    <w:rsid w:val="00086736"/>
    <w:rsid w:val="00092788"/>
    <w:rsid w:val="000A2105"/>
    <w:rsid w:val="000B23B3"/>
    <w:rsid w:val="000C633D"/>
    <w:rsid w:val="000E1F16"/>
    <w:rsid w:val="000F00FA"/>
    <w:rsid w:val="00117DF7"/>
    <w:rsid w:val="00120AEC"/>
    <w:rsid w:val="001275A5"/>
    <w:rsid w:val="001301A2"/>
    <w:rsid w:val="0013710F"/>
    <w:rsid w:val="00145C41"/>
    <w:rsid w:val="00153172"/>
    <w:rsid w:val="00162777"/>
    <w:rsid w:val="00164D28"/>
    <w:rsid w:val="00181909"/>
    <w:rsid w:val="00187095"/>
    <w:rsid w:val="001C182A"/>
    <w:rsid w:val="001D3E5E"/>
    <w:rsid w:val="001F03F0"/>
    <w:rsid w:val="001F0906"/>
    <w:rsid w:val="001F47C1"/>
    <w:rsid w:val="0020263E"/>
    <w:rsid w:val="00211CDA"/>
    <w:rsid w:val="00213D39"/>
    <w:rsid w:val="00221B0F"/>
    <w:rsid w:val="00227ACE"/>
    <w:rsid w:val="00237E1B"/>
    <w:rsid w:val="00240A3F"/>
    <w:rsid w:val="00245B84"/>
    <w:rsid w:val="00262DDA"/>
    <w:rsid w:val="00265D3F"/>
    <w:rsid w:val="0027130E"/>
    <w:rsid w:val="00274CFC"/>
    <w:rsid w:val="002750CF"/>
    <w:rsid w:val="00297497"/>
    <w:rsid w:val="00297781"/>
    <w:rsid w:val="002A5382"/>
    <w:rsid w:val="002A7705"/>
    <w:rsid w:val="002C0E9D"/>
    <w:rsid w:val="002C463E"/>
    <w:rsid w:val="002C72B4"/>
    <w:rsid w:val="002D174D"/>
    <w:rsid w:val="002E20A0"/>
    <w:rsid w:val="002E2AE4"/>
    <w:rsid w:val="002F128C"/>
    <w:rsid w:val="002F53A2"/>
    <w:rsid w:val="00312E79"/>
    <w:rsid w:val="00320D0C"/>
    <w:rsid w:val="00330637"/>
    <w:rsid w:val="00347AA6"/>
    <w:rsid w:val="00353125"/>
    <w:rsid w:val="00356B42"/>
    <w:rsid w:val="00362450"/>
    <w:rsid w:val="0038358E"/>
    <w:rsid w:val="00385005"/>
    <w:rsid w:val="003918F3"/>
    <w:rsid w:val="0039325E"/>
    <w:rsid w:val="003969AF"/>
    <w:rsid w:val="003A435C"/>
    <w:rsid w:val="003D228A"/>
    <w:rsid w:val="003F3CEE"/>
    <w:rsid w:val="00411383"/>
    <w:rsid w:val="00423BEA"/>
    <w:rsid w:val="00430A04"/>
    <w:rsid w:val="00433DFA"/>
    <w:rsid w:val="00444D6C"/>
    <w:rsid w:val="00455D51"/>
    <w:rsid w:val="004634C1"/>
    <w:rsid w:val="00465AEE"/>
    <w:rsid w:val="004805F9"/>
    <w:rsid w:val="00494392"/>
    <w:rsid w:val="004A0A3A"/>
    <w:rsid w:val="004C7CF8"/>
    <w:rsid w:val="004E23A0"/>
    <w:rsid w:val="004F20E5"/>
    <w:rsid w:val="004F77C0"/>
    <w:rsid w:val="00504D9F"/>
    <w:rsid w:val="0050656B"/>
    <w:rsid w:val="0051178B"/>
    <w:rsid w:val="005146A6"/>
    <w:rsid w:val="00521AEF"/>
    <w:rsid w:val="00524274"/>
    <w:rsid w:val="00526575"/>
    <w:rsid w:val="00542D1A"/>
    <w:rsid w:val="00563C63"/>
    <w:rsid w:val="00581C08"/>
    <w:rsid w:val="00584D4C"/>
    <w:rsid w:val="00594F51"/>
    <w:rsid w:val="00595B8E"/>
    <w:rsid w:val="005B37C5"/>
    <w:rsid w:val="005C1711"/>
    <w:rsid w:val="005C37D8"/>
    <w:rsid w:val="005C5595"/>
    <w:rsid w:val="005E627A"/>
    <w:rsid w:val="005F4D88"/>
    <w:rsid w:val="006012D5"/>
    <w:rsid w:val="006025C9"/>
    <w:rsid w:val="00611D71"/>
    <w:rsid w:val="00614957"/>
    <w:rsid w:val="006153D9"/>
    <w:rsid w:val="00625661"/>
    <w:rsid w:val="0063542D"/>
    <w:rsid w:val="00636097"/>
    <w:rsid w:val="00642CBC"/>
    <w:rsid w:val="0065548A"/>
    <w:rsid w:val="006718FD"/>
    <w:rsid w:val="00676ADC"/>
    <w:rsid w:val="006C5541"/>
    <w:rsid w:val="006D2BE5"/>
    <w:rsid w:val="006E57DF"/>
    <w:rsid w:val="006F3710"/>
    <w:rsid w:val="006F3DAB"/>
    <w:rsid w:val="006F51ED"/>
    <w:rsid w:val="00703FD9"/>
    <w:rsid w:val="00705556"/>
    <w:rsid w:val="00710E60"/>
    <w:rsid w:val="0071637A"/>
    <w:rsid w:val="007205FA"/>
    <w:rsid w:val="00726806"/>
    <w:rsid w:val="00735235"/>
    <w:rsid w:val="0073544D"/>
    <w:rsid w:val="00750513"/>
    <w:rsid w:val="0076202E"/>
    <w:rsid w:val="00782553"/>
    <w:rsid w:val="00791D9B"/>
    <w:rsid w:val="0079669B"/>
    <w:rsid w:val="007A49A6"/>
    <w:rsid w:val="007B6837"/>
    <w:rsid w:val="007B6C19"/>
    <w:rsid w:val="007C4096"/>
    <w:rsid w:val="007C4273"/>
    <w:rsid w:val="007C4847"/>
    <w:rsid w:val="007C6DB0"/>
    <w:rsid w:val="007D05F0"/>
    <w:rsid w:val="007D2DAB"/>
    <w:rsid w:val="007D44DA"/>
    <w:rsid w:val="007E49A9"/>
    <w:rsid w:val="00801448"/>
    <w:rsid w:val="00802258"/>
    <w:rsid w:val="008118E0"/>
    <w:rsid w:val="00812649"/>
    <w:rsid w:val="008218DB"/>
    <w:rsid w:val="00830F7C"/>
    <w:rsid w:val="00837553"/>
    <w:rsid w:val="00842241"/>
    <w:rsid w:val="00844DE6"/>
    <w:rsid w:val="00854D7D"/>
    <w:rsid w:val="008631A4"/>
    <w:rsid w:val="00864065"/>
    <w:rsid w:val="00864768"/>
    <w:rsid w:val="008668CB"/>
    <w:rsid w:val="0087291F"/>
    <w:rsid w:val="008732D7"/>
    <w:rsid w:val="00873E0D"/>
    <w:rsid w:val="008B2763"/>
    <w:rsid w:val="008B67DB"/>
    <w:rsid w:val="008C3E41"/>
    <w:rsid w:val="008D6735"/>
    <w:rsid w:val="008E1EE0"/>
    <w:rsid w:val="008E3D48"/>
    <w:rsid w:val="008E51B9"/>
    <w:rsid w:val="00901401"/>
    <w:rsid w:val="00903D05"/>
    <w:rsid w:val="009040D9"/>
    <w:rsid w:val="0090789F"/>
    <w:rsid w:val="00910FBD"/>
    <w:rsid w:val="00911346"/>
    <w:rsid w:val="00913CA3"/>
    <w:rsid w:val="00915F3B"/>
    <w:rsid w:val="009256FA"/>
    <w:rsid w:val="00926DDC"/>
    <w:rsid w:val="009315F4"/>
    <w:rsid w:val="009367AA"/>
    <w:rsid w:val="00936B8E"/>
    <w:rsid w:val="00946650"/>
    <w:rsid w:val="00955240"/>
    <w:rsid w:val="0095534F"/>
    <w:rsid w:val="009560DD"/>
    <w:rsid w:val="009865DD"/>
    <w:rsid w:val="00992501"/>
    <w:rsid w:val="009966AA"/>
    <w:rsid w:val="00996F2C"/>
    <w:rsid w:val="009A405C"/>
    <w:rsid w:val="009C06DB"/>
    <w:rsid w:val="009D1A04"/>
    <w:rsid w:val="009D3528"/>
    <w:rsid w:val="009D3D80"/>
    <w:rsid w:val="009E32AE"/>
    <w:rsid w:val="009F690C"/>
    <w:rsid w:val="00A00E37"/>
    <w:rsid w:val="00A014DE"/>
    <w:rsid w:val="00A241AD"/>
    <w:rsid w:val="00A3378A"/>
    <w:rsid w:val="00A3616C"/>
    <w:rsid w:val="00A36490"/>
    <w:rsid w:val="00A40F6B"/>
    <w:rsid w:val="00A60549"/>
    <w:rsid w:val="00A674D2"/>
    <w:rsid w:val="00A700E9"/>
    <w:rsid w:val="00A8265F"/>
    <w:rsid w:val="00A838C9"/>
    <w:rsid w:val="00AA42D1"/>
    <w:rsid w:val="00AB0C34"/>
    <w:rsid w:val="00AB4D89"/>
    <w:rsid w:val="00AC12FC"/>
    <w:rsid w:val="00AD5738"/>
    <w:rsid w:val="00AE3684"/>
    <w:rsid w:val="00AE449C"/>
    <w:rsid w:val="00AF5074"/>
    <w:rsid w:val="00AF53B3"/>
    <w:rsid w:val="00AF6F7B"/>
    <w:rsid w:val="00B1234A"/>
    <w:rsid w:val="00B22277"/>
    <w:rsid w:val="00B3354B"/>
    <w:rsid w:val="00B36860"/>
    <w:rsid w:val="00B45A9E"/>
    <w:rsid w:val="00B5147A"/>
    <w:rsid w:val="00B553E4"/>
    <w:rsid w:val="00B55F56"/>
    <w:rsid w:val="00B65C76"/>
    <w:rsid w:val="00B755E5"/>
    <w:rsid w:val="00B76125"/>
    <w:rsid w:val="00B77489"/>
    <w:rsid w:val="00B8246D"/>
    <w:rsid w:val="00B85268"/>
    <w:rsid w:val="00B967C9"/>
    <w:rsid w:val="00BA33A9"/>
    <w:rsid w:val="00BA7F61"/>
    <w:rsid w:val="00BB0266"/>
    <w:rsid w:val="00BF1B02"/>
    <w:rsid w:val="00C0665A"/>
    <w:rsid w:val="00C13FC5"/>
    <w:rsid w:val="00C20BB5"/>
    <w:rsid w:val="00C227C0"/>
    <w:rsid w:val="00C3097B"/>
    <w:rsid w:val="00C36962"/>
    <w:rsid w:val="00C405A8"/>
    <w:rsid w:val="00C42528"/>
    <w:rsid w:val="00C475E0"/>
    <w:rsid w:val="00C61EA0"/>
    <w:rsid w:val="00C94B6D"/>
    <w:rsid w:val="00C94BF8"/>
    <w:rsid w:val="00C94FC9"/>
    <w:rsid w:val="00C97BFF"/>
    <w:rsid w:val="00CB0C16"/>
    <w:rsid w:val="00CF099A"/>
    <w:rsid w:val="00D04C1E"/>
    <w:rsid w:val="00D10AF5"/>
    <w:rsid w:val="00D1202F"/>
    <w:rsid w:val="00D1386C"/>
    <w:rsid w:val="00D21F0D"/>
    <w:rsid w:val="00D32EFA"/>
    <w:rsid w:val="00D4232D"/>
    <w:rsid w:val="00D44818"/>
    <w:rsid w:val="00D50E0A"/>
    <w:rsid w:val="00D5136F"/>
    <w:rsid w:val="00D557E1"/>
    <w:rsid w:val="00D612AB"/>
    <w:rsid w:val="00D66F06"/>
    <w:rsid w:val="00DA0009"/>
    <w:rsid w:val="00DA015B"/>
    <w:rsid w:val="00DC0BC4"/>
    <w:rsid w:val="00DC1056"/>
    <w:rsid w:val="00DC7C82"/>
    <w:rsid w:val="00DD6773"/>
    <w:rsid w:val="00DD6AC5"/>
    <w:rsid w:val="00DE5259"/>
    <w:rsid w:val="00DF421C"/>
    <w:rsid w:val="00E05177"/>
    <w:rsid w:val="00E05CEE"/>
    <w:rsid w:val="00E13DAA"/>
    <w:rsid w:val="00E170AE"/>
    <w:rsid w:val="00E42598"/>
    <w:rsid w:val="00E44EC0"/>
    <w:rsid w:val="00E62763"/>
    <w:rsid w:val="00E712D9"/>
    <w:rsid w:val="00E83952"/>
    <w:rsid w:val="00E86478"/>
    <w:rsid w:val="00E95AF7"/>
    <w:rsid w:val="00E96968"/>
    <w:rsid w:val="00EA31DD"/>
    <w:rsid w:val="00EA5221"/>
    <w:rsid w:val="00EB78E2"/>
    <w:rsid w:val="00F05013"/>
    <w:rsid w:val="00F11C47"/>
    <w:rsid w:val="00F14C2B"/>
    <w:rsid w:val="00F249B4"/>
    <w:rsid w:val="00F25451"/>
    <w:rsid w:val="00F323CD"/>
    <w:rsid w:val="00F34D7F"/>
    <w:rsid w:val="00F402EF"/>
    <w:rsid w:val="00F56FC5"/>
    <w:rsid w:val="00F6190B"/>
    <w:rsid w:val="00F731B1"/>
    <w:rsid w:val="00F73A13"/>
    <w:rsid w:val="00F92560"/>
    <w:rsid w:val="00FA3547"/>
    <w:rsid w:val="00FA4C21"/>
    <w:rsid w:val="00FA57D4"/>
    <w:rsid w:val="00FB1130"/>
    <w:rsid w:val="00FB3816"/>
    <w:rsid w:val="00FB4137"/>
    <w:rsid w:val="00FC1B84"/>
    <w:rsid w:val="00FC2DB4"/>
    <w:rsid w:val="00FC5C8D"/>
    <w:rsid w:val="00FE1F89"/>
    <w:rsid w:val="00FF758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o:shapelayout v:ext="edit">
      <o:idmap v:ext="edit" data="1"/>
    </o:shapelayout>
  </w:shapeDefaults>
  <w:decimalSymbol w:val="."/>
  <w:listSeparator w:val=","/>
  <w14:docId w14:val="5FB3B449"/>
  <w15:docId w15:val="{57E6AFF7-0D54-457A-8741-0CFB0085B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Angsana New"/>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iPriority="14" w:unhideWhenUsed="1"/>
    <w:lsdException w:name="List Bullet 5" w:semiHidden="1" w:uiPriority="13"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424"/>
    <w:rPr>
      <w:rFonts w:eastAsia="Times New Roman"/>
      <w:sz w:val="24"/>
      <w:szCs w:val="24"/>
      <w:lang w:val="en-GB" w:eastAsia="en-US"/>
    </w:rPr>
  </w:style>
  <w:style w:type="paragraph" w:styleId="Heading1">
    <w:name w:val="heading 1"/>
    <w:basedOn w:val="Normal"/>
    <w:next w:val="Normal"/>
    <w:qFormat/>
    <w:rsid w:val="00D04C1E"/>
    <w:pPr>
      <w:keepNext/>
      <w:jc w:val="center"/>
      <w:outlineLvl w:val="0"/>
    </w:pPr>
    <w:rPr>
      <w:b/>
      <w:sz w:val="20"/>
      <w:szCs w:val="20"/>
      <w:lang w:val="fr-FR"/>
    </w:rPr>
  </w:style>
  <w:style w:type="paragraph" w:styleId="Heading2">
    <w:name w:val="heading 2"/>
    <w:basedOn w:val="Normal"/>
    <w:next w:val="Normal"/>
    <w:qFormat/>
    <w:rsid w:val="00D04C1E"/>
    <w:pPr>
      <w:keepNext/>
      <w:outlineLvl w:val="1"/>
    </w:pPr>
    <w:rPr>
      <w:szCs w:val="20"/>
      <w:lang w:val="fr-FR"/>
    </w:rPr>
  </w:style>
  <w:style w:type="paragraph" w:styleId="Heading3">
    <w:name w:val="heading 3"/>
    <w:basedOn w:val="Normal"/>
    <w:next w:val="Normal"/>
    <w:link w:val="Heading3Char"/>
    <w:semiHidden/>
    <w:unhideWhenUsed/>
    <w:qFormat/>
    <w:rsid w:val="009A405C"/>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qFormat/>
    <w:rsid w:val="00EA31DD"/>
    <w:pPr>
      <w:keepNext/>
      <w:widowControl w:val="0"/>
      <w:spacing w:after="58"/>
      <w:outlineLvl w:val="4"/>
    </w:pPr>
    <w:rPr>
      <w:szCs w:val="20"/>
    </w:rPr>
  </w:style>
  <w:style w:type="paragraph" w:styleId="Heading6">
    <w:name w:val="heading 6"/>
    <w:basedOn w:val="Normal"/>
    <w:next w:val="Normal"/>
    <w:qFormat/>
    <w:rsid w:val="00EA31DD"/>
    <w:pPr>
      <w:keepNext/>
      <w:widowControl w:val="0"/>
      <w:tabs>
        <w:tab w:val="left" w:pos="-1440"/>
      </w:tabs>
      <w:jc w:val="center"/>
      <w:outlineLvl w:val="5"/>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9325E"/>
    <w:pPr>
      <w:autoSpaceDE w:val="0"/>
      <w:autoSpaceDN w:val="0"/>
      <w:spacing w:line="240" w:lineRule="atLeast"/>
    </w:pPr>
    <w:rPr>
      <w:noProof/>
      <w:color w:val="000000"/>
    </w:rPr>
  </w:style>
  <w:style w:type="table" w:styleId="TableGrid">
    <w:name w:val="Table Grid"/>
    <w:basedOn w:val="TableNormal"/>
    <w:rsid w:val="0039325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bullet"/>
    <w:basedOn w:val="Normal"/>
    <w:rsid w:val="0039325E"/>
    <w:pPr>
      <w:spacing w:after="260" w:line="260" w:lineRule="atLeast"/>
      <w:ind w:left="540" w:hanging="360"/>
    </w:pPr>
    <w:rPr>
      <w:rFonts w:ascii="Arial" w:hAnsi="Arial" w:cs="Arial"/>
    </w:rPr>
  </w:style>
  <w:style w:type="paragraph" w:styleId="BalloonText">
    <w:name w:val="Balloon Text"/>
    <w:basedOn w:val="Normal"/>
    <w:semiHidden/>
    <w:rsid w:val="007D2DAB"/>
    <w:rPr>
      <w:rFonts w:ascii="Tahoma" w:hAnsi="Tahoma"/>
      <w:sz w:val="16"/>
      <w:szCs w:val="16"/>
    </w:rPr>
  </w:style>
  <w:style w:type="paragraph" w:styleId="BodyText2">
    <w:name w:val="Body Text 2"/>
    <w:basedOn w:val="Normal"/>
    <w:rsid w:val="00521AEF"/>
    <w:pPr>
      <w:spacing w:after="120" w:line="480" w:lineRule="auto"/>
    </w:pPr>
  </w:style>
  <w:style w:type="paragraph" w:styleId="BodyText3">
    <w:name w:val="Body Text 3"/>
    <w:basedOn w:val="Normal"/>
    <w:rsid w:val="00521AEF"/>
    <w:pPr>
      <w:spacing w:after="120"/>
    </w:pPr>
    <w:rPr>
      <w:sz w:val="16"/>
      <w:szCs w:val="16"/>
    </w:rPr>
  </w:style>
  <w:style w:type="paragraph" w:styleId="BodyTextIndent">
    <w:name w:val="Body Text Indent"/>
    <w:basedOn w:val="Normal"/>
    <w:rsid w:val="00521AEF"/>
    <w:pPr>
      <w:spacing w:after="120"/>
      <w:ind w:left="283"/>
    </w:pPr>
  </w:style>
  <w:style w:type="paragraph" w:styleId="BodyTextIndent2">
    <w:name w:val="Body Text Indent 2"/>
    <w:basedOn w:val="Normal"/>
    <w:rsid w:val="00521AEF"/>
    <w:pPr>
      <w:spacing w:after="120" w:line="480" w:lineRule="auto"/>
      <w:ind w:left="283"/>
    </w:pPr>
  </w:style>
  <w:style w:type="paragraph" w:styleId="Header">
    <w:name w:val="header"/>
    <w:basedOn w:val="Normal"/>
    <w:rsid w:val="00D04C1E"/>
    <w:pPr>
      <w:tabs>
        <w:tab w:val="center" w:pos="4536"/>
        <w:tab w:val="right" w:pos="9072"/>
      </w:tabs>
    </w:pPr>
    <w:rPr>
      <w:sz w:val="20"/>
      <w:szCs w:val="20"/>
      <w:lang w:val="fr-FR"/>
    </w:rPr>
  </w:style>
  <w:style w:type="paragraph" w:styleId="FootnoteText">
    <w:name w:val="footnote text"/>
    <w:basedOn w:val="Normal"/>
    <w:link w:val="FootnoteTextChar"/>
    <w:semiHidden/>
    <w:rsid w:val="008D6735"/>
    <w:rPr>
      <w:sz w:val="20"/>
      <w:szCs w:val="20"/>
    </w:rPr>
  </w:style>
  <w:style w:type="character" w:styleId="FootnoteReference">
    <w:name w:val="footnote reference"/>
    <w:basedOn w:val="DefaultParagraphFont"/>
    <w:semiHidden/>
    <w:rsid w:val="008D6735"/>
    <w:rPr>
      <w:vertAlign w:val="superscript"/>
    </w:rPr>
  </w:style>
  <w:style w:type="paragraph" w:styleId="Footer">
    <w:name w:val="footer"/>
    <w:basedOn w:val="Normal"/>
    <w:link w:val="FooterChar"/>
    <w:uiPriority w:val="99"/>
    <w:rsid w:val="001D3E5E"/>
    <w:pPr>
      <w:tabs>
        <w:tab w:val="center" w:pos="4320"/>
        <w:tab w:val="right" w:pos="8640"/>
      </w:tabs>
    </w:pPr>
  </w:style>
  <w:style w:type="character" w:styleId="PageNumber">
    <w:name w:val="page number"/>
    <w:basedOn w:val="DefaultParagraphFont"/>
    <w:rsid w:val="001D3E5E"/>
  </w:style>
  <w:style w:type="paragraph" w:customStyle="1" w:styleId="roundbullet">
    <w:name w:val="round bullet"/>
    <w:rsid w:val="00CB0C16"/>
    <w:pPr>
      <w:tabs>
        <w:tab w:val="left" w:pos="288"/>
      </w:tabs>
      <w:spacing w:line="240" w:lineRule="atLeast"/>
      <w:ind w:left="288" w:hanging="288"/>
    </w:pPr>
    <w:rPr>
      <w:rFonts w:eastAsia="Times New Roman"/>
      <w:color w:val="000000"/>
      <w:sz w:val="24"/>
      <w:lang w:val="en-US" w:eastAsia="en-US"/>
    </w:rPr>
  </w:style>
  <w:style w:type="paragraph" w:customStyle="1" w:styleId="Bullet">
    <w:name w:val="Bullet *"/>
    <w:rsid w:val="00CB0C16"/>
    <w:pPr>
      <w:numPr>
        <w:numId w:val="35"/>
      </w:numPr>
      <w:tabs>
        <w:tab w:val="right" w:pos="504"/>
      </w:tabs>
      <w:autoSpaceDE w:val="0"/>
      <w:autoSpaceDN w:val="0"/>
      <w:spacing w:line="240" w:lineRule="atLeast"/>
      <w:ind w:left="504" w:hanging="360"/>
    </w:pPr>
    <w:rPr>
      <w:rFonts w:eastAsia="Times New Roman"/>
      <w:color w:val="000000"/>
      <w:sz w:val="24"/>
      <w:szCs w:val="24"/>
      <w:lang w:val="en-US" w:eastAsia="en-US"/>
    </w:rPr>
  </w:style>
  <w:style w:type="character" w:styleId="CommentReference">
    <w:name w:val="annotation reference"/>
    <w:basedOn w:val="DefaultParagraphFont"/>
    <w:semiHidden/>
    <w:rsid w:val="00C0665A"/>
    <w:rPr>
      <w:sz w:val="16"/>
      <w:szCs w:val="16"/>
    </w:rPr>
  </w:style>
  <w:style w:type="paragraph" w:styleId="CommentText">
    <w:name w:val="annotation text"/>
    <w:basedOn w:val="Normal"/>
    <w:semiHidden/>
    <w:rsid w:val="00C0665A"/>
    <w:rPr>
      <w:sz w:val="20"/>
      <w:szCs w:val="20"/>
    </w:rPr>
  </w:style>
  <w:style w:type="paragraph" w:styleId="CommentSubject">
    <w:name w:val="annotation subject"/>
    <w:basedOn w:val="CommentText"/>
    <w:next w:val="CommentText"/>
    <w:semiHidden/>
    <w:rsid w:val="00C0665A"/>
    <w:rPr>
      <w:b/>
      <w:bCs/>
    </w:rPr>
  </w:style>
  <w:style w:type="character" w:styleId="Hyperlink">
    <w:name w:val="Hyperlink"/>
    <w:basedOn w:val="DefaultParagraphFont"/>
    <w:uiPriority w:val="99"/>
    <w:rsid w:val="00227ACE"/>
    <w:rPr>
      <w:color w:val="333399"/>
      <w:u w:val="single"/>
    </w:rPr>
  </w:style>
  <w:style w:type="character" w:customStyle="1" w:styleId="FooterChar">
    <w:name w:val="Footer Char"/>
    <w:basedOn w:val="DefaultParagraphFont"/>
    <w:link w:val="Footer"/>
    <w:uiPriority w:val="99"/>
    <w:rsid w:val="00181909"/>
    <w:rPr>
      <w:rFonts w:eastAsia="Times New Roman"/>
      <w:sz w:val="24"/>
      <w:szCs w:val="24"/>
      <w:lang w:val="en-GB" w:eastAsia="en-US"/>
    </w:rPr>
  </w:style>
  <w:style w:type="numbering" w:customStyle="1" w:styleId="Style1">
    <w:name w:val="Style1"/>
    <w:uiPriority w:val="99"/>
    <w:rsid w:val="0006522E"/>
    <w:pPr>
      <w:numPr>
        <w:numId w:val="44"/>
      </w:numPr>
    </w:pPr>
  </w:style>
  <w:style w:type="paragraph" w:customStyle="1" w:styleId="TableBulletArial">
    <w:name w:val="Table Bullet_Arial"/>
    <w:basedOn w:val="Normal"/>
    <w:uiPriority w:val="99"/>
    <w:qFormat/>
    <w:rsid w:val="0006522E"/>
    <w:pPr>
      <w:numPr>
        <w:numId w:val="45"/>
      </w:numPr>
      <w:spacing w:before="60" w:after="60"/>
    </w:pPr>
    <w:rPr>
      <w:rFonts w:ascii="Arial" w:hAnsi="Arial" w:cs="Arial"/>
      <w:color w:val="000000" w:themeColor="text1"/>
      <w:sz w:val="20"/>
      <w:szCs w:val="21"/>
      <w:lang w:val="en-US"/>
    </w:rPr>
  </w:style>
  <w:style w:type="paragraph" w:customStyle="1" w:styleId="TableTitleArial">
    <w:name w:val="Table Title_Arial"/>
    <w:basedOn w:val="BodyText2"/>
    <w:uiPriority w:val="99"/>
    <w:qFormat/>
    <w:rsid w:val="0006522E"/>
    <w:pPr>
      <w:spacing w:before="60" w:after="60" w:line="240" w:lineRule="auto"/>
    </w:pPr>
    <w:rPr>
      <w:rFonts w:ascii="Arial" w:eastAsiaTheme="minorHAnsi" w:hAnsi="Arial" w:cstheme="minorBidi"/>
      <w:sz w:val="20"/>
      <w:szCs w:val="20"/>
    </w:rPr>
  </w:style>
  <w:style w:type="paragraph" w:customStyle="1" w:styleId="TableTextArial">
    <w:name w:val="Table Text_Arial"/>
    <w:basedOn w:val="BodyText2"/>
    <w:uiPriority w:val="99"/>
    <w:qFormat/>
    <w:rsid w:val="0006522E"/>
    <w:pPr>
      <w:spacing w:before="60" w:after="60" w:line="240" w:lineRule="auto"/>
    </w:pPr>
    <w:rPr>
      <w:rFonts w:ascii="Arial" w:eastAsiaTheme="minorHAnsi" w:hAnsi="Arial" w:cs="Arial"/>
      <w:sz w:val="20"/>
      <w:szCs w:val="20"/>
    </w:rPr>
  </w:style>
  <w:style w:type="paragraph" w:styleId="ListBullet">
    <w:name w:val="List Bullet"/>
    <w:basedOn w:val="Normal"/>
    <w:uiPriority w:val="13"/>
    <w:unhideWhenUsed/>
    <w:qFormat/>
    <w:rsid w:val="00B65C76"/>
    <w:pPr>
      <w:numPr>
        <w:numId w:val="48"/>
      </w:numPr>
      <w:tabs>
        <w:tab w:val="clear" w:pos="360"/>
      </w:tabs>
      <w:spacing w:after="180" w:line="260" w:lineRule="atLeast"/>
    </w:pPr>
    <w:rPr>
      <w:rFonts w:asciiTheme="minorHAnsi" w:eastAsiaTheme="minorHAnsi" w:hAnsiTheme="minorHAnsi" w:cstheme="minorHAnsi"/>
      <w:sz w:val="20"/>
      <w:szCs w:val="20"/>
    </w:rPr>
  </w:style>
  <w:style w:type="numbering" w:customStyle="1" w:styleId="PwCListBullets1">
    <w:name w:val="PwC List Bullets 1"/>
    <w:uiPriority w:val="99"/>
    <w:rsid w:val="00B65C76"/>
    <w:pPr>
      <w:numPr>
        <w:numId w:val="46"/>
      </w:numPr>
    </w:pPr>
  </w:style>
  <w:style w:type="paragraph" w:styleId="ListBullet4">
    <w:name w:val="List Bullet 4"/>
    <w:basedOn w:val="Normal"/>
    <w:uiPriority w:val="14"/>
    <w:unhideWhenUsed/>
    <w:rsid w:val="00B65C76"/>
    <w:pPr>
      <w:numPr>
        <w:ilvl w:val="3"/>
        <w:numId w:val="47"/>
      </w:numPr>
      <w:spacing w:after="180" w:line="260" w:lineRule="atLeast"/>
      <w:ind w:left="1440" w:hanging="360"/>
    </w:pPr>
    <w:rPr>
      <w:rFonts w:ascii="Georgia" w:eastAsiaTheme="minorHAnsi" w:hAnsi="Georgia" w:cstheme="minorBidi"/>
      <w:sz w:val="20"/>
      <w:szCs w:val="20"/>
    </w:rPr>
  </w:style>
  <w:style w:type="paragraph" w:styleId="ListBullet5">
    <w:name w:val="List Bullet 5"/>
    <w:basedOn w:val="Normal"/>
    <w:uiPriority w:val="13"/>
    <w:unhideWhenUsed/>
    <w:rsid w:val="00B65C76"/>
    <w:pPr>
      <w:numPr>
        <w:ilvl w:val="4"/>
        <w:numId w:val="47"/>
      </w:numPr>
      <w:spacing w:after="180" w:line="260" w:lineRule="atLeast"/>
      <w:ind w:left="1800" w:hanging="360"/>
    </w:pPr>
    <w:rPr>
      <w:rFonts w:ascii="Georgia" w:eastAsiaTheme="minorHAnsi" w:hAnsi="Georgia" w:cstheme="minorBidi"/>
      <w:sz w:val="20"/>
      <w:szCs w:val="20"/>
    </w:rPr>
  </w:style>
  <w:style w:type="paragraph" w:styleId="ListBullet2">
    <w:name w:val="List Bullet 2"/>
    <w:basedOn w:val="Normal"/>
    <w:semiHidden/>
    <w:unhideWhenUsed/>
    <w:rsid w:val="006D2BE5"/>
    <w:pPr>
      <w:numPr>
        <w:numId w:val="49"/>
      </w:numPr>
      <w:contextualSpacing/>
    </w:pPr>
  </w:style>
  <w:style w:type="character" w:customStyle="1" w:styleId="FootnoteTextChar">
    <w:name w:val="Footnote Text Char"/>
    <w:basedOn w:val="DefaultParagraphFont"/>
    <w:link w:val="FootnoteText"/>
    <w:semiHidden/>
    <w:rsid w:val="006D2BE5"/>
    <w:rPr>
      <w:rFonts w:eastAsia="Times New Roman"/>
      <w:lang w:val="en-GB" w:eastAsia="en-US"/>
    </w:rPr>
  </w:style>
  <w:style w:type="character" w:customStyle="1" w:styleId="highlight1">
    <w:name w:val="highlight1"/>
    <w:basedOn w:val="DefaultParagraphFont"/>
    <w:rsid w:val="00F73A13"/>
    <w:rPr>
      <w:bdr w:val="single" w:sz="6" w:space="4" w:color="003300" w:frame="1"/>
      <w:shd w:val="clear" w:color="auto" w:fill="99FF99"/>
    </w:rPr>
  </w:style>
  <w:style w:type="character" w:customStyle="1" w:styleId="BodyTextChar">
    <w:name w:val="Body Text Char"/>
    <w:basedOn w:val="DefaultParagraphFont"/>
    <w:link w:val="BodyText"/>
    <w:rsid w:val="00010554"/>
    <w:rPr>
      <w:rFonts w:eastAsia="Times New Roman"/>
      <w:noProof/>
      <w:color w:val="000000"/>
      <w:sz w:val="24"/>
      <w:szCs w:val="24"/>
      <w:lang w:val="en-GB" w:eastAsia="en-US"/>
    </w:rPr>
  </w:style>
  <w:style w:type="paragraph" w:customStyle="1" w:styleId="Style2">
    <w:name w:val="Style2"/>
    <w:basedOn w:val="Normal"/>
    <w:link w:val="Style2Car"/>
    <w:qFormat/>
    <w:rsid w:val="009315F4"/>
    <w:rPr>
      <w:rFonts w:ascii="Georgia" w:hAnsi="Georgia"/>
      <w:b/>
      <w:i/>
      <w:sz w:val="56"/>
      <w:szCs w:val="56"/>
    </w:rPr>
  </w:style>
  <w:style w:type="paragraph" w:styleId="TOCHeading">
    <w:name w:val="TOC Heading"/>
    <w:basedOn w:val="Heading1"/>
    <w:next w:val="Normal"/>
    <w:uiPriority w:val="39"/>
    <w:unhideWhenUsed/>
    <w:qFormat/>
    <w:rsid w:val="00FA57D4"/>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lang w:val="fr-CA" w:eastAsia="fr-CA"/>
    </w:rPr>
  </w:style>
  <w:style w:type="character" w:customStyle="1" w:styleId="Style2Car">
    <w:name w:val="Style2 Car"/>
    <w:basedOn w:val="DefaultParagraphFont"/>
    <w:link w:val="Style2"/>
    <w:rsid w:val="009315F4"/>
    <w:rPr>
      <w:rFonts w:ascii="Georgia" w:eastAsia="Times New Roman" w:hAnsi="Georgia"/>
      <w:b/>
      <w:i/>
      <w:sz w:val="56"/>
      <w:szCs w:val="56"/>
      <w:lang w:val="en-GB" w:eastAsia="en-US"/>
    </w:rPr>
  </w:style>
  <w:style w:type="paragraph" w:styleId="TOC1">
    <w:name w:val="toc 1"/>
    <w:basedOn w:val="Normal"/>
    <w:next w:val="Normal"/>
    <w:autoRedefine/>
    <w:uiPriority w:val="39"/>
    <w:unhideWhenUsed/>
    <w:rsid w:val="00FA57D4"/>
    <w:pPr>
      <w:spacing w:after="100"/>
    </w:pPr>
    <w:rPr>
      <w:i/>
    </w:rPr>
  </w:style>
  <w:style w:type="paragraph" w:customStyle="1" w:styleId="TableSecondLevelArial">
    <w:name w:val="Table Second Level_Arial"/>
    <w:basedOn w:val="Normal"/>
    <w:uiPriority w:val="99"/>
    <w:qFormat/>
    <w:rsid w:val="007D44DA"/>
    <w:pPr>
      <w:spacing w:before="60" w:after="60"/>
    </w:pPr>
    <w:rPr>
      <w:rFonts w:ascii="Arial" w:eastAsiaTheme="minorHAnsi" w:hAnsi="Arial" w:cs="Arial"/>
      <w:color w:val="1F497D" w:themeColor="text2"/>
      <w:sz w:val="20"/>
      <w:szCs w:val="20"/>
    </w:rPr>
  </w:style>
  <w:style w:type="character" w:customStyle="1" w:styleId="Heading3Char">
    <w:name w:val="Heading 3 Char"/>
    <w:basedOn w:val="DefaultParagraphFont"/>
    <w:link w:val="Heading3"/>
    <w:semiHidden/>
    <w:rsid w:val="009A405C"/>
    <w:rPr>
      <w:rFonts w:asciiTheme="majorHAnsi" w:eastAsiaTheme="majorEastAsia" w:hAnsiTheme="majorHAnsi" w:cstheme="majorBidi"/>
      <w:color w:val="243F60" w:themeColor="accent1" w:themeShade="7F"/>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B1869055AC346F885521D922D026234"/>
        <w:category>
          <w:name w:val="General"/>
          <w:gallery w:val="placeholder"/>
        </w:category>
        <w:types>
          <w:type w:val="bbPlcHdr"/>
        </w:types>
        <w:behaviors>
          <w:behavior w:val="content"/>
        </w:behaviors>
        <w:guid w:val="{0B5B9DE7-EF29-4F72-B4FA-DBFB6BB29D96}"/>
      </w:docPartPr>
      <w:docPartBody>
        <w:p w:rsidR="00DB5971" w:rsidRDefault="00DE2B73" w:rsidP="00DE2B73">
          <w:pPr>
            <w:pStyle w:val="3B1869055AC346F885521D922D026234"/>
          </w:pPr>
          <w:r w:rsidRPr="00790F4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969"/>
    <w:rsid w:val="00005969"/>
    <w:rsid w:val="00094A1E"/>
    <w:rsid w:val="00C76E81"/>
    <w:rsid w:val="00DB5971"/>
    <w:rsid w:val="00DE2B73"/>
    <w:rsid w:val="00ED06D2"/>
    <w:rsid w:val="00FD14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2B73"/>
    <w:rPr>
      <w:color w:val="808080"/>
    </w:rPr>
  </w:style>
  <w:style w:type="paragraph" w:customStyle="1" w:styleId="BF63E2258F594ECBB598419B36CBF81D">
    <w:name w:val="BF63E2258F594ECBB598419B36CBF81D"/>
    <w:rsid w:val="00005969"/>
  </w:style>
  <w:style w:type="paragraph" w:customStyle="1" w:styleId="171B16D4A4B342528298F398697D35A7">
    <w:name w:val="171B16D4A4B342528298F398697D35A7"/>
    <w:rsid w:val="00ED06D2"/>
  </w:style>
  <w:style w:type="paragraph" w:customStyle="1" w:styleId="3B1869055AC346F885521D922D026234">
    <w:name w:val="3B1869055AC346F885521D922D026234"/>
    <w:rsid w:val="00DE2B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6B866-BB02-4366-8FA1-12A68EC69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2944</Words>
  <Characters>18293</Characters>
  <Application>Microsoft Office Word</Application>
  <DocSecurity>0</DocSecurity>
  <Lines>152</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Specified Procedures Memorandum of Understanding for a Shared Service Centre Audit</vt:lpstr>
      <vt:lpstr>Specified Procedures Memorandum of Understanding for a Shared Service Centre Audit</vt:lpstr>
    </vt:vector>
  </TitlesOfParts>
  <Company>OAG-BVG</Company>
  <LinksUpToDate>false</LinksUpToDate>
  <CharactersWithSpaces>21195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Specified Procedures Memorandum of Understanding for a Shared Service Centre Audit</dc:title>
  <dc:subject>Specified Procedures Memorandum of Understanding for a Shared Service Centre Audit</dc:subject>
  <dc:creator>OAG-BVG</dc:creator>
  <cp:lastModifiedBy>Martin, Anne-Marie</cp:lastModifiedBy>
  <cp:revision>3</cp:revision>
  <cp:lastPrinted>2006-06-08T18:42:00Z</cp:lastPrinted>
  <dcterms:created xsi:type="dcterms:W3CDTF">2023-05-26T18:20:00Z</dcterms:created>
  <dcterms:modified xsi:type="dcterms:W3CDTF">2023-05-26T18:22:00Z</dcterms:modified>
  <cp:category>Templates</cp:category>
  <cp:contentStatus>15669</cp:contentStatus>
</cp:coreProperties>
</file>