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9F" w:rsidRDefault="00923D9F" w:rsidP="00923D9F">
      <w:pPr>
        <w:spacing w:after="120"/>
        <w:jc w:val="center"/>
        <w:rPr>
          <w:b/>
        </w:rPr>
      </w:pPr>
      <w:r>
        <w:rPr>
          <w:b/>
        </w:rPr>
        <w:t xml:space="preserve">OFFICE OF THE </w:t>
      </w:r>
      <w:bookmarkStart w:id="0" w:name="_GoBack"/>
      <w:r>
        <w:rPr>
          <w:b/>
        </w:rPr>
        <w:t>A</w:t>
      </w:r>
      <w:bookmarkEnd w:id="0"/>
      <w:r>
        <w:rPr>
          <w:b/>
        </w:rPr>
        <w:t>UDITOR GENERAL OF CANADA</w:t>
      </w:r>
      <w:r>
        <w:rPr>
          <w:b/>
        </w:rPr>
        <w:fldChar w:fldCharType="begin"/>
      </w:r>
      <w:r>
        <w:rPr>
          <w:b/>
        </w:rPr>
        <w:fldChar w:fldCharType="end"/>
      </w:r>
    </w:p>
    <w:p w:rsidR="00923D9F" w:rsidRDefault="006A5186" w:rsidP="00923D9F">
      <w:pPr>
        <w:pStyle w:val="Heading6"/>
        <w:jc w:val="center"/>
      </w:pPr>
      <w:r>
        <w:t xml:space="preserve">NATURE AND </w:t>
      </w:r>
      <w:r w:rsidR="00923D9F">
        <w:t>SIGNIFICANCE CONSIDERATIONS OF NON-COMPLIANCE ISSUE</w:t>
      </w:r>
    </w:p>
    <w:p w:rsidR="00923D9F" w:rsidRPr="00923D9F" w:rsidRDefault="00923D9F" w:rsidP="00923D9F"/>
    <w:p w:rsidR="00923D9F" w:rsidRDefault="00923D9F" w:rsidP="00923D9F"/>
    <w:p w:rsidR="00923D9F" w:rsidRDefault="00923D9F" w:rsidP="00923D9F">
      <w:pPr>
        <w:spacing w:after="120"/>
        <w:rPr>
          <w:u w:val="single"/>
        </w:rPr>
      </w:pPr>
      <w:r>
        <w:rPr>
          <w:b/>
        </w:rPr>
        <w:t>ENTITY</w:t>
      </w:r>
      <w:r>
        <w:tab/>
      </w:r>
      <w:r w:rsidR="008815A3">
        <w:t xml:space="preserve">:  </w:t>
      </w:r>
      <w:r>
        <w:rPr>
          <w:u w:val="single"/>
        </w:rPr>
        <w:tab/>
      </w:r>
      <w:r>
        <w:rPr>
          <w:u w:val="single"/>
        </w:rPr>
        <w:tab/>
      </w:r>
      <w:r>
        <w:rPr>
          <w:u w:val="single"/>
        </w:rPr>
        <w:tab/>
      </w:r>
      <w:r>
        <w:rPr>
          <w:u w:val="single"/>
        </w:rPr>
        <w:tab/>
      </w:r>
      <w:r>
        <w:rPr>
          <w:u w:val="single"/>
        </w:rPr>
        <w:tab/>
      </w:r>
    </w:p>
    <w:p w:rsidR="00923D9F" w:rsidRDefault="00923D9F" w:rsidP="00923D9F"/>
    <w:p w:rsidR="00923D9F" w:rsidRPr="008815A3" w:rsidRDefault="00923D9F" w:rsidP="00923D9F">
      <w:pPr>
        <w:spacing w:after="120"/>
      </w:pPr>
      <w:r w:rsidRPr="008815A3">
        <w:rPr>
          <w:b/>
        </w:rPr>
        <w:t>Year-end</w:t>
      </w:r>
      <w:r w:rsidR="008815A3">
        <w:t xml:space="preserve">:  </w:t>
      </w:r>
      <w:r w:rsidR="008815A3">
        <w:rPr>
          <w:u w:val="single"/>
        </w:rPr>
        <w:tab/>
      </w:r>
      <w:r w:rsidR="008815A3">
        <w:rPr>
          <w:u w:val="single"/>
        </w:rPr>
        <w:tab/>
      </w:r>
      <w:r w:rsidR="008815A3">
        <w:rPr>
          <w:u w:val="single"/>
        </w:rPr>
        <w:tab/>
      </w:r>
      <w:r w:rsidR="008815A3">
        <w:rPr>
          <w:u w:val="single"/>
        </w:rPr>
        <w:tab/>
      </w:r>
      <w:r w:rsidR="008815A3">
        <w:rPr>
          <w:u w:val="single"/>
        </w:rPr>
        <w:tab/>
      </w:r>
    </w:p>
    <w:p w:rsidR="00907CA1" w:rsidRDefault="00907CA1" w:rsidP="00923D9F">
      <w:pPr>
        <w:spacing w:after="120"/>
      </w:pPr>
    </w:p>
    <w:p w:rsidR="003C0A85" w:rsidRPr="008D25E2" w:rsidRDefault="003C0A85" w:rsidP="004374D6">
      <w:pPr>
        <w:spacing w:after="240"/>
        <w:rPr>
          <w:i/>
        </w:rPr>
      </w:pPr>
      <w:r w:rsidRPr="008D25E2">
        <w:rPr>
          <w:i/>
        </w:rPr>
        <w:t>The selection of the appropriate reporting mechanism requires the exercise of judgment.  The factors set out below are intended to assist in the exercise of judgment.  While all factors must be considered, in the circumstances any one may be sufficient to indicate external reporting.  All reporting decisions related to compliance deviations should be noted in the Report Clearance</w:t>
      </w:r>
      <w:r w:rsidR="004374D6" w:rsidRPr="008D25E2">
        <w:rPr>
          <w:i/>
        </w:rPr>
        <w:t xml:space="preserve"> Summary</w:t>
      </w:r>
      <w:r w:rsidRPr="008D25E2">
        <w:rPr>
          <w:i/>
        </w:rPr>
        <w:t>.</w:t>
      </w:r>
    </w:p>
    <w:p w:rsidR="002824CC" w:rsidRPr="008D25E2" w:rsidRDefault="002824CC" w:rsidP="002824CC">
      <w:pPr>
        <w:numPr>
          <w:ilvl w:val="0"/>
          <w:numId w:val="21"/>
        </w:numPr>
        <w:spacing w:after="120"/>
        <w:ind w:left="284" w:hanging="284"/>
      </w:pPr>
      <w:r w:rsidRPr="008D25E2">
        <w:t xml:space="preserve">Assess </w:t>
      </w:r>
      <w:r w:rsidR="00A76807" w:rsidRPr="008D25E2">
        <w:t>each of</w:t>
      </w:r>
      <w:r w:rsidRPr="008D25E2">
        <w:t xml:space="preserve"> the following factors and document</w:t>
      </w:r>
      <w:r w:rsidR="008D25E2" w:rsidRPr="008D25E2">
        <w:t>,</w:t>
      </w:r>
      <w:r w:rsidRPr="008D25E2">
        <w:t xml:space="preserve"> </w:t>
      </w:r>
      <w:r w:rsidR="008D25E2" w:rsidRPr="008D25E2">
        <w:t xml:space="preserve">in the appropriate column, </w:t>
      </w:r>
      <w:r w:rsidRPr="008D25E2">
        <w:t xml:space="preserve">the facts related to the </w:t>
      </w:r>
      <w:proofErr w:type="spellStart"/>
      <w:r w:rsidR="008D25E2" w:rsidRPr="008D25E2">
        <w:t>non compliance</w:t>
      </w:r>
      <w:proofErr w:type="spellEnd"/>
      <w:r w:rsidR="008D25E2" w:rsidRPr="008D25E2">
        <w:t xml:space="preserve"> issue.</w:t>
      </w:r>
    </w:p>
    <w:p w:rsidR="002824CC" w:rsidRPr="008D25E2" w:rsidRDefault="002824CC" w:rsidP="00A76807">
      <w:pPr>
        <w:numPr>
          <w:ilvl w:val="0"/>
          <w:numId w:val="21"/>
        </w:numPr>
        <w:spacing w:after="120"/>
        <w:ind w:left="284" w:hanging="284"/>
      </w:pPr>
      <w:r w:rsidRPr="008D25E2">
        <w:t xml:space="preserve">Conclude on the </w:t>
      </w:r>
      <w:r w:rsidR="008D25E2" w:rsidRPr="008D25E2">
        <w:t xml:space="preserve">selected </w:t>
      </w:r>
      <w:r w:rsidRPr="008D25E2">
        <w:t>reporting mechanism</w:t>
      </w:r>
      <w:r w:rsidR="00A76807" w:rsidRPr="008D25E2">
        <w:t>.</w:t>
      </w:r>
    </w:p>
    <w:p w:rsidR="00A76807" w:rsidRPr="008D25E2" w:rsidRDefault="00A76807" w:rsidP="002824CC">
      <w:pPr>
        <w:numPr>
          <w:ilvl w:val="0"/>
          <w:numId w:val="21"/>
        </w:numPr>
        <w:spacing w:after="240"/>
        <w:ind w:left="284" w:hanging="284"/>
      </w:pPr>
      <w:r w:rsidRPr="008D25E2">
        <w:t>Note your decision and the rationale in the Report Clearance Summary.</w:t>
      </w:r>
    </w:p>
    <w:tbl>
      <w:tblPr>
        <w:tblW w:w="9360" w:type="dxa"/>
        <w:tblInd w:w="67" w:type="dxa"/>
        <w:tblLayout w:type="fixed"/>
        <w:tblCellMar>
          <w:left w:w="360" w:type="dxa"/>
          <w:right w:w="360" w:type="dxa"/>
        </w:tblCellMar>
        <w:tblLook w:val="0000" w:firstRow="0" w:lastRow="0" w:firstColumn="0" w:lastColumn="0" w:noHBand="0" w:noVBand="0"/>
      </w:tblPr>
      <w:tblGrid>
        <w:gridCol w:w="2520"/>
        <w:gridCol w:w="3420"/>
        <w:gridCol w:w="3420"/>
      </w:tblGrid>
      <w:tr w:rsidR="003C0A85" w:rsidTr="00522CB5">
        <w:trPr>
          <w:cantSplit/>
          <w:tblHeader/>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spacing w:before="120" w:after="120"/>
              <w:jc w:val="center"/>
              <w:rPr>
                <w:sz w:val="18"/>
              </w:rPr>
            </w:pPr>
            <w:r>
              <w:rPr>
                <w:sz w:val="18"/>
              </w:rPr>
              <w:t>Consideration</w:t>
            </w:r>
          </w:p>
        </w:tc>
        <w:tc>
          <w:tcPr>
            <w:tcW w:w="3420" w:type="dxa"/>
            <w:tcBorders>
              <w:top w:val="double" w:sz="6" w:space="0" w:color="auto"/>
              <w:right w:val="double" w:sz="6" w:space="0" w:color="auto"/>
            </w:tcBorders>
            <w:shd w:val="pct20" w:color="auto" w:fill="auto"/>
          </w:tcPr>
          <w:p w:rsidR="004374D6" w:rsidRDefault="003C0A85" w:rsidP="004374D6">
            <w:pPr>
              <w:spacing w:before="120"/>
              <w:rPr>
                <w:sz w:val="18"/>
              </w:rPr>
            </w:pPr>
            <w:r>
              <w:rPr>
                <w:sz w:val="18"/>
              </w:rPr>
              <w:t xml:space="preserve">Factors Tending to Suggest Internal Reporting </w:t>
            </w:r>
          </w:p>
          <w:p w:rsidR="003C0A85" w:rsidRDefault="003C0A85">
            <w:pPr>
              <w:spacing w:before="120" w:after="120"/>
              <w:rPr>
                <w:sz w:val="18"/>
              </w:rPr>
            </w:pPr>
            <w:r>
              <w:rPr>
                <w:sz w:val="18"/>
              </w:rPr>
              <w:t>(Management Letter or Report to the Audit Committee)</w:t>
            </w:r>
          </w:p>
        </w:tc>
        <w:tc>
          <w:tcPr>
            <w:tcW w:w="3420" w:type="dxa"/>
            <w:tcBorders>
              <w:top w:val="double" w:sz="6" w:space="0" w:color="auto"/>
              <w:right w:val="double" w:sz="6" w:space="0" w:color="auto"/>
            </w:tcBorders>
            <w:shd w:val="pct20" w:color="auto" w:fill="auto"/>
          </w:tcPr>
          <w:p w:rsidR="004374D6" w:rsidRDefault="003C0A85" w:rsidP="004374D6">
            <w:pPr>
              <w:spacing w:before="120"/>
              <w:rPr>
                <w:sz w:val="18"/>
              </w:rPr>
            </w:pPr>
            <w:r>
              <w:rPr>
                <w:sz w:val="18"/>
              </w:rPr>
              <w:t xml:space="preserve">Factors Tending to Suggest External Reporting </w:t>
            </w:r>
          </w:p>
          <w:p w:rsidR="003C0A85" w:rsidRDefault="003C0A85">
            <w:pPr>
              <w:spacing w:before="120" w:after="120"/>
              <w:rPr>
                <w:sz w:val="18"/>
              </w:rPr>
            </w:pPr>
            <w:r>
              <w:rPr>
                <w:sz w:val="18"/>
              </w:rPr>
              <w:t>(Auditor’s Report or Other Audit Observations)</w:t>
            </w:r>
          </w:p>
        </w:tc>
      </w:tr>
      <w:tr w:rsidR="003C0A85" w:rsidTr="00522CB5">
        <w:trPr>
          <w:trHeight w:val="510"/>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Dollar Materiality of Transaction(s)</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Significantly less than materiality level set for entity</w:t>
            </w:r>
          </w:p>
        </w:tc>
        <w:tc>
          <w:tcPr>
            <w:tcW w:w="3420" w:type="dxa"/>
            <w:tcBorders>
              <w:top w:val="double" w:sz="6" w:space="0" w:color="auto"/>
              <w:right w:val="double" w:sz="6" w:space="0" w:color="auto"/>
            </w:tcBorders>
            <w:vAlign w:val="center"/>
          </w:tcPr>
          <w:p w:rsidR="003C0A85" w:rsidRDefault="003C0A85" w:rsidP="004374D6">
            <w:pPr>
              <w:spacing w:after="120"/>
              <w:rPr>
                <w:sz w:val="18"/>
              </w:rPr>
            </w:pPr>
            <w:r>
              <w:rPr>
                <w:sz w:val="18"/>
              </w:rPr>
              <w:t>Greater than materiality</w:t>
            </w:r>
          </w:p>
        </w:tc>
      </w:tr>
      <w:tr w:rsidR="003C0A85" w:rsidTr="00522CB5">
        <w:trPr>
          <w:trHeight w:val="624"/>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Public or Parliamentary Sensitivity</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No known sensitivity</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Matter of known sensitivity such as code of conduct, executive remuneration, etc.</w:t>
            </w:r>
          </w:p>
        </w:tc>
      </w:tr>
      <w:tr w:rsidR="003C0A85" w:rsidTr="00522CB5">
        <w:trPr>
          <w:trHeight w:val="624"/>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"Controllability"</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Full compliance or stronger control is not feasible</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Better control or compliance feasible</w:t>
            </w:r>
          </w:p>
        </w:tc>
      </w:tr>
      <w:tr w:rsidR="003C0A85" w:rsidTr="00522CB5">
        <w:trPr>
          <w:trHeight w:val="624"/>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Directness of the Requirement</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A general requirement</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A requirement specific to the entity</w:t>
            </w:r>
          </w:p>
        </w:tc>
      </w:tr>
      <w:tr w:rsidR="003C0A85" w:rsidTr="00522CB5">
        <w:trPr>
          <w:trHeight w:val="624"/>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Hierarchy of the Requirement</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 xml:space="preserve">Matters Internal to the Government or the Board of Directors (e.g., Treasury Board decision, by-law) </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Statutory requirement</w:t>
            </w:r>
          </w:p>
        </w:tc>
      </w:tr>
      <w:tr w:rsidR="003C0A85" w:rsidTr="00522CB5">
        <w:trPr>
          <w:trHeight w:val="624"/>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Potential Impact of the Non-compliance on Entity's Performance</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Little impact</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Major potential impact</w:t>
            </w:r>
          </w:p>
        </w:tc>
      </w:tr>
      <w:tr w:rsidR="003C0A85" w:rsidTr="00522CB5">
        <w:trPr>
          <w:trHeight w:val="624"/>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Pervasiveness of Non-compliance</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Isolated instance</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Repeated, pervasive</w:t>
            </w:r>
          </w:p>
        </w:tc>
      </w:tr>
      <w:tr w:rsidR="003C0A85" w:rsidTr="00522CB5">
        <w:trPr>
          <w:trHeight w:val="624"/>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Entity Attitude</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Compliance promoted; first time encountered corrective action taken (or proposed)</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Result of failure to promote compliance; no corrective action taken or proposed</w:t>
            </w:r>
          </w:p>
        </w:tc>
      </w:tr>
      <w:tr w:rsidR="003C0A85" w:rsidTr="00522CB5">
        <w:trPr>
          <w:trHeight w:val="624"/>
        </w:trPr>
        <w:tc>
          <w:tcPr>
            <w:tcW w:w="2520" w:type="dxa"/>
            <w:tcBorders>
              <w:top w:val="double" w:sz="6" w:space="0" w:color="auto"/>
              <w:left w:val="double" w:sz="6" w:space="0" w:color="auto"/>
              <w:right w:val="double" w:sz="6" w:space="0" w:color="auto"/>
            </w:tcBorders>
            <w:shd w:val="pct20" w:color="auto" w:fill="auto"/>
            <w:vAlign w:val="center"/>
          </w:tcPr>
          <w:p w:rsidR="003C0A85" w:rsidRDefault="003C0A85" w:rsidP="004374D6">
            <w:pPr>
              <w:rPr>
                <w:sz w:val="18"/>
              </w:rPr>
            </w:pPr>
            <w:r>
              <w:rPr>
                <w:sz w:val="18"/>
              </w:rPr>
              <w:t>Clearness of Non-compliance</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Entity management believes compliant, with reasonable basis for belief</w:t>
            </w:r>
          </w:p>
        </w:tc>
        <w:tc>
          <w:tcPr>
            <w:tcW w:w="3420" w:type="dxa"/>
            <w:tcBorders>
              <w:top w:val="double" w:sz="6" w:space="0" w:color="auto"/>
              <w:right w:val="double" w:sz="6" w:space="0" w:color="auto"/>
            </w:tcBorders>
            <w:vAlign w:val="center"/>
          </w:tcPr>
          <w:p w:rsidR="003C0A85" w:rsidRDefault="003C0A85" w:rsidP="004374D6">
            <w:pPr>
              <w:rPr>
                <w:sz w:val="18"/>
              </w:rPr>
            </w:pPr>
            <w:r>
              <w:rPr>
                <w:sz w:val="18"/>
              </w:rPr>
              <w:t>Clearly non-compliant, no differing legal opinion</w:t>
            </w:r>
          </w:p>
        </w:tc>
      </w:tr>
      <w:tr w:rsidR="003C0A85" w:rsidTr="00522CB5">
        <w:trPr>
          <w:trHeight w:val="624"/>
        </w:trPr>
        <w:tc>
          <w:tcPr>
            <w:tcW w:w="2520" w:type="dxa"/>
            <w:tcBorders>
              <w:top w:val="double" w:sz="6" w:space="0" w:color="auto"/>
              <w:left w:val="double" w:sz="6" w:space="0" w:color="auto"/>
              <w:bottom w:val="double" w:sz="6" w:space="0" w:color="auto"/>
              <w:right w:val="double" w:sz="6" w:space="0" w:color="auto"/>
            </w:tcBorders>
            <w:shd w:val="pct20" w:color="auto" w:fill="auto"/>
            <w:vAlign w:val="center"/>
          </w:tcPr>
          <w:p w:rsidR="003C0A85" w:rsidRDefault="003C0A85" w:rsidP="004374D6">
            <w:pPr>
              <w:spacing w:after="120"/>
              <w:rPr>
                <w:sz w:val="18"/>
              </w:rPr>
            </w:pPr>
            <w:r>
              <w:rPr>
                <w:sz w:val="18"/>
              </w:rPr>
              <w:lastRenderedPageBreak/>
              <w:t>Government-wide Effects</w:t>
            </w:r>
          </w:p>
        </w:tc>
        <w:tc>
          <w:tcPr>
            <w:tcW w:w="3420" w:type="dxa"/>
            <w:tcBorders>
              <w:top w:val="double" w:sz="6" w:space="0" w:color="auto"/>
              <w:bottom w:val="double" w:sz="6" w:space="0" w:color="auto"/>
              <w:right w:val="double" w:sz="6" w:space="0" w:color="auto"/>
            </w:tcBorders>
            <w:vAlign w:val="center"/>
          </w:tcPr>
          <w:p w:rsidR="003C0A85" w:rsidRDefault="003C0A85" w:rsidP="004374D6">
            <w:pPr>
              <w:spacing w:after="120"/>
              <w:rPr>
                <w:sz w:val="18"/>
              </w:rPr>
            </w:pPr>
            <w:r>
              <w:rPr>
                <w:sz w:val="18"/>
              </w:rPr>
              <w:t>Entity specific</w:t>
            </w:r>
          </w:p>
        </w:tc>
        <w:tc>
          <w:tcPr>
            <w:tcW w:w="3420" w:type="dxa"/>
            <w:tcBorders>
              <w:top w:val="double" w:sz="6" w:space="0" w:color="auto"/>
              <w:bottom w:val="double" w:sz="6" w:space="0" w:color="auto"/>
              <w:right w:val="double" w:sz="6" w:space="0" w:color="auto"/>
            </w:tcBorders>
            <w:vAlign w:val="center"/>
          </w:tcPr>
          <w:p w:rsidR="003C0A85" w:rsidRDefault="003C0A85" w:rsidP="004374D6">
            <w:pPr>
              <w:spacing w:after="120"/>
              <w:rPr>
                <w:sz w:val="18"/>
              </w:rPr>
            </w:pPr>
            <w:r>
              <w:rPr>
                <w:sz w:val="18"/>
              </w:rPr>
              <w:t>Affects entity in its relationship with other entities, central agencies or Parliament (possible other matter)</w:t>
            </w:r>
          </w:p>
        </w:tc>
      </w:tr>
    </w:tbl>
    <w:p w:rsidR="008D25E2" w:rsidRDefault="008D25E2">
      <w:pPr>
        <w:spacing w:after="120"/>
      </w:pPr>
    </w:p>
    <w:p w:rsidR="008D25E2" w:rsidRDefault="008D25E2">
      <w:pPr>
        <w:spacing w:after="120"/>
      </w:pPr>
    </w:p>
    <w:p w:rsidR="008D25E2" w:rsidRDefault="008D25E2">
      <w:pPr>
        <w:spacing w:after="120"/>
      </w:pPr>
    </w:p>
    <w:p w:rsidR="008D25E2" w:rsidRDefault="008D25E2">
      <w:pPr>
        <w:spacing w:after="120"/>
      </w:pPr>
    </w:p>
    <w:p w:rsidR="002824CC" w:rsidRPr="00152D54" w:rsidRDefault="002824CC" w:rsidP="00522CB5">
      <w:pPr>
        <w:spacing w:after="120"/>
        <w:rPr>
          <w:b/>
        </w:rPr>
      </w:pPr>
      <w:r w:rsidRPr="002824CC">
        <w:rPr>
          <w:b/>
        </w:rPr>
        <w:t>Conclusion</w:t>
      </w:r>
      <w:r w:rsidR="008D25E2">
        <w:rPr>
          <w:b/>
        </w:rPr>
        <w:t xml:space="preserve"> regarding the reporting mechanism</w:t>
      </w:r>
      <w:r>
        <w:t>:</w:t>
      </w:r>
      <w:r w:rsidR="008D25E2">
        <w:t xml:space="preserve"> </w:t>
      </w:r>
    </w:p>
    <w:sectPr w:rsidR="002824CC" w:rsidRPr="00152D54" w:rsidSect="00522CB5">
      <w:headerReference w:type="default" r:id="rId7"/>
      <w:footerReference w:type="default" r:id="rId8"/>
      <w:headerReference w:type="first" r:id="rId9"/>
      <w:footerReference w:type="first" r:id="rId10"/>
      <w:pgSz w:w="12240" w:h="15840"/>
      <w:pgMar w:top="1411" w:right="1440" w:bottom="1411" w:left="144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FF" w:rsidRDefault="005B1DFF">
      <w:r>
        <w:separator/>
      </w:r>
    </w:p>
  </w:endnote>
  <w:endnote w:type="continuationSeparator" w:id="0">
    <w:p w:rsidR="005B1DFF" w:rsidRDefault="005B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4C" w:rsidRPr="006D56F6" w:rsidRDefault="006D56F6" w:rsidP="006D56F6">
    <w:pPr>
      <w:pStyle w:val="Footer"/>
      <w:tabs>
        <w:tab w:val="clear" w:pos="4320"/>
      </w:tabs>
      <w:jc w:val="right"/>
      <w:rPr>
        <w:sz w:val="24"/>
      </w:rPr>
    </w:pPr>
    <w:r w:rsidRPr="006D56F6">
      <w:rPr>
        <w:szCs w:val="16"/>
      </w:rPr>
      <w:fldChar w:fldCharType="begin"/>
    </w:r>
    <w:r w:rsidRPr="006D56F6">
      <w:rPr>
        <w:szCs w:val="16"/>
      </w:rPr>
      <w:instrText xml:space="preserve"> PAGE   \* MERGEFORMAT </w:instrText>
    </w:r>
    <w:r w:rsidRPr="006D56F6">
      <w:rPr>
        <w:szCs w:val="16"/>
      </w:rPr>
      <w:fldChar w:fldCharType="separate"/>
    </w:r>
    <w:r w:rsidR="00223491">
      <w:rPr>
        <w:noProof/>
        <w:szCs w:val="16"/>
      </w:rPr>
      <w:t>2</w:t>
    </w:r>
    <w:r w:rsidRPr="006D56F6">
      <w:rPr>
        <w:noProof/>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F6" w:rsidRDefault="006D56F6" w:rsidP="00522CB5">
    <w:pPr>
      <w:pStyle w:val="Footer"/>
      <w:tabs>
        <w:tab w:val="clear" w:pos="8640"/>
        <w:tab w:val="right" w:pos="9360"/>
      </w:tabs>
      <w:rPr>
        <w:sz w:val="16"/>
        <w:szCs w:val="16"/>
      </w:rPr>
    </w:pPr>
    <w:r>
      <w:rPr>
        <w:sz w:val="16"/>
        <w:szCs w:val="16"/>
      </w:rPr>
      <w:t>Oct.-2012</w:t>
    </w:r>
  </w:p>
  <w:p w:rsidR="006D56F6" w:rsidRDefault="00223491" w:rsidP="00522CB5">
    <w:pPr>
      <w:pStyle w:val="Footer"/>
      <w:tabs>
        <w:tab w:val="clear" w:pos="4320"/>
        <w:tab w:val="clear" w:pos="8640"/>
        <w:tab w:val="right" w:pos="9360"/>
      </w:tabs>
    </w:pPr>
    <w:r>
      <w:rPr>
        <w:sz w:val="16"/>
        <w:szCs w:val="16"/>
      </w:rPr>
      <w:t>Template Owner: Audit Services</w:t>
    </w:r>
    <w:r w:rsidR="006D56F6">
      <w:rPr>
        <w:sz w:val="16"/>
        <w:szCs w:val="16"/>
      </w:rPr>
      <w:tab/>
    </w:r>
    <w:r w:rsidR="006D56F6" w:rsidRPr="006D56F6">
      <w:rPr>
        <w:szCs w:val="16"/>
      </w:rPr>
      <w:fldChar w:fldCharType="begin"/>
    </w:r>
    <w:r w:rsidR="006D56F6" w:rsidRPr="006D56F6">
      <w:rPr>
        <w:szCs w:val="16"/>
      </w:rPr>
      <w:instrText xml:space="preserve"> PAGE   \* MERGEFORMAT </w:instrText>
    </w:r>
    <w:r w:rsidR="006D56F6" w:rsidRPr="006D56F6">
      <w:rPr>
        <w:szCs w:val="16"/>
      </w:rPr>
      <w:fldChar w:fldCharType="separate"/>
    </w:r>
    <w:r>
      <w:rPr>
        <w:noProof/>
        <w:szCs w:val="16"/>
      </w:rPr>
      <w:t>1</w:t>
    </w:r>
    <w:r w:rsidR="006D56F6" w:rsidRPr="006D56F6">
      <w:rPr>
        <w:noProof/>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FF" w:rsidRDefault="005B1DFF">
      <w:r>
        <w:separator/>
      </w:r>
    </w:p>
  </w:footnote>
  <w:footnote w:type="continuationSeparator" w:id="0">
    <w:p w:rsidR="005B1DFF" w:rsidRDefault="005B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016" w:rsidRDefault="00223491" w:rsidP="00217718">
    <w:pPr>
      <w:pStyle w:val="Header"/>
      <w:jc w:val="right"/>
    </w:pPr>
    <w:sdt>
      <w:sdtPr>
        <w:rPr>
          <w:b/>
          <w:sz w:val="22"/>
        </w:rPr>
        <w:alias w:val="Security Label"/>
        <w:tag w:val="OAG-BVG-Classification"/>
        <w:id w:val="1594204972"/>
        <w:placeholder>
          <w:docPart w:val="E0B661EF619E43558B3298D5FA6D8C5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217718">
          <w:rPr>
            <w:b/>
            <w:sz w:val="22"/>
          </w:rPr>
          <w:t>PROTECTED A (when completed)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016" w:rsidRPr="00FD5903" w:rsidRDefault="00223491" w:rsidP="00E97016">
    <w:pPr>
      <w:pStyle w:val="Header"/>
      <w:jc w:val="right"/>
      <w:rPr>
        <w:sz w:val="22"/>
        <w:szCs w:val="22"/>
      </w:rPr>
    </w:pPr>
    <w:sdt>
      <w:sdtPr>
        <w:rPr>
          <w:rFonts w:cs="Arial"/>
          <w:b/>
          <w:sz w:val="22"/>
          <w:szCs w:val="22"/>
          <w:lang w:val="fr-CA"/>
        </w:rPr>
        <w:alias w:val="Security Label"/>
        <w:tag w:val="OAG-BVG-Classification"/>
        <w:id w:val="370649869"/>
        <w:placeholder>
          <w:docPart w:val="572C1258B08A421AA7E420AD6C3D344F"/>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FD5903" w:rsidRPr="00FD5903">
          <w:rPr>
            <w:rFonts w:cs="Arial"/>
            <w:b/>
            <w:sz w:val="22"/>
            <w:szCs w:val="22"/>
            <w:lang w:val="fr-CA"/>
          </w:rPr>
          <w:t>PROTECTED A (when completed)</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00DDB"/>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35036DD"/>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747573E"/>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7EA510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94B433B"/>
    <w:multiLevelType w:val="singleLevel"/>
    <w:tmpl w:val="5F1073DC"/>
    <w:lvl w:ilvl="0">
      <w:start w:val="1"/>
      <w:numFmt w:val="decimal"/>
      <w:lvlText w:val="%1."/>
      <w:legacy w:legacy="1" w:legacySpace="0" w:legacyIndent="360"/>
      <w:lvlJc w:val="left"/>
      <w:pPr>
        <w:ind w:left="360" w:hanging="360"/>
      </w:pPr>
    </w:lvl>
  </w:abstractNum>
  <w:abstractNum w:abstractNumId="6" w15:restartNumberingAfterBreak="0">
    <w:nsid w:val="15546612"/>
    <w:multiLevelType w:val="hybridMultilevel"/>
    <w:tmpl w:val="361A055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D16B92"/>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91E2C48"/>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A536E4A"/>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EF93DC0"/>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F5478F4"/>
    <w:multiLevelType w:val="hybridMultilevel"/>
    <w:tmpl w:val="161A45F8"/>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2" w15:restartNumberingAfterBreak="0">
    <w:nsid w:val="422D038D"/>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FB512B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856196B"/>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4BF3941"/>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7957968"/>
    <w:multiLevelType w:val="hybridMultilevel"/>
    <w:tmpl w:val="E0BC20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3500C3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4A94854"/>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E9386E"/>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6CE1318"/>
    <w:multiLevelType w:val="singleLevel"/>
    <w:tmpl w:val="70A00ADC"/>
    <w:lvl w:ilvl="0">
      <w:start w:val="1"/>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9"/>
  </w:num>
  <w:num w:numId="3">
    <w:abstractNumId w:val="2"/>
  </w:num>
  <w:num w:numId="4">
    <w:abstractNumId w:val="4"/>
  </w:num>
  <w:num w:numId="5">
    <w:abstractNumId w:val="17"/>
  </w:num>
  <w:num w:numId="6">
    <w:abstractNumId w:val="5"/>
  </w:num>
  <w:num w:numId="7">
    <w:abstractNumId w:val="18"/>
  </w:num>
  <w:num w:numId="8">
    <w:abstractNumId w:val="20"/>
  </w:num>
  <w:num w:numId="9">
    <w:abstractNumId w:val="8"/>
  </w:num>
  <w:num w:numId="10">
    <w:abstractNumId w:val="3"/>
  </w:num>
  <w:num w:numId="11">
    <w:abstractNumId w:val="10"/>
  </w:num>
  <w:num w:numId="12">
    <w:abstractNumId w:val="12"/>
  </w:num>
  <w:num w:numId="13">
    <w:abstractNumId w:val="14"/>
  </w:num>
  <w:num w:numId="14">
    <w:abstractNumId w:val="15"/>
  </w:num>
  <w:num w:numId="15">
    <w:abstractNumId w:val="7"/>
  </w:num>
  <w:num w:numId="16">
    <w:abstractNumId w:val="1"/>
  </w:num>
  <w:num w:numId="17">
    <w:abstractNumId w:val="13"/>
  </w:num>
  <w:num w:numId="18">
    <w:abstractNumId w:val="9"/>
  </w:num>
  <w:num w:numId="19">
    <w:abstractNumId w:val="1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20"/>
    <w:rsid w:val="00003A61"/>
    <w:rsid w:val="0004059B"/>
    <w:rsid w:val="00044CDC"/>
    <w:rsid w:val="000800FF"/>
    <w:rsid w:val="00113501"/>
    <w:rsid w:val="00113544"/>
    <w:rsid w:val="00152D54"/>
    <w:rsid w:val="001822A6"/>
    <w:rsid w:val="001B6784"/>
    <w:rsid w:val="001E451C"/>
    <w:rsid w:val="001F3411"/>
    <w:rsid w:val="00205CE5"/>
    <w:rsid w:val="00217718"/>
    <w:rsid w:val="00223491"/>
    <w:rsid w:val="00275A4C"/>
    <w:rsid w:val="002824CC"/>
    <w:rsid w:val="00291CA5"/>
    <w:rsid w:val="002A7255"/>
    <w:rsid w:val="002F29F9"/>
    <w:rsid w:val="00315916"/>
    <w:rsid w:val="003320A1"/>
    <w:rsid w:val="00352530"/>
    <w:rsid w:val="003A65A3"/>
    <w:rsid w:val="003C0A85"/>
    <w:rsid w:val="003C3B00"/>
    <w:rsid w:val="003C6D59"/>
    <w:rsid w:val="003D7449"/>
    <w:rsid w:val="004374D6"/>
    <w:rsid w:val="004A2F80"/>
    <w:rsid w:val="004B2B70"/>
    <w:rsid w:val="004E2041"/>
    <w:rsid w:val="004F75C1"/>
    <w:rsid w:val="00515DC0"/>
    <w:rsid w:val="00522CB5"/>
    <w:rsid w:val="00534728"/>
    <w:rsid w:val="00540E5F"/>
    <w:rsid w:val="00575714"/>
    <w:rsid w:val="00587D77"/>
    <w:rsid w:val="005B1DFF"/>
    <w:rsid w:val="005C72C8"/>
    <w:rsid w:val="00600450"/>
    <w:rsid w:val="00603970"/>
    <w:rsid w:val="00623E99"/>
    <w:rsid w:val="00625709"/>
    <w:rsid w:val="006A5186"/>
    <w:rsid w:val="006D56F6"/>
    <w:rsid w:val="00714F44"/>
    <w:rsid w:val="0074750F"/>
    <w:rsid w:val="007A524D"/>
    <w:rsid w:val="00810CC9"/>
    <w:rsid w:val="008443CB"/>
    <w:rsid w:val="00854DC3"/>
    <w:rsid w:val="008815A3"/>
    <w:rsid w:val="00891252"/>
    <w:rsid w:val="008D25E2"/>
    <w:rsid w:val="008D653E"/>
    <w:rsid w:val="00907CA1"/>
    <w:rsid w:val="009221AA"/>
    <w:rsid w:val="00923D9F"/>
    <w:rsid w:val="00934C30"/>
    <w:rsid w:val="00947CED"/>
    <w:rsid w:val="00A71561"/>
    <w:rsid w:val="00A74167"/>
    <w:rsid w:val="00A76807"/>
    <w:rsid w:val="00BD1132"/>
    <w:rsid w:val="00BE29F9"/>
    <w:rsid w:val="00BF6A9C"/>
    <w:rsid w:val="00C83D57"/>
    <w:rsid w:val="00C87CA4"/>
    <w:rsid w:val="00CA277F"/>
    <w:rsid w:val="00CB63AC"/>
    <w:rsid w:val="00CE188C"/>
    <w:rsid w:val="00D03738"/>
    <w:rsid w:val="00D03949"/>
    <w:rsid w:val="00D10E70"/>
    <w:rsid w:val="00D138AB"/>
    <w:rsid w:val="00D55AFB"/>
    <w:rsid w:val="00D86F7F"/>
    <w:rsid w:val="00E0055D"/>
    <w:rsid w:val="00E2314E"/>
    <w:rsid w:val="00E43017"/>
    <w:rsid w:val="00E908BF"/>
    <w:rsid w:val="00E93F0B"/>
    <w:rsid w:val="00E97016"/>
    <w:rsid w:val="00EA0C05"/>
    <w:rsid w:val="00EA7E8C"/>
    <w:rsid w:val="00EA7F79"/>
    <w:rsid w:val="00F00A59"/>
    <w:rsid w:val="00F01B7A"/>
    <w:rsid w:val="00F04547"/>
    <w:rsid w:val="00F06333"/>
    <w:rsid w:val="00FA7720"/>
    <w:rsid w:val="00FB19F8"/>
    <w:rsid w:val="00FD5903"/>
    <w:rsid w:val="00FE5550"/>
    <w:rsid w:val="00FF1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5FE2CDEF-7412-4B36-8DC0-293E37FD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spacing w:after="120"/>
      <w:outlineLvl w:val="0"/>
    </w:pPr>
    <w:rPr>
      <w:b/>
      <w:u w:val="single"/>
    </w:r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numPr>
        <w:ilvl w:val="12"/>
      </w:numPr>
      <w:tabs>
        <w:tab w:val="num" w:pos="354"/>
      </w:tabs>
      <w:ind w:left="354" w:hanging="6"/>
      <w:outlineLvl w:val="2"/>
    </w:pPr>
    <w:rPr>
      <w:sz w:val="18"/>
    </w:rPr>
  </w:style>
  <w:style w:type="paragraph" w:styleId="Heading4">
    <w:name w:val="heading 4"/>
    <w:basedOn w:val="Normal"/>
    <w:next w:val="Normal"/>
    <w:qFormat/>
    <w:pPr>
      <w:keepNext/>
      <w:numPr>
        <w:ilvl w:val="12"/>
      </w:numPr>
      <w:ind w:left="708" w:hanging="708"/>
      <w:outlineLvl w:val="3"/>
    </w:pPr>
    <w:rPr>
      <w:b/>
      <w:sz w:val="18"/>
      <w:u w:val="single"/>
    </w:rPr>
  </w:style>
  <w:style w:type="paragraph" w:styleId="Heading5">
    <w:name w:val="heading 5"/>
    <w:basedOn w:val="Normal"/>
    <w:next w:val="Normal"/>
    <w:qFormat/>
    <w:pPr>
      <w:keepNext/>
      <w:pBdr>
        <w:right w:val="single" w:sz="6" w:space="1" w:color="auto"/>
      </w:pBdr>
      <w:jc w:val="center"/>
      <w:outlineLvl w:val="4"/>
    </w:pPr>
    <w:rPr>
      <w:b/>
    </w:rPr>
  </w:style>
  <w:style w:type="paragraph" w:styleId="Heading6">
    <w:name w:val="heading 6"/>
    <w:basedOn w:val="Normal"/>
    <w:next w:val="Normal"/>
    <w:qFormat/>
    <w:pPr>
      <w:keepNext/>
      <w:spacing w:after="1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8"/>
    </w:rPr>
  </w:style>
  <w:style w:type="paragraph" w:styleId="BodyTextIndent">
    <w:name w:val="Body Text Indent"/>
    <w:basedOn w:val="Normal"/>
    <w:pPr>
      <w:spacing w:after="120"/>
    </w:pPr>
    <w:rPr>
      <w:i/>
    </w:rPr>
  </w:style>
  <w:style w:type="paragraph" w:styleId="Title">
    <w:name w:val="Title"/>
    <w:basedOn w:val="Normal"/>
    <w:qFormat/>
    <w:pPr>
      <w:spacing w:after="120"/>
      <w:jc w:val="center"/>
    </w:pPr>
    <w:rPr>
      <w:b/>
    </w:rPr>
  </w:style>
  <w:style w:type="character" w:styleId="CommentReference">
    <w:name w:val="annotation reference"/>
    <w:basedOn w:val="DefaultParagraphFont"/>
    <w:rsid w:val="00003A61"/>
    <w:rPr>
      <w:sz w:val="16"/>
      <w:szCs w:val="16"/>
    </w:rPr>
  </w:style>
  <w:style w:type="paragraph" w:styleId="CommentText">
    <w:name w:val="annotation text"/>
    <w:basedOn w:val="Normal"/>
    <w:link w:val="CommentTextChar"/>
    <w:rsid w:val="00003A61"/>
  </w:style>
  <w:style w:type="character" w:customStyle="1" w:styleId="CommentTextChar">
    <w:name w:val="Comment Text Char"/>
    <w:basedOn w:val="DefaultParagraphFont"/>
    <w:link w:val="CommentText"/>
    <w:rsid w:val="00003A61"/>
    <w:rPr>
      <w:rFonts w:ascii="Arial" w:hAnsi="Arial"/>
      <w:lang w:val="en-US" w:eastAsia="en-US"/>
    </w:rPr>
  </w:style>
  <w:style w:type="paragraph" w:styleId="CommentSubject">
    <w:name w:val="annotation subject"/>
    <w:basedOn w:val="CommentText"/>
    <w:next w:val="CommentText"/>
    <w:link w:val="CommentSubjectChar"/>
    <w:rsid w:val="00003A61"/>
    <w:rPr>
      <w:b/>
      <w:bCs/>
    </w:rPr>
  </w:style>
  <w:style w:type="character" w:customStyle="1" w:styleId="CommentSubjectChar">
    <w:name w:val="Comment Subject Char"/>
    <w:basedOn w:val="CommentTextChar"/>
    <w:link w:val="CommentSubject"/>
    <w:rsid w:val="00003A61"/>
    <w:rPr>
      <w:rFonts w:ascii="Arial" w:hAnsi="Arial"/>
      <w:b/>
      <w:bCs/>
      <w:lang w:val="en-US" w:eastAsia="en-US"/>
    </w:rPr>
  </w:style>
  <w:style w:type="paragraph" w:styleId="Revision">
    <w:name w:val="Revision"/>
    <w:hidden/>
    <w:uiPriority w:val="99"/>
    <w:semiHidden/>
    <w:rsid w:val="00003A61"/>
    <w:rPr>
      <w:rFonts w:ascii="Arial" w:hAnsi="Arial"/>
      <w:lang w:val="en-US" w:eastAsia="en-US"/>
    </w:rPr>
  </w:style>
  <w:style w:type="paragraph" w:styleId="BalloonText">
    <w:name w:val="Balloon Text"/>
    <w:basedOn w:val="Normal"/>
    <w:link w:val="BalloonTextChar"/>
    <w:rsid w:val="00003A61"/>
    <w:rPr>
      <w:rFonts w:ascii="Tahoma" w:hAnsi="Tahoma" w:cs="Tahoma"/>
      <w:sz w:val="16"/>
      <w:szCs w:val="16"/>
    </w:rPr>
  </w:style>
  <w:style w:type="character" w:customStyle="1" w:styleId="BalloonTextChar">
    <w:name w:val="Balloon Text Char"/>
    <w:basedOn w:val="DefaultParagraphFont"/>
    <w:link w:val="BalloonText"/>
    <w:rsid w:val="00003A6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B661EF619E43558B3298D5FA6D8C5E"/>
        <w:category>
          <w:name w:val="General"/>
          <w:gallery w:val="placeholder"/>
        </w:category>
        <w:types>
          <w:type w:val="bbPlcHdr"/>
        </w:types>
        <w:behaviors>
          <w:behavior w:val="content"/>
        </w:behaviors>
        <w:guid w:val="{6542D710-51CC-4576-905F-A56A5B575246}"/>
      </w:docPartPr>
      <w:docPartBody>
        <w:p w:rsidR="001B40A0" w:rsidRDefault="00473A42" w:rsidP="00473A42">
          <w:pPr>
            <w:pStyle w:val="E0B661EF619E43558B3298D5FA6D8C5E"/>
          </w:pPr>
          <w:r w:rsidRPr="00790F45">
            <w:rPr>
              <w:rStyle w:val="PlaceholderText"/>
            </w:rPr>
            <w:t>Choose an item.</w:t>
          </w:r>
        </w:p>
      </w:docPartBody>
    </w:docPart>
    <w:docPart>
      <w:docPartPr>
        <w:name w:val="572C1258B08A421AA7E420AD6C3D344F"/>
        <w:category>
          <w:name w:val="General"/>
          <w:gallery w:val="placeholder"/>
        </w:category>
        <w:types>
          <w:type w:val="bbPlcHdr"/>
        </w:types>
        <w:behaviors>
          <w:behavior w:val="content"/>
        </w:behaviors>
        <w:guid w:val="{0A7E98F6-515D-4AE9-963D-66CE468D4C12}"/>
      </w:docPartPr>
      <w:docPartBody>
        <w:p w:rsidR="008D08C1" w:rsidRDefault="001B40A0" w:rsidP="001B40A0">
          <w:pPr>
            <w:pStyle w:val="572C1258B08A421AA7E420AD6C3D344F"/>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9D"/>
    <w:rsid w:val="001B40A0"/>
    <w:rsid w:val="00473A42"/>
    <w:rsid w:val="008D08C1"/>
    <w:rsid w:val="00CC0F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0A0"/>
    <w:rPr>
      <w:color w:val="808080"/>
    </w:rPr>
  </w:style>
  <w:style w:type="paragraph" w:customStyle="1" w:styleId="690D356312CC40288658D0AA7592D355">
    <w:name w:val="690D356312CC40288658D0AA7592D355"/>
    <w:rsid w:val="00CC0F9D"/>
  </w:style>
  <w:style w:type="paragraph" w:customStyle="1" w:styleId="E0B661EF619E43558B3298D5FA6D8C5E">
    <w:name w:val="E0B661EF619E43558B3298D5FA6D8C5E"/>
    <w:rsid w:val="00473A42"/>
  </w:style>
  <w:style w:type="paragraph" w:customStyle="1" w:styleId="572C1258B08A421AA7E420AD6C3D344F">
    <w:name w:val="572C1258B08A421AA7E420AD6C3D344F"/>
    <w:rsid w:val="001B4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311</Words>
  <Characters>1990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OFFICE OF THE AUDITOR GENERAL OF CANADA</vt:lpstr>
    </vt:vector>
  </TitlesOfParts>
  <Company>OAG-BVG</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SIGNIFICANCE CONSIDERATIONS OF NON-COMPLIANCE ISSUE </dc:title>
  <dc:subject>NATURE AND SIGNIFICANCE CONSIDERATIONS OF NON-COMPLIANCE ISSUE </dc:subject>
  <dc:creator>OAG-BVG</dc:creator>
  <cp:lastModifiedBy>Lepage, Roxanne</cp:lastModifiedBy>
  <cp:revision>9</cp:revision>
  <cp:lastPrinted>2012-05-07T13:25:00Z</cp:lastPrinted>
  <dcterms:created xsi:type="dcterms:W3CDTF">2016-04-04T19:17:00Z</dcterms:created>
  <dcterms:modified xsi:type="dcterms:W3CDTF">2020-05-29T19:57:00Z</dcterms:modified>
  <cp:category>Templates</cp:category>
  <cp:contentStatus>15659</cp:contentStatus>
</cp:coreProperties>
</file>