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41FCE" w14:textId="77777777" w:rsidR="00A9021A" w:rsidRPr="00B8032D" w:rsidRDefault="006F7349" w:rsidP="000E70A2">
      <w:pPr>
        <w:pStyle w:val="Heading2"/>
      </w:pPr>
      <w:bookmarkStart w:id="0" w:name="_GoBack"/>
      <w:bookmarkEnd w:id="0"/>
      <w:r w:rsidRPr="00B8032D">
        <w:t>The audit’s almost over! Q</w:t>
      </w:r>
      <w:r w:rsidR="00A9021A" w:rsidRPr="00B8032D">
        <w:t>uick, someone tie out the cash</w:t>
      </w:r>
      <w:r w:rsidR="00B13605">
        <w:t xml:space="preserve"> </w:t>
      </w:r>
      <w:r w:rsidR="00A9021A" w:rsidRPr="00B8032D">
        <w:t>flow!</w:t>
      </w:r>
    </w:p>
    <w:p w14:paraId="044501F9" w14:textId="63EE1347" w:rsidR="00A9021A" w:rsidRDefault="00A9021A" w:rsidP="000E70A2">
      <w:r>
        <w:t xml:space="preserve">The purpose of this document is to get you thinking about some of the things to consider and look for when you are auditing the </w:t>
      </w:r>
      <w:r w:rsidR="005A6F4A">
        <w:t>statement of cash flow</w:t>
      </w:r>
      <w:r w:rsidR="0028118A">
        <w:t>s</w:t>
      </w:r>
      <w:r>
        <w:t xml:space="preserve">.  If you are like me, it is possible that the </w:t>
      </w:r>
      <w:r w:rsidR="005A6F4A">
        <w:t>statement of cash flow</w:t>
      </w:r>
      <w:r w:rsidR="0028118A">
        <w:t>s</w:t>
      </w:r>
      <w:r>
        <w:t xml:space="preserve"> was not given the attention that it requires for the simple reason that it is too easy to look at the statement and conclude that it must be right because the ending cash balance agrees with the bank account.  How can there be errors in it if the cash balance is correct?  Not to mention, it is easy to tie out most of the balances because they are typically derived straight from the </w:t>
      </w:r>
      <w:r w:rsidR="0028118A">
        <w:t>statement of financial position</w:t>
      </w:r>
      <w:r>
        <w:t xml:space="preserve"> or the statement</w:t>
      </w:r>
      <w:r w:rsidR="00DF42FE">
        <w:t xml:space="preserve"> of operations</w:t>
      </w:r>
      <w:r>
        <w:t xml:space="preserve">.  Unfortunately, both of the </w:t>
      </w:r>
      <w:r w:rsidR="0028118A">
        <w:t xml:space="preserve">statement of financial position and the </w:t>
      </w:r>
      <w:r>
        <w:t>statement</w:t>
      </w:r>
      <w:r w:rsidR="00DF42FE">
        <w:t xml:space="preserve"> of operations</w:t>
      </w:r>
      <w:r>
        <w:t xml:space="preserve"> are prepared on an accrual basis.  This makes the quick and easy tie outs </w:t>
      </w:r>
      <w:r w:rsidR="00692E1D">
        <w:t>not</w:t>
      </w:r>
      <w:r>
        <w:t xml:space="preserve"> appropriate.  So let us walk through </w:t>
      </w:r>
      <w:r w:rsidR="00531CD1">
        <w:t>some</w:t>
      </w:r>
      <w:r>
        <w:t xml:space="preserve"> steps </w:t>
      </w:r>
      <w:r w:rsidR="00531CD1">
        <w:t xml:space="preserve">to </w:t>
      </w:r>
      <w:r>
        <w:t xml:space="preserve">consider when auditing </w:t>
      </w:r>
      <w:r w:rsidR="005F4B4A">
        <w:t xml:space="preserve">the statement of </w:t>
      </w:r>
      <w:r>
        <w:t>cash flow</w:t>
      </w:r>
      <w:r w:rsidR="0028118A">
        <w:t>s</w:t>
      </w:r>
      <w:r>
        <w:t>.</w:t>
      </w:r>
    </w:p>
    <w:p w14:paraId="666962A7" w14:textId="6F1110C4" w:rsidR="00B05B09" w:rsidRPr="00B8032D" w:rsidRDefault="00020683" w:rsidP="000E70A2">
      <w:pPr>
        <w:pStyle w:val="Heading3"/>
      </w:pPr>
      <w:r>
        <w:t>Basic Refresher</w:t>
      </w:r>
      <w:r w:rsidR="00B43C47">
        <w:t xml:space="preserve"> #1</w:t>
      </w:r>
      <w:r>
        <w:t>—</w:t>
      </w:r>
      <w:r w:rsidR="00B05B09" w:rsidRPr="00B8032D">
        <w:t>Cash flow methods</w:t>
      </w:r>
    </w:p>
    <w:p w14:paraId="73FA9F85" w14:textId="77777777" w:rsidR="00B05B09" w:rsidRPr="00B8032D" w:rsidRDefault="00B05B09" w:rsidP="000E70A2">
      <w:pPr>
        <w:pStyle w:val="Heading4"/>
      </w:pPr>
      <w:r w:rsidRPr="00B8032D">
        <w:t>Indirect</w:t>
      </w:r>
    </w:p>
    <w:p w14:paraId="70C69F02" w14:textId="16FC8A8B" w:rsidR="00B05B09" w:rsidRDefault="00B05B09" w:rsidP="000E70A2">
      <w:r>
        <w:t xml:space="preserve">The indirect method </w:t>
      </w:r>
      <w:r w:rsidR="007B0C18">
        <w:t xml:space="preserve">reports cash flows from operating activities by </w:t>
      </w:r>
      <w:r w:rsidR="0028118A">
        <w:t>begin</w:t>
      </w:r>
      <w:r w:rsidR="007B0C18">
        <w:t>ning</w:t>
      </w:r>
      <w:r>
        <w:t xml:space="preserve"> with net income and mak</w:t>
      </w:r>
      <w:r w:rsidR="007B0C18">
        <w:t>ing</w:t>
      </w:r>
      <w:r>
        <w:t xml:space="preserve"> adjustments for </w:t>
      </w:r>
      <w:r w:rsidR="007B0C18">
        <w:t xml:space="preserve">the effects of transactions of a </w:t>
      </w:r>
      <w:r>
        <w:t xml:space="preserve">non-cash </w:t>
      </w:r>
      <w:r w:rsidR="007B0C18">
        <w:t>nature, any deferrals or accruals of past or future operating cash receipts or payments, and items of income or expense associated with investing or financing cash flows</w:t>
      </w:r>
      <w:r>
        <w:t>.</w:t>
      </w:r>
    </w:p>
    <w:p w14:paraId="0ECF0CEF" w14:textId="77777777" w:rsidR="00B05B09" w:rsidRPr="00B8032D" w:rsidRDefault="00B05B09" w:rsidP="000E70A2">
      <w:pPr>
        <w:pStyle w:val="Heading4"/>
      </w:pPr>
      <w:r w:rsidRPr="00B8032D">
        <w:t>Direct</w:t>
      </w:r>
    </w:p>
    <w:p w14:paraId="382FF462" w14:textId="661E7B99" w:rsidR="00B05B09" w:rsidRDefault="007B0C18" w:rsidP="000E70A2">
      <w:r>
        <w:t>By contrast, t</w:t>
      </w:r>
      <w:r w:rsidR="00B05B09">
        <w:t xml:space="preserve">he direct method </w:t>
      </w:r>
      <w:r>
        <w:t>reports cash flows from operating activities by major classes of gross cash receipts and gross cash payments</w:t>
      </w:r>
      <w:r w:rsidR="00B05B09">
        <w:t>.</w:t>
      </w:r>
      <w:r w:rsidR="00156629">
        <w:t xml:space="preserve"> </w:t>
      </w:r>
    </w:p>
    <w:p w14:paraId="22BF18FD" w14:textId="77777777" w:rsidR="00A22603" w:rsidRPr="00A22603" w:rsidRDefault="00A22603" w:rsidP="00306E6F">
      <w:pPr>
        <w:pStyle w:val="Heading4"/>
      </w:pPr>
      <w:r w:rsidRPr="00A22603">
        <w:t>Difference between the 2 methods</w:t>
      </w:r>
    </w:p>
    <w:p w14:paraId="3D14E702" w14:textId="77777777" w:rsidR="00D5034A" w:rsidRDefault="005F4B4A" w:rsidP="000E70A2">
      <w:r>
        <w:t>Presentation of operating activities is</w:t>
      </w:r>
      <w:r w:rsidR="00A22603">
        <w:t xml:space="preserve"> impacted by the cash flow method selected</w:t>
      </w:r>
      <w:r>
        <w:t xml:space="preserve"> </w:t>
      </w:r>
      <w:r w:rsidR="00832277">
        <w:t xml:space="preserve">but </w:t>
      </w:r>
      <w:r>
        <w:t>not investing or financing activities</w:t>
      </w:r>
      <w:r w:rsidR="00A22603">
        <w:t>. Since investing and financing activities only include cash items</w:t>
      </w:r>
      <w:r>
        <w:t>,</w:t>
      </w:r>
      <w:r w:rsidR="00A22603">
        <w:t xml:space="preserve"> the cash flow method </w:t>
      </w:r>
      <w:r>
        <w:t xml:space="preserve">applied will </w:t>
      </w:r>
      <w:r w:rsidR="00A22603">
        <w:t xml:space="preserve">not impact the cash flow </w:t>
      </w:r>
      <w:r>
        <w:t>items for these activities</w:t>
      </w:r>
      <w:r w:rsidR="00A22603">
        <w:t xml:space="preserve">. </w:t>
      </w:r>
    </w:p>
    <w:p w14:paraId="45B3BB72" w14:textId="3E072547" w:rsidR="00B43C47" w:rsidRDefault="00B43C47" w:rsidP="00306E6F">
      <w:pPr>
        <w:pStyle w:val="Heading3"/>
      </w:pPr>
      <w:r>
        <w:t>Basic Refresher #2-</w:t>
      </w:r>
      <w:r w:rsidR="00D006DD">
        <w:t xml:space="preserve">What </w:t>
      </w:r>
      <w:r w:rsidR="00B34837">
        <w:t xml:space="preserve">does </w:t>
      </w:r>
      <w:r w:rsidR="00D006DD">
        <w:t>“cash” mean in “</w:t>
      </w:r>
      <w:r w:rsidR="005A6F4A">
        <w:t>statement of cash flow</w:t>
      </w:r>
      <w:r w:rsidR="00615B0D">
        <w:t>s</w:t>
      </w:r>
      <w:r w:rsidR="006A525F">
        <w:t>”</w:t>
      </w:r>
      <w:r>
        <w:t>?</w:t>
      </w:r>
    </w:p>
    <w:p w14:paraId="1B2ADF74" w14:textId="2BBA3742" w:rsidR="00B43C47" w:rsidRDefault="00293771">
      <w:r>
        <w:t xml:space="preserve">Your entity may have different assets </w:t>
      </w:r>
      <w:r w:rsidR="008E345B">
        <w:t xml:space="preserve">or liabilities </w:t>
      </w:r>
      <w:r>
        <w:t>that relate to cash, such as cash in a bank account, bank overdraft</w:t>
      </w:r>
      <w:r w:rsidR="00565622">
        <w:t>s</w:t>
      </w:r>
      <w:r>
        <w:t>, line</w:t>
      </w:r>
      <w:r w:rsidR="00565622">
        <w:t>s</w:t>
      </w:r>
      <w:r>
        <w:t xml:space="preserve"> of credit, cash equivalents, restricted cash</w:t>
      </w:r>
      <w:r w:rsidR="0028118A">
        <w:t>,</w:t>
      </w:r>
      <w:r>
        <w:t xml:space="preserve"> cash held in an investment account, etc.</w:t>
      </w:r>
      <w:r w:rsidR="006A525F">
        <w:t xml:space="preserve"> </w:t>
      </w:r>
      <w:r w:rsidR="004E2DA6">
        <w:t xml:space="preserve">With so many terms, it does get confusing! </w:t>
      </w:r>
      <w:r w:rsidR="00615B0D">
        <w:t>This is why i</w:t>
      </w:r>
      <w:r w:rsidR="006A525F">
        <w:t>t is</w:t>
      </w:r>
      <w:r w:rsidR="004E2DA6">
        <w:t xml:space="preserve"> </w:t>
      </w:r>
      <w:r w:rsidR="006A525F">
        <w:t xml:space="preserve">important to have a </w:t>
      </w:r>
      <w:r w:rsidR="005060D0">
        <w:t xml:space="preserve">good </w:t>
      </w:r>
      <w:r w:rsidR="006A525F">
        <w:t>understanding of the requirements of the reporting framework to ensure the statement reconciles the proper item</w:t>
      </w:r>
      <w:r w:rsidR="00FD6F20">
        <w:t>(s)</w:t>
      </w:r>
      <w:r w:rsidR="006A525F">
        <w:t>.</w:t>
      </w:r>
      <w:r w:rsidR="002F5EDB">
        <w:t xml:space="preserve"> </w:t>
      </w:r>
      <w:r w:rsidR="00FD6F20">
        <w:t>No worries, w</w:t>
      </w:r>
      <w:r w:rsidR="004E2DA6">
        <w:t>e</w:t>
      </w:r>
      <w:r w:rsidR="00582638">
        <w:t>’ve</w:t>
      </w:r>
      <w:r w:rsidR="004E2DA6">
        <w:t xml:space="preserve"> got you covered</w:t>
      </w:r>
      <w:r w:rsidR="00FD6F20">
        <w:t xml:space="preserve"> -</w:t>
      </w:r>
      <w:r w:rsidR="004E2DA6">
        <w:t xml:space="preserve"> t</w:t>
      </w:r>
      <w:r w:rsidR="002F5EDB">
        <w:t>he table below discusses some key definitions and requirements.</w:t>
      </w:r>
    </w:p>
    <w:p w14:paraId="560FF41D" w14:textId="77777777" w:rsidR="00D5034A" w:rsidRDefault="00D5034A"/>
    <w:tbl>
      <w:tblPr>
        <w:tblStyle w:val="TableGrid"/>
        <w:tblW w:w="11340" w:type="dxa"/>
        <w:tblInd w:w="-1139" w:type="dxa"/>
        <w:tblLook w:val="04A0" w:firstRow="1" w:lastRow="0" w:firstColumn="1" w:lastColumn="0" w:noHBand="0" w:noVBand="1"/>
      </w:tblPr>
      <w:tblGrid>
        <w:gridCol w:w="1560"/>
        <w:gridCol w:w="3260"/>
        <w:gridCol w:w="3260"/>
        <w:gridCol w:w="3260"/>
      </w:tblGrid>
      <w:tr w:rsidR="00FD6F20" w14:paraId="1C755A09" w14:textId="4AD80D10" w:rsidTr="00CC6FFB">
        <w:trPr>
          <w:tblHeader/>
        </w:trPr>
        <w:tc>
          <w:tcPr>
            <w:tcW w:w="1560" w:type="dxa"/>
            <w:shd w:val="clear" w:color="auto" w:fill="D9D9D9" w:themeFill="background1" w:themeFillShade="D9"/>
          </w:tcPr>
          <w:p w14:paraId="7D48E28D" w14:textId="0A153FF6" w:rsidR="00FD6F20" w:rsidRPr="00D50673" w:rsidRDefault="00FD6F20">
            <w:pPr>
              <w:jc w:val="center"/>
              <w:rPr>
                <w:b/>
              </w:rPr>
            </w:pPr>
            <w:r>
              <w:rPr>
                <w:b/>
              </w:rPr>
              <w:t>Item</w:t>
            </w:r>
          </w:p>
        </w:tc>
        <w:tc>
          <w:tcPr>
            <w:tcW w:w="3260" w:type="dxa"/>
            <w:shd w:val="clear" w:color="auto" w:fill="D9D9D9" w:themeFill="background1" w:themeFillShade="D9"/>
          </w:tcPr>
          <w:p w14:paraId="16145A7C" w14:textId="2BDA5D12" w:rsidR="00FD6F20" w:rsidRPr="00306E6F" w:rsidRDefault="00FD6F20" w:rsidP="00306E6F">
            <w:pPr>
              <w:jc w:val="center"/>
              <w:rPr>
                <w:b/>
              </w:rPr>
            </w:pPr>
            <w:r w:rsidRPr="00306E6F">
              <w:rPr>
                <w:b/>
              </w:rPr>
              <w:t>PSAS</w:t>
            </w:r>
          </w:p>
        </w:tc>
        <w:tc>
          <w:tcPr>
            <w:tcW w:w="3260" w:type="dxa"/>
            <w:shd w:val="clear" w:color="auto" w:fill="D9D9D9" w:themeFill="background1" w:themeFillShade="D9"/>
          </w:tcPr>
          <w:p w14:paraId="25DFF98D" w14:textId="73313EE6" w:rsidR="00FD6F20" w:rsidRPr="00306E6F" w:rsidRDefault="00FD6F20" w:rsidP="00306E6F">
            <w:pPr>
              <w:ind w:hanging="108"/>
              <w:jc w:val="center"/>
              <w:rPr>
                <w:b/>
              </w:rPr>
            </w:pPr>
            <w:r w:rsidRPr="00306E6F">
              <w:rPr>
                <w:b/>
              </w:rPr>
              <w:t>IFRS</w:t>
            </w:r>
          </w:p>
        </w:tc>
        <w:tc>
          <w:tcPr>
            <w:tcW w:w="3260" w:type="dxa"/>
            <w:shd w:val="clear" w:color="auto" w:fill="D9D9D9" w:themeFill="background1" w:themeFillShade="D9"/>
          </w:tcPr>
          <w:p w14:paraId="5D7A0A09" w14:textId="07349E69" w:rsidR="00FD6F20" w:rsidRPr="00FD6F20" w:rsidRDefault="00FD6F20" w:rsidP="00FD6F20">
            <w:pPr>
              <w:ind w:hanging="108"/>
              <w:jc w:val="center"/>
              <w:rPr>
                <w:b/>
              </w:rPr>
            </w:pPr>
            <w:r>
              <w:rPr>
                <w:b/>
              </w:rPr>
              <w:t>IPSAS</w:t>
            </w:r>
          </w:p>
        </w:tc>
      </w:tr>
      <w:tr w:rsidR="00FD6F20" w14:paraId="7790D04C" w14:textId="2DDFD256" w:rsidTr="00306E6F">
        <w:tc>
          <w:tcPr>
            <w:tcW w:w="1560" w:type="dxa"/>
          </w:tcPr>
          <w:p w14:paraId="4739D70D" w14:textId="77777777" w:rsidR="00FD6F20" w:rsidRDefault="00FD6F20" w:rsidP="00247C69"/>
          <w:p w14:paraId="53D2A707" w14:textId="572B5D8D" w:rsidR="00FD6F20" w:rsidRPr="00247C69" w:rsidRDefault="00D5034A" w:rsidP="00247C69">
            <w:r>
              <w:t>C</w:t>
            </w:r>
            <w:r w:rsidR="00FD6F20">
              <w:t>ash flow</w:t>
            </w:r>
          </w:p>
        </w:tc>
        <w:tc>
          <w:tcPr>
            <w:tcW w:w="3260" w:type="dxa"/>
          </w:tcPr>
          <w:p w14:paraId="581D19C6" w14:textId="3AFEEACE" w:rsidR="00FD6F20" w:rsidRDefault="00FD6F20" w:rsidP="00247C69">
            <w:r w:rsidRPr="00247C69">
              <w:t>PS</w:t>
            </w:r>
            <w:r w:rsidR="005D6754">
              <w:t xml:space="preserve"> </w:t>
            </w:r>
            <w:r w:rsidRPr="00247C69">
              <w:t>1201.107</w:t>
            </w:r>
          </w:p>
          <w:p w14:paraId="5D0BCD81" w14:textId="3323299A" w:rsidR="00FD6F20" w:rsidRPr="00247C69" w:rsidRDefault="00FD6F20" w:rsidP="00247C69">
            <w:r w:rsidRPr="00247C69">
              <w:rPr>
                <w:i/>
              </w:rPr>
              <w:t xml:space="preserve">The statement of cash flow should report how a government generated and used </w:t>
            </w:r>
            <w:r w:rsidRPr="00306E6F">
              <w:rPr>
                <w:i/>
              </w:rPr>
              <w:t>cash and cash equivalents</w:t>
            </w:r>
            <w:r w:rsidRPr="00247C69">
              <w:rPr>
                <w:i/>
              </w:rPr>
              <w:t xml:space="preserve"> in the accounting period and the </w:t>
            </w:r>
            <w:r w:rsidRPr="00306E6F">
              <w:rPr>
                <w:i/>
              </w:rPr>
              <w:t>change in cash and cash equivalents</w:t>
            </w:r>
            <w:r w:rsidRPr="00247C69">
              <w:rPr>
                <w:i/>
              </w:rPr>
              <w:t xml:space="preserve"> in the period. The statement of cash flow should report the </w:t>
            </w:r>
            <w:r w:rsidRPr="00306E6F">
              <w:rPr>
                <w:i/>
              </w:rPr>
              <w:t>cash and cash equivalents</w:t>
            </w:r>
            <w:r w:rsidRPr="00247C69">
              <w:rPr>
                <w:i/>
              </w:rPr>
              <w:t xml:space="preserve"> at both the beginning and end of the accounting period.</w:t>
            </w:r>
          </w:p>
        </w:tc>
        <w:tc>
          <w:tcPr>
            <w:tcW w:w="3260" w:type="dxa"/>
          </w:tcPr>
          <w:p w14:paraId="25CDA9C0" w14:textId="3B607FC2" w:rsidR="00FD6F20" w:rsidRPr="00787ABD" w:rsidRDefault="00FD6F20" w:rsidP="00306E6F">
            <w:r w:rsidRPr="00787ABD">
              <w:t xml:space="preserve">IAS 7.6 </w:t>
            </w:r>
          </w:p>
          <w:p w14:paraId="28D7BD95" w14:textId="0F781E33" w:rsidR="00FD6F20" w:rsidRPr="00247C69" w:rsidRDefault="00FD6F20" w:rsidP="00CC6FFB">
            <w:r w:rsidRPr="00A8213E">
              <w:t xml:space="preserve">Cash flows are inflows and outflows of </w:t>
            </w:r>
            <w:r w:rsidRPr="00306E6F">
              <w:t>cash and cash equivalents</w:t>
            </w:r>
            <w:r w:rsidRPr="00787ABD">
              <w:t>.</w:t>
            </w:r>
          </w:p>
        </w:tc>
        <w:tc>
          <w:tcPr>
            <w:tcW w:w="3260" w:type="dxa"/>
          </w:tcPr>
          <w:p w14:paraId="08CE0FB9" w14:textId="7C1DF9F6" w:rsidR="00A8213E" w:rsidRPr="00306E6F" w:rsidRDefault="00A8213E" w:rsidP="00306E6F">
            <w:r w:rsidRPr="00306E6F">
              <w:t>2.8</w:t>
            </w:r>
          </w:p>
          <w:p w14:paraId="7E9509A0" w14:textId="316BCBD9" w:rsidR="00A8213E" w:rsidRPr="00FD6F20" w:rsidRDefault="00A8213E" w:rsidP="00CC6FFB">
            <w:pPr>
              <w:rPr>
                <w:highlight w:val="yellow"/>
              </w:rPr>
            </w:pPr>
            <w:r w:rsidRPr="00194C19">
              <w:t>Cash flows are inflows and outflows of cash and cash equivalents</w:t>
            </w:r>
            <w:r w:rsidRPr="00787ABD">
              <w:t>.</w:t>
            </w:r>
          </w:p>
        </w:tc>
      </w:tr>
      <w:tr w:rsidR="00FD6F20" w14:paraId="7CD62C44" w14:textId="369F3DE8" w:rsidTr="00306E6F">
        <w:tc>
          <w:tcPr>
            <w:tcW w:w="1560" w:type="dxa"/>
          </w:tcPr>
          <w:p w14:paraId="074BFED3" w14:textId="6D44F7A4" w:rsidR="00FD6F20" w:rsidRDefault="00FD6F20" w:rsidP="00D50673"/>
          <w:p w14:paraId="71438882" w14:textId="57FF1D99" w:rsidR="00FD6F20" w:rsidRDefault="00FD6F20" w:rsidP="00D50673">
            <w:r>
              <w:t>Cash</w:t>
            </w:r>
          </w:p>
        </w:tc>
        <w:tc>
          <w:tcPr>
            <w:tcW w:w="3260" w:type="dxa"/>
          </w:tcPr>
          <w:p w14:paraId="396E8D45" w14:textId="622F727F" w:rsidR="00FD6F20" w:rsidRDefault="00FD6F20" w:rsidP="00D50673">
            <w:r>
              <w:t>PS</w:t>
            </w:r>
            <w:r w:rsidR="005D6754">
              <w:t xml:space="preserve"> </w:t>
            </w:r>
            <w:r>
              <w:t>1201.104</w:t>
            </w:r>
          </w:p>
          <w:p w14:paraId="0993E547" w14:textId="59A1F717" w:rsidR="00FD6F20" w:rsidRDefault="00FD6F20" w:rsidP="00A8213E">
            <w:r w:rsidRPr="00D006DD">
              <w:t>Cash comprises c</w:t>
            </w:r>
            <w:r>
              <w:t xml:space="preserve">ash on hand and demand deposits. </w:t>
            </w:r>
          </w:p>
        </w:tc>
        <w:tc>
          <w:tcPr>
            <w:tcW w:w="3260" w:type="dxa"/>
          </w:tcPr>
          <w:p w14:paraId="4C7B84E2" w14:textId="317FAA4C" w:rsidR="00FD6F20" w:rsidRDefault="00A8213E" w:rsidP="00787ABD">
            <w:r>
              <w:t>IAS 7.</w:t>
            </w:r>
            <w:r w:rsidR="00FD6F20">
              <w:t>6</w:t>
            </w:r>
          </w:p>
          <w:p w14:paraId="09CF9D67" w14:textId="3873C5E4" w:rsidR="00FD6F20" w:rsidRDefault="00FD6F20" w:rsidP="00A8213E">
            <w:r w:rsidRPr="00D50673">
              <w:t>Cash comprises cash on hand and demand deposits.</w:t>
            </w:r>
          </w:p>
        </w:tc>
        <w:tc>
          <w:tcPr>
            <w:tcW w:w="3260" w:type="dxa"/>
          </w:tcPr>
          <w:p w14:paraId="0675D82A" w14:textId="77777777" w:rsidR="00FD6F20" w:rsidRDefault="00A8213E" w:rsidP="00306E6F">
            <w:r>
              <w:t>IPSAS 2.8</w:t>
            </w:r>
          </w:p>
          <w:p w14:paraId="1616ADA6" w14:textId="53D121A9" w:rsidR="00A8213E" w:rsidRDefault="00A8213E" w:rsidP="00306E6F">
            <w:r w:rsidRPr="00D50673">
              <w:t>Cash comprises cash on hand and demand deposits.</w:t>
            </w:r>
          </w:p>
        </w:tc>
      </w:tr>
      <w:tr w:rsidR="00FD6F20" w14:paraId="12E66FF6" w14:textId="7F106DE7" w:rsidTr="00306E6F">
        <w:tc>
          <w:tcPr>
            <w:tcW w:w="1560" w:type="dxa"/>
          </w:tcPr>
          <w:p w14:paraId="097BA971" w14:textId="71F2771B" w:rsidR="00FD6F20" w:rsidRDefault="00FD6F20" w:rsidP="009E6BA3"/>
          <w:p w14:paraId="076C1DCD" w14:textId="612E7358" w:rsidR="00FD6F20" w:rsidRDefault="00FD6F20" w:rsidP="009E6BA3">
            <w:r w:rsidRPr="00A8213E">
              <w:t>Cash equivalents</w:t>
            </w:r>
          </w:p>
        </w:tc>
        <w:tc>
          <w:tcPr>
            <w:tcW w:w="3260" w:type="dxa"/>
          </w:tcPr>
          <w:p w14:paraId="21BB90B2" w14:textId="6F533F1C" w:rsidR="00FD6F20" w:rsidRDefault="00FD6F20">
            <w:r>
              <w:t>PS</w:t>
            </w:r>
            <w:r w:rsidR="005D6754">
              <w:t xml:space="preserve"> </w:t>
            </w:r>
            <w:r>
              <w:t>1</w:t>
            </w:r>
            <w:r w:rsidRPr="00C05A39">
              <w:t xml:space="preserve">201.105 </w:t>
            </w:r>
          </w:p>
          <w:p w14:paraId="3F6D2138" w14:textId="315CFA4E" w:rsidR="00FD6F20" w:rsidRDefault="00FD6F20" w:rsidP="00A8213E">
            <w:r w:rsidRPr="00C05A39">
              <w:t>Cash equivalents are short-term highly liquid investments that are readily convertible to known amounts of cash and that are subject to an insignificant risk of changes in value.</w:t>
            </w:r>
            <w:r w:rsidRPr="005A6F4A">
              <w:t xml:space="preserve"> </w:t>
            </w:r>
            <w:r w:rsidRPr="00306E6F">
              <w:t>Cash equivalents are held for the purpose of meeting short-term cash commitments rather than for investing or other purposes</w:t>
            </w:r>
            <w:r w:rsidRPr="005A6F4A">
              <w:t>.</w:t>
            </w:r>
            <w:r w:rsidRPr="00C05A39">
              <w:t xml:space="preserve"> An investment would normally qualify as a cash equivalent only when it has a short maturity of, say, three months or less from the date of acquisition. </w:t>
            </w:r>
            <w:r w:rsidR="00582638">
              <w:t>Equity investments are excluded from cash equivalents unless they are, in substance, cash equivalents.</w:t>
            </w:r>
          </w:p>
        </w:tc>
        <w:tc>
          <w:tcPr>
            <w:tcW w:w="3260" w:type="dxa"/>
          </w:tcPr>
          <w:p w14:paraId="39648206" w14:textId="0E2B4041" w:rsidR="00FD6F20" w:rsidRPr="00A8213E" w:rsidRDefault="00FD6F20" w:rsidP="00787ABD">
            <w:r w:rsidRPr="00A8213E">
              <w:t>IAS 7.</w:t>
            </w:r>
            <w:r w:rsidR="00A8213E" w:rsidRPr="00306E6F">
              <w:t>6</w:t>
            </w:r>
          </w:p>
          <w:p w14:paraId="6A977778" w14:textId="77777777" w:rsidR="00FD6F20" w:rsidRPr="00A8213E" w:rsidRDefault="00FD6F20" w:rsidP="00A8213E">
            <w:r w:rsidRPr="00A8213E">
              <w:t xml:space="preserve">Cash equivalents are short-term, highly liquid investments that are readily convertible to known amounts of cash and which are subject to an insignificant risk of changes in value. </w:t>
            </w:r>
          </w:p>
          <w:p w14:paraId="2FD81896" w14:textId="7DD0471B" w:rsidR="00A8213E" w:rsidRDefault="00A8213E">
            <w:r w:rsidRPr="00194C19">
              <w:t>IAS 7.</w:t>
            </w:r>
            <w:r>
              <w:t>7</w:t>
            </w:r>
          </w:p>
          <w:p w14:paraId="58A02634" w14:textId="42A35622" w:rsidR="00FD6F20" w:rsidRPr="00A8213E" w:rsidRDefault="00FD6F20">
            <w:r w:rsidRPr="00A8213E">
              <w:t>Cash equivalents are held for the purpose of meeting short-term cash commitments rather than for investment or other purposes. For an investment to qualify as a cash equivalent it must be readily convertible to a known amount of cash and be subject to an insignificant risk of changes in value. Therefore, an investment normally qualifies as a cash equivalent only when it has a short maturity of, say, three months or less from the date of acquisition.</w:t>
            </w:r>
            <w:r w:rsidR="00C21D5D">
              <w:t xml:space="preserve"> Equity investments are excluded from cash equivalents unless they are, in substance, cash equivalents, for example in the case of preferred shares acquired within a short period of their maturity and with a specified redemption date.</w:t>
            </w:r>
          </w:p>
        </w:tc>
        <w:tc>
          <w:tcPr>
            <w:tcW w:w="3260" w:type="dxa"/>
          </w:tcPr>
          <w:p w14:paraId="6E2C567D" w14:textId="77777777" w:rsidR="00A8213E" w:rsidRDefault="00A8213E" w:rsidP="00306E6F">
            <w:r>
              <w:t>IPSAS 2.8</w:t>
            </w:r>
          </w:p>
          <w:p w14:paraId="1BF68956" w14:textId="77777777" w:rsidR="00A8213E" w:rsidRDefault="00A8213E" w:rsidP="00A8213E">
            <w:r w:rsidRPr="003B7366">
              <w:t>Cash equivalents are short-term, highly liquid investments that are readily convertible to known amounts of cash and which are subject to an insignificant risk of changes in value.</w:t>
            </w:r>
            <w:r>
              <w:t xml:space="preserve"> </w:t>
            </w:r>
          </w:p>
          <w:p w14:paraId="1F7F28F5" w14:textId="6A6D7EF5" w:rsidR="00A8213E" w:rsidRDefault="00A8213E">
            <w:r>
              <w:t>IPSAS 2.9</w:t>
            </w:r>
          </w:p>
          <w:p w14:paraId="34552464" w14:textId="40C469C1" w:rsidR="00A8213E" w:rsidRDefault="00A8213E" w:rsidP="00306E6F">
            <w:r w:rsidRPr="00194C19">
              <w:t>Cash equivalents are held for the purpose of meeting short-term cash commitments rather than for investment or other purposes. For an investment to qualify as a cash equivalent</w:t>
            </w:r>
            <w:r w:rsidR="001C4F93">
              <w:t>,</w:t>
            </w:r>
            <w:r w:rsidRPr="00194C19">
              <w:t xml:space="preserve"> it must be readily convertible to a known amount of cash and be subject to an insignificant risk of changes in value. Therefore, an investment normally qualifies as a cash equivalent only when it has a short maturity of, say, three months or less from the date of acquisition.</w:t>
            </w:r>
            <w:r w:rsidR="001C4F93">
              <w:t xml:space="preserve"> Equity investments are excluded from cash equivalents unless they are, in substance, cash equivalents.</w:t>
            </w:r>
          </w:p>
        </w:tc>
      </w:tr>
      <w:tr w:rsidR="00FD6F20" w14:paraId="1868F9C1" w14:textId="4161D257" w:rsidTr="00306E6F">
        <w:tc>
          <w:tcPr>
            <w:tcW w:w="1560" w:type="dxa"/>
          </w:tcPr>
          <w:p w14:paraId="7C42BAB7" w14:textId="468842C2" w:rsidR="00FD6F20" w:rsidRDefault="00FD6F20" w:rsidP="00D50673"/>
          <w:p w14:paraId="34333F4E" w14:textId="3D1AC665" w:rsidR="00FD6F20" w:rsidRPr="00D006DD" w:rsidRDefault="00FD6F20" w:rsidP="00D50673">
            <w:r>
              <w:t>Bank overdrafts</w:t>
            </w:r>
          </w:p>
        </w:tc>
        <w:tc>
          <w:tcPr>
            <w:tcW w:w="3260" w:type="dxa"/>
          </w:tcPr>
          <w:p w14:paraId="567A0F54" w14:textId="24741CE2" w:rsidR="00FD6F20" w:rsidRDefault="00FD6F20" w:rsidP="00E142CE">
            <w:r>
              <w:t>PS</w:t>
            </w:r>
            <w:r w:rsidR="005D6754">
              <w:t xml:space="preserve"> </w:t>
            </w:r>
            <w:r>
              <w:t>1</w:t>
            </w:r>
            <w:r w:rsidRPr="00C05A39">
              <w:t xml:space="preserve">201.105 </w:t>
            </w:r>
          </w:p>
          <w:p w14:paraId="694D59A1" w14:textId="2701F206" w:rsidR="00FD6F20" w:rsidRDefault="00FD6F20" w:rsidP="00D50673">
            <w:r w:rsidRPr="00D006DD">
              <w:t>When bank overdrafts, which are repayable on demand, form an integral part of a government's cash management, such that the government's bank balance often fluctuates from being positive to overdrawn, bank overdrafts are included as a component of cash and cash equivalents.</w:t>
            </w:r>
          </w:p>
          <w:p w14:paraId="2D61E664" w14:textId="77777777" w:rsidR="00FD6F20" w:rsidRDefault="00FD6F20"/>
        </w:tc>
        <w:tc>
          <w:tcPr>
            <w:tcW w:w="3260" w:type="dxa"/>
          </w:tcPr>
          <w:p w14:paraId="2252798A" w14:textId="168E6162" w:rsidR="00FD6F20" w:rsidRDefault="00FD6F20" w:rsidP="00787ABD">
            <w:r>
              <w:t>IAS 7.</w:t>
            </w:r>
            <w:r w:rsidR="00CC6FFB">
              <w:t>8</w:t>
            </w:r>
          </w:p>
          <w:p w14:paraId="1FD062BF" w14:textId="7363E054" w:rsidR="00FD6F20" w:rsidRDefault="00FD6F20" w:rsidP="00A8213E">
            <w:r w:rsidRPr="00D50673">
              <w:t>Bank borrowings are generally considered to be financing activities. However, in some countries, bank overdrafts which are repayable on demand form an integral part of an entity's cash management. In these circumstances, bank overdrafts are included as a component of cash and cash equivalents. A characteristic of such banking arrangements is that the bank balance often fluctuates from being positive to overdrawn.</w:t>
            </w:r>
          </w:p>
        </w:tc>
        <w:tc>
          <w:tcPr>
            <w:tcW w:w="3260" w:type="dxa"/>
          </w:tcPr>
          <w:p w14:paraId="7E4DE95A" w14:textId="77777777" w:rsidR="00FD6F20" w:rsidRDefault="00A8213E" w:rsidP="00306E6F">
            <w:r>
              <w:t>IPSAS 2.10</w:t>
            </w:r>
          </w:p>
          <w:p w14:paraId="60CF2E6B" w14:textId="3A788209" w:rsidR="00A8213E" w:rsidRDefault="00A8213E" w:rsidP="008E1113">
            <w:r w:rsidRPr="00D50673">
              <w:t xml:space="preserve">Bank borrowings are generally considered to be financing activities. However, in some countries, bank overdrafts </w:t>
            </w:r>
            <w:r w:rsidR="008E1113">
              <w:t>that</w:t>
            </w:r>
            <w:r w:rsidRPr="00D50673">
              <w:t xml:space="preserve"> are repayable on demand form an integral part of an entity's cash management. In these circumstances, bank overdrafts are included as a component of cash and cash equivalents. A characteristic of such banking arrangements is that the bank balance often fluctuates from being positive to overdrawn.</w:t>
            </w:r>
          </w:p>
        </w:tc>
      </w:tr>
    </w:tbl>
    <w:p w14:paraId="4C04219D" w14:textId="621347B8" w:rsidR="002F5EDB" w:rsidRDefault="002F5EDB">
      <w:r w:rsidRPr="00306E6F">
        <w:t xml:space="preserve">Some of the </w:t>
      </w:r>
      <w:r>
        <w:t>general implications of these definitions and requirement</w:t>
      </w:r>
      <w:r w:rsidR="00706DD5">
        <w:t>s</w:t>
      </w:r>
      <w:r>
        <w:t xml:space="preserve"> to the statement of cash flows include the following:</w:t>
      </w:r>
    </w:p>
    <w:p w14:paraId="67CA0C16" w14:textId="0FC6DFEC" w:rsidR="002F5EDB" w:rsidRDefault="004E2DA6" w:rsidP="00306E6F">
      <w:pPr>
        <w:pStyle w:val="ListParagraph"/>
        <w:numPr>
          <w:ilvl w:val="0"/>
          <w:numId w:val="6"/>
        </w:numPr>
      </w:pPr>
      <w:r>
        <w:lastRenderedPageBreak/>
        <w:t>You need</w:t>
      </w:r>
      <w:r w:rsidR="002F5EDB" w:rsidRPr="002F5EDB">
        <w:t xml:space="preserve"> to ensure that what is being presented in the cash FSLI meets the definition of cash.</w:t>
      </w:r>
    </w:p>
    <w:p w14:paraId="01504014" w14:textId="3187BF11" w:rsidR="002F5EDB" w:rsidRDefault="002F5EDB" w:rsidP="00306E6F">
      <w:pPr>
        <w:pStyle w:val="ListParagraph"/>
        <w:numPr>
          <w:ilvl w:val="0"/>
          <w:numId w:val="6"/>
        </w:numPr>
      </w:pPr>
      <w:r w:rsidRPr="002F5EDB">
        <w:t xml:space="preserve">If the </w:t>
      </w:r>
      <w:r w:rsidR="00D5034A">
        <w:t xml:space="preserve">audit </w:t>
      </w:r>
      <w:r w:rsidRPr="002F5EDB">
        <w:t xml:space="preserve">entity has cash equivalents, </w:t>
      </w:r>
      <w:r w:rsidR="004E2DA6">
        <w:t>you</w:t>
      </w:r>
      <w:r w:rsidRPr="002F5EDB">
        <w:t xml:space="preserve"> need to ensure that the statement of cash flow reconciles to cash and cash equivalent</w:t>
      </w:r>
      <w:r w:rsidR="00D5034A">
        <w:t>s</w:t>
      </w:r>
      <w:r w:rsidRPr="002F5EDB">
        <w:t>.</w:t>
      </w:r>
    </w:p>
    <w:p w14:paraId="1C59B20F" w14:textId="41447B23" w:rsidR="002F5EDB" w:rsidRDefault="002F5EDB" w:rsidP="00306E6F">
      <w:pPr>
        <w:pStyle w:val="ListParagraph"/>
        <w:numPr>
          <w:ilvl w:val="1"/>
          <w:numId w:val="6"/>
        </w:numPr>
      </w:pPr>
      <w:r w:rsidRPr="002F5EDB">
        <w:t xml:space="preserve">It is important to understand the entity’s </w:t>
      </w:r>
      <w:r w:rsidR="00706DD5">
        <w:t xml:space="preserve">cash management </w:t>
      </w:r>
      <w:r w:rsidRPr="002F5EDB">
        <w:t>intent</w:t>
      </w:r>
      <w:r w:rsidR="00706DD5">
        <w:t>ion</w:t>
      </w:r>
      <w:r w:rsidRPr="002F5EDB">
        <w:t>s to ensure proper classification of any cash equivalent</w:t>
      </w:r>
      <w:r w:rsidR="00706DD5">
        <w:t>s</w:t>
      </w:r>
      <w:r w:rsidRPr="002F5EDB">
        <w:t xml:space="preserve">. For instance, a short-term investment may not meet the definition of a cash equivalent if it is held as part of an investment portfolio </w:t>
      </w:r>
      <w:r w:rsidR="00D5034A">
        <w:t>and it is not</w:t>
      </w:r>
      <w:r w:rsidRPr="002F5EDB">
        <w:t xml:space="preserve"> held for purpose of meeting short-term cash commitments.</w:t>
      </w:r>
    </w:p>
    <w:p w14:paraId="1FF1DD58" w14:textId="6E45654D" w:rsidR="002F5EDB" w:rsidRDefault="002F5EDB" w:rsidP="00306E6F">
      <w:pPr>
        <w:pStyle w:val="ListParagraph"/>
        <w:numPr>
          <w:ilvl w:val="1"/>
          <w:numId w:val="6"/>
        </w:numPr>
      </w:pPr>
      <w:r w:rsidRPr="002F5EDB">
        <w:t xml:space="preserve">Also, a cash equivalent might be presented separately from cash in the statement of financial position (e.g., in the investment FSLI). Should that be the case, it would still need to be included in the “cash and </w:t>
      </w:r>
      <w:r w:rsidR="00706DD5">
        <w:t xml:space="preserve">cash </w:t>
      </w:r>
      <w:r w:rsidRPr="002F5EDB">
        <w:t>equivalent</w:t>
      </w:r>
      <w:r w:rsidR="00706DD5">
        <w:t>s</w:t>
      </w:r>
      <w:r w:rsidRPr="002F5EDB">
        <w:t>” total</w:t>
      </w:r>
      <w:r w:rsidR="00706DD5">
        <w:t xml:space="preserve"> that the statement of cash flows reconciles to</w:t>
      </w:r>
      <w:r w:rsidRPr="002F5EDB">
        <w:t xml:space="preserve">. Sufficient details should be </w:t>
      </w:r>
      <w:r w:rsidR="00706DD5">
        <w:t>disclosed, either in the notes or on the statement of cash flows,</w:t>
      </w:r>
      <w:r w:rsidRPr="002F5EDB">
        <w:t xml:space="preserve"> to enable the user to understand the reconciliation of “cash and cash equivalents”.</w:t>
      </w:r>
    </w:p>
    <w:p w14:paraId="01084367" w14:textId="0C85BA97" w:rsidR="002F5EDB" w:rsidRDefault="002F5EDB" w:rsidP="00306E6F">
      <w:pPr>
        <w:pStyle w:val="ListParagraph"/>
        <w:numPr>
          <w:ilvl w:val="0"/>
          <w:numId w:val="6"/>
        </w:numPr>
      </w:pPr>
      <w:r w:rsidRPr="002F5EDB">
        <w:t xml:space="preserve">Cash and cash equivalents presented </w:t>
      </w:r>
      <w:r w:rsidR="00706DD5">
        <w:t>o</w:t>
      </w:r>
      <w:r w:rsidRPr="002F5EDB">
        <w:t>n the statement of cash flow</w:t>
      </w:r>
      <w:r w:rsidR="00706DD5">
        <w:t>s</w:t>
      </w:r>
      <w:r w:rsidRPr="002F5EDB">
        <w:t xml:space="preserve"> may not directly tie to the cash and cash equivalent</w:t>
      </w:r>
      <w:r w:rsidR="00706DD5">
        <w:t>s</w:t>
      </w:r>
      <w:r w:rsidRPr="002F5EDB">
        <w:t xml:space="preserve"> on the statement of financial position, as some </w:t>
      </w:r>
      <w:r w:rsidR="00706DD5">
        <w:t>components</w:t>
      </w:r>
      <w:r w:rsidRPr="002F5EDB">
        <w:t xml:space="preserve"> might be presented under a different FSLI (e.g. </w:t>
      </w:r>
      <w:r w:rsidR="00A941F4">
        <w:t xml:space="preserve">a </w:t>
      </w:r>
      <w:r w:rsidRPr="002F5EDB">
        <w:t>bank overdraft might be presented as a liability).</w:t>
      </w:r>
      <w:r>
        <w:t xml:space="preserve"> Similar to what is mentioned above, </w:t>
      </w:r>
      <w:r w:rsidRPr="002F5EDB">
        <w:t xml:space="preserve">sufficient details should be </w:t>
      </w:r>
      <w:r w:rsidR="00706DD5">
        <w:t>disclosed, either in the notes or on the statement of cash flows,</w:t>
      </w:r>
      <w:r w:rsidRPr="002F5EDB">
        <w:t xml:space="preserve"> to enable the user to understand the reconciliation of “cash and cash equivalents”.</w:t>
      </w:r>
    </w:p>
    <w:p w14:paraId="203F6556" w14:textId="77777777" w:rsidR="00A9021A" w:rsidRPr="00B8032D" w:rsidRDefault="00A9021A" w:rsidP="00306E6F">
      <w:pPr>
        <w:pStyle w:val="Heading3"/>
      </w:pPr>
      <w:r w:rsidRPr="00B8032D">
        <w:t>Know you</w:t>
      </w:r>
      <w:r w:rsidR="00AF06A8">
        <w:t>r</w:t>
      </w:r>
      <w:r w:rsidRPr="00B8032D">
        <w:t xml:space="preserve"> entity!</w:t>
      </w:r>
    </w:p>
    <w:p w14:paraId="3B1F50A3" w14:textId="18900974" w:rsidR="00275039" w:rsidRDefault="00A9021A" w:rsidP="000E70A2">
      <w:r>
        <w:t xml:space="preserve">The absolute best way to make sure that you are considering all </w:t>
      </w:r>
      <w:r w:rsidR="00F84E1A">
        <w:t xml:space="preserve">adjustments that are required is to consider all of the significant types of </w:t>
      </w:r>
      <w:r w:rsidR="003D22E8">
        <w:t xml:space="preserve">transactions that go through a </w:t>
      </w:r>
      <w:r w:rsidR="00DF42FE">
        <w:t>statement of financial position</w:t>
      </w:r>
      <w:r w:rsidR="00293771">
        <w:t xml:space="preserve"> or statement</w:t>
      </w:r>
      <w:r w:rsidR="00DF42FE">
        <w:t xml:space="preserve"> of operations</w:t>
      </w:r>
      <w:r w:rsidR="006A05C2">
        <w:t xml:space="preserve"> </w:t>
      </w:r>
      <w:r w:rsidR="00F84E1A">
        <w:t>account.</w:t>
      </w:r>
      <w:r w:rsidR="00FF3DD7">
        <w:t xml:space="preserve">  Let’s stick with the PPE account to make things simple.  On the surface, PPE seems straight-forward.  Closing balance = opening ba</w:t>
      </w:r>
      <w:r w:rsidR="003D22E8">
        <w:t>lance + additions – depreciation</w:t>
      </w:r>
      <w:r w:rsidR="00D376D4">
        <w:t>/impairment</w:t>
      </w:r>
      <w:r w:rsidR="00FF3DD7">
        <w:t xml:space="preserve"> – disposals.  </w:t>
      </w:r>
      <w:r w:rsidR="002F5EDB">
        <w:t>A</w:t>
      </w:r>
      <w:r w:rsidR="00FF3DD7">
        <w:t xml:space="preserve">dditions are going to be purchased with cash and disposals are going to be sold for cash so the only thing left </w:t>
      </w:r>
      <w:r w:rsidR="006F7349">
        <w:t>has already been talked about!</w:t>
      </w:r>
      <w:r w:rsidR="00FF3DD7">
        <w:t xml:space="preserve">  </w:t>
      </w:r>
      <w:r w:rsidR="006F7349">
        <w:t xml:space="preserve">Don’t stop reading just yet! </w:t>
      </w:r>
      <w:r w:rsidR="00A54124">
        <w:t>Consider an</w:t>
      </w:r>
      <w:r w:rsidR="006F7349">
        <w:t xml:space="preserve"> entity that</w:t>
      </w:r>
      <w:r w:rsidR="00C759A0">
        <w:t xml:space="preserve"> </w:t>
      </w:r>
      <w:r w:rsidR="00A54124">
        <w:t xml:space="preserve">has </w:t>
      </w:r>
      <w:r w:rsidR="00C759A0">
        <w:t>expanded their operations and therefore paid a contractor to build and install new equipment.  It is entirely possible at year-end that the entity will have received a significant amount of capital items that they have yet to pay for (i</w:t>
      </w:r>
      <w:r w:rsidR="005F4B4A">
        <w:t>.</w:t>
      </w:r>
      <w:r w:rsidR="00C759A0">
        <w:t xml:space="preserve">e. equipment received and not yet </w:t>
      </w:r>
      <w:r w:rsidR="00D376D4">
        <w:t>paid</w:t>
      </w:r>
      <w:r w:rsidR="00631C45">
        <w:t xml:space="preserve"> for</w:t>
      </w:r>
      <w:r w:rsidR="00C759A0">
        <w:t xml:space="preserve">).  If the equipment is included on the balance sheet, but has not been paid for yet, it is a non-cash item </w:t>
      </w:r>
      <w:r w:rsidR="00B05B09">
        <w:t xml:space="preserve">(no money has traded hands) </w:t>
      </w:r>
      <w:r w:rsidR="00C759A0">
        <w:t xml:space="preserve">and should </w:t>
      </w:r>
      <w:r w:rsidR="00B05B09">
        <w:t xml:space="preserve">not be included </w:t>
      </w:r>
      <w:r w:rsidR="009819B0">
        <w:t>in the invest</w:t>
      </w:r>
      <w:r w:rsidR="005864EB">
        <w:t>ing</w:t>
      </w:r>
      <w:r w:rsidR="009819B0">
        <w:t xml:space="preserve"> activities </w:t>
      </w:r>
      <w:r w:rsidR="005864EB">
        <w:t xml:space="preserve">section </w:t>
      </w:r>
      <w:r w:rsidR="009819B0">
        <w:t>on</w:t>
      </w:r>
      <w:r w:rsidR="00B05B09">
        <w:t xml:space="preserve"> </w:t>
      </w:r>
      <w:r w:rsidR="00C759A0">
        <w:t xml:space="preserve">the </w:t>
      </w:r>
      <w:r w:rsidR="005A6F4A">
        <w:t>statement of cash flow</w:t>
      </w:r>
      <w:r w:rsidR="00631C45">
        <w:t>s</w:t>
      </w:r>
      <w:r w:rsidR="00C759A0">
        <w:t>.  So as you can see, there is no magic formula for each account.  You really need to know your entity</w:t>
      </w:r>
      <w:r w:rsidR="00B05B09">
        <w:t xml:space="preserve"> and the originating transaction</w:t>
      </w:r>
      <w:r w:rsidR="00C759A0">
        <w:t xml:space="preserve"> in order to effectively identify which adjustments are needed to arrive at </w:t>
      </w:r>
      <w:r w:rsidR="00B05B09">
        <w:t>the</w:t>
      </w:r>
      <w:r w:rsidR="00C759A0">
        <w:t xml:space="preserve"> </w:t>
      </w:r>
      <w:r w:rsidR="005864EB">
        <w:t xml:space="preserve">appropriate amounts on the </w:t>
      </w:r>
      <w:r w:rsidR="005A6F4A">
        <w:t>statement of cash flow</w:t>
      </w:r>
      <w:r w:rsidR="003C578B">
        <w:t>s</w:t>
      </w:r>
      <w:r w:rsidR="00C759A0">
        <w:t xml:space="preserve">.  </w:t>
      </w:r>
    </w:p>
    <w:p w14:paraId="3B654020" w14:textId="3151011B" w:rsidR="00FF3DD7" w:rsidRDefault="00A54124" w:rsidP="000E70A2">
      <w:r>
        <w:t xml:space="preserve">To help you on your way, </w:t>
      </w:r>
      <w:r w:rsidR="00B43C47">
        <w:t xml:space="preserve">Appendix </w:t>
      </w:r>
      <w:proofErr w:type="gramStart"/>
      <w:r w:rsidR="00B43C47">
        <w:t>A</w:t>
      </w:r>
      <w:proofErr w:type="gramEnd"/>
      <w:r w:rsidR="00B43C47">
        <w:t xml:space="preserve"> presents some</w:t>
      </w:r>
      <w:r w:rsidR="00C759A0">
        <w:t xml:space="preserve"> examples</w:t>
      </w:r>
      <w:r>
        <w:t xml:space="preserve"> of things to look out for</w:t>
      </w:r>
      <w:r w:rsidR="005864EB">
        <w:t>,</w:t>
      </w:r>
      <w:r>
        <w:t xml:space="preserve"> but in no way should this be considered a</w:t>
      </w:r>
      <w:r w:rsidR="003C578B">
        <w:t>n exhaustive</w:t>
      </w:r>
      <w:r>
        <w:t xml:space="preserve"> list.</w:t>
      </w:r>
    </w:p>
    <w:p w14:paraId="4EA4EF3E" w14:textId="2F3AE36C" w:rsidR="007C2176" w:rsidRPr="006A05C2" w:rsidRDefault="007C2176" w:rsidP="007C2176">
      <w:pPr>
        <w:pStyle w:val="Heading3"/>
      </w:pPr>
      <w:r>
        <w:t>Common errors</w:t>
      </w:r>
      <w:r w:rsidRPr="006A05C2">
        <w:t xml:space="preserve"> </w:t>
      </w:r>
    </w:p>
    <w:p w14:paraId="5115DBFA" w14:textId="19BE413B" w:rsidR="007C2176" w:rsidRDefault="007C2176" w:rsidP="000E70A2">
      <w:r>
        <w:t>A list of common errors can be found in Appendix B.</w:t>
      </w:r>
    </w:p>
    <w:p w14:paraId="3659ED55" w14:textId="3FB9AF64" w:rsidR="00A22603" w:rsidRPr="006A05C2" w:rsidRDefault="00A22603">
      <w:pPr>
        <w:pStyle w:val="Heading3"/>
      </w:pPr>
      <w:r w:rsidRPr="006A05C2">
        <w:t>Best practice</w:t>
      </w:r>
      <w:r w:rsidR="00D5034A">
        <w:t>s</w:t>
      </w:r>
      <w:r w:rsidRPr="006A05C2">
        <w:t xml:space="preserve"> </w:t>
      </w:r>
    </w:p>
    <w:p w14:paraId="32F2AA53" w14:textId="77777777" w:rsidR="006A05C2" w:rsidRDefault="00275039" w:rsidP="00306E6F">
      <w:r>
        <w:t>A list of best practices can be found in Appendix C.</w:t>
      </w:r>
    </w:p>
    <w:p w14:paraId="7ADBEBA3" w14:textId="77777777" w:rsidR="006F7349" w:rsidRPr="00B8032D" w:rsidRDefault="006F7349" w:rsidP="000E70A2">
      <w:pPr>
        <w:pStyle w:val="Heading3"/>
      </w:pPr>
      <w:r w:rsidRPr="00B8032D">
        <w:t>Conclusion</w:t>
      </w:r>
    </w:p>
    <w:p w14:paraId="5F265A18" w14:textId="47688D68" w:rsidR="00C94E90" w:rsidRDefault="00C94E90" w:rsidP="00C94E90">
      <w:r>
        <w:t>The statement of cash flow</w:t>
      </w:r>
      <w:r w:rsidR="003C578B">
        <w:t>s</w:t>
      </w:r>
      <w:r>
        <w:t xml:space="preserve"> is as important as the statement of financial position </w:t>
      </w:r>
      <w:r w:rsidR="00D5034A">
        <w:t>and the statement</w:t>
      </w:r>
      <w:r>
        <w:t xml:space="preserve"> of operations. </w:t>
      </w:r>
      <w:r w:rsidR="001E5370">
        <w:t>W</w:t>
      </w:r>
      <w:r>
        <w:t xml:space="preserve">hen </w:t>
      </w:r>
      <w:r w:rsidR="001E5370">
        <w:t>an error is identified</w:t>
      </w:r>
      <w:r w:rsidR="00DF42FE">
        <w:t xml:space="preserve"> on the statement of financial position or the statement of operations</w:t>
      </w:r>
      <w:r w:rsidR="001E5370">
        <w:t xml:space="preserve">, </w:t>
      </w:r>
      <w:r w:rsidR="00D5034A">
        <w:t>you</w:t>
      </w:r>
      <w:r w:rsidR="001E5370">
        <w:t xml:space="preserve"> also need to assess the </w:t>
      </w:r>
      <w:r w:rsidR="00DF42FE">
        <w:t xml:space="preserve">potential </w:t>
      </w:r>
      <w:r w:rsidR="001E5370">
        <w:t>impact on the statement of cash flow</w:t>
      </w:r>
      <w:r w:rsidR="003C578B">
        <w:t>s</w:t>
      </w:r>
      <w:r w:rsidR="001E5370">
        <w:t xml:space="preserve">. If the entity does not elect to correct the misstatement, the audit team’s assessment should not only focus on the statement of operations or statement of financial position, but </w:t>
      </w:r>
      <w:r w:rsidR="00DF42FE">
        <w:t>due</w:t>
      </w:r>
      <w:r w:rsidR="001E5370">
        <w:t xml:space="preserve"> consideration </w:t>
      </w:r>
      <w:r w:rsidR="003C578B">
        <w:t xml:space="preserve">should also be given </w:t>
      </w:r>
      <w:r w:rsidR="001E5370">
        <w:t>to the statement of cash flow</w:t>
      </w:r>
      <w:r w:rsidR="003C578B">
        <w:t>s</w:t>
      </w:r>
      <w:r w:rsidR="001E5370">
        <w:t>.</w:t>
      </w:r>
      <w:r>
        <w:t xml:space="preserve"> </w:t>
      </w:r>
    </w:p>
    <w:p w14:paraId="3E0C6679" w14:textId="33CA224D" w:rsidR="003D5191" w:rsidRDefault="006F7349" w:rsidP="000E70A2">
      <w:pPr>
        <w:rPr>
          <w:b/>
        </w:rPr>
      </w:pPr>
      <w:r>
        <w:t xml:space="preserve">As mentioned above, the best way to ensure that </w:t>
      </w:r>
      <w:r w:rsidR="00D376D4">
        <w:t>the</w:t>
      </w:r>
      <w:r w:rsidR="00D5034A">
        <w:t xml:space="preserve"> audit</w:t>
      </w:r>
      <w:r w:rsidR="00D376D4">
        <w:t xml:space="preserve"> entity’s statement of </w:t>
      </w:r>
      <w:r>
        <w:t>cash flow</w:t>
      </w:r>
      <w:r w:rsidR="003C578B">
        <w:t>s</w:t>
      </w:r>
      <w:r>
        <w:t xml:space="preserve"> </w:t>
      </w:r>
      <w:r w:rsidR="00156629">
        <w:t>reflect</w:t>
      </w:r>
      <w:r w:rsidR="003D5191">
        <w:t>s</w:t>
      </w:r>
      <w:r w:rsidR="00156629">
        <w:t xml:space="preserve"> the true cash inflows and outflows is to </w:t>
      </w:r>
      <w:r>
        <w:t>know your entity</w:t>
      </w:r>
      <w:r w:rsidR="005060D0">
        <w:t>,</w:t>
      </w:r>
      <w:r w:rsidR="00156629">
        <w:t xml:space="preserve"> the transactions it enters into</w:t>
      </w:r>
      <w:r w:rsidR="005060D0">
        <w:t xml:space="preserve">, the composition of the FSLIs and </w:t>
      </w:r>
      <w:r w:rsidR="005060D0" w:rsidRPr="005060D0">
        <w:t xml:space="preserve">the entity’s process to </w:t>
      </w:r>
      <w:r w:rsidR="00E17BE4">
        <w:t>prepare</w:t>
      </w:r>
      <w:r w:rsidR="005060D0" w:rsidRPr="005060D0">
        <w:t xml:space="preserve"> the </w:t>
      </w:r>
      <w:r w:rsidR="00B34837">
        <w:t xml:space="preserve">statement of </w:t>
      </w:r>
      <w:r w:rsidR="005060D0" w:rsidRPr="005060D0">
        <w:t>cash flow</w:t>
      </w:r>
      <w:r w:rsidR="00B34837">
        <w:t>s</w:t>
      </w:r>
      <w:r>
        <w:t xml:space="preserve">. Never assume that a </w:t>
      </w:r>
      <w:r w:rsidR="00156629">
        <w:t xml:space="preserve">line on the </w:t>
      </w:r>
      <w:r w:rsidR="005A6F4A">
        <w:t>statement of cash flow</w:t>
      </w:r>
      <w:r w:rsidR="003C578B">
        <w:t>s</w:t>
      </w:r>
      <w:r w:rsidR="00156629">
        <w:t xml:space="preserve"> </w:t>
      </w:r>
      <w:r>
        <w:t>that ties</w:t>
      </w:r>
      <w:r w:rsidR="00D376D4">
        <w:t xml:space="preserve"> directly</w:t>
      </w:r>
      <w:r>
        <w:t xml:space="preserve"> to the </w:t>
      </w:r>
      <w:r w:rsidR="00D376D4">
        <w:t>statement of financial position</w:t>
      </w:r>
      <w:r>
        <w:t xml:space="preserve"> or </w:t>
      </w:r>
      <w:r w:rsidR="00D376D4">
        <w:t xml:space="preserve">statement of operations </w:t>
      </w:r>
      <w:r>
        <w:t>is an appropriate way to tie out your cash flow! Think about the types of transactions that are in each F</w:t>
      </w:r>
      <w:r w:rsidR="00E17BE4">
        <w:t>S</w:t>
      </w:r>
      <w:r>
        <w:t>LI and ask yourself if you can trace the transaction</w:t>
      </w:r>
      <w:r w:rsidR="003D5191">
        <w:t>s</w:t>
      </w:r>
      <w:r>
        <w:t xml:space="preserve"> to the bank statement! </w:t>
      </w:r>
      <w:r w:rsidR="003D5191">
        <w:rPr>
          <w:b/>
        </w:rPr>
        <w:br w:type="page"/>
      </w:r>
    </w:p>
    <w:p w14:paraId="7CC41123" w14:textId="28850A15" w:rsidR="00A22603" w:rsidRPr="00330808" w:rsidRDefault="00A22603" w:rsidP="000E70A2">
      <w:pPr>
        <w:pStyle w:val="Heading1"/>
      </w:pPr>
      <w:r w:rsidRPr="00330808">
        <w:t xml:space="preserve">Appendix </w:t>
      </w:r>
      <w:r w:rsidR="00DF2FB0" w:rsidRPr="00330808">
        <w:t>A</w:t>
      </w:r>
      <w:r w:rsidR="000E70A2">
        <w:t>—</w:t>
      </w:r>
      <w:r w:rsidR="00B43C47">
        <w:t>Non-</w:t>
      </w:r>
      <w:r w:rsidR="003C578B">
        <w:t xml:space="preserve">exhaustive </w:t>
      </w:r>
      <w:r w:rsidR="00B43C47">
        <w:t>list of areas to consider</w:t>
      </w:r>
    </w:p>
    <w:p w14:paraId="09246356" w14:textId="77777777" w:rsidR="00B43C47" w:rsidRDefault="00B43C47" w:rsidP="00306E6F">
      <w:pPr>
        <w:pStyle w:val="ListParagraph"/>
        <w:numPr>
          <w:ilvl w:val="0"/>
          <w:numId w:val="2"/>
        </w:numPr>
        <w:spacing w:after="0"/>
      </w:pPr>
      <w:r>
        <w:t>Gross vs. net transactions</w:t>
      </w:r>
    </w:p>
    <w:p w14:paraId="54038074" w14:textId="19B80742" w:rsidR="00457FD6" w:rsidRDefault="00B43C47" w:rsidP="00306E6F">
      <w:pPr>
        <w:pStyle w:val="ListParagraph"/>
        <w:numPr>
          <w:ilvl w:val="1"/>
          <w:numId w:val="2"/>
        </w:numPr>
        <w:spacing w:before="120"/>
      </w:pPr>
      <w:r>
        <w:t>Consider an entity that settles on a net basis with some 3</w:t>
      </w:r>
      <w:r w:rsidRPr="00933818">
        <w:rPr>
          <w:vertAlign w:val="superscript"/>
        </w:rPr>
        <w:t>rd</w:t>
      </w:r>
      <w:r>
        <w:t xml:space="preserve"> parties.  At the end of every month, the clerk totals the debits and credits of each account</w:t>
      </w:r>
      <w:r w:rsidR="00D70A92">
        <w:t>.</w:t>
      </w:r>
      <w:r>
        <w:t xml:space="preserve"> </w:t>
      </w:r>
      <w:r w:rsidR="00D70A92">
        <w:t>I</w:t>
      </w:r>
      <w:r>
        <w:t xml:space="preserve">f the account is in a debit position, </w:t>
      </w:r>
      <w:r w:rsidR="00DE58DA">
        <w:t>he or she</w:t>
      </w:r>
      <w:r w:rsidR="005D6754">
        <w:t xml:space="preserve"> </w:t>
      </w:r>
      <w:r>
        <w:t>prepares a letter to be sent to the 3</w:t>
      </w:r>
      <w:r w:rsidRPr="00933818">
        <w:rPr>
          <w:vertAlign w:val="superscript"/>
        </w:rPr>
        <w:t>rd</w:t>
      </w:r>
      <w:r>
        <w:t xml:space="preserve"> party to indicate the amount to be settled net.  At year-end, the clerk prepares a direct </w:t>
      </w:r>
      <w:r w:rsidR="005A6F4A">
        <w:t>statement of cash flow</w:t>
      </w:r>
      <w:r>
        <w:t xml:space="preserve"> by totalling all of the credits and putting this total in “cash paid to suppliers” and all of the debits go into “cash received from customers”.  Without the knowledge of the client’s net settlement arrangement, there would be no way to detect </w:t>
      </w:r>
      <w:r w:rsidR="00DE58DA">
        <w:t>the true cash transactions</w:t>
      </w:r>
      <w:r>
        <w:t xml:space="preserve"> because your </w:t>
      </w:r>
      <w:r w:rsidR="005A6F4A">
        <w:t>statement of cash flow</w:t>
      </w:r>
      <w:r w:rsidR="003C578B">
        <w:t>s</w:t>
      </w:r>
      <w:r>
        <w:t xml:space="preserve"> would still balance.  Unfortunately, the </w:t>
      </w:r>
      <w:r w:rsidR="005A6F4A">
        <w:t>statement of cash flow</w:t>
      </w:r>
      <w:r w:rsidR="003C578B">
        <w:t>s</w:t>
      </w:r>
      <w:r>
        <w:t xml:space="preserve"> would be </w:t>
      </w:r>
      <w:r w:rsidR="00565622">
        <w:t>misstated because it would not be</w:t>
      </w:r>
      <w:r>
        <w:t xml:space="preserve"> reflecting the true cash that was actually paid or received during the year.</w:t>
      </w:r>
    </w:p>
    <w:p w14:paraId="75DD6C47" w14:textId="77777777" w:rsidR="00F0026E" w:rsidRDefault="00F0026E" w:rsidP="00306E6F">
      <w:pPr>
        <w:pStyle w:val="ListParagraph"/>
        <w:spacing w:before="120"/>
      </w:pPr>
    </w:p>
    <w:p w14:paraId="2563D469" w14:textId="60CDA5F3" w:rsidR="00457FD6" w:rsidRDefault="00457FD6" w:rsidP="00306E6F">
      <w:pPr>
        <w:pStyle w:val="ListParagraph"/>
        <w:numPr>
          <w:ilvl w:val="0"/>
          <w:numId w:val="2"/>
        </w:numPr>
        <w:spacing w:before="120"/>
      </w:pPr>
      <w:r>
        <w:t>Netting is only allowed un</w:t>
      </w:r>
      <w:r w:rsidR="005A6F4A">
        <w:t>der very specific circumstances</w:t>
      </w:r>
    </w:p>
    <w:p w14:paraId="41C09CCC" w14:textId="53077790" w:rsidR="00D21511" w:rsidRDefault="005A6F4A" w:rsidP="00306E6F">
      <w:pPr>
        <w:pStyle w:val="ListParagraph"/>
        <w:numPr>
          <w:ilvl w:val="1"/>
          <w:numId w:val="2"/>
        </w:numPr>
        <w:spacing w:before="120"/>
      </w:pPr>
      <w:r>
        <w:t>PS 1201.120 and IAS 7.22 pr</w:t>
      </w:r>
      <w:r w:rsidR="00131372">
        <w:t>ovide</w:t>
      </w:r>
      <w:r>
        <w:t xml:space="preserve"> </w:t>
      </w:r>
      <w:r w:rsidR="00131372">
        <w:t xml:space="preserve">the relevant guidance for </w:t>
      </w:r>
      <w:r>
        <w:t xml:space="preserve">the only times when cash </w:t>
      </w:r>
      <w:r w:rsidR="00DC3F01">
        <w:t>inflows and cash outflows</w:t>
      </w:r>
      <w:r>
        <w:t xml:space="preserve"> may be presented on a net basis</w:t>
      </w:r>
      <w:r w:rsidR="00DC3F01">
        <w:t>.</w:t>
      </w:r>
    </w:p>
    <w:p w14:paraId="21E77B58" w14:textId="77777777" w:rsidR="00222827" w:rsidRDefault="00222827" w:rsidP="00306E6F">
      <w:pPr>
        <w:pStyle w:val="ListParagraph"/>
        <w:spacing w:before="120"/>
        <w:ind w:left="1440"/>
      </w:pPr>
    </w:p>
    <w:p w14:paraId="69A3C183" w14:textId="77777777" w:rsidR="00222827" w:rsidRDefault="00222827" w:rsidP="00222827">
      <w:pPr>
        <w:pStyle w:val="ListParagraph"/>
        <w:numPr>
          <w:ilvl w:val="0"/>
          <w:numId w:val="2"/>
        </w:numPr>
        <w:spacing w:before="120"/>
      </w:pPr>
      <w:r>
        <w:t xml:space="preserve">New type of transactions </w:t>
      </w:r>
    </w:p>
    <w:p w14:paraId="4A43B0EE" w14:textId="11D3757F" w:rsidR="00222827" w:rsidRDefault="00222827" w:rsidP="00222827">
      <w:pPr>
        <w:pStyle w:val="ListParagraph"/>
        <w:numPr>
          <w:ilvl w:val="1"/>
          <w:numId w:val="2"/>
        </w:numPr>
        <w:spacing w:before="120"/>
      </w:pPr>
      <w:r>
        <w:t>Whenever the entity enters in</w:t>
      </w:r>
      <w:r w:rsidR="00966F7D">
        <w:t>to</w:t>
      </w:r>
      <w:r>
        <w:t xml:space="preserve"> a new type of transaction, it should assess whether related cash flows should be presented </w:t>
      </w:r>
      <w:r w:rsidR="00966F7D">
        <w:t>within</w:t>
      </w:r>
      <w:r>
        <w:t xml:space="preserve"> </w:t>
      </w:r>
      <w:r w:rsidRPr="00F0026E">
        <w:t>operating, financing or investing activities</w:t>
      </w:r>
      <w:r>
        <w:t>. Depending on the nature of the transaction, it is possible that the same transaction impacts more than one section.</w:t>
      </w:r>
    </w:p>
    <w:p w14:paraId="4A8FD581" w14:textId="77777777" w:rsidR="00F0026E" w:rsidRDefault="00F0026E" w:rsidP="00306E6F">
      <w:pPr>
        <w:pStyle w:val="ListParagraph"/>
        <w:spacing w:before="120"/>
        <w:ind w:left="1440"/>
      </w:pPr>
    </w:p>
    <w:p w14:paraId="3D151CE9" w14:textId="77777777" w:rsidR="00B43C47" w:rsidRDefault="00B43C47" w:rsidP="00306E6F">
      <w:pPr>
        <w:pStyle w:val="ListParagraph"/>
        <w:numPr>
          <w:ilvl w:val="0"/>
          <w:numId w:val="2"/>
        </w:numPr>
        <w:spacing w:before="120"/>
      </w:pPr>
      <w:r>
        <w:t>One time receivables/payables at year-end</w:t>
      </w:r>
    </w:p>
    <w:p w14:paraId="6E02FC2B" w14:textId="4D3C5F70" w:rsidR="00B43C47" w:rsidRDefault="00B43C47" w:rsidP="00306E6F">
      <w:pPr>
        <w:pStyle w:val="ListParagraph"/>
        <w:numPr>
          <w:ilvl w:val="1"/>
          <w:numId w:val="2"/>
        </w:numPr>
        <w:spacing w:before="120"/>
      </w:pPr>
      <w:r>
        <w:t xml:space="preserve">This may be problematic for a </w:t>
      </w:r>
      <w:r w:rsidR="007D279C">
        <w:t xml:space="preserve">statement of </w:t>
      </w:r>
      <w:r>
        <w:t>cash flow</w:t>
      </w:r>
      <w:r w:rsidR="007D279C">
        <w:t>s</w:t>
      </w:r>
      <w:r>
        <w:t xml:space="preserve"> prepared using either the direct or indirect method. If using the indirect method, it is important to understand the nature of the receivable/payable so that is adjusted in the correct section of the statement of cash flow (e.g. a receivable </w:t>
      </w:r>
      <w:r w:rsidR="00B33403">
        <w:t xml:space="preserve">or a payable </w:t>
      </w:r>
      <w:r>
        <w:t>related to an investing activity would need to be adjusted f</w:t>
      </w:r>
      <w:r w:rsidR="00D51923">
        <w:t>or within</w:t>
      </w:r>
      <w:r>
        <w:t xml:space="preserve"> the investing </w:t>
      </w:r>
      <w:r w:rsidR="00D51923">
        <w:t xml:space="preserve">activities </w:t>
      </w:r>
      <w:r>
        <w:t xml:space="preserve">section).  If using the direct method, it </w:t>
      </w:r>
      <w:r w:rsidR="00BC01B0">
        <w:t xml:space="preserve">might be very easy for an entity to accidentally </w:t>
      </w:r>
      <w:r w:rsidR="001E0E53">
        <w:t xml:space="preserve">forget to </w:t>
      </w:r>
      <w:r w:rsidR="00BC01B0">
        <w:t>eliminate</w:t>
      </w:r>
      <w:r>
        <w:t xml:space="preserve"> a one-time receivable</w:t>
      </w:r>
      <w:r w:rsidR="00BC01B0">
        <w:t>/payable</w:t>
      </w:r>
      <w:r>
        <w:t xml:space="preserve"> </w:t>
      </w:r>
      <w:r w:rsidR="00BC01B0">
        <w:t>if it is not</w:t>
      </w:r>
      <w:r>
        <w:t xml:space="preserve"> part of the usual accruals </w:t>
      </w:r>
      <w:r w:rsidR="00BC01B0">
        <w:t>adjusted for when preparing the statement of cash flows</w:t>
      </w:r>
      <w:r>
        <w:t>. So keep your eye out for any non-recurring accruals at year-end. In addition, review the listing of accruals for any accrual recorded in AP that relates to revenue (</w:t>
      </w:r>
      <w:r w:rsidR="005D0800">
        <w:t>e.g.</w:t>
      </w:r>
      <w:r>
        <w:t xml:space="preserve"> credit note to be paid to a customer) or in AR that relates to expenses (e.</w:t>
      </w:r>
      <w:r w:rsidR="005D0800">
        <w:t>g</w:t>
      </w:r>
      <w:r>
        <w:t>. reimbursement related to expenses paid)</w:t>
      </w:r>
      <w:r w:rsidR="002F5AA5">
        <w:t xml:space="preserve"> and ensure it is being appropriately reflected in the statement of cash flows</w:t>
      </w:r>
      <w:r>
        <w:t xml:space="preserve">. Due to the nature of how the </w:t>
      </w:r>
      <w:r w:rsidR="005A6F4A">
        <w:t>statement of cash flow</w:t>
      </w:r>
      <w:r w:rsidR="002F5AA5">
        <w:t>s</w:t>
      </w:r>
      <w:r>
        <w:t xml:space="preserve"> is </w:t>
      </w:r>
      <w:r w:rsidR="00BC01B0">
        <w:t>prepared</w:t>
      </w:r>
      <w:r>
        <w:t xml:space="preserve"> under the direct method</w:t>
      </w:r>
      <w:r w:rsidR="00BC01B0">
        <w:t>,</w:t>
      </w:r>
      <w:r>
        <w:t xml:space="preserve"> these </w:t>
      </w:r>
      <w:r w:rsidR="00BC01B0">
        <w:t xml:space="preserve">items </w:t>
      </w:r>
      <w:r>
        <w:t xml:space="preserve">might </w:t>
      </w:r>
      <w:r w:rsidR="00BC01B0">
        <w:t xml:space="preserve">easily </w:t>
      </w:r>
      <w:r>
        <w:t xml:space="preserve">be included within the wrong </w:t>
      </w:r>
      <w:r w:rsidR="00BC01B0">
        <w:t>section</w:t>
      </w:r>
      <w:r>
        <w:t xml:space="preserve">. </w:t>
      </w:r>
    </w:p>
    <w:p w14:paraId="0AFE9D7E" w14:textId="77777777" w:rsidR="00F0026E" w:rsidRDefault="00F0026E" w:rsidP="00306E6F">
      <w:pPr>
        <w:pStyle w:val="ListParagraph"/>
        <w:spacing w:before="120"/>
        <w:ind w:left="1440"/>
      </w:pPr>
    </w:p>
    <w:p w14:paraId="2381C13B" w14:textId="7093FCDC" w:rsidR="006C636F" w:rsidRDefault="005A6F4A" w:rsidP="00306E6F">
      <w:pPr>
        <w:pStyle w:val="ListParagraph"/>
        <w:numPr>
          <w:ilvl w:val="0"/>
          <w:numId w:val="2"/>
        </w:numPr>
        <w:spacing w:before="120"/>
      </w:pPr>
      <w:r>
        <w:t>T</w:t>
      </w:r>
      <w:r w:rsidR="006C636F">
        <w:t>ransactions with no impact on the statement of financial position</w:t>
      </w:r>
    </w:p>
    <w:p w14:paraId="3CE71005" w14:textId="732B5B7A" w:rsidR="006C636F" w:rsidRDefault="006C636F" w:rsidP="00306E6F">
      <w:pPr>
        <w:pStyle w:val="ListParagraph"/>
        <w:numPr>
          <w:ilvl w:val="1"/>
          <w:numId w:val="2"/>
        </w:numPr>
        <w:spacing w:before="120"/>
      </w:pPr>
      <w:r>
        <w:t>It is possible that the statement of cash flow</w:t>
      </w:r>
      <w:r w:rsidR="002F5AA5">
        <w:t>s</w:t>
      </w:r>
      <w:r>
        <w:t xml:space="preserve"> is impacted even if there are no </w:t>
      </w:r>
      <w:r w:rsidR="00DC3F01">
        <w:t>related</w:t>
      </w:r>
      <w:r>
        <w:t xml:space="preserve"> FSLI</w:t>
      </w:r>
      <w:r w:rsidR="00DC3F01">
        <w:t>s</w:t>
      </w:r>
      <w:r>
        <w:t xml:space="preserve"> in the statement of financial position. For example, an entity could issue debt at the beginning of the year and repay this debt at the end of the year. Even if there are no </w:t>
      </w:r>
      <w:r w:rsidR="00547A9F">
        <w:t>debt balances presented</w:t>
      </w:r>
      <w:r>
        <w:t xml:space="preserve"> on the statement of financial position</w:t>
      </w:r>
      <w:r w:rsidR="00DC3F01">
        <w:t xml:space="preserve"> as at </w:t>
      </w:r>
      <w:r w:rsidR="00547A9F">
        <w:t xml:space="preserve">the beginning or end of the </w:t>
      </w:r>
      <w:r w:rsidR="00DC3F01">
        <w:t>year</w:t>
      </w:r>
      <w:r>
        <w:t xml:space="preserve">, there could </w:t>
      </w:r>
      <w:r w:rsidR="00547A9F">
        <w:t xml:space="preserve">still </w:t>
      </w:r>
      <w:r>
        <w:t xml:space="preserve">be </w:t>
      </w:r>
      <w:r w:rsidR="005A6F4A">
        <w:t xml:space="preserve">significant </w:t>
      </w:r>
      <w:r>
        <w:t xml:space="preserve">cash inflows and outflows </w:t>
      </w:r>
      <w:r w:rsidR="00547A9F">
        <w:t xml:space="preserve">during the year </w:t>
      </w:r>
      <w:r>
        <w:t xml:space="preserve">that </w:t>
      </w:r>
      <w:r w:rsidR="00DC3F01">
        <w:t>must</w:t>
      </w:r>
      <w:r>
        <w:t xml:space="preserve"> presented in the </w:t>
      </w:r>
      <w:r w:rsidR="005A6F4A">
        <w:t>statement of cash flow</w:t>
      </w:r>
      <w:r w:rsidR="002F5AA5">
        <w:t>s</w:t>
      </w:r>
      <w:r>
        <w:t>.</w:t>
      </w:r>
    </w:p>
    <w:p w14:paraId="64ECA644" w14:textId="77777777" w:rsidR="00F0026E" w:rsidRDefault="00F0026E" w:rsidP="00306E6F">
      <w:pPr>
        <w:pStyle w:val="ListParagraph"/>
        <w:spacing w:before="120"/>
        <w:ind w:left="1440"/>
      </w:pPr>
    </w:p>
    <w:p w14:paraId="0391028C" w14:textId="2A7F4020" w:rsidR="00B43C47" w:rsidRDefault="00B43C47" w:rsidP="00306E6F">
      <w:pPr>
        <w:pStyle w:val="ListParagraph"/>
        <w:numPr>
          <w:ilvl w:val="0"/>
          <w:numId w:val="2"/>
        </w:numPr>
        <w:spacing w:before="120"/>
      </w:pPr>
      <w:r>
        <w:t>PPE received but not yet paid for</w:t>
      </w:r>
    </w:p>
    <w:p w14:paraId="6D1B7153" w14:textId="1C718C12" w:rsidR="00B43C47" w:rsidRDefault="002F5AA5" w:rsidP="00306E6F">
      <w:pPr>
        <w:pStyle w:val="ListParagraph"/>
        <w:numPr>
          <w:ilvl w:val="1"/>
          <w:numId w:val="2"/>
        </w:numPr>
        <w:spacing w:before="120"/>
      </w:pPr>
      <w:r>
        <w:t>I</w:t>
      </w:r>
      <w:r w:rsidR="00B43C47">
        <w:t xml:space="preserve">f the entity has received an item of PPE </w:t>
      </w:r>
      <w:r w:rsidR="00E75E25">
        <w:t xml:space="preserve">and recognized it as an asset, </w:t>
      </w:r>
      <w:r w:rsidR="00B43C47">
        <w:t xml:space="preserve">but has not yet </w:t>
      </w:r>
      <w:r w:rsidR="00E75E25">
        <w:t>paid</w:t>
      </w:r>
      <w:r w:rsidR="00B43C47">
        <w:t xml:space="preserve"> for the item</w:t>
      </w:r>
      <w:r w:rsidR="00E75E25">
        <w:t>, t</w:t>
      </w:r>
      <w:r w:rsidR="00B43C47">
        <w:t>his would be</w:t>
      </w:r>
      <w:r w:rsidR="00E75E25">
        <w:t xml:space="preserve"> considered</w:t>
      </w:r>
      <w:r w:rsidR="00B43C47">
        <w:t xml:space="preserve"> a non-cash </w:t>
      </w:r>
      <w:r w:rsidR="00E75E25">
        <w:t>transaction</w:t>
      </w:r>
      <w:r w:rsidR="00F17AEF">
        <w:t xml:space="preserve"> which should not be presented in the statement of cash flows (but which might be subject to note disclosure requirements of PS 1201.124 / IAS 7.43)</w:t>
      </w:r>
      <w:r w:rsidR="00B43C47">
        <w:t>.</w:t>
      </w:r>
      <w:r>
        <w:t xml:space="preserve"> </w:t>
      </w:r>
    </w:p>
    <w:p w14:paraId="65B36115" w14:textId="77777777" w:rsidR="00F0026E" w:rsidRDefault="00F0026E" w:rsidP="00306E6F">
      <w:pPr>
        <w:pStyle w:val="ListParagraph"/>
        <w:spacing w:before="120"/>
        <w:ind w:left="1440"/>
      </w:pPr>
    </w:p>
    <w:p w14:paraId="50D76D65" w14:textId="57DF7514" w:rsidR="00B43C47" w:rsidRDefault="00C05A39" w:rsidP="00CC6FFB">
      <w:pPr>
        <w:pStyle w:val="ListParagraph"/>
        <w:keepNext/>
        <w:keepLines/>
        <w:numPr>
          <w:ilvl w:val="0"/>
          <w:numId w:val="2"/>
        </w:numPr>
        <w:spacing w:before="120"/>
      </w:pPr>
      <w:r>
        <w:t>O</w:t>
      </w:r>
      <w:r w:rsidR="00B43C47">
        <w:t>pening accruals</w:t>
      </w:r>
    </w:p>
    <w:p w14:paraId="738C996D" w14:textId="55D3AA8E" w:rsidR="00B43C47" w:rsidRDefault="00B43C47" w:rsidP="00306E6F">
      <w:pPr>
        <w:pStyle w:val="ListParagraph"/>
        <w:numPr>
          <w:ilvl w:val="1"/>
          <w:numId w:val="2"/>
        </w:numPr>
        <w:spacing w:before="120"/>
      </w:pPr>
      <w:r>
        <w:t>Remember that scenario</w:t>
      </w:r>
      <w:r w:rsidR="002F5AA5">
        <w:t xml:space="preserve"> of</w:t>
      </w:r>
      <w:r>
        <w:t xml:space="preserve"> PPE received but not yet paid for? Well if that happened this year end, it probably happened last year end as well. So be on the lookout for significant accounts payable and accrued liabilities for prior year PPE acquisitions that were sitting in your opening statement of financial position, which were then paid by the entity during the current year. That payment in the current year is a cash flow for the acquisition of the PPE (i.e. it is an investing/capital activity). A common mistake when following the indirect method is to present it within operating activities as part of the increase/decrease in accounts payable and accrued liabilities.</w:t>
      </w:r>
      <w:r w:rsidR="00A941F4">
        <w:t xml:space="preserve"> This would also be true for any other accruals related to invest</w:t>
      </w:r>
      <w:r w:rsidR="00D122A1">
        <w:t>ing</w:t>
      </w:r>
      <w:r w:rsidR="00A941F4">
        <w:t xml:space="preserve"> or financing activities.</w:t>
      </w:r>
    </w:p>
    <w:p w14:paraId="2DA04F6D" w14:textId="77777777" w:rsidR="00F0026E" w:rsidRDefault="00F0026E" w:rsidP="00306E6F">
      <w:pPr>
        <w:pStyle w:val="ListParagraph"/>
        <w:spacing w:before="120"/>
        <w:ind w:left="1440"/>
      </w:pPr>
    </w:p>
    <w:p w14:paraId="73E6CD5A" w14:textId="77777777" w:rsidR="00B43C47" w:rsidRDefault="00B43C47" w:rsidP="00306E6F">
      <w:pPr>
        <w:pStyle w:val="ListParagraph"/>
        <w:numPr>
          <w:ilvl w:val="0"/>
          <w:numId w:val="2"/>
        </w:numPr>
        <w:spacing w:before="120"/>
      </w:pPr>
      <w:r>
        <w:t>Purchase and sale of investments</w:t>
      </w:r>
    </w:p>
    <w:p w14:paraId="7A13D88B" w14:textId="0F1F4B60" w:rsidR="00F0026E" w:rsidRDefault="00B43C47" w:rsidP="00306E6F">
      <w:pPr>
        <w:pStyle w:val="ListParagraph"/>
        <w:numPr>
          <w:ilvl w:val="1"/>
          <w:numId w:val="2"/>
        </w:numPr>
        <w:spacing w:before="120"/>
      </w:pPr>
      <w:r>
        <w:t xml:space="preserve">Similar to the </w:t>
      </w:r>
      <w:r w:rsidR="00DC3F01">
        <w:t>g</w:t>
      </w:r>
      <w:r>
        <w:t xml:space="preserve">ross vs. net transactions, if the entity totals all of the debits and credits in the investment account and records the debits balance on the statement of cash flows under investing as “cash paid for the purchases of investments”, and all of the credits as “cash received for the sale of investments”, this practice does not take into consideration any entries that were made to amortize the discount/premium on the investment which are non-cash. </w:t>
      </w:r>
      <w:r w:rsidR="00D21FBE">
        <w:t xml:space="preserve">This could also result in non-cash transactions (dividend in shares, new shares issued as a result of a spin-off or merger, etc.) being </w:t>
      </w:r>
      <w:r w:rsidR="00AC7CDA">
        <w:t xml:space="preserve">incorrectly </w:t>
      </w:r>
      <w:r w:rsidR="00D21FBE">
        <w:t xml:space="preserve">presented as cash transactions. </w:t>
      </w:r>
    </w:p>
    <w:p w14:paraId="7860DF1E" w14:textId="0D922F4A" w:rsidR="00B43C47" w:rsidRDefault="00B43C47" w:rsidP="00306E6F">
      <w:pPr>
        <w:pStyle w:val="ListParagraph"/>
        <w:spacing w:before="120"/>
        <w:ind w:left="1440"/>
      </w:pPr>
    </w:p>
    <w:p w14:paraId="656C373A" w14:textId="350B0E23" w:rsidR="00164F85" w:rsidRDefault="00164F85" w:rsidP="00306E6F">
      <w:pPr>
        <w:pStyle w:val="ListParagraph"/>
        <w:numPr>
          <w:ilvl w:val="0"/>
          <w:numId w:val="2"/>
        </w:numPr>
        <w:spacing w:before="120"/>
      </w:pPr>
      <w:r w:rsidRPr="00164F85">
        <w:t>Holdbacks</w:t>
      </w:r>
    </w:p>
    <w:p w14:paraId="1CD962B1" w14:textId="39DEE368" w:rsidR="00164F85" w:rsidRDefault="00164F85" w:rsidP="00306E6F">
      <w:pPr>
        <w:pStyle w:val="ListParagraph"/>
        <w:numPr>
          <w:ilvl w:val="1"/>
          <w:numId w:val="2"/>
        </w:numPr>
        <w:spacing w:before="120"/>
      </w:pPr>
      <w:r w:rsidRPr="00164F85">
        <w:t xml:space="preserve">This is the amount that a client withholds at the time of paying an invoice to a contractor. For example, when a client pays a $100 bill but holds $5 pending final acceptance, the cash outflow is then $95. The </w:t>
      </w:r>
      <w:r w:rsidR="00C94E90">
        <w:t>client will present $95 on the s</w:t>
      </w:r>
      <w:r w:rsidRPr="00164F85">
        <w:t>tatement of cash flow</w:t>
      </w:r>
      <w:r w:rsidR="009F2F41">
        <w:t>s</w:t>
      </w:r>
      <w:r w:rsidRPr="00164F85">
        <w:t xml:space="preserve"> as acquisition of fixed assets. The balance of $5 should only be presented in the statement of cash flows when paid.</w:t>
      </w:r>
      <w:r>
        <w:t xml:space="preserve"> Also, if the $5 holdback amount is presented as a separate Holdback account on the </w:t>
      </w:r>
      <w:r w:rsidR="00C64A1D">
        <w:t>s</w:t>
      </w:r>
      <w:r>
        <w:t>tatement of financial position, the balance of the Holdback account constitutes cash at year-end.</w:t>
      </w:r>
    </w:p>
    <w:p w14:paraId="70748CC3" w14:textId="77777777" w:rsidR="00F0026E" w:rsidRDefault="00F0026E" w:rsidP="00306E6F">
      <w:pPr>
        <w:pStyle w:val="ListParagraph"/>
        <w:spacing w:before="120"/>
        <w:ind w:left="1440"/>
      </w:pPr>
    </w:p>
    <w:p w14:paraId="72DF72B1" w14:textId="3EB54240" w:rsidR="00164F85" w:rsidRDefault="00164F85" w:rsidP="00306E6F">
      <w:pPr>
        <w:pStyle w:val="ListParagraph"/>
        <w:numPr>
          <w:ilvl w:val="0"/>
          <w:numId w:val="2"/>
        </w:numPr>
        <w:spacing w:before="120"/>
      </w:pPr>
      <w:r w:rsidRPr="00164F85">
        <w:t>Cash held in a foreign currency</w:t>
      </w:r>
    </w:p>
    <w:p w14:paraId="4ABB5FB3" w14:textId="79E0BCF4" w:rsidR="00164F85" w:rsidRDefault="00FD6F20" w:rsidP="00306E6F">
      <w:pPr>
        <w:pStyle w:val="ListParagraph"/>
        <w:numPr>
          <w:ilvl w:val="1"/>
          <w:numId w:val="2"/>
        </w:numPr>
        <w:spacing w:before="120"/>
      </w:pPr>
      <w:r w:rsidRPr="00FD6F20">
        <w:t>Unreali</w:t>
      </w:r>
      <w:r w:rsidR="00787ABD">
        <w:t>z</w:t>
      </w:r>
      <w:r w:rsidRPr="00FD6F20">
        <w:t>ed gains and losses arising from changes in foreign currency exchange rates are not cash flows.</w:t>
      </w:r>
      <w:r>
        <w:t xml:space="preserve"> </w:t>
      </w:r>
      <w:r w:rsidR="00A941F4">
        <w:t>Net impact on c</w:t>
      </w:r>
      <w:r w:rsidR="00164F85" w:rsidRPr="00164F85">
        <w:t xml:space="preserve">ash held in a foreign currency </w:t>
      </w:r>
      <w:r w:rsidR="00364D2A">
        <w:t>should</w:t>
      </w:r>
      <w:r w:rsidR="00164F85" w:rsidRPr="00164F85">
        <w:t xml:space="preserve"> be </w:t>
      </w:r>
      <w:r w:rsidR="00364D2A">
        <w:t>presented</w:t>
      </w:r>
      <w:r w:rsidR="00364D2A" w:rsidRPr="00164F85">
        <w:t xml:space="preserve"> </w:t>
      </w:r>
      <w:r w:rsidR="00164F85" w:rsidRPr="00164F85">
        <w:t>outside of operating, financing and investing activities</w:t>
      </w:r>
      <w:r w:rsidR="00364D2A">
        <w:t>, generally within the reconciliation of the opening to closing cash and cash equivalents balances located at the bottom of the statement of cash flows</w:t>
      </w:r>
      <w:r w:rsidR="00164F85" w:rsidRPr="00164F85">
        <w:t>.</w:t>
      </w:r>
      <w:r w:rsidR="00787ABD">
        <w:t xml:space="preserve"> </w:t>
      </w:r>
      <w:r w:rsidR="00164F85" w:rsidRPr="00164F85">
        <w:t xml:space="preserve">Also, if using the indirect method, the operating activities </w:t>
      </w:r>
      <w:r w:rsidR="00364D2A">
        <w:t>should</w:t>
      </w:r>
      <w:r w:rsidR="00164F85" w:rsidRPr="00164F85">
        <w:t xml:space="preserve"> be adjust</w:t>
      </w:r>
      <w:r>
        <w:t xml:space="preserve">ed as well by the same amount. </w:t>
      </w:r>
    </w:p>
    <w:p w14:paraId="6867C79A" w14:textId="77777777" w:rsidR="00FD6F20" w:rsidRDefault="00FD6F20" w:rsidP="00306E6F">
      <w:pPr>
        <w:pStyle w:val="ListParagraph"/>
        <w:spacing w:before="120"/>
        <w:ind w:left="1440"/>
      </w:pPr>
    </w:p>
    <w:p w14:paraId="3F59859E" w14:textId="58151FDA" w:rsidR="00FD6F20" w:rsidRDefault="00FD6F20" w:rsidP="00306E6F">
      <w:pPr>
        <w:pStyle w:val="ListParagraph"/>
        <w:numPr>
          <w:ilvl w:val="0"/>
          <w:numId w:val="2"/>
        </w:numPr>
        <w:spacing w:before="120"/>
      </w:pPr>
      <w:r>
        <w:t xml:space="preserve">Payments or receipts in </w:t>
      </w:r>
      <w:r w:rsidR="00404A3C">
        <w:t xml:space="preserve">a </w:t>
      </w:r>
      <w:r>
        <w:t>foreign currency</w:t>
      </w:r>
    </w:p>
    <w:p w14:paraId="42490336" w14:textId="3DBDC40B" w:rsidR="00F0026E" w:rsidRDefault="003575FD" w:rsidP="00306E6F">
      <w:pPr>
        <w:pStyle w:val="ListParagraph"/>
        <w:numPr>
          <w:ilvl w:val="1"/>
          <w:numId w:val="2"/>
        </w:numPr>
        <w:spacing w:before="120"/>
      </w:pPr>
      <w:r>
        <w:t>Any payment</w:t>
      </w:r>
      <w:r w:rsidR="00404A3C">
        <w:t>s</w:t>
      </w:r>
      <w:r>
        <w:t xml:space="preserve"> or receipts made</w:t>
      </w:r>
      <w:r w:rsidR="00CE26EC" w:rsidRPr="00CE26EC">
        <w:t xml:space="preserve"> in a foreign currency </w:t>
      </w:r>
      <w:r w:rsidR="00404A3C">
        <w:t>should</w:t>
      </w:r>
      <w:r w:rsidR="00CE26EC" w:rsidRPr="00CE26EC">
        <w:t xml:space="preserve"> be </w:t>
      </w:r>
      <w:r>
        <w:t>converted to the entity’s</w:t>
      </w:r>
      <w:r w:rsidR="00CE26EC" w:rsidRPr="00CE26EC">
        <w:t xml:space="preserve"> functional currency by applying the exchange rate at the date of the cash flow</w:t>
      </w:r>
      <w:r>
        <w:t>, and not at the date of when the A/R or A/P was initially recorded</w:t>
      </w:r>
      <w:r w:rsidR="00CE26EC" w:rsidRPr="00CE26EC">
        <w:t>.</w:t>
      </w:r>
    </w:p>
    <w:p w14:paraId="7E27E1EE" w14:textId="77777777" w:rsidR="00CE26EC" w:rsidRDefault="00CE26EC" w:rsidP="00306E6F">
      <w:pPr>
        <w:pStyle w:val="ListParagraph"/>
        <w:spacing w:before="120"/>
        <w:ind w:left="1440"/>
      </w:pPr>
    </w:p>
    <w:p w14:paraId="2E5D8AC6" w14:textId="71AA55F9" w:rsidR="00164F85" w:rsidRDefault="00164F85" w:rsidP="00306E6F">
      <w:pPr>
        <w:pStyle w:val="ListParagraph"/>
        <w:numPr>
          <w:ilvl w:val="0"/>
          <w:numId w:val="2"/>
        </w:numPr>
        <w:spacing w:before="120"/>
      </w:pPr>
      <w:r w:rsidRPr="00164F85">
        <w:t>Interest</w:t>
      </w:r>
      <w:r w:rsidR="00F0026E">
        <w:t xml:space="preserve"> income</w:t>
      </w:r>
    </w:p>
    <w:p w14:paraId="28741CDA" w14:textId="3416A6F3" w:rsidR="00164F85" w:rsidRDefault="00164F85" w:rsidP="00306E6F">
      <w:pPr>
        <w:pStyle w:val="ListParagraph"/>
        <w:numPr>
          <w:ilvl w:val="1"/>
          <w:numId w:val="2"/>
        </w:numPr>
        <w:spacing w:before="120"/>
      </w:pPr>
      <w:r>
        <w:t>Under IFRS, entit</w:t>
      </w:r>
      <w:r w:rsidR="00B26CF9">
        <w:t>ie</w:t>
      </w:r>
      <w:r>
        <w:t>s make a policy choice to present interest received as an operating or an investing activity. If interest received is presented as an investing activity rather than an operating activity, there is an adjustment to operating activities required if the indirect method is used.</w:t>
      </w:r>
      <w:r w:rsidR="00F0026E">
        <w:t xml:space="preserve"> This adjustment should also consider changes in accrued interest income, so that it reflects the actual cash inflow during the year.</w:t>
      </w:r>
    </w:p>
    <w:p w14:paraId="3A2C05B0" w14:textId="77777777" w:rsidR="00A941F4" w:rsidRDefault="00A941F4" w:rsidP="00306E6F">
      <w:pPr>
        <w:pStyle w:val="ListParagraph"/>
        <w:spacing w:before="120"/>
      </w:pPr>
    </w:p>
    <w:p w14:paraId="598DF49C" w14:textId="4563C91C" w:rsidR="00AE3275" w:rsidRDefault="00AE3275" w:rsidP="00306E6F">
      <w:pPr>
        <w:pStyle w:val="ListParagraph"/>
        <w:numPr>
          <w:ilvl w:val="0"/>
          <w:numId w:val="2"/>
        </w:numPr>
        <w:spacing w:before="120"/>
      </w:pPr>
      <w:r>
        <w:t>Large multi-year capital investment projects</w:t>
      </w:r>
    </w:p>
    <w:p w14:paraId="310D34DE" w14:textId="4814877B" w:rsidR="00AE3275" w:rsidRDefault="00AE3275" w:rsidP="00306E6F">
      <w:pPr>
        <w:pStyle w:val="ListParagraph"/>
        <w:numPr>
          <w:ilvl w:val="1"/>
          <w:numId w:val="2"/>
        </w:numPr>
        <w:spacing w:before="120"/>
      </w:pPr>
      <w:r>
        <w:t xml:space="preserve">It is important to understand the set-up of the financing aspect of the project. It is possible that some items, such as costs for issuance of bonds, are being capitalized </w:t>
      </w:r>
      <w:r w:rsidR="009F2F41">
        <w:t>and would be considered</w:t>
      </w:r>
      <w:r>
        <w:t xml:space="preserve"> financing activities and not invest</w:t>
      </w:r>
      <w:r w:rsidR="003575FD">
        <w:t xml:space="preserve">ing </w:t>
      </w:r>
      <w:r>
        <w:t>activities.</w:t>
      </w:r>
    </w:p>
    <w:p w14:paraId="5570BBDD" w14:textId="77777777" w:rsidR="00F0026E" w:rsidRDefault="00F0026E" w:rsidP="00306E6F">
      <w:pPr>
        <w:pStyle w:val="ListParagraph"/>
        <w:spacing w:before="120"/>
        <w:ind w:left="1440"/>
      </w:pPr>
    </w:p>
    <w:p w14:paraId="163C9E1E" w14:textId="5A5F2A51" w:rsidR="00B43C47" w:rsidRDefault="00B43C47" w:rsidP="00306E6F">
      <w:pPr>
        <w:pStyle w:val="ListParagraph"/>
        <w:numPr>
          <w:ilvl w:val="0"/>
          <w:numId w:val="2"/>
        </w:numPr>
        <w:spacing w:before="120"/>
      </w:pPr>
      <w:r>
        <w:t>Any expense/gain related to a revaluation</w:t>
      </w:r>
      <w:r w:rsidR="00222827">
        <w:t>, impairment, bad debt expense and provisions</w:t>
      </w:r>
    </w:p>
    <w:p w14:paraId="18276BE4" w14:textId="640F80A8" w:rsidR="00F0026E" w:rsidRPr="00222827" w:rsidRDefault="00222827" w:rsidP="00306E6F">
      <w:pPr>
        <w:pStyle w:val="ListParagraph"/>
        <w:numPr>
          <w:ilvl w:val="1"/>
          <w:numId w:val="2"/>
        </w:numPr>
        <w:spacing w:before="120"/>
      </w:pPr>
      <w:r w:rsidRPr="00306E6F">
        <w:t xml:space="preserve">These are all types of non-monetary transactions that may not occur frequently. Depending on the method used by the entity to present its cash flows from operating activities, adjustments might be required. </w:t>
      </w:r>
      <w:r w:rsidR="00B26CF9">
        <w:t>For PSAS preparers, c</w:t>
      </w:r>
      <w:r>
        <w:t>onsideration should also be given to investing activities if they are related to capital assets, to ensure that none of these entries impact the amounts presented in investing activities.</w:t>
      </w:r>
    </w:p>
    <w:p w14:paraId="181453DE" w14:textId="77777777" w:rsidR="00F0026E" w:rsidRDefault="00F0026E" w:rsidP="00306E6F">
      <w:pPr>
        <w:pStyle w:val="ListParagraph"/>
        <w:spacing w:before="120"/>
        <w:ind w:left="1440"/>
      </w:pPr>
    </w:p>
    <w:p w14:paraId="2E8AB35A" w14:textId="46EF866D" w:rsidR="00B43C47" w:rsidRDefault="00B43C47" w:rsidP="00306E6F">
      <w:pPr>
        <w:pStyle w:val="ListParagraph"/>
        <w:numPr>
          <w:ilvl w:val="0"/>
          <w:numId w:val="2"/>
        </w:numPr>
        <w:spacing w:before="120"/>
      </w:pPr>
      <w:r>
        <w:t>In-kind/Barter transactions</w:t>
      </w:r>
      <w:r w:rsidR="00565622">
        <w:t xml:space="preserve"> and contributed assets</w:t>
      </w:r>
    </w:p>
    <w:p w14:paraId="49E20D2A" w14:textId="2F30A637" w:rsidR="00F0026E" w:rsidRDefault="00F0026E" w:rsidP="00306E6F">
      <w:pPr>
        <w:pStyle w:val="ListParagraph"/>
        <w:numPr>
          <w:ilvl w:val="1"/>
          <w:numId w:val="2"/>
        </w:numPr>
        <w:spacing w:before="120"/>
      </w:pPr>
      <w:r>
        <w:t xml:space="preserve">These types of transactions are non-monetary in nature and do not impact the statement of cash flows. </w:t>
      </w:r>
      <w:r w:rsidR="003575FD">
        <w:t xml:space="preserve">Also, </w:t>
      </w:r>
      <w:r w:rsidR="00D57F76">
        <w:t>i</w:t>
      </w:r>
      <w:r>
        <w:t>f the indirect method is used</w:t>
      </w:r>
      <w:r w:rsidR="003575FD">
        <w:t xml:space="preserve"> and the in-kind </w:t>
      </w:r>
      <w:r w:rsidR="00D57F76">
        <w:t xml:space="preserve">transaction </w:t>
      </w:r>
      <w:r w:rsidR="003575FD">
        <w:t>is related to a capital asset</w:t>
      </w:r>
      <w:r>
        <w:t>, an adjustment to operating activities might need to be made</w:t>
      </w:r>
      <w:r w:rsidR="003575FD">
        <w:t>.</w:t>
      </w:r>
    </w:p>
    <w:p w14:paraId="26BC5034" w14:textId="45A52759" w:rsidR="00F0026E" w:rsidRDefault="00F0026E" w:rsidP="00306E6F">
      <w:pPr>
        <w:pStyle w:val="ListParagraph"/>
        <w:spacing w:before="120"/>
        <w:ind w:left="1440"/>
      </w:pPr>
    </w:p>
    <w:p w14:paraId="55C9F8E3" w14:textId="6BE359E5" w:rsidR="00B43C47" w:rsidRDefault="00B43C47" w:rsidP="00306E6F">
      <w:pPr>
        <w:pStyle w:val="ListParagraph"/>
        <w:numPr>
          <w:ilvl w:val="0"/>
          <w:numId w:val="2"/>
        </w:numPr>
        <w:spacing w:before="120"/>
      </w:pPr>
      <w:r>
        <w:t xml:space="preserve">Acquisition of </w:t>
      </w:r>
      <w:r w:rsidR="00C94E90">
        <w:t>capital assets</w:t>
      </w:r>
      <w:r>
        <w:t xml:space="preserve"> by means of a finance lease</w:t>
      </w:r>
    </w:p>
    <w:p w14:paraId="215D921D" w14:textId="63C3C92F" w:rsidR="00F0026E" w:rsidRDefault="00F0026E" w:rsidP="00306E6F">
      <w:pPr>
        <w:pStyle w:val="ListParagraph"/>
        <w:numPr>
          <w:ilvl w:val="1"/>
          <w:numId w:val="2"/>
        </w:numPr>
        <w:spacing w:before="120"/>
      </w:pPr>
      <w:r>
        <w:t xml:space="preserve">On the </w:t>
      </w:r>
      <w:r w:rsidR="00E42FA2">
        <w:t>statement of financial position</w:t>
      </w:r>
      <w:r>
        <w:t>, this would have an impact on the capital assets and on the finance lease obligation FSLIs, but these would not represent an actual cash outflow. Payments of the finance lease obligations would be the cash outflow, which would include both reimbursement of capital</w:t>
      </w:r>
      <w:r w:rsidR="00E42FA2">
        <w:t xml:space="preserve"> (which would be a financing activity)</w:t>
      </w:r>
      <w:r>
        <w:t xml:space="preserve"> and payment of interest</w:t>
      </w:r>
      <w:r w:rsidR="00E42FA2">
        <w:t xml:space="preserve"> (which would be either an operating or a financing activity, as per the entity’s consistently applied presentation approach for interest payments)</w:t>
      </w:r>
      <w:r>
        <w:t>.</w:t>
      </w:r>
    </w:p>
    <w:p w14:paraId="360E5062" w14:textId="77777777" w:rsidR="00415AAA" w:rsidRDefault="00415AAA" w:rsidP="00CC6FFB">
      <w:pPr>
        <w:spacing w:before="120" w:after="120"/>
        <w:ind w:left="1440"/>
      </w:pPr>
    </w:p>
    <w:p w14:paraId="1987FF65" w14:textId="3BC456AC" w:rsidR="00415AAA" w:rsidRDefault="00415AAA" w:rsidP="008E345B">
      <w:pPr>
        <w:pStyle w:val="ListParagraph"/>
        <w:numPr>
          <w:ilvl w:val="0"/>
          <w:numId w:val="2"/>
        </w:numPr>
        <w:spacing w:before="120"/>
      </w:pPr>
      <w:r>
        <w:t>Entity using the indirect method with amounts in other comprehensive income</w:t>
      </w:r>
    </w:p>
    <w:p w14:paraId="115D8B74" w14:textId="490D5C31" w:rsidR="00415AAA" w:rsidRDefault="00415AAA" w:rsidP="005060D0">
      <w:pPr>
        <w:pStyle w:val="ListParagraph"/>
        <w:numPr>
          <w:ilvl w:val="1"/>
          <w:numId w:val="2"/>
        </w:numPr>
        <w:spacing w:before="120"/>
      </w:pPr>
      <w:r w:rsidRPr="00415AAA">
        <w:t>If the indirect method</w:t>
      </w:r>
      <w:r w:rsidR="005060D0">
        <w:t xml:space="preserve"> is used</w:t>
      </w:r>
      <w:r w:rsidR="000D0BE7">
        <w:t xml:space="preserve"> and the entity starts with “net results”</w:t>
      </w:r>
      <w:r w:rsidRPr="00415AAA">
        <w:t>, ensure items impacting other comprehensive income</w:t>
      </w:r>
      <w:r w:rsidR="005060D0">
        <w:t xml:space="preserve"> (OCI)</w:t>
      </w:r>
      <w:r w:rsidRPr="00415AAA">
        <w:t xml:space="preserve"> are properly removed from the reconciliation of operating activities</w:t>
      </w:r>
      <w:r w:rsidR="000D0BE7">
        <w:t>.</w:t>
      </w:r>
      <w:r w:rsidR="005060D0">
        <w:t xml:space="preserve"> For example, i</w:t>
      </w:r>
      <w:r w:rsidRPr="00415AAA">
        <w:t>f your entity sta</w:t>
      </w:r>
      <w:r w:rsidR="00653022">
        <w:t>rts with “net results” and</w:t>
      </w:r>
      <w:r w:rsidRPr="00415AAA">
        <w:t xml:space="preserve"> has post-employment benefits, only non-OCI items </w:t>
      </w:r>
      <w:r w:rsidR="005060D0">
        <w:t>should be presented in the year</w:t>
      </w:r>
      <w:r w:rsidR="005060D0">
        <w:noBreakHyphen/>
        <w:t>over</w:t>
      </w:r>
      <w:r w:rsidR="005060D0">
        <w:noBreakHyphen/>
        <w:t>year</w:t>
      </w:r>
      <w:r w:rsidRPr="00415AAA">
        <w:t xml:space="preserve"> change </w:t>
      </w:r>
      <w:r w:rsidR="005060D0">
        <w:t>related to</w:t>
      </w:r>
      <w:r w:rsidRPr="00415AAA">
        <w:t xml:space="preserve"> post-employment benefits</w:t>
      </w:r>
      <w:r w:rsidR="00653022">
        <w:t xml:space="preserve">. </w:t>
      </w:r>
      <w:r w:rsidRPr="00415AAA">
        <w:t xml:space="preserve">Another option is that the entity presents total </w:t>
      </w:r>
      <w:r w:rsidR="0053777A">
        <w:t>cash payments</w:t>
      </w:r>
      <w:r w:rsidR="005060D0">
        <w:t xml:space="preserve"> </w:t>
      </w:r>
      <w:r w:rsidRPr="00415AAA">
        <w:t>and benefit expenses recognized in net results for line items related to post-employment benefits. Both methods should give the same results.</w:t>
      </w:r>
    </w:p>
    <w:p w14:paraId="3B0DB0A0" w14:textId="11DBA2C5" w:rsidR="00DF2FB0" w:rsidRDefault="00A22603" w:rsidP="000E70A2">
      <w:pPr>
        <w:rPr>
          <w:rFonts w:ascii="Georgia" w:eastAsia="Times New Roman" w:hAnsi="Georgia" w:cs="Arial"/>
          <w:color w:val="000000"/>
          <w:sz w:val="20"/>
          <w:szCs w:val="20"/>
          <w:lang w:eastAsia="en-CA"/>
        </w:rPr>
      </w:pPr>
      <w:r w:rsidRPr="00330808">
        <w:t xml:space="preserve"> </w:t>
      </w:r>
      <w:r w:rsidR="00DF2FB0">
        <w:rPr>
          <w:rFonts w:ascii="Georgia" w:eastAsia="Times New Roman" w:hAnsi="Georgia" w:cs="Arial"/>
          <w:color w:val="000000"/>
          <w:sz w:val="20"/>
          <w:szCs w:val="20"/>
          <w:lang w:eastAsia="en-CA"/>
        </w:rPr>
        <w:br w:type="page"/>
      </w:r>
    </w:p>
    <w:p w14:paraId="173DBBCD" w14:textId="77777777" w:rsidR="00DF2FB0" w:rsidRPr="00330808" w:rsidRDefault="00DF2FB0" w:rsidP="000E70A2">
      <w:pPr>
        <w:pStyle w:val="Heading1"/>
        <w:rPr>
          <w:rFonts w:eastAsia="Times New Roman"/>
          <w:lang w:eastAsia="en-CA"/>
        </w:rPr>
      </w:pPr>
      <w:r w:rsidRPr="00330808">
        <w:rPr>
          <w:rFonts w:eastAsia="Times New Roman"/>
          <w:lang w:eastAsia="en-CA"/>
        </w:rPr>
        <w:t>Appendix B</w:t>
      </w:r>
      <w:r w:rsidR="000E70A2">
        <w:rPr>
          <w:rFonts w:eastAsia="Times New Roman"/>
          <w:lang w:eastAsia="en-CA"/>
        </w:rPr>
        <w:t>—</w:t>
      </w:r>
      <w:r w:rsidRPr="00330808">
        <w:rPr>
          <w:rFonts w:eastAsia="Times New Roman"/>
          <w:lang w:eastAsia="en-CA"/>
        </w:rPr>
        <w:t>Common errors</w:t>
      </w:r>
    </w:p>
    <w:p w14:paraId="365A5A80" w14:textId="77777777" w:rsidR="00046650" w:rsidRPr="00330808" w:rsidRDefault="00046650" w:rsidP="000E70A2">
      <w:pPr>
        <w:rPr>
          <w:rFonts w:eastAsia="Times New Roman" w:cs="Arial"/>
          <w:b/>
          <w:color w:val="000000"/>
          <w:lang w:eastAsia="en-CA"/>
        </w:rPr>
      </w:pPr>
      <w:r w:rsidRPr="00330808">
        <w:rPr>
          <w:rFonts w:eastAsia="Times New Roman" w:cs="Arial"/>
          <w:color w:val="000000"/>
          <w:lang w:eastAsia="en-CA"/>
        </w:rPr>
        <w:t>Consider the below “What could go wrongs” and include audit procedures within the related FSLI audit programs to mitigate the risk.</w:t>
      </w:r>
    </w:p>
    <w:p w14:paraId="434EAEBA" w14:textId="384DBBFE" w:rsidR="00046650" w:rsidRPr="00330808" w:rsidRDefault="00211E62" w:rsidP="000E70A2">
      <w:pPr>
        <w:shd w:val="clear" w:color="auto" w:fill="FFFFFF"/>
        <w:ind w:left="1008" w:hanging="360"/>
        <w:rPr>
          <w:rFonts w:eastAsia="Times New Roman" w:cs="Arial"/>
          <w:color w:val="000000"/>
          <w:lang w:eastAsia="en-CA"/>
        </w:rPr>
      </w:pPr>
      <w:sdt>
        <w:sdtPr>
          <w:rPr>
            <w:rFonts w:cs="Arial"/>
            <w:b/>
            <w:color w:val="000000"/>
          </w:rPr>
          <w:id w:val="1852141425"/>
          <w14:checkbox>
            <w14:checked w14:val="0"/>
            <w14:checkedState w14:val="2612" w14:font="MS Gothic"/>
            <w14:uncheckedState w14:val="2610" w14:font="MS Gothic"/>
          </w14:checkbox>
        </w:sdtPr>
        <w:sdtEndPr/>
        <w:sdtContent>
          <w:r w:rsidR="000E70A2">
            <w:rPr>
              <w:rFonts w:ascii="MS Gothic" w:eastAsia="MS Gothic" w:hAnsi="MS Gothic" w:cs="Arial" w:hint="eastAsia"/>
              <w:b/>
              <w:color w:val="000000"/>
            </w:rPr>
            <w:t>☐</w:t>
          </w:r>
        </w:sdtContent>
      </w:sdt>
      <w:r w:rsidR="000E70A2">
        <w:rPr>
          <w:rFonts w:cs="Arial"/>
          <w:b/>
          <w:color w:val="000000"/>
        </w:rPr>
        <w:tab/>
      </w:r>
      <w:r w:rsidR="00046650" w:rsidRPr="00330808">
        <w:rPr>
          <w:rFonts w:eastAsia="Times New Roman" w:cs="Arial"/>
          <w:color w:val="000000"/>
          <w:lang w:eastAsia="en-CA"/>
        </w:rPr>
        <w:t>Material line items not d</w:t>
      </w:r>
      <w:r w:rsidR="00CC6FFB">
        <w:rPr>
          <w:rFonts w:eastAsia="Times New Roman" w:cs="Arial"/>
          <w:color w:val="000000"/>
          <w:lang w:eastAsia="en-CA"/>
        </w:rPr>
        <w:t>isaggregated or disclosed. (IAS </w:t>
      </w:r>
      <w:r w:rsidR="00046650" w:rsidRPr="00330808">
        <w:rPr>
          <w:rFonts w:eastAsia="Times New Roman" w:cs="Arial"/>
          <w:color w:val="000000"/>
          <w:lang w:eastAsia="en-CA"/>
        </w:rPr>
        <w:t>1.30)</w:t>
      </w:r>
    </w:p>
    <w:p w14:paraId="3C91E153" w14:textId="26FBAF60" w:rsidR="00046650" w:rsidRPr="00330808" w:rsidRDefault="00211E62" w:rsidP="000E70A2">
      <w:pPr>
        <w:shd w:val="clear" w:color="auto" w:fill="FFFFFF"/>
        <w:ind w:left="1008" w:hanging="360"/>
        <w:rPr>
          <w:rFonts w:eastAsia="Times New Roman" w:cs="Arial"/>
          <w:color w:val="000000"/>
          <w:lang w:eastAsia="en-CA"/>
        </w:rPr>
      </w:pPr>
      <w:sdt>
        <w:sdtPr>
          <w:rPr>
            <w:rFonts w:cs="Arial"/>
            <w:b/>
            <w:color w:val="000000"/>
          </w:rPr>
          <w:id w:val="1544566342"/>
          <w14:checkbox>
            <w14:checked w14:val="0"/>
            <w14:checkedState w14:val="2612" w14:font="MS Gothic"/>
            <w14:uncheckedState w14:val="2610" w14:font="MS Gothic"/>
          </w14:checkbox>
        </w:sdtPr>
        <w:sdtEndPr/>
        <w:sdtContent>
          <w:r w:rsidR="00046650" w:rsidRPr="00330808">
            <w:rPr>
              <w:rFonts w:ascii="MS Gothic" w:eastAsia="MS Gothic" w:hAnsi="MS Gothic" w:cs="MS Gothic"/>
              <w:b/>
              <w:color w:val="000000"/>
            </w:rPr>
            <w:t>☐</w:t>
          </w:r>
        </w:sdtContent>
      </w:sdt>
      <w:r w:rsidR="000E70A2">
        <w:rPr>
          <w:rFonts w:cs="Arial"/>
          <w:b/>
          <w:color w:val="000000"/>
        </w:rPr>
        <w:tab/>
      </w:r>
      <w:r w:rsidR="00046650" w:rsidRPr="00330808">
        <w:rPr>
          <w:rFonts w:eastAsia="Times New Roman" w:cs="Arial"/>
          <w:color w:val="000000"/>
          <w:lang w:eastAsia="en-CA"/>
        </w:rPr>
        <w:t>Disclosure of the entity’s policy for determining the composition of cash and cash</w:t>
      </w:r>
      <w:r w:rsidR="00CC6FFB">
        <w:rPr>
          <w:rFonts w:eastAsia="Times New Roman" w:cs="Arial"/>
          <w:color w:val="000000"/>
          <w:lang w:eastAsia="en-CA"/>
        </w:rPr>
        <w:t xml:space="preserve"> equivalents not provided. (IAS </w:t>
      </w:r>
      <w:r w:rsidR="00046650" w:rsidRPr="00330808">
        <w:rPr>
          <w:rFonts w:eastAsia="Times New Roman" w:cs="Arial"/>
          <w:color w:val="000000"/>
          <w:lang w:eastAsia="en-CA"/>
        </w:rPr>
        <w:t>7.46)</w:t>
      </w:r>
    </w:p>
    <w:p w14:paraId="437DF921" w14:textId="7868F7D1" w:rsidR="00046650" w:rsidRPr="00330808" w:rsidRDefault="00211E62" w:rsidP="000E70A2">
      <w:pPr>
        <w:shd w:val="clear" w:color="auto" w:fill="FFFFFF"/>
        <w:ind w:left="1008" w:hanging="360"/>
        <w:rPr>
          <w:rFonts w:eastAsia="Times New Roman" w:cs="Arial"/>
          <w:color w:val="000000"/>
          <w:lang w:eastAsia="en-CA"/>
        </w:rPr>
      </w:pPr>
      <w:sdt>
        <w:sdtPr>
          <w:rPr>
            <w:rFonts w:cs="Arial"/>
            <w:b/>
            <w:color w:val="000000"/>
          </w:rPr>
          <w:id w:val="1531993490"/>
          <w14:checkbox>
            <w14:checked w14:val="0"/>
            <w14:checkedState w14:val="2612" w14:font="MS Gothic"/>
            <w14:uncheckedState w14:val="2610" w14:font="MS Gothic"/>
          </w14:checkbox>
        </w:sdtPr>
        <w:sdtEndPr/>
        <w:sdtContent>
          <w:r w:rsidR="00046650" w:rsidRPr="00330808">
            <w:rPr>
              <w:rFonts w:ascii="MS Gothic" w:eastAsia="MS Gothic" w:hAnsi="MS Gothic" w:cs="MS Gothic"/>
              <w:b/>
              <w:color w:val="000000"/>
            </w:rPr>
            <w:t>☐</w:t>
          </w:r>
        </w:sdtContent>
      </w:sdt>
      <w:r w:rsidR="000E70A2">
        <w:rPr>
          <w:rFonts w:cs="Arial"/>
          <w:b/>
          <w:color w:val="000000"/>
        </w:rPr>
        <w:tab/>
      </w:r>
      <w:r w:rsidR="00046650" w:rsidRPr="00330808">
        <w:rPr>
          <w:rFonts w:eastAsia="Times New Roman" w:cs="Arial"/>
          <w:color w:val="000000"/>
          <w:lang w:eastAsia="en-CA"/>
        </w:rPr>
        <w:t>Cash flows from investing activities not p</w:t>
      </w:r>
      <w:r w:rsidR="00CC6FFB">
        <w:rPr>
          <w:rFonts w:eastAsia="Times New Roman" w:cs="Arial"/>
          <w:color w:val="000000"/>
          <w:lang w:eastAsia="en-CA"/>
        </w:rPr>
        <w:t>resented on a gross basis. (IAS </w:t>
      </w:r>
      <w:r w:rsidR="00046650" w:rsidRPr="00330808">
        <w:rPr>
          <w:rFonts w:eastAsia="Times New Roman" w:cs="Arial"/>
          <w:color w:val="000000"/>
          <w:lang w:eastAsia="en-CA"/>
        </w:rPr>
        <w:t>7.21)</w:t>
      </w:r>
    </w:p>
    <w:p w14:paraId="52CB47DF" w14:textId="60BA95B2" w:rsidR="00046650" w:rsidRPr="00330808" w:rsidRDefault="00211E62" w:rsidP="000E70A2">
      <w:pPr>
        <w:shd w:val="clear" w:color="auto" w:fill="FFFFFF"/>
        <w:ind w:left="1008" w:hanging="360"/>
        <w:rPr>
          <w:rFonts w:eastAsia="Times New Roman" w:cs="Arial"/>
          <w:color w:val="000000"/>
          <w:lang w:eastAsia="en-CA"/>
        </w:rPr>
      </w:pPr>
      <w:sdt>
        <w:sdtPr>
          <w:rPr>
            <w:rFonts w:cs="Arial"/>
            <w:b/>
            <w:color w:val="000000"/>
          </w:rPr>
          <w:id w:val="1819144561"/>
          <w14:checkbox>
            <w14:checked w14:val="0"/>
            <w14:checkedState w14:val="2612" w14:font="MS Gothic"/>
            <w14:uncheckedState w14:val="2610" w14:font="MS Gothic"/>
          </w14:checkbox>
        </w:sdtPr>
        <w:sdtEndPr/>
        <w:sdtContent>
          <w:r w:rsidR="00046650" w:rsidRPr="00330808">
            <w:rPr>
              <w:rFonts w:ascii="MS Gothic" w:eastAsia="MS Gothic" w:hAnsi="MS Gothic" w:cs="MS Gothic"/>
              <w:b/>
              <w:color w:val="000000"/>
            </w:rPr>
            <w:t>☐</w:t>
          </w:r>
        </w:sdtContent>
      </w:sdt>
      <w:r w:rsidR="000E70A2">
        <w:rPr>
          <w:rFonts w:cs="Arial"/>
          <w:b/>
          <w:color w:val="000000"/>
        </w:rPr>
        <w:tab/>
      </w:r>
      <w:r w:rsidR="00046650" w:rsidRPr="00330808">
        <w:rPr>
          <w:rFonts w:eastAsia="Times New Roman" w:cs="Arial"/>
          <w:color w:val="000000"/>
          <w:lang w:eastAsia="en-CA"/>
        </w:rPr>
        <w:t>Nature of restrictions on cash</w:t>
      </w:r>
      <w:r w:rsidR="00CC6FFB">
        <w:rPr>
          <w:rFonts w:eastAsia="Times New Roman" w:cs="Arial"/>
          <w:color w:val="000000"/>
          <w:lang w:eastAsia="en-CA"/>
        </w:rPr>
        <w:t xml:space="preserve"> balances not disclosed. (IPSAS </w:t>
      </w:r>
      <w:r w:rsidR="00046650" w:rsidRPr="00330808">
        <w:rPr>
          <w:rFonts w:eastAsia="Times New Roman" w:cs="Arial"/>
          <w:color w:val="000000"/>
          <w:lang w:eastAsia="en-CA"/>
        </w:rPr>
        <w:t>2.59)</w:t>
      </w:r>
    </w:p>
    <w:p w14:paraId="5B910A88" w14:textId="366F340D" w:rsidR="00046650" w:rsidRPr="00330808" w:rsidRDefault="00211E62" w:rsidP="000E70A2">
      <w:pPr>
        <w:shd w:val="clear" w:color="auto" w:fill="FFFFFF"/>
        <w:ind w:left="1008" w:hanging="360"/>
        <w:rPr>
          <w:rFonts w:eastAsia="Times New Roman" w:cs="Arial"/>
          <w:color w:val="000000"/>
          <w:lang w:eastAsia="en-CA"/>
        </w:rPr>
      </w:pPr>
      <w:sdt>
        <w:sdtPr>
          <w:rPr>
            <w:rFonts w:cs="Arial"/>
            <w:b/>
            <w:color w:val="000000"/>
          </w:rPr>
          <w:id w:val="1219322210"/>
          <w14:checkbox>
            <w14:checked w14:val="0"/>
            <w14:checkedState w14:val="2612" w14:font="MS Gothic"/>
            <w14:uncheckedState w14:val="2610" w14:font="MS Gothic"/>
          </w14:checkbox>
        </w:sdtPr>
        <w:sdtEndPr/>
        <w:sdtContent>
          <w:r w:rsidR="00046650" w:rsidRPr="00330808">
            <w:rPr>
              <w:rFonts w:ascii="MS Gothic" w:eastAsia="MS Gothic" w:hAnsi="MS Gothic" w:cs="MS Gothic"/>
              <w:b/>
              <w:color w:val="000000"/>
            </w:rPr>
            <w:t>☐</w:t>
          </w:r>
        </w:sdtContent>
      </w:sdt>
      <w:r w:rsidR="000E70A2">
        <w:rPr>
          <w:rFonts w:cs="Arial"/>
          <w:b/>
          <w:color w:val="000000"/>
        </w:rPr>
        <w:tab/>
      </w:r>
      <w:r w:rsidR="00046650" w:rsidRPr="00330808">
        <w:rPr>
          <w:rFonts w:eastAsia="Times New Roman" w:cs="Arial"/>
          <w:color w:val="000000"/>
          <w:lang w:eastAsia="en-CA"/>
        </w:rPr>
        <w:t xml:space="preserve">Investments inappropriately presented as </w:t>
      </w:r>
      <w:r w:rsidR="0015104D">
        <w:rPr>
          <w:rFonts w:eastAsia="Times New Roman" w:cs="Arial"/>
          <w:color w:val="000000"/>
          <w:lang w:eastAsia="en-CA"/>
        </w:rPr>
        <w:t>c</w:t>
      </w:r>
      <w:r w:rsidR="00046650" w:rsidRPr="00330808">
        <w:rPr>
          <w:rFonts w:eastAsia="Times New Roman" w:cs="Arial"/>
          <w:color w:val="000000"/>
          <w:lang w:eastAsia="en-CA"/>
        </w:rPr>
        <w:t xml:space="preserve">ash and </w:t>
      </w:r>
      <w:r w:rsidR="0015104D">
        <w:rPr>
          <w:rFonts w:eastAsia="Times New Roman" w:cs="Arial"/>
          <w:color w:val="000000"/>
          <w:lang w:eastAsia="en-CA"/>
        </w:rPr>
        <w:t>c</w:t>
      </w:r>
      <w:r w:rsidR="00CC6FFB">
        <w:rPr>
          <w:rFonts w:eastAsia="Times New Roman" w:cs="Arial"/>
          <w:color w:val="000000"/>
          <w:lang w:eastAsia="en-CA"/>
        </w:rPr>
        <w:t>ash equivalents (PS </w:t>
      </w:r>
      <w:r w:rsidR="00046650" w:rsidRPr="00330808">
        <w:rPr>
          <w:rFonts w:eastAsia="Times New Roman" w:cs="Arial"/>
          <w:color w:val="000000"/>
          <w:lang w:eastAsia="en-CA"/>
        </w:rPr>
        <w:t>1200.05)</w:t>
      </w:r>
    </w:p>
    <w:p w14:paraId="664DD90C" w14:textId="5005F937" w:rsidR="00046650" w:rsidRPr="00330808" w:rsidRDefault="00211E62" w:rsidP="000E70A2">
      <w:pPr>
        <w:shd w:val="clear" w:color="auto" w:fill="FFFFFF"/>
        <w:ind w:left="1008" w:hanging="360"/>
        <w:rPr>
          <w:rFonts w:eastAsia="Times New Roman" w:cs="Arial"/>
          <w:color w:val="000000"/>
          <w:lang w:eastAsia="en-CA"/>
        </w:rPr>
      </w:pPr>
      <w:sdt>
        <w:sdtPr>
          <w:rPr>
            <w:rFonts w:cs="Arial"/>
            <w:b/>
            <w:color w:val="000000"/>
          </w:rPr>
          <w:id w:val="1033081262"/>
          <w14:checkbox>
            <w14:checked w14:val="0"/>
            <w14:checkedState w14:val="2612" w14:font="MS Gothic"/>
            <w14:uncheckedState w14:val="2610" w14:font="MS Gothic"/>
          </w14:checkbox>
        </w:sdtPr>
        <w:sdtEndPr/>
        <w:sdtContent>
          <w:r w:rsidR="00046650" w:rsidRPr="00330808">
            <w:rPr>
              <w:rFonts w:ascii="MS Gothic" w:eastAsia="MS Gothic" w:hAnsi="MS Gothic" w:cs="MS Gothic"/>
              <w:b/>
              <w:color w:val="000000"/>
            </w:rPr>
            <w:t>☐</w:t>
          </w:r>
        </w:sdtContent>
      </w:sdt>
      <w:r w:rsidR="000E70A2">
        <w:rPr>
          <w:rFonts w:cs="Arial"/>
          <w:b/>
          <w:color w:val="000000"/>
        </w:rPr>
        <w:tab/>
      </w:r>
      <w:r w:rsidR="00046650" w:rsidRPr="00330808">
        <w:rPr>
          <w:rFonts w:eastAsia="Times New Roman" w:cs="Arial"/>
          <w:color w:val="000000"/>
          <w:lang w:eastAsia="en-CA"/>
        </w:rPr>
        <w:t>Cash inflows shown as cash outflows and vice versa;</w:t>
      </w:r>
    </w:p>
    <w:p w14:paraId="538C92CD" w14:textId="7967CFCA" w:rsidR="00046650" w:rsidRPr="00330808" w:rsidRDefault="00211E62" w:rsidP="000E70A2">
      <w:pPr>
        <w:shd w:val="clear" w:color="auto" w:fill="FFFFFF"/>
        <w:ind w:left="1008" w:hanging="360"/>
        <w:rPr>
          <w:rFonts w:eastAsia="Times New Roman" w:cs="Arial"/>
          <w:color w:val="000000"/>
          <w:lang w:eastAsia="en-CA"/>
        </w:rPr>
      </w:pPr>
      <w:sdt>
        <w:sdtPr>
          <w:rPr>
            <w:rFonts w:cs="Arial"/>
            <w:b/>
            <w:color w:val="000000"/>
          </w:rPr>
          <w:id w:val="424071480"/>
          <w14:checkbox>
            <w14:checked w14:val="0"/>
            <w14:checkedState w14:val="2612" w14:font="MS Gothic"/>
            <w14:uncheckedState w14:val="2610" w14:font="MS Gothic"/>
          </w14:checkbox>
        </w:sdtPr>
        <w:sdtEndPr/>
        <w:sdtContent>
          <w:r w:rsidR="00046650" w:rsidRPr="00330808">
            <w:rPr>
              <w:rFonts w:ascii="MS Gothic" w:eastAsia="MS Gothic" w:hAnsi="MS Gothic" w:cs="MS Gothic"/>
              <w:b/>
              <w:color w:val="000000"/>
            </w:rPr>
            <w:t>☐</w:t>
          </w:r>
        </w:sdtContent>
      </w:sdt>
      <w:r w:rsidR="000E70A2">
        <w:rPr>
          <w:rFonts w:cs="Arial"/>
          <w:b/>
          <w:color w:val="000000"/>
        </w:rPr>
        <w:tab/>
      </w:r>
      <w:r w:rsidR="00046650" w:rsidRPr="00330808">
        <w:rPr>
          <w:rFonts w:eastAsia="Times New Roman" w:cs="Arial"/>
          <w:color w:val="000000"/>
          <w:lang w:eastAsia="en-CA"/>
        </w:rPr>
        <w:t xml:space="preserve">Cash flows include non-cash transactions (IAS 7.43, PS 4200.52, </w:t>
      </w:r>
      <w:proofErr w:type="gramStart"/>
      <w:r w:rsidR="00046650" w:rsidRPr="00330808">
        <w:rPr>
          <w:rFonts w:eastAsia="Times New Roman" w:cs="Arial"/>
          <w:color w:val="000000"/>
          <w:lang w:eastAsia="en-CA"/>
        </w:rPr>
        <w:t>PS</w:t>
      </w:r>
      <w:proofErr w:type="gramEnd"/>
      <w:r w:rsidR="00046650" w:rsidRPr="00330808">
        <w:rPr>
          <w:rFonts w:eastAsia="Times New Roman" w:cs="Arial"/>
          <w:color w:val="000000"/>
          <w:lang w:eastAsia="en-CA"/>
        </w:rPr>
        <w:t> 1201.125);</w:t>
      </w:r>
    </w:p>
    <w:p w14:paraId="52E89C76" w14:textId="2E0B2ED6" w:rsidR="00046650" w:rsidRPr="00330808" w:rsidRDefault="00211E62" w:rsidP="000E70A2">
      <w:pPr>
        <w:shd w:val="clear" w:color="auto" w:fill="FFFFFF"/>
        <w:ind w:left="1008" w:hanging="360"/>
        <w:rPr>
          <w:rFonts w:eastAsia="Times New Roman" w:cs="Arial"/>
          <w:color w:val="000000"/>
          <w:lang w:eastAsia="en-CA"/>
        </w:rPr>
      </w:pPr>
      <w:sdt>
        <w:sdtPr>
          <w:rPr>
            <w:rFonts w:cs="Arial"/>
            <w:b/>
            <w:color w:val="000000"/>
          </w:rPr>
          <w:id w:val="-1104417533"/>
          <w14:checkbox>
            <w14:checked w14:val="0"/>
            <w14:checkedState w14:val="2612" w14:font="MS Gothic"/>
            <w14:uncheckedState w14:val="2610" w14:font="MS Gothic"/>
          </w14:checkbox>
        </w:sdtPr>
        <w:sdtEndPr/>
        <w:sdtContent>
          <w:r w:rsidR="00046650" w:rsidRPr="00330808">
            <w:rPr>
              <w:rFonts w:ascii="MS Gothic" w:eastAsia="MS Gothic" w:hAnsi="MS Gothic" w:cs="MS Gothic"/>
              <w:b/>
              <w:color w:val="000000"/>
            </w:rPr>
            <w:t>☐</w:t>
          </w:r>
        </w:sdtContent>
      </w:sdt>
      <w:r w:rsidR="000E70A2">
        <w:rPr>
          <w:rFonts w:cs="Arial"/>
          <w:b/>
          <w:color w:val="000000"/>
        </w:rPr>
        <w:tab/>
      </w:r>
      <w:r w:rsidR="00046650" w:rsidRPr="00330808">
        <w:rPr>
          <w:rFonts w:eastAsia="Times New Roman" w:cs="Arial"/>
          <w:color w:val="000000"/>
          <w:lang w:eastAsia="en-CA"/>
        </w:rPr>
        <w:t>Repayment of capital lease obligations presented within capital activities instead of financing activities (PS 4200.52);</w:t>
      </w:r>
    </w:p>
    <w:p w14:paraId="40C73A7A" w14:textId="1E2E4E34" w:rsidR="00046650" w:rsidRPr="00330808" w:rsidRDefault="00211E62" w:rsidP="000E70A2">
      <w:pPr>
        <w:shd w:val="clear" w:color="auto" w:fill="FFFFFF"/>
        <w:ind w:left="1008" w:hanging="360"/>
        <w:rPr>
          <w:rFonts w:eastAsia="Times New Roman" w:cs="Arial"/>
          <w:color w:val="000000"/>
          <w:lang w:eastAsia="en-CA"/>
        </w:rPr>
      </w:pPr>
      <w:sdt>
        <w:sdtPr>
          <w:rPr>
            <w:rFonts w:cs="Arial"/>
            <w:b/>
            <w:color w:val="000000"/>
          </w:rPr>
          <w:id w:val="31238435"/>
          <w14:checkbox>
            <w14:checked w14:val="0"/>
            <w14:checkedState w14:val="2612" w14:font="MS Gothic"/>
            <w14:uncheckedState w14:val="2610" w14:font="MS Gothic"/>
          </w14:checkbox>
        </w:sdtPr>
        <w:sdtEndPr/>
        <w:sdtContent>
          <w:r w:rsidR="00046650" w:rsidRPr="00330808">
            <w:rPr>
              <w:rFonts w:ascii="MS Gothic" w:eastAsia="MS Gothic" w:hAnsi="MS Gothic" w:cs="MS Gothic"/>
              <w:b/>
              <w:color w:val="000000"/>
            </w:rPr>
            <w:t>☐</w:t>
          </w:r>
        </w:sdtContent>
      </w:sdt>
      <w:r w:rsidR="000E70A2">
        <w:rPr>
          <w:rFonts w:cs="Arial"/>
          <w:b/>
          <w:color w:val="000000"/>
        </w:rPr>
        <w:tab/>
      </w:r>
      <w:r w:rsidR="00046650" w:rsidRPr="00330808">
        <w:rPr>
          <w:rFonts w:eastAsia="Times New Roman" w:cs="Arial"/>
          <w:color w:val="000000"/>
          <w:lang w:eastAsia="en-CA"/>
        </w:rPr>
        <w:t>Write-off of tangible capital assets netted within capital activities rather than presented as a non-cash adjustment within operating activities (PS 4200.52);</w:t>
      </w:r>
    </w:p>
    <w:p w14:paraId="361B2B78" w14:textId="341B8447" w:rsidR="00046650" w:rsidRPr="00330808" w:rsidRDefault="00211E62" w:rsidP="000E70A2">
      <w:pPr>
        <w:shd w:val="clear" w:color="auto" w:fill="FFFFFF"/>
        <w:ind w:left="1008" w:hanging="360"/>
        <w:rPr>
          <w:rFonts w:eastAsia="Times New Roman" w:cs="Arial"/>
          <w:color w:val="000000"/>
          <w:lang w:eastAsia="en-CA"/>
        </w:rPr>
      </w:pPr>
      <w:sdt>
        <w:sdtPr>
          <w:rPr>
            <w:rFonts w:cs="Arial"/>
            <w:b/>
            <w:color w:val="000000"/>
          </w:rPr>
          <w:id w:val="-1209876829"/>
          <w14:checkbox>
            <w14:checked w14:val="0"/>
            <w14:checkedState w14:val="2612" w14:font="MS Gothic"/>
            <w14:uncheckedState w14:val="2610" w14:font="MS Gothic"/>
          </w14:checkbox>
        </w:sdtPr>
        <w:sdtEndPr/>
        <w:sdtContent>
          <w:r w:rsidR="00046650" w:rsidRPr="00330808">
            <w:rPr>
              <w:rFonts w:ascii="MS Gothic" w:eastAsia="MS Gothic" w:hAnsi="MS Gothic" w:cs="MS Gothic"/>
              <w:b/>
              <w:color w:val="000000"/>
            </w:rPr>
            <w:t>☐</w:t>
          </w:r>
        </w:sdtContent>
      </w:sdt>
      <w:r w:rsidR="000E70A2">
        <w:rPr>
          <w:rFonts w:cs="Arial"/>
          <w:b/>
          <w:color w:val="000000"/>
        </w:rPr>
        <w:tab/>
      </w:r>
      <w:r w:rsidR="00046650" w:rsidRPr="00330808">
        <w:rPr>
          <w:rFonts w:eastAsia="Times New Roman" w:cs="Arial"/>
          <w:color w:val="000000"/>
          <w:lang w:eastAsia="en-CA"/>
        </w:rPr>
        <w:t xml:space="preserve">Incorrect classification of restricted cash received for capital purchases </w:t>
      </w:r>
      <w:r w:rsidR="0015104D">
        <w:rPr>
          <w:rFonts w:eastAsia="Times New Roman" w:cs="Arial"/>
          <w:color w:val="000000"/>
          <w:lang w:eastAsia="en-CA"/>
        </w:rPr>
        <w:t>as a capital activity instead of a</w:t>
      </w:r>
      <w:r w:rsidR="00046650" w:rsidRPr="00330808">
        <w:rPr>
          <w:rFonts w:eastAsia="Times New Roman" w:cs="Arial"/>
          <w:color w:val="000000"/>
          <w:lang w:eastAsia="en-CA"/>
        </w:rPr>
        <w:t xml:space="preserve"> financing activit</w:t>
      </w:r>
      <w:r w:rsidR="0015104D">
        <w:rPr>
          <w:rFonts w:eastAsia="Times New Roman" w:cs="Arial"/>
          <w:color w:val="000000"/>
          <w:lang w:eastAsia="en-CA"/>
        </w:rPr>
        <w:t>y</w:t>
      </w:r>
      <w:r w:rsidR="00046650" w:rsidRPr="00330808">
        <w:rPr>
          <w:rFonts w:eastAsia="Times New Roman" w:cs="Arial"/>
          <w:color w:val="000000"/>
          <w:lang w:eastAsia="en-CA"/>
        </w:rPr>
        <w:t xml:space="preserve"> for a GNPO (PS 4200.52);</w:t>
      </w:r>
    </w:p>
    <w:p w14:paraId="4B5F6991" w14:textId="485FF9F5" w:rsidR="00046650" w:rsidRPr="00330808" w:rsidRDefault="00211E62" w:rsidP="000E70A2">
      <w:pPr>
        <w:shd w:val="clear" w:color="auto" w:fill="FFFFFF"/>
        <w:ind w:left="1008" w:hanging="360"/>
        <w:rPr>
          <w:rFonts w:eastAsia="Times New Roman" w:cs="Arial"/>
          <w:color w:val="000000"/>
          <w:lang w:eastAsia="en-CA"/>
        </w:rPr>
      </w:pPr>
      <w:sdt>
        <w:sdtPr>
          <w:rPr>
            <w:rFonts w:cs="Arial"/>
            <w:b/>
            <w:color w:val="000000"/>
          </w:rPr>
          <w:id w:val="-2132927880"/>
          <w14:checkbox>
            <w14:checked w14:val="0"/>
            <w14:checkedState w14:val="2612" w14:font="MS Gothic"/>
            <w14:uncheckedState w14:val="2610" w14:font="MS Gothic"/>
          </w14:checkbox>
        </w:sdtPr>
        <w:sdtEndPr/>
        <w:sdtContent>
          <w:r w:rsidR="00046650" w:rsidRPr="00330808">
            <w:rPr>
              <w:rFonts w:ascii="MS Gothic" w:eastAsia="MS Gothic" w:hAnsi="MS Gothic" w:cs="MS Gothic"/>
              <w:b/>
              <w:color w:val="000000"/>
            </w:rPr>
            <w:t>☐</w:t>
          </w:r>
        </w:sdtContent>
      </w:sdt>
      <w:r w:rsidR="000E70A2">
        <w:rPr>
          <w:rFonts w:cs="Arial"/>
          <w:b/>
          <w:color w:val="000000"/>
        </w:rPr>
        <w:tab/>
      </w:r>
      <w:r w:rsidR="00046650" w:rsidRPr="00330808">
        <w:rPr>
          <w:rFonts w:eastAsia="Times New Roman" w:cs="Arial"/>
          <w:color w:val="000000"/>
          <w:lang w:eastAsia="en-CA"/>
        </w:rPr>
        <w:t>Restricted cash not classified correctly (PS 4200.52);</w:t>
      </w:r>
    </w:p>
    <w:p w14:paraId="2661CAC0" w14:textId="3C069DB0" w:rsidR="00046650" w:rsidRPr="00330808" w:rsidRDefault="00211E62" w:rsidP="000E70A2">
      <w:pPr>
        <w:shd w:val="clear" w:color="auto" w:fill="FFFFFF"/>
        <w:ind w:left="1008" w:hanging="360"/>
        <w:rPr>
          <w:rFonts w:eastAsia="Times New Roman" w:cs="Arial"/>
          <w:color w:val="000000"/>
          <w:lang w:eastAsia="en-CA"/>
        </w:rPr>
      </w:pPr>
      <w:sdt>
        <w:sdtPr>
          <w:rPr>
            <w:rFonts w:cs="Arial"/>
            <w:b/>
            <w:color w:val="000000"/>
          </w:rPr>
          <w:id w:val="-1053533679"/>
          <w14:checkbox>
            <w14:checked w14:val="0"/>
            <w14:checkedState w14:val="2612" w14:font="MS Gothic"/>
            <w14:uncheckedState w14:val="2610" w14:font="MS Gothic"/>
          </w14:checkbox>
        </w:sdtPr>
        <w:sdtEndPr/>
        <w:sdtContent>
          <w:r w:rsidR="00046650" w:rsidRPr="00330808">
            <w:rPr>
              <w:rFonts w:ascii="MS Gothic" w:eastAsia="MS Gothic" w:hAnsi="MS Gothic" w:cs="MS Gothic"/>
              <w:b/>
              <w:color w:val="000000"/>
            </w:rPr>
            <w:t>☐</w:t>
          </w:r>
        </w:sdtContent>
      </w:sdt>
      <w:r w:rsidR="000E70A2">
        <w:rPr>
          <w:rFonts w:cs="Arial"/>
          <w:b/>
          <w:color w:val="000000"/>
        </w:rPr>
        <w:tab/>
      </w:r>
      <w:r w:rsidR="00046650" w:rsidRPr="00330808">
        <w:rPr>
          <w:rFonts w:eastAsia="Times New Roman" w:cs="Arial"/>
          <w:color w:val="000000"/>
          <w:lang w:eastAsia="en-CA"/>
        </w:rPr>
        <w:t>Using the direct method, not separately disclos</w:t>
      </w:r>
      <w:r w:rsidR="009A2932" w:rsidRPr="00330808">
        <w:rPr>
          <w:rFonts w:eastAsia="Times New Roman" w:cs="Arial"/>
          <w:color w:val="000000"/>
          <w:lang w:eastAsia="en-CA"/>
        </w:rPr>
        <w:t>ing</w:t>
      </w:r>
      <w:r w:rsidR="00046650" w:rsidRPr="00330808">
        <w:rPr>
          <w:rFonts w:eastAsia="Times New Roman" w:cs="Arial"/>
          <w:color w:val="000000"/>
          <w:lang w:eastAsia="en-CA"/>
        </w:rPr>
        <w:t xml:space="preserve"> material transfer payments made or received (PS 1201.112);</w:t>
      </w:r>
    </w:p>
    <w:p w14:paraId="10ABF0E2" w14:textId="7D9F865A" w:rsidR="00046650" w:rsidRPr="00330808" w:rsidRDefault="00211E62" w:rsidP="000E70A2">
      <w:pPr>
        <w:shd w:val="clear" w:color="auto" w:fill="FFFFFF"/>
        <w:ind w:left="1008" w:hanging="360"/>
        <w:rPr>
          <w:rFonts w:eastAsia="Times New Roman" w:cs="Arial"/>
          <w:color w:val="000000"/>
          <w:lang w:eastAsia="en-CA"/>
        </w:rPr>
      </w:pPr>
      <w:sdt>
        <w:sdtPr>
          <w:rPr>
            <w:rFonts w:cs="Arial"/>
            <w:b/>
            <w:color w:val="000000"/>
          </w:rPr>
          <w:id w:val="-2116127294"/>
          <w14:checkbox>
            <w14:checked w14:val="0"/>
            <w14:checkedState w14:val="2612" w14:font="MS Gothic"/>
            <w14:uncheckedState w14:val="2610" w14:font="MS Gothic"/>
          </w14:checkbox>
        </w:sdtPr>
        <w:sdtEndPr/>
        <w:sdtContent>
          <w:r w:rsidR="00046650" w:rsidRPr="00330808">
            <w:rPr>
              <w:rFonts w:ascii="MS Gothic" w:eastAsia="MS Gothic" w:hAnsi="MS Gothic" w:cs="MS Gothic"/>
              <w:b/>
              <w:color w:val="000000"/>
            </w:rPr>
            <w:t>☐</w:t>
          </w:r>
        </w:sdtContent>
      </w:sdt>
      <w:r w:rsidR="000E70A2">
        <w:rPr>
          <w:rFonts w:cs="Arial"/>
          <w:b/>
          <w:color w:val="000000"/>
        </w:rPr>
        <w:tab/>
      </w:r>
      <w:r w:rsidR="00046650" w:rsidRPr="00330808">
        <w:rPr>
          <w:rFonts w:eastAsia="Times New Roman" w:cs="Arial"/>
          <w:color w:val="000000"/>
          <w:lang w:eastAsia="en-CA"/>
        </w:rPr>
        <w:t>No disclosure of interest paid or included as a financing activity rather than an operating activity (PS 1201.114);</w:t>
      </w:r>
    </w:p>
    <w:p w14:paraId="2F44CC5E" w14:textId="77777777" w:rsidR="00046650" w:rsidRPr="00330808" w:rsidRDefault="00211E62" w:rsidP="000E70A2">
      <w:pPr>
        <w:shd w:val="clear" w:color="auto" w:fill="FFFFFF"/>
        <w:ind w:left="1008" w:hanging="360"/>
        <w:rPr>
          <w:rFonts w:eastAsia="Times New Roman" w:cs="Arial"/>
          <w:color w:val="000000"/>
          <w:lang w:eastAsia="en-CA"/>
        </w:rPr>
      </w:pPr>
      <w:sdt>
        <w:sdtPr>
          <w:rPr>
            <w:rFonts w:cs="Arial"/>
            <w:b/>
            <w:color w:val="000000"/>
          </w:rPr>
          <w:id w:val="-502580650"/>
          <w14:checkbox>
            <w14:checked w14:val="0"/>
            <w14:checkedState w14:val="2612" w14:font="MS Gothic"/>
            <w14:uncheckedState w14:val="2610" w14:font="MS Gothic"/>
          </w14:checkbox>
        </w:sdtPr>
        <w:sdtEndPr/>
        <w:sdtContent>
          <w:r w:rsidR="00046650" w:rsidRPr="00330808">
            <w:rPr>
              <w:rFonts w:ascii="MS Gothic" w:eastAsia="MS Gothic" w:hAnsi="MS Gothic" w:cs="MS Gothic"/>
              <w:b/>
              <w:color w:val="000000"/>
            </w:rPr>
            <w:t>☐</w:t>
          </w:r>
        </w:sdtContent>
      </w:sdt>
      <w:r w:rsidR="000E70A2">
        <w:rPr>
          <w:rFonts w:cs="Arial"/>
          <w:b/>
          <w:color w:val="000000"/>
        </w:rPr>
        <w:tab/>
      </w:r>
      <w:r w:rsidR="00046650" w:rsidRPr="00330808">
        <w:rPr>
          <w:rFonts w:eastAsia="Times New Roman" w:cs="Arial"/>
          <w:color w:val="000000"/>
          <w:lang w:eastAsia="en-CA"/>
        </w:rPr>
        <w:t>Material gross cash flows that did not meet the requirements to be presented on a net basis (PS 1201.119).</w:t>
      </w:r>
    </w:p>
    <w:p w14:paraId="7D6109D0" w14:textId="77777777" w:rsidR="00046650" w:rsidRDefault="00046650" w:rsidP="000E70A2">
      <w:pPr>
        <w:rPr>
          <w:rFonts w:cs="Arial"/>
          <w:color w:val="1F497D"/>
        </w:rPr>
      </w:pPr>
    </w:p>
    <w:p w14:paraId="0EC25E56" w14:textId="77777777" w:rsidR="00275039" w:rsidRDefault="00275039">
      <w:pPr>
        <w:spacing w:before="0" w:after="200" w:line="276" w:lineRule="auto"/>
        <w:rPr>
          <w:rFonts w:cs="Arial"/>
          <w:color w:val="1F497D"/>
        </w:rPr>
      </w:pPr>
      <w:r>
        <w:rPr>
          <w:rFonts w:cs="Arial"/>
          <w:color w:val="1F497D"/>
        </w:rPr>
        <w:br w:type="page"/>
      </w:r>
    </w:p>
    <w:p w14:paraId="51A9C0C3" w14:textId="77777777" w:rsidR="00275039" w:rsidRPr="00330808" w:rsidRDefault="00275039" w:rsidP="00275039">
      <w:pPr>
        <w:pStyle w:val="Heading1"/>
        <w:rPr>
          <w:rFonts w:eastAsia="Times New Roman"/>
          <w:lang w:eastAsia="en-CA"/>
        </w:rPr>
      </w:pPr>
      <w:r w:rsidRPr="00330808">
        <w:rPr>
          <w:rFonts w:eastAsia="Times New Roman"/>
          <w:lang w:eastAsia="en-CA"/>
        </w:rPr>
        <w:t xml:space="preserve">Appendix </w:t>
      </w:r>
      <w:r>
        <w:rPr>
          <w:rFonts w:eastAsia="Times New Roman"/>
          <w:lang w:eastAsia="en-CA"/>
        </w:rPr>
        <w:t>C—Best practices</w:t>
      </w:r>
    </w:p>
    <w:p w14:paraId="26FDC1B5" w14:textId="4EF10817" w:rsidR="006C636F" w:rsidRPr="00306E6F" w:rsidRDefault="006C636F" w:rsidP="00306E6F">
      <w:pPr>
        <w:pStyle w:val="ListParagraph"/>
        <w:numPr>
          <w:ilvl w:val="0"/>
          <w:numId w:val="4"/>
        </w:numPr>
        <w:rPr>
          <w:rFonts w:cs="Arial"/>
        </w:rPr>
      </w:pPr>
      <w:r w:rsidRPr="00306E6F">
        <w:rPr>
          <w:rFonts w:cs="Arial"/>
        </w:rPr>
        <w:t xml:space="preserve">When </w:t>
      </w:r>
      <w:r w:rsidR="00DC3F01">
        <w:rPr>
          <w:rFonts w:cs="Arial"/>
        </w:rPr>
        <w:t>obtain</w:t>
      </w:r>
      <w:r w:rsidR="00D01380">
        <w:rPr>
          <w:rFonts w:cs="Arial"/>
        </w:rPr>
        <w:t>ing an</w:t>
      </w:r>
      <w:r w:rsidRPr="00306E6F">
        <w:rPr>
          <w:rFonts w:cs="Arial"/>
        </w:rPr>
        <w:t xml:space="preserve"> understanding of the flow of transactions</w:t>
      </w:r>
      <w:r w:rsidR="00D01380">
        <w:rPr>
          <w:rFonts w:cs="Arial"/>
        </w:rPr>
        <w:t xml:space="preserve"> for different FSLIs</w:t>
      </w:r>
      <w:r w:rsidRPr="00306E6F">
        <w:rPr>
          <w:rFonts w:cs="Arial"/>
        </w:rPr>
        <w:t xml:space="preserve">, consider </w:t>
      </w:r>
      <w:r w:rsidR="001C04D0" w:rsidRPr="00306E6F">
        <w:rPr>
          <w:rFonts w:cs="Arial"/>
        </w:rPr>
        <w:t>obtaining an understanding of</w:t>
      </w:r>
      <w:r w:rsidRPr="00306E6F">
        <w:rPr>
          <w:rFonts w:cs="Arial"/>
        </w:rPr>
        <w:t xml:space="preserve"> the transactions up to when the payment is made or received </w:t>
      </w:r>
      <w:r w:rsidR="00D01380">
        <w:rPr>
          <w:rFonts w:cs="Arial"/>
        </w:rPr>
        <w:t xml:space="preserve">including </w:t>
      </w:r>
      <w:r w:rsidR="00DC3F01">
        <w:rPr>
          <w:rFonts w:cs="Arial"/>
        </w:rPr>
        <w:t xml:space="preserve">how </w:t>
      </w:r>
      <w:r w:rsidR="00565622">
        <w:rPr>
          <w:rFonts w:cs="Arial"/>
        </w:rPr>
        <w:t>it</w:t>
      </w:r>
      <w:r w:rsidR="00DC3F01">
        <w:rPr>
          <w:rFonts w:cs="Arial"/>
        </w:rPr>
        <w:t xml:space="preserve"> is recorded in the general ledger </w:t>
      </w:r>
      <w:r w:rsidR="00D01380">
        <w:rPr>
          <w:rFonts w:cs="Arial"/>
        </w:rPr>
        <w:t>to</w:t>
      </w:r>
      <w:r w:rsidRPr="00306E6F">
        <w:rPr>
          <w:rFonts w:cs="Arial"/>
        </w:rPr>
        <w:t xml:space="preserve"> assess whether there are any specific implications for the </w:t>
      </w:r>
      <w:r w:rsidR="005A6F4A" w:rsidRPr="00306E6F">
        <w:rPr>
          <w:rFonts w:cs="Arial"/>
        </w:rPr>
        <w:t>statement of cash flow</w:t>
      </w:r>
      <w:r w:rsidR="00D01380">
        <w:rPr>
          <w:rFonts w:cs="Arial"/>
        </w:rPr>
        <w:t>s</w:t>
      </w:r>
      <w:r w:rsidRPr="00306E6F">
        <w:rPr>
          <w:rFonts w:cs="Arial"/>
        </w:rPr>
        <w:t>.</w:t>
      </w:r>
    </w:p>
    <w:p w14:paraId="497E6B36" w14:textId="38FC4E64" w:rsidR="001C04D0" w:rsidRPr="00306E6F" w:rsidRDefault="00D01380" w:rsidP="00306E6F">
      <w:pPr>
        <w:pStyle w:val="ListParagraph"/>
        <w:numPr>
          <w:ilvl w:val="0"/>
          <w:numId w:val="4"/>
        </w:numPr>
        <w:rPr>
          <w:rFonts w:cs="Arial"/>
        </w:rPr>
      </w:pPr>
      <w:r>
        <w:rPr>
          <w:rFonts w:cs="Arial"/>
        </w:rPr>
        <w:t>The s</w:t>
      </w:r>
      <w:r w:rsidR="005A6F4A" w:rsidRPr="00306E6F">
        <w:rPr>
          <w:rFonts w:cs="Arial"/>
        </w:rPr>
        <w:t>tatement of cash flow</w:t>
      </w:r>
      <w:r>
        <w:rPr>
          <w:rFonts w:cs="Arial"/>
        </w:rPr>
        <w:t>s</w:t>
      </w:r>
      <w:r w:rsidR="001C04D0" w:rsidRPr="00306E6F">
        <w:rPr>
          <w:rFonts w:cs="Arial"/>
        </w:rPr>
        <w:t xml:space="preserve"> could be </w:t>
      </w:r>
      <w:r>
        <w:rPr>
          <w:rFonts w:cs="Arial"/>
        </w:rPr>
        <w:t>reviewed</w:t>
      </w:r>
      <w:r w:rsidR="001C04D0" w:rsidRPr="00306E6F">
        <w:rPr>
          <w:rFonts w:cs="Arial"/>
        </w:rPr>
        <w:t xml:space="preserve"> during</w:t>
      </w:r>
      <w:r w:rsidR="00DC3F01">
        <w:rPr>
          <w:rFonts w:cs="Arial"/>
        </w:rPr>
        <w:t xml:space="preserve"> </w:t>
      </w:r>
      <w:r>
        <w:rPr>
          <w:rFonts w:cs="Arial"/>
        </w:rPr>
        <w:t xml:space="preserve">the </w:t>
      </w:r>
      <w:r w:rsidR="00DC3F01">
        <w:rPr>
          <w:rFonts w:cs="Arial"/>
        </w:rPr>
        <w:t>planning or</w:t>
      </w:r>
      <w:r w:rsidR="001C04D0" w:rsidRPr="00306E6F">
        <w:rPr>
          <w:rFonts w:cs="Arial"/>
        </w:rPr>
        <w:t xml:space="preserve"> interim</w:t>
      </w:r>
      <w:r>
        <w:rPr>
          <w:rFonts w:cs="Arial"/>
        </w:rPr>
        <w:t xml:space="preserve"> phases of the audit</w:t>
      </w:r>
      <w:r w:rsidR="001C04D0" w:rsidRPr="00306E6F">
        <w:rPr>
          <w:rFonts w:cs="Arial"/>
        </w:rPr>
        <w:t xml:space="preserve">. For example, if </w:t>
      </w:r>
      <w:r>
        <w:rPr>
          <w:rFonts w:cs="Arial"/>
        </w:rPr>
        <w:t>an</w:t>
      </w:r>
      <w:r w:rsidR="001C04D0" w:rsidRPr="00306E6F">
        <w:rPr>
          <w:rFonts w:cs="Arial"/>
        </w:rPr>
        <w:t xml:space="preserve"> entity publishes quarterly financial statements, a team member could meet with management to discuss the process followed by the entity to prepare the latest quarterly </w:t>
      </w:r>
      <w:r w:rsidR="005A6F4A" w:rsidRPr="00306E6F">
        <w:rPr>
          <w:rFonts w:cs="Arial"/>
        </w:rPr>
        <w:t>statement of cash flow</w:t>
      </w:r>
      <w:r>
        <w:rPr>
          <w:rFonts w:cs="Arial"/>
        </w:rPr>
        <w:t>s</w:t>
      </w:r>
      <w:r w:rsidR="001C04D0" w:rsidRPr="00306E6F">
        <w:rPr>
          <w:rFonts w:cs="Arial"/>
        </w:rPr>
        <w:t>, along with any relevant controls</w:t>
      </w:r>
      <w:r>
        <w:rPr>
          <w:rFonts w:cs="Arial"/>
        </w:rPr>
        <w:t xml:space="preserve"> if it was determined that the same process is followed to prepare the year-end financial statements.</w:t>
      </w:r>
    </w:p>
    <w:p w14:paraId="7854E987" w14:textId="4AEE2771" w:rsidR="00275039" w:rsidRPr="00306E6F" w:rsidRDefault="00275039" w:rsidP="00306E6F">
      <w:pPr>
        <w:pStyle w:val="ListParagraph"/>
        <w:numPr>
          <w:ilvl w:val="0"/>
          <w:numId w:val="4"/>
        </w:numPr>
        <w:rPr>
          <w:rFonts w:cs="Arial"/>
        </w:rPr>
      </w:pPr>
      <w:r w:rsidRPr="00306E6F">
        <w:rPr>
          <w:rFonts w:cs="Arial"/>
        </w:rPr>
        <w:t xml:space="preserve">Within the FSLI </w:t>
      </w:r>
      <w:r w:rsidR="00D01380">
        <w:rPr>
          <w:rFonts w:cs="Arial"/>
        </w:rPr>
        <w:t xml:space="preserve">audit </w:t>
      </w:r>
      <w:r w:rsidRPr="00306E6F">
        <w:rPr>
          <w:rFonts w:cs="Arial"/>
        </w:rPr>
        <w:t>program</w:t>
      </w:r>
      <w:r w:rsidR="00D01380">
        <w:rPr>
          <w:rFonts w:cs="Arial"/>
        </w:rPr>
        <w:t>s</w:t>
      </w:r>
      <w:r w:rsidR="00DC3F01">
        <w:rPr>
          <w:rFonts w:cs="Arial"/>
        </w:rPr>
        <w:t>,</w:t>
      </w:r>
      <w:r w:rsidRPr="00306E6F">
        <w:rPr>
          <w:rFonts w:cs="Arial"/>
        </w:rPr>
        <w:t xml:space="preserve"> consider including related cash flow audit procedures to ensure </w:t>
      </w:r>
      <w:r w:rsidR="00565622">
        <w:rPr>
          <w:rFonts w:cs="Arial"/>
        </w:rPr>
        <w:t xml:space="preserve">that </w:t>
      </w:r>
      <w:r w:rsidRPr="00306E6F">
        <w:rPr>
          <w:rFonts w:cs="Arial"/>
        </w:rPr>
        <w:t xml:space="preserve">the </w:t>
      </w:r>
      <w:r w:rsidR="00D01380">
        <w:rPr>
          <w:rFonts w:cs="Arial"/>
        </w:rPr>
        <w:t>auditor</w:t>
      </w:r>
      <w:r w:rsidRPr="00306E6F">
        <w:rPr>
          <w:rFonts w:cs="Arial"/>
        </w:rPr>
        <w:t xml:space="preserve"> performing the work has the necessary understanding of the underlying transactions to ensure appropriate presentation and disclosure.</w:t>
      </w:r>
    </w:p>
    <w:p w14:paraId="0A623574" w14:textId="0FD03FBD" w:rsidR="006A525F" w:rsidRPr="00306E6F" w:rsidRDefault="00B474CE" w:rsidP="00306E6F">
      <w:pPr>
        <w:pStyle w:val="ListParagraph"/>
        <w:numPr>
          <w:ilvl w:val="0"/>
          <w:numId w:val="4"/>
        </w:numPr>
        <w:rPr>
          <w:rFonts w:cs="Arial"/>
        </w:rPr>
      </w:pPr>
      <w:r>
        <w:rPr>
          <w:rFonts w:cs="Arial"/>
        </w:rPr>
        <w:t>Consider having s</w:t>
      </w:r>
      <w:r w:rsidR="006A525F" w:rsidRPr="00306E6F">
        <w:rPr>
          <w:rFonts w:cs="Arial"/>
        </w:rPr>
        <w:t xml:space="preserve">pecific transactions or line items in the </w:t>
      </w:r>
      <w:r w:rsidR="005A6F4A" w:rsidRPr="00306E6F">
        <w:rPr>
          <w:rFonts w:cs="Arial"/>
        </w:rPr>
        <w:t>statement of cash flow</w:t>
      </w:r>
      <w:r w:rsidR="003E0F25">
        <w:rPr>
          <w:rFonts w:cs="Arial"/>
        </w:rPr>
        <w:t>s</w:t>
      </w:r>
      <w:r w:rsidR="006A525F" w:rsidRPr="00306E6F">
        <w:rPr>
          <w:rFonts w:cs="Arial"/>
        </w:rPr>
        <w:t xml:space="preserve"> reviewed by the audit team member</w:t>
      </w:r>
      <w:r>
        <w:rPr>
          <w:rFonts w:cs="Arial"/>
        </w:rPr>
        <w:t>s</w:t>
      </w:r>
      <w:r w:rsidR="006A525F" w:rsidRPr="00306E6F">
        <w:rPr>
          <w:rFonts w:cs="Arial"/>
        </w:rPr>
        <w:t xml:space="preserve"> with the detailed knowledge. </w:t>
      </w:r>
      <w:r w:rsidR="006C636F" w:rsidRPr="00306E6F">
        <w:rPr>
          <w:rFonts w:cs="Arial"/>
        </w:rPr>
        <w:t>All cash flow line items could be audit</w:t>
      </w:r>
      <w:r w:rsidR="00565622">
        <w:rPr>
          <w:rFonts w:cs="Arial"/>
        </w:rPr>
        <w:t>ed</w:t>
      </w:r>
      <w:r w:rsidR="006C636F" w:rsidRPr="00306E6F">
        <w:rPr>
          <w:rFonts w:cs="Arial"/>
        </w:rPr>
        <w:t xml:space="preserve"> within </w:t>
      </w:r>
      <w:r w:rsidR="00565622">
        <w:rPr>
          <w:rFonts w:cs="Arial"/>
        </w:rPr>
        <w:t>their</w:t>
      </w:r>
      <w:r w:rsidR="006C636F" w:rsidRPr="00306E6F">
        <w:rPr>
          <w:rFonts w:cs="Arial"/>
        </w:rPr>
        <w:t xml:space="preserve"> respective section </w:t>
      </w:r>
      <w:r>
        <w:rPr>
          <w:rFonts w:cs="Arial"/>
        </w:rPr>
        <w:t>and another auditor</w:t>
      </w:r>
      <w:r w:rsidR="006C636F" w:rsidRPr="00306E6F">
        <w:rPr>
          <w:rFonts w:cs="Arial"/>
        </w:rPr>
        <w:t xml:space="preserve"> </w:t>
      </w:r>
      <w:r w:rsidR="00DA5FB8">
        <w:rPr>
          <w:rFonts w:cs="Arial"/>
        </w:rPr>
        <w:t xml:space="preserve">could </w:t>
      </w:r>
      <w:r w:rsidR="006C636F" w:rsidRPr="00306E6F">
        <w:rPr>
          <w:rFonts w:cs="Arial"/>
        </w:rPr>
        <w:t xml:space="preserve">be responsible for the overview of the </w:t>
      </w:r>
      <w:r w:rsidR="005A6F4A" w:rsidRPr="00306E6F">
        <w:rPr>
          <w:rFonts w:cs="Arial"/>
        </w:rPr>
        <w:t>statement of cash flow</w:t>
      </w:r>
      <w:r>
        <w:rPr>
          <w:rFonts w:cs="Arial"/>
        </w:rPr>
        <w:t>s</w:t>
      </w:r>
      <w:r w:rsidR="006C636F" w:rsidRPr="00306E6F">
        <w:rPr>
          <w:rFonts w:cs="Arial"/>
        </w:rPr>
        <w:t>.</w:t>
      </w:r>
    </w:p>
    <w:p w14:paraId="5D2BF380" w14:textId="368DFEB7" w:rsidR="006A525F" w:rsidRPr="00306E6F" w:rsidRDefault="00B474CE" w:rsidP="00306E6F">
      <w:pPr>
        <w:pStyle w:val="ListParagraph"/>
        <w:numPr>
          <w:ilvl w:val="0"/>
          <w:numId w:val="4"/>
        </w:numPr>
        <w:rPr>
          <w:rFonts w:cs="Arial"/>
        </w:rPr>
      </w:pPr>
      <w:r>
        <w:rPr>
          <w:rFonts w:cs="Arial"/>
        </w:rPr>
        <w:t>Consider raising t</w:t>
      </w:r>
      <w:r w:rsidR="006A525F" w:rsidRPr="00306E6F">
        <w:rPr>
          <w:rFonts w:cs="Arial"/>
        </w:rPr>
        <w:t xml:space="preserve">he importance of the </w:t>
      </w:r>
      <w:r w:rsidR="005A6F4A" w:rsidRPr="00306E6F">
        <w:rPr>
          <w:rFonts w:cs="Arial"/>
        </w:rPr>
        <w:t>statement of cash flow</w:t>
      </w:r>
      <w:r>
        <w:rPr>
          <w:rFonts w:cs="Arial"/>
        </w:rPr>
        <w:t>s</w:t>
      </w:r>
      <w:r w:rsidR="006A525F" w:rsidRPr="00306E6F">
        <w:rPr>
          <w:rFonts w:cs="Arial"/>
        </w:rPr>
        <w:t xml:space="preserve"> during team planning meetings.</w:t>
      </w:r>
    </w:p>
    <w:p w14:paraId="1045CD6A" w14:textId="4329DFEB" w:rsidR="006A525F" w:rsidRPr="00306E6F" w:rsidRDefault="006A525F" w:rsidP="00306E6F">
      <w:pPr>
        <w:pStyle w:val="ListParagraph"/>
        <w:numPr>
          <w:ilvl w:val="0"/>
          <w:numId w:val="4"/>
        </w:numPr>
        <w:rPr>
          <w:rFonts w:cs="Arial"/>
        </w:rPr>
      </w:pPr>
      <w:r w:rsidRPr="00306E6F">
        <w:rPr>
          <w:rFonts w:cs="Arial"/>
        </w:rPr>
        <w:t xml:space="preserve">In some cases, the </w:t>
      </w:r>
      <w:r w:rsidR="005A6F4A" w:rsidRPr="00306E6F">
        <w:rPr>
          <w:rFonts w:cs="Arial"/>
        </w:rPr>
        <w:t>statement of cash flow</w:t>
      </w:r>
      <w:r w:rsidR="00B474CE">
        <w:rPr>
          <w:rFonts w:cs="Arial"/>
        </w:rPr>
        <w:t>s</w:t>
      </w:r>
      <w:r w:rsidRPr="00306E6F">
        <w:rPr>
          <w:rFonts w:cs="Arial"/>
        </w:rPr>
        <w:t xml:space="preserve"> may be received towards the end of the audit. </w:t>
      </w:r>
      <w:r w:rsidR="00B474CE">
        <w:rPr>
          <w:rFonts w:cs="Arial"/>
        </w:rPr>
        <w:t xml:space="preserve">Consider emphasizing </w:t>
      </w:r>
      <w:r w:rsidRPr="00306E6F">
        <w:rPr>
          <w:rFonts w:cs="Arial"/>
        </w:rPr>
        <w:t xml:space="preserve">to management the importance of providing the </w:t>
      </w:r>
      <w:r w:rsidR="005A6F4A" w:rsidRPr="00306E6F">
        <w:rPr>
          <w:rFonts w:cs="Arial"/>
        </w:rPr>
        <w:t>statement of cash flow</w:t>
      </w:r>
      <w:r w:rsidR="00B474CE">
        <w:rPr>
          <w:rFonts w:cs="Arial"/>
        </w:rPr>
        <w:t>s</w:t>
      </w:r>
      <w:r w:rsidRPr="00306E6F">
        <w:rPr>
          <w:rFonts w:cs="Arial"/>
        </w:rPr>
        <w:t xml:space="preserve">, along with all supporting documentation, at the same time </w:t>
      </w:r>
      <w:r w:rsidR="00DA5FB8">
        <w:rPr>
          <w:rFonts w:cs="Arial"/>
        </w:rPr>
        <w:t>as</w:t>
      </w:r>
      <w:r w:rsidRPr="00306E6F">
        <w:rPr>
          <w:rFonts w:cs="Arial"/>
        </w:rPr>
        <w:t xml:space="preserve"> the rest of the </w:t>
      </w:r>
      <w:r w:rsidR="00B474CE">
        <w:rPr>
          <w:rFonts w:cs="Arial"/>
        </w:rPr>
        <w:t xml:space="preserve">financial </w:t>
      </w:r>
      <w:r w:rsidRPr="00306E6F">
        <w:rPr>
          <w:rFonts w:cs="Arial"/>
        </w:rPr>
        <w:t>statement</w:t>
      </w:r>
      <w:r w:rsidR="00B474CE">
        <w:rPr>
          <w:rFonts w:cs="Arial"/>
        </w:rPr>
        <w:t>s</w:t>
      </w:r>
      <w:r w:rsidRPr="00306E6F">
        <w:rPr>
          <w:rFonts w:cs="Arial"/>
        </w:rPr>
        <w:t>.</w:t>
      </w:r>
      <w:r w:rsidR="001C04D0" w:rsidRPr="00306E6F">
        <w:rPr>
          <w:rFonts w:cs="Arial"/>
        </w:rPr>
        <w:t xml:space="preserve"> </w:t>
      </w:r>
      <w:r w:rsidR="00B474CE">
        <w:rPr>
          <w:rFonts w:cs="Arial"/>
        </w:rPr>
        <w:t>In addition</w:t>
      </w:r>
      <w:r w:rsidR="001C04D0" w:rsidRPr="00306E6F">
        <w:rPr>
          <w:rFonts w:cs="Arial"/>
        </w:rPr>
        <w:t xml:space="preserve">, the audit team should not wait until the end of the audit to start auditing the </w:t>
      </w:r>
      <w:r w:rsidR="005A6F4A" w:rsidRPr="00306E6F">
        <w:rPr>
          <w:rFonts w:cs="Arial"/>
        </w:rPr>
        <w:t>statement of cash flow</w:t>
      </w:r>
      <w:r w:rsidR="00B474CE">
        <w:rPr>
          <w:rFonts w:cs="Arial"/>
        </w:rPr>
        <w:t>s</w:t>
      </w:r>
      <w:r w:rsidR="001C04D0" w:rsidRPr="00306E6F">
        <w:rPr>
          <w:rFonts w:cs="Arial"/>
        </w:rPr>
        <w:t>.</w:t>
      </w:r>
    </w:p>
    <w:p w14:paraId="38BCE176" w14:textId="3880254B" w:rsidR="006A525F" w:rsidRPr="00306E6F" w:rsidRDefault="00B474CE" w:rsidP="00306E6F">
      <w:pPr>
        <w:pStyle w:val="ListParagraph"/>
        <w:numPr>
          <w:ilvl w:val="0"/>
          <w:numId w:val="4"/>
        </w:numPr>
        <w:rPr>
          <w:rFonts w:cs="Arial"/>
        </w:rPr>
      </w:pPr>
      <w:r>
        <w:rPr>
          <w:rFonts w:cs="Arial"/>
        </w:rPr>
        <w:t>Consider compiling a</w:t>
      </w:r>
      <w:r w:rsidR="006A525F" w:rsidRPr="00306E6F">
        <w:rPr>
          <w:rFonts w:cs="Arial"/>
        </w:rPr>
        <w:t xml:space="preserve"> list of non-cash </w:t>
      </w:r>
      <w:r w:rsidR="00DA5FB8">
        <w:rPr>
          <w:rFonts w:cs="Arial"/>
        </w:rPr>
        <w:t>transactions</w:t>
      </w:r>
      <w:r w:rsidR="006A525F" w:rsidRPr="00306E6F">
        <w:rPr>
          <w:rFonts w:cs="Arial"/>
        </w:rPr>
        <w:t xml:space="preserve"> during the audit which could serve as a completeness check when auditing the </w:t>
      </w:r>
      <w:r w:rsidR="005A6F4A" w:rsidRPr="00306E6F">
        <w:rPr>
          <w:rFonts w:cs="Arial"/>
        </w:rPr>
        <w:t>statement of cash flow</w:t>
      </w:r>
      <w:r>
        <w:rPr>
          <w:rFonts w:cs="Arial"/>
        </w:rPr>
        <w:t>s</w:t>
      </w:r>
      <w:r w:rsidR="006A525F" w:rsidRPr="00306E6F">
        <w:rPr>
          <w:rFonts w:cs="Arial"/>
        </w:rPr>
        <w:t>.</w:t>
      </w:r>
    </w:p>
    <w:p w14:paraId="521750B8" w14:textId="492DD16F" w:rsidR="00510CCF" w:rsidRPr="00306E6F" w:rsidRDefault="00510CCF" w:rsidP="00306E6F">
      <w:pPr>
        <w:pStyle w:val="ListParagraph"/>
        <w:numPr>
          <w:ilvl w:val="0"/>
          <w:numId w:val="4"/>
        </w:numPr>
        <w:rPr>
          <w:rFonts w:cs="Arial"/>
        </w:rPr>
      </w:pPr>
      <w:r w:rsidRPr="00306E6F">
        <w:rPr>
          <w:rFonts w:cs="Arial"/>
        </w:rPr>
        <w:t>When review</w:t>
      </w:r>
      <w:r w:rsidR="000B0833">
        <w:rPr>
          <w:rFonts w:cs="Arial"/>
        </w:rPr>
        <w:t>ing</w:t>
      </w:r>
      <w:r w:rsidRPr="00306E6F">
        <w:rPr>
          <w:rFonts w:cs="Arial"/>
        </w:rPr>
        <w:t xml:space="preserve"> a</w:t>
      </w:r>
      <w:r w:rsidR="005707FE" w:rsidRPr="00306E6F">
        <w:rPr>
          <w:rFonts w:cs="Arial"/>
        </w:rPr>
        <w:t xml:space="preserve">ny </w:t>
      </w:r>
      <w:r w:rsidRPr="00306E6F">
        <w:rPr>
          <w:rFonts w:cs="Arial"/>
        </w:rPr>
        <w:t xml:space="preserve">accounting </w:t>
      </w:r>
      <w:r w:rsidR="005707FE" w:rsidRPr="00306E6F">
        <w:rPr>
          <w:rFonts w:cs="Arial"/>
        </w:rPr>
        <w:t>position paper</w:t>
      </w:r>
      <w:r w:rsidR="000B0833">
        <w:rPr>
          <w:rFonts w:cs="Arial"/>
        </w:rPr>
        <w:t>s</w:t>
      </w:r>
      <w:r w:rsidRPr="00306E6F">
        <w:rPr>
          <w:rFonts w:cs="Arial"/>
        </w:rPr>
        <w:t xml:space="preserve"> (e.g. adoption of </w:t>
      </w:r>
      <w:r w:rsidR="00DA5FB8">
        <w:rPr>
          <w:rFonts w:cs="Arial"/>
        </w:rPr>
        <w:t xml:space="preserve">a </w:t>
      </w:r>
      <w:r w:rsidRPr="00306E6F">
        <w:rPr>
          <w:rFonts w:cs="Arial"/>
        </w:rPr>
        <w:t>new standard, change in accounting policies, etc.)</w:t>
      </w:r>
      <w:r w:rsidR="005707FE" w:rsidRPr="00306E6F">
        <w:rPr>
          <w:rFonts w:cs="Arial"/>
        </w:rPr>
        <w:t xml:space="preserve">, </w:t>
      </w:r>
      <w:r w:rsidR="000B0833">
        <w:rPr>
          <w:rFonts w:cs="Arial"/>
        </w:rPr>
        <w:t>the audit team should consider whether there should be a</w:t>
      </w:r>
      <w:r w:rsidRPr="00306E6F">
        <w:rPr>
          <w:rFonts w:cs="Arial"/>
        </w:rPr>
        <w:t xml:space="preserve"> section that deals specifically with the </w:t>
      </w:r>
      <w:r w:rsidR="005A6F4A" w:rsidRPr="00306E6F">
        <w:rPr>
          <w:rFonts w:cs="Arial"/>
        </w:rPr>
        <w:t>statement of cash flow</w:t>
      </w:r>
      <w:r w:rsidR="00B474CE">
        <w:rPr>
          <w:rFonts w:cs="Arial"/>
        </w:rPr>
        <w:t>s</w:t>
      </w:r>
      <w:r w:rsidRPr="00306E6F">
        <w:rPr>
          <w:rFonts w:cs="Arial"/>
        </w:rPr>
        <w:t>.</w:t>
      </w:r>
    </w:p>
    <w:p w14:paraId="05256D2A" w14:textId="12F687A7" w:rsidR="005707FE" w:rsidRPr="00306E6F" w:rsidRDefault="00510CCF" w:rsidP="00306E6F">
      <w:pPr>
        <w:pStyle w:val="ListParagraph"/>
        <w:numPr>
          <w:ilvl w:val="0"/>
          <w:numId w:val="4"/>
        </w:numPr>
        <w:rPr>
          <w:rFonts w:cs="Arial"/>
        </w:rPr>
      </w:pPr>
      <w:r w:rsidRPr="00306E6F">
        <w:rPr>
          <w:rFonts w:cs="Arial"/>
        </w:rPr>
        <w:t xml:space="preserve">Whenever there is a financial </w:t>
      </w:r>
      <w:r w:rsidR="005707FE" w:rsidRPr="00306E6F">
        <w:rPr>
          <w:rFonts w:cs="Arial"/>
        </w:rPr>
        <w:t>system change</w:t>
      </w:r>
      <w:r w:rsidR="005A6F4A" w:rsidRPr="00306E6F">
        <w:rPr>
          <w:rFonts w:cs="Arial"/>
        </w:rPr>
        <w:t xml:space="preserve"> or a change</w:t>
      </w:r>
      <w:r w:rsidRPr="00306E6F">
        <w:rPr>
          <w:rFonts w:cs="Arial"/>
        </w:rPr>
        <w:t xml:space="preserve"> to the chart of account</w:t>
      </w:r>
      <w:r w:rsidR="005A6F4A" w:rsidRPr="00306E6F">
        <w:rPr>
          <w:rFonts w:cs="Arial"/>
        </w:rPr>
        <w:t>s</w:t>
      </w:r>
      <w:r w:rsidRPr="00306E6F">
        <w:rPr>
          <w:rFonts w:cs="Arial"/>
        </w:rPr>
        <w:t xml:space="preserve">, </w:t>
      </w:r>
      <w:r w:rsidR="005A6F4A" w:rsidRPr="00306E6F">
        <w:rPr>
          <w:rFonts w:cs="Arial"/>
        </w:rPr>
        <w:t>the audit team should asses</w:t>
      </w:r>
      <w:r w:rsidR="000B0833">
        <w:rPr>
          <w:rFonts w:cs="Arial"/>
        </w:rPr>
        <w:t>s</w:t>
      </w:r>
      <w:r w:rsidR="005A6F4A" w:rsidRPr="00306E6F">
        <w:rPr>
          <w:rFonts w:cs="Arial"/>
        </w:rPr>
        <w:t xml:space="preserve"> </w:t>
      </w:r>
      <w:r w:rsidR="000B0833">
        <w:rPr>
          <w:rFonts w:cs="Arial"/>
        </w:rPr>
        <w:t>whether</w:t>
      </w:r>
      <w:r w:rsidR="005A6F4A" w:rsidRPr="00306E6F">
        <w:rPr>
          <w:rFonts w:cs="Arial"/>
        </w:rPr>
        <w:t xml:space="preserve"> the change </w:t>
      </w:r>
      <w:r w:rsidRPr="00306E6F">
        <w:rPr>
          <w:rFonts w:cs="Arial"/>
        </w:rPr>
        <w:t>could have an impact on the statement of cash flow</w:t>
      </w:r>
      <w:r w:rsidR="000B0833">
        <w:rPr>
          <w:rFonts w:cs="Arial"/>
        </w:rPr>
        <w:t>s</w:t>
      </w:r>
      <w:r w:rsidR="005A6F4A" w:rsidRPr="00306E6F">
        <w:rPr>
          <w:rFonts w:cs="Arial"/>
        </w:rPr>
        <w:t>.</w:t>
      </w:r>
    </w:p>
    <w:p w14:paraId="0255708F" w14:textId="27238FCE" w:rsidR="001440C3" w:rsidRPr="00306E6F" w:rsidRDefault="000B3424" w:rsidP="00306E6F">
      <w:pPr>
        <w:pStyle w:val="ListParagraph"/>
        <w:numPr>
          <w:ilvl w:val="0"/>
          <w:numId w:val="4"/>
        </w:numPr>
        <w:rPr>
          <w:rFonts w:cs="Arial"/>
        </w:rPr>
      </w:pPr>
      <w:r w:rsidRPr="00306E6F">
        <w:rPr>
          <w:rFonts w:cs="Arial"/>
        </w:rPr>
        <w:t xml:space="preserve">Tailor your audit programs based on the specifics of your entity and on the list of </w:t>
      </w:r>
      <w:r w:rsidR="00565622">
        <w:rPr>
          <w:rFonts w:cs="Arial"/>
        </w:rPr>
        <w:t xml:space="preserve">items to consider in Appendix A and of the </w:t>
      </w:r>
      <w:r w:rsidRPr="00306E6F">
        <w:rPr>
          <w:rFonts w:cs="Arial"/>
        </w:rPr>
        <w:t xml:space="preserve">most </w:t>
      </w:r>
      <w:r w:rsidR="00DA5FB8">
        <w:rPr>
          <w:rFonts w:cs="Arial"/>
        </w:rPr>
        <w:t>common</w:t>
      </w:r>
      <w:r w:rsidR="00DA5FB8" w:rsidRPr="00306E6F">
        <w:rPr>
          <w:rFonts w:cs="Arial"/>
        </w:rPr>
        <w:t xml:space="preserve"> </w:t>
      </w:r>
      <w:r w:rsidRPr="00306E6F">
        <w:rPr>
          <w:rFonts w:cs="Arial"/>
        </w:rPr>
        <w:t>errors</w:t>
      </w:r>
      <w:r w:rsidR="00DA5FB8">
        <w:rPr>
          <w:rFonts w:cs="Arial"/>
        </w:rPr>
        <w:t xml:space="preserve"> noted</w:t>
      </w:r>
      <w:r w:rsidRPr="00306E6F">
        <w:rPr>
          <w:rFonts w:cs="Arial"/>
        </w:rPr>
        <w:t xml:space="preserve"> in Appendix B.</w:t>
      </w:r>
    </w:p>
    <w:p w14:paraId="30138B95" w14:textId="20F13EE3" w:rsidR="003050B3" w:rsidRDefault="003050B3" w:rsidP="00306E6F">
      <w:pPr>
        <w:pStyle w:val="ListParagraph"/>
        <w:numPr>
          <w:ilvl w:val="0"/>
          <w:numId w:val="4"/>
        </w:numPr>
        <w:rPr>
          <w:rFonts w:cs="Arial"/>
        </w:rPr>
      </w:pPr>
      <w:r w:rsidRPr="00306E6F">
        <w:rPr>
          <w:rFonts w:cs="Arial"/>
        </w:rPr>
        <w:t>Whenever your entity has investment</w:t>
      </w:r>
      <w:r w:rsidR="000B0833">
        <w:rPr>
          <w:rFonts w:cs="Arial"/>
        </w:rPr>
        <w:t>s</w:t>
      </w:r>
      <w:r w:rsidRPr="00306E6F">
        <w:rPr>
          <w:rFonts w:cs="Arial"/>
        </w:rPr>
        <w:t>, review the details of these investments to see whether there are any short-term, highly liquid securities. If so, assess whether these me</w:t>
      </w:r>
      <w:r w:rsidR="000B0833">
        <w:rPr>
          <w:rFonts w:cs="Arial"/>
        </w:rPr>
        <w:t>et</w:t>
      </w:r>
      <w:r w:rsidRPr="00306E6F">
        <w:rPr>
          <w:rFonts w:cs="Arial"/>
        </w:rPr>
        <w:t xml:space="preserve"> the definition of cash equivalent</w:t>
      </w:r>
      <w:r w:rsidR="000B0833">
        <w:rPr>
          <w:rFonts w:cs="Arial"/>
        </w:rPr>
        <w:t>s</w:t>
      </w:r>
      <w:r w:rsidRPr="00306E6F">
        <w:rPr>
          <w:rFonts w:cs="Arial"/>
        </w:rPr>
        <w:t xml:space="preserve"> and assess the potential impact on the </w:t>
      </w:r>
      <w:r w:rsidR="005A6F4A" w:rsidRPr="00306E6F">
        <w:rPr>
          <w:rFonts w:cs="Arial"/>
        </w:rPr>
        <w:t>statement of cash flow</w:t>
      </w:r>
      <w:r w:rsidR="000B0833">
        <w:rPr>
          <w:rFonts w:cs="Arial"/>
        </w:rPr>
        <w:t>s</w:t>
      </w:r>
      <w:r w:rsidRPr="00306E6F">
        <w:rPr>
          <w:rFonts w:cs="Arial"/>
        </w:rPr>
        <w:t>.</w:t>
      </w:r>
    </w:p>
    <w:p w14:paraId="25AB562A" w14:textId="620658EA" w:rsidR="0087287D" w:rsidRDefault="0087287D" w:rsidP="00306E6F">
      <w:pPr>
        <w:pStyle w:val="ListParagraph"/>
        <w:numPr>
          <w:ilvl w:val="0"/>
          <w:numId w:val="4"/>
        </w:numPr>
        <w:rPr>
          <w:rFonts w:cs="Arial"/>
        </w:rPr>
      </w:pPr>
      <w:r>
        <w:rPr>
          <w:rFonts w:cs="Arial"/>
        </w:rPr>
        <w:t xml:space="preserve">Review </w:t>
      </w:r>
      <w:r w:rsidR="00DA5FB8">
        <w:rPr>
          <w:rFonts w:cs="Arial"/>
        </w:rPr>
        <w:t>A</w:t>
      </w:r>
      <w:r>
        <w:rPr>
          <w:rFonts w:cs="Arial"/>
        </w:rPr>
        <w:t xml:space="preserve">ppendices A and B and prepare a detailed list of questions for your </w:t>
      </w:r>
      <w:r w:rsidR="000B0833">
        <w:rPr>
          <w:rFonts w:cs="Arial"/>
        </w:rPr>
        <w:t xml:space="preserve">audit </w:t>
      </w:r>
      <w:r>
        <w:rPr>
          <w:rFonts w:cs="Arial"/>
        </w:rPr>
        <w:t xml:space="preserve">entity based on what is relevant for your audit. Ask your entity to answer not only the “what” (e.g. in which line cash flow hedges are adjusted), but also the </w:t>
      </w:r>
      <w:r w:rsidR="00DA5FB8">
        <w:rPr>
          <w:rFonts w:cs="Arial"/>
        </w:rPr>
        <w:t>“</w:t>
      </w:r>
      <w:r>
        <w:rPr>
          <w:rFonts w:cs="Arial"/>
        </w:rPr>
        <w:t>how</w:t>
      </w:r>
      <w:r w:rsidR="00DA5FB8">
        <w:rPr>
          <w:rFonts w:cs="Arial"/>
        </w:rPr>
        <w:t>”</w:t>
      </w:r>
      <w:r>
        <w:rPr>
          <w:rFonts w:cs="Arial"/>
        </w:rPr>
        <w:t xml:space="preserve"> (</w:t>
      </w:r>
      <w:r w:rsidR="00DA5FB8">
        <w:rPr>
          <w:rFonts w:cs="Arial"/>
        </w:rPr>
        <w:t xml:space="preserve">e.g. </w:t>
      </w:r>
      <w:r>
        <w:rPr>
          <w:rFonts w:cs="Arial"/>
        </w:rPr>
        <w:t xml:space="preserve">how these are recorded by the entity and how they ensure that the amount is appropriate). </w:t>
      </w:r>
    </w:p>
    <w:p w14:paraId="763DD8C7" w14:textId="288DE9AB" w:rsidR="00415AAA" w:rsidRPr="00306E6F" w:rsidRDefault="00CE1A63" w:rsidP="00306E6F">
      <w:pPr>
        <w:pStyle w:val="ListParagraph"/>
        <w:numPr>
          <w:ilvl w:val="0"/>
          <w:numId w:val="4"/>
        </w:numPr>
        <w:rPr>
          <w:rFonts w:cs="Arial"/>
        </w:rPr>
      </w:pPr>
      <w:r>
        <w:rPr>
          <w:rFonts w:cs="Arial"/>
        </w:rPr>
        <w:t xml:space="preserve">In some cases, it is possible to reconcile some amounts presented in the statement of cash flows in more than </w:t>
      </w:r>
      <w:r w:rsidR="00DA5FB8">
        <w:rPr>
          <w:rFonts w:cs="Arial"/>
        </w:rPr>
        <w:t>one</w:t>
      </w:r>
      <w:r>
        <w:rPr>
          <w:rFonts w:cs="Arial"/>
        </w:rPr>
        <w:t xml:space="preserve"> way. </w:t>
      </w:r>
      <w:r w:rsidR="00415AAA">
        <w:rPr>
          <w:rFonts w:cs="Arial"/>
        </w:rPr>
        <w:t xml:space="preserve">Ask your entity to </w:t>
      </w:r>
      <w:r>
        <w:rPr>
          <w:rFonts w:cs="Arial"/>
        </w:rPr>
        <w:t xml:space="preserve">identify these instances and </w:t>
      </w:r>
      <w:r w:rsidR="00B34837">
        <w:rPr>
          <w:rFonts w:cs="Arial"/>
        </w:rPr>
        <w:t>demonstrate</w:t>
      </w:r>
      <w:r w:rsidR="00415AAA">
        <w:rPr>
          <w:rFonts w:cs="Arial"/>
        </w:rPr>
        <w:t xml:space="preserve"> the accuracy of amounts presented in the </w:t>
      </w:r>
      <w:r>
        <w:rPr>
          <w:rFonts w:cs="Arial"/>
        </w:rPr>
        <w:t>statement of cash flows by showing the results obtained in both ways</w:t>
      </w:r>
      <w:r w:rsidR="00415AAA">
        <w:rPr>
          <w:rFonts w:cs="Arial"/>
        </w:rPr>
        <w:t xml:space="preserve">. </w:t>
      </w:r>
      <w:r w:rsidR="004B3FB4">
        <w:rPr>
          <w:rFonts w:cs="Arial"/>
        </w:rPr>
        <w:t>Using this method could</w:t>
      </w:r>
      <w:r w:rsidR="00415AAA">
        <w:rPr>
          <w:rFonts w:cs="Arial"/>
        </w:rPr>
        <w:t xml:space="preserve"> </w:t>
      </w:r>
      <w:r w:rsidR="004B3FB4">
        <w:rPr>
          <w:rFonts w:cs="Arial"/>
        </w:rPr>
        <w:t>demonstrate</w:t>
      </w:r>
      <w:r w:rsidR="00415AAA">
        <w:rPr>
          <w:rFonts w:cs="Arial"/>
        </w:rPr>
        <w:t xml:space="preserve"> further evidence that nothing was missed. </w:t>
      </w:r>
    </w:p>
    <w:sectPr w:rsidR="00415AAA" w:rsidRPr="00306E6F" w:rsidSect="00306E6F">
      <w:headerReference w:type="default" r:id="rId8"/>
      <w:footerReference w:type="default" r:id="rId9"/>
      <w:headerReference w:type="first" r:id="rId10"/>
      <w:footerReference w:type="first" r:id="rId11"/>
      <w:pgSz w:w="12240" w:h="20160" w:code="5"/>
      <w:pgMar w:top="1440" w:right="1440" w:bottom="1134"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0B44D" w14:textId="77777777" w:rsidR="00293771" w:rsidRDefault="00293771" w:rsidP="00F87AE1">
      <w:pPr>
        <w:spacing w:before="0" w:after="0"/>
      </w:pPr>
      <w:r>
        <w:separator/>
      </w:r>
    </w:p>
  </w:endnote>
  <w:endnote w:type="continuationSeparator" w:id="0">
    <w:p w14:paraId="0C1ECFFF" w14:textId="77777777" w:rsidR="00293771" w:rsidRDefault="00293771" w:rsidP="00F87A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embedBold r:id="rId1" w:subsetted="1" w:fontKey="{93F465CF-8129-4538-AE7F-7AE82A963A9F}"/>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B824B" w14:textId="77777777" w:rsidR="00293771" w:rsidRPr="009B17E2" w:rsidRDefault="00293771" w:rsidP="00020683">
    <w:pPr>
      <w:pStyle w:val="Footer"/>
      <w:tabs>
        <w:tab w:val="clear" w:pos="4680"/>
      </w:tabs>
      <w:jc w:val="right"/>
    </w:pPr>
    <w:r>
      <w:fldChar w:fldCharType="begin"/>
    </w:r>
    <w:r>
      <w:instrText xml:space="preserve"> PAGE   \* MERGEFORMAT </w:instrText>
    </w:r>
    <w:r>
      <w:fldChar w:fldCharType="separate"/>
    </w:r>
    <w:r w:rsidR="00211E62">
      <w:rPr>
        <w:noProof/>
      </w:rPr>
      <w:t>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6ECC0" w14:textId="6C82AC50" w:rsidR="00293771" w:rsidRPr="009B17E2" w:rsidRDefault="00B17819" w:rsidP="00B17819">
    <w:pPr>
      <w:pStyle w:val="Footer"/>
      <w:rPr>
        <w:sz w:val="16"/>
        <w:szCs w:val="16"/>
      </w:rPr>
    </w:pPr>
    <w:r w:rsidRPr="007A36F0">
      <w:rPr>
        <w:sz w:val="16"/>
        <w:szCs w:val="16"/>
      </w:rPr>
      <w:t>Oct-2018</w:t>
    </w:r>
  </w:p>
  <w:p w14:paraId="66C53500" w14:textId="632E7AD6" w:rsidR="00293771" w:rsidRDefault="00211E62" w:rsidP="009B17E2">
    <w:pPr>
      <w:pStyle w:val="Footer"/>
      <w:tabs>
        <w:tab w:val="clear" w:pos="4680"/>
      </w:tabs>
    </w:pPr>
    <w:r>
      <w:rPr>
        <w:sz w:val="16"/>
        <w:szCs w:val="16"/>
      </w:rPr>
      <w:t>Template owner: Audit Services</w:t>
    </w:r>
    <w:r w:rsidR="00293771">
      <w:tab/>
    </w:r>
    <w:r w:rsidR="00293771">
      <w:fldChar w:fldCharType="begin"/>
    </w:r>
    <w:r w:rsidR="00293771">
      <w:instrText xml:space="preserve"> PAGE   \* MERGEFORMAT </w:instrText>
    </w:r>
    <w:r w:rsidR="00293771">
      <w:fldChar w:fldCharType="separate"/>
    </w:r>
    <w:r>
      <w:rPr>
        <w:noProof/>
      </w:rPr>
      <w:t>1</w:t>
    </w:r>
    <w:r w:rsidR="0029377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27BCC" w14:textId="77777777" w:rsidR="00293771" w:rsidRDefault="00293771" w:rsidP="00F87AE1">
      <w:pPr>
        <w:spacing w:before="0" w:after="0"/>
      </w:pPr>
      <w:r>
        <w:separator/>
      </w:r>
    </w:p>
  </w:footnote>
  <w:footnote w:type="continuationSeparator" w:id="0">
    <w:p w14:paraId="03DA9D66" w14:textId="77777777" w:rsidR="00293771" w:rsidRDefault="00293771" w:rsidP="00F87AE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DD67F" w14:textId="2076F474" w:rsidR="00293771" w:rsidRPr="003610C2" w:rsidRDefault="00293771" w:rsidP="00A142AC">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DF23D" w14:textId="0B80D459" w:rsidR="00293771" w:rsidRPr="003610C2" w:rsidRDefault="00211E62" w:rsidP="00A142AC">
    <w:pPr>
      <w:jc w:val="right"/>
    </w:pPr>
    <w:sdt>
      <w:sdtPr>
        <w:rPr>
          <w:rFonts w:cs="Arial"/>
          <w:b/>
          <w:lang w:val="fr-CA"/>
        </w:rPr>
        <w:alias w:val="Security Label"/>
        <w:tag w:val="OAG-BVG-Classification"/>
        <w:id w:val="370649869"/>
        <w:placeholder>
          <w:docPart w:val="A6A97CD1443848EC98373B2BBBFB2253"/>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CC6FFB">
          <w:rPr>
            <w:rFonts w:cs="Arial"/>
            <w:b/>
            <w:lang w:val="fr-CA"/>
          </w:rPr>
          <w:t>UNCLASSIFIED</w:t>
        </w:r>
      </w:sdtContent>
    </w:sdt>
  </w:p>
  <w:p w14:paraId="19C2E29B" w14:textId="77777777" w:rsidR="00293771" w:rsidRPr="00B17819" w:rsidRDefault="00293771" w:rsidP="00A142AC">
    <w:pPr>
      <w:pStyle w:val="Header"/>
      <w:spacing w:before="240" w:after="240"/>
      <w:jc w:val="center"/>
      <w:rPr>
        <w:sz w:val="36"/>
        <w:szCs w:val="36"/>
      </w:rPr>
    </w:pPr>
    <w:r w:rsidRPr="00B17819">
      <w:rPr>
        <w:b/>
        <w:sz w:val="36"/>
        <w:szCs w:val="36"/>
      </w:rPr>
      <w:t>Cash Flow 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539F6"/>
    <w:multiLevelType w:val="hybridMultilevel"/>
    <w:tmpl w:val="BECA02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86D6BF0"/>
    <w:multiLevelType w:val="hybridMultilevel"/>
    <w:tmpl w:val="447A63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4BBE7763"/>
    <w:multiLevelType w:val="hybridMultilevel"/>
    <w:tmpl w:val="EA2A07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D9B66A7"/>
    <w:multiLevelType w:val="hybridMultilevel"/>
    <w:tmpl w:val="BD7CF448"/>
    <w:lvl w:ilvl="0" w:tplc="B6F2EC82">
      <w:start w:val="18"/>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E266C02"/>
    <w:multiLevelType w:val="hybridMultilevel"/>
    <w:tmpl w:val="C3EE29FC"/>
    <w:lvl w:ilvl="0" w:tplc="8BB88C2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30E30EC"/>
    <w:multiLevelType w:val="hybridMultilevel"/>
    <w:tmpl w:val="FD22C9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21A"/>
    <w:rsid w:val="00004E99"/>
    <w:rsid w:val="0001297A"/>
    <w:rsid w:val="00020683"/>
    <w:rsid w:val="0002259E"/>
    <w:rsid w:val="00046650"/>
    <w:rsid w:val="00085114"/>
    <w:rsid w:val="0009686E"/>
    <w:rsid w:val="000A2E43"/>
    <w:rsid w:val="000B0833"/>
    <w:rsid w:val="000B3424"/>
    <w:rsid w:val="000D0BE7"/>
    <w:rsid w:val="000E70A2"/>
    <w:rsid w:val="0010599A"/>
    <w:rsid w:val="00131372"/>
    <w:rsid w:val="001440C3"/>
    <w:rsid w:val="0015104D"/>
    <w:rsid w:val="00156629"/>
    <w:rsid w:val="00164F85"/>
    <w:rsid w:val="0016745E"/>
    <w:rsid w:val="001C04D0"/>
    <w:rsid w:val="001C4F93"/>
    <w:rsid w:val="001D4D1A"/>
    <w:rsid w:val="001E0E53"/>
    <w:rsid w:val="001E5370"/>
    <w:rsid w:val="001E6F90"/>
    <w:rsid w:val="00211E62"/>
    <w:rsid w:val="00221A6B"/>
    <w:rsid w:val="00222827"/>
    <w:rsid w:val="002305E7"/>
    <w:rsid w:val="0023378A"/>
    <w:rsid w:val="00247C69"/>
    <w:rsid w:val="00275039"/>
    <w:rsid w:val="0028096F"/>
    <w:rsid w:val="0028118A"/>
    <w:rsid w:val="002928AF"/>
    <w:rsid w:val="00292F5A"/>
    <w:rsid w:val="00293771"/>
    <w:rsid w:val="002B6083"/>
    <w:rsid w:val="002F5AA5"/>
    <w:rsid w:val="002F5EDB"/>
    <w:rsid w:val="003050B3"/>
    <w:rsid w:val="00306E6F"/>
    <w:rsid w:val="00330808"/>
    <w:rsid w:val="003368C9"/>
    <w:rsid w:val="00345A7A"/>
    <w:rsid w:val="003575FD"/>
    <w:rsid w:val="00364D2A"/>
    <w:rsid w:val="00396900"/>
    <w:rsid w:val="003B7366"/>
    <w:rsid w:val="003C578B"/>
    <w:rsid w:val="003D22E8"/>
    <w:rsid w:val="003D28EB"/>
    <w:rsid w:val="003D5191"/>
    <w:rsid w:val="003E0F25"/>
    <w:rsid w:val="003E7BE4"/>
    <w:rsid w:val="00404A3C"/>
    <w:rsid w:val="00415AAA"/>
    <w:rsid w:val="004266CE"/>
    <w:rsid w:val="00457FD6"/>
    <w:rsid w:val="00474A66"/>
    <w:rsid w:val="004B22CC"/>
    <w:rsid w:val="004B3FB4"/>
    <w:rsid w:val="004D230F"/>
    <w:rsid w:val="004E2DA6"/>
    <w:rsid w:val="004F52BE"/>
    <w:rsid w:val="004F763C"/>
    <w:rsid w:val="005060D0"/>
    <w:rsid w:val="0051019A"/>
    <w:rsid w:val="00510CCF"/>
    <w:rsid w:val="00531CD1"/>
    <w:rsid w:val="0053777A"/>
    <w:rsid w:val="00547A9F"/>
    <w:rsid w:val="00565622"/>
    <w:rsid w:val="005707FE"/>
    <w:rsid w:val="00582638"/>
    <w:rsid w:val="005864EB"/>
    <w:rsid w:val="005A6F4A"/>
    <w:rsid w:val="005B210E"/>
    <w:rsid w:val="005D0800"/>
    <w:rsid w:val="005D520A"/>
    <w:rsid w:val="005D5769"/>
    <w:rsid w:val="005D6754"/>
    <w:rsid w:val="005F4B4A"/>
    <w:rsid w:val="006067BE"/>
    <w:rsid w:val="00611EE5"/>
    <w:rsid w:val="00615B0D"/>
    <w:rsid w:val="00631C45"/>
    <w:rsid w:val="00645CF0"/>
    <w:rsid w:val="00653022"/>
    <w:rsid w:val="0067528F"/>
    <w:rsid w:val="00692E1D"/>
    <w:rsid w:val="006A05C2"/>
    <w:rsid w:val="006A525F"/>
    <w:rsid w:val="006C2458"/>
    <w:rsid w:val="006C636F"/>
    <w:rsid w:val="006C7A1E"/>
    <w:rsid w:val="006D56F4"/>
    <w:rsid w:val="006D75D8"/>
    <w:rsid w:val="006F7349"/>
    <w:rsid w:val="00706DD5"/>
    <w:rsid w:val="00732645"/>
    <w:rsid w:val="00756A49"/>
    <w:rsid w:val="00760881"/>
    <w:rsid w:val="007616AF"/>
    <w:rsid w:val="00787ABD"/>
    <w:rsid w:val="007A16D3"/>
    <w:rsid w:val="007A36F0"/>
    <w:rsid w:val="007B0C18"/>
    <w:rsid w:val="007C2176"/>
    <w:rsid w:val="007D279C"/>
    <w:rsid w:val="007E6EA8"/>
    <w:rsid w:val="0080052C"/>
    <w:rsid w:val="00823A38"/>
    <w:rsid w:val="00832277"/>
    <w:rsid w:val="0087287D"/>
    <w:rsid w:val="008E1113"/>
    <w:rsid w:val="008E345B"/>
    <w:rsid w:val="008F070A"/>
    <w:rsid w:val="0091302E"/>
    <w:rsid w:val="0092651F"/>
    <w:rsid w:val="009327E9"/>
    <w:rsid w:val="00932FD7"/>
    <w:rsid w:val="00933818"/>
    <w:rsid w:val="00964311"/>
    <w:rsid w:val="00966F7D"/>
    <w:rsid w:val="00977433"/>
    <w:rsid w:val="009819B0"/>
    <w:rsid w:val="009A2932"/>
    <w:rsid w:val="009B17E2"/>
    <w:rsid w:val="009E6BA3"/>
    <w:rsid w:val="009F2F41"/>
    <w:rsid w:val="00A10287"/>
    <w:rsid w:val="00A142AC"/>
    <w:rsid w:val="00A2153E"/>
    <w:rsid w:val="00A22603"/>
    <w:rsid w:val="00A310CB"/>
    <w:rsid w:val="00A46906"/>
    <w:rsid w:val="00A54124"/>
    <w:rsid w:val="00A8213E"/>
    <w:rsid w:val="00A83524"/>
    <w:rsid w:val="00A9021A"/>
    <w:rsid w:val="00A9205F"/>
    <w:rsid w:val="00A92308"/>
    <w:rsid w:val="00A941F4"/>
    <w:rsid w:val="00AC7CDA"/>
    <w:rsid w:val="00AE3275"/>
    <w:rsid w:val="00AF06A8"/>
    <w:rsid w:val="00AF0A19"/>
    <w:rsid w:val="00B01170"/>
    <w:rsid w:val="00B05B09"/>
    <w:rsid w:val="00B13605"/>
    <w:rsid w:val="00B17819"/>
    <w:rsid w:val="00B232F4"/>
    <w:rsid w:val="00B26CF9"/>
    <w:rsid w:val="00B3069B"/>
    <w:rsid w:val="00B33403"/>
    <w:rsid w:val="00B34837"/>
    <w:rsid w:val="00B43C47"/>
    <w:rsid w:val="00B474CE"/>
    <w:rsid w:val="00B52A76"/>
    <w:rsid w:val="00B61C71"/>
    <w:rsid w:val="00B76A4A"/>
    <w:rsid w:val="00B8032D"/>
    <w:rsid w:val="00B83830"/>
    <w:rsid w:val="00BC01B0"/>
    <w:rsid w:val="00C05A39"/>
    <w:rsid w:val="00C1441D"/>
    <w:rsid w:val="00C21D5D"/>
    <w:rsid w:val="00C46A62"/>
    <w:rsid w:val="00C519F5"/>
    <w:rsid w:val="00C53FE1"/>
    <w:rsid w:val="00C64A1D"/>
    <w:rsid w:val="00C759A0"/>
    <w:rsid w:val="00C94E90"/>
    <w:rsid w:val="00C95DCF"/>
    <w:rsid w:val="00CA5510"/>
    <w:rsid w:val="00CC6FFB"/>
    <w:rsid w:val="00CE1559"/>
    <w:rsid w:val="00CE1A63"/>
    <w:rsid w:val="00CE26EC"/>
    <w:rsid w:val="00CF0D72"/>
    <w:rsid w:val="00D006DD"/>
    <w:rsid w:val="00D01380"/>
    <w:rsid w:val="00D122A1"/>
    <w:rsid w:val="00D21511"/>
    <w:rsid w:val="00D215DC"/>
    <w:rsid w:val="00D21FBE"/>
    <w:rsid w:val="00D376D4"/>
    <w:rsid w:val="00D5034A"/>
    <w:rsid w:val="00D50673"/>
    <w:rsid w:val="00D51923"/>
    <w:rsid w:val="00D57F76"/>
    <w:rsid w:val="00D70A92"/>
    <w:rsid w:val="00DA5FB8"/>
    <w:rsid w:val="00DC3F01"/>
    <w:rsid w:val="00DE58DA"/>
    <w:rsid w:val="00DE6FA7"/>
    <w:rsid w:val="00DF2FB0"/>
    <w:rsid w:val="00DF42FE"/>
    <w:rsid w:val="00E12335"/>
    <w:rsid w:val="00E142CE"/>
    <w:rsid w:val="00E16EC6"/>
    <w:rsid w:val="00E17BE4"/>
    <w:rsid w:val="00E262BA"/>
    <w:rsid w:val="00E42FA2"/>
    <w:rsid w:val="00E53E7A"/>
    <w:rsid w:val="00E75E25"/>
    <w:rsid w:val="00EE2267"/>
    <w:rsid w:val="00EF40A2"/>
    <w:rsid w:val="00F0026E"/>
    <w:rsid w:val="00F067ED"/>
    <w:rsid w:val="00F17AEF"/>
    <w:rsid w:val="00F30CC9"/>
    <w:rsid w:val="00F35757"/>
    <w:rsid w:val="00F6687D"/>
    <w:rsid w:val="00F70F8B"/>
    <w:rsid w:val="00F732B9"/>
    <w:rsid w:val="00F84E1A"/>
    <w:rsid w:val="00F87AE1"/>
    <w:rsid w:val="00FA6E79"/>
    <w:rsid w:val="00FD6F20"/>
    <w:rsid w:val="00FE1E1B"/>
    <w:rsid w:val="00FF3D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92F2"/>
  <w15:docId w15:val="{9EC5DD0D-C786-4E10-BA2A-BE34CAAD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83"/>
    <w:pPr>
      <w:spacing w:before="240" w:after="240" w:line="240" w:lineRule="auto"/>
    </w:pPr>
    <w:rPr>
      <w:rFonts w:ascii="Arial" w:hAnsi="Arial"/>
    </w:rPr>
  </w:style>
  <w:style w:type="paragraph" w:styleId="Heading1">
    <w:name w:val="heading 1"/>
    <w:basedOn w:val="Normal"/>
    <w:next w:val="Normal"/>
    <w:link w:val="Heading1Char"/>
    <w:uiPriority w:val="9"/>
    <w:qFormat/>
    <w:rsid w:val="005B210E"/>
    <w:pPr>
      <w:keepNext/>
      <w:keepLines/>
      <w:spacing w:before="600" w:after="480"/>
      <w:outlineLvl w:val="0"/>
    </w:pPr>
    <w:rPr>
      <w:rFonts w:eastAsiaTheme="majorEastAsia" w:cstheme="majorBidi"/>
      <w:b/>
      <w:bCs/>
      <w:sz w:val="34"/>
      <w:szCs w:val="28"/>
    </w:rPr>
  </w:style>
  <w:style w:type="paragraph" w:styleId="Heading2">
    <w:name w:val="heading 2"/>
    <w:basedOn w:val="Normal"/>
    <w:next w:val="Normal"/>
    <w:link w:val="Heading2Char"/>
    <w:uiPriority w:val="9"/>
    <w:qFormat/>
    <w:rsid w:val="005B210E"/>
    <w:pPr>
      <w:keepNext/>
      <w:keepLines/>
      <w:spacing w:before="480" w:after="360"/>
      <w:outlineLvl w:val="1"/>
    </w:pPr>
    <w:rPr>
      <w:rFonts w:eastAsiaTheme="majorEastAsia" w:cstheme="majorBidi"/>
      <w:b/>
      <w:bCs/>
      <w:sz w:val="30"/>
      <w:szCs w:val="26"/>
    </w:rPr>
  </w:style>
  <w:style w:type="paragraph" w:styleId="Heading3">
    <w:name w:val="heading 3"/>
    <w:basedOn w:val="Normal"/>
    <w:next w:val="Normal"/>
    <w:link w:val="Heading3Char"/>
    <w:uiPriority w:val="9"/>
    <w:qFormat/>
    <w:rsid w:val="005B210E"/>
    <w:pPr>
      <w:keepNext/>
      <w:keepLines/>
      <w:spacing w:before="360"/>
      <w:outlineLvl w:val="2"/>
    </w:pPr>
    <w:rPr>
      <w:rFonts w:eastAsiaTheme="majorEastAsia" w:cstheme="majorBidi"/>
      <w:b/>
      <w:bCs/>
      <w:sz w:val="26"/>
    </w:rPr>
  </w:style>
  <w:style w:type="paragraph" w:styleId="Heading4">
    <w:name w:val="heading 4"/>
    <w:basedOn w:val="Normal"/>
    <w:next w:val="Normal"/>
    <w:link w:val="Heading4Char"/>
    <w:uiPriority w:val="9"/>
    <w:qFormat/>
    <w:rsid w:val="005B210E"/>
    <w:pPr>
      <w:keepNext/>
      <w:keepLines/>
      <w:outlineLvl w:val="3"/>
    </w:pPr>
    <w:rPr>
      <w:rFonts w:eastAsiaTheme="majorEastAsia" w:cstheme="majorBidi"/>
      <w:b/>
      <w:bCs/>
      <w:iCs/>
    </w:rPr>
  </w:style>
  <w:style w:type="paragraph" w:styleId="Heading5">
    <w:name w:val="heading 5"/>
    <w:basedOn w:val="Normal"/>
    <w:next w:val="Normal"/>
    <w:link w:val="Heading5Char"/>
    <w:uiPriority w:val="9"/>
    <w:qFormat/>
    <w:rsid w:val="005B210E"/>
    <w:pPr>
      <w:keepNext/>
      <w:keepLines/>
      <w:outlineLvl w:val="4"/>
    </w:pPr>
    <w:rPr>
      <w:rFonts w:eastAsiaTheme="majorEastAsia" w:cstheme="majorBidi"/>
      <w:b/>
      <w:i/>
    </w:rPr>
  </w:style>
  <w:style w:type="paragraph" w:styleId="Heading6">
    <w:name w:val="heading 6"/>
    <w:basedOn w:val="Normal"/>
    <w:next w:val="Normal"/>
    <w:link w:val="Heading6Char"/>
    <w:uiPriority w:val="9"/>
    <w:semiHidden/>
    <w:unhideWhenUsed/>
    <w:qFormat/>
    <w:rsid w:val="005B210E"/>
    <w:pPr>
      <w:keepNext/>
      <w:keepLines/>
      <w:outlineLvl w:val="5"/>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10E"/>
    <w:rPr>
      <w:rFonts w:ascii="Arial" w:eastAsiaTheme="majorEastAsia" w:hAnsi="Arial" w:cstheme="majorBidi"/>
      <w:b/>
      <w:bCs/>
      <w:sz w:val="34"/>
      <w:szCs w:val="28"/>
    </w:rPr>
  </w:style>
  <w:style w:type="character" w:customStyle="1" w:styleId="Heading2Char">
    <w:name w:val="Heading 2 Char"/>
    <w:basedOn w:val="DefaultParagraphFont"/>
    <w:link w:val="Heading2"/>
    <w:uiPriority w:val="9"/>
    <w:rsid w:val="005B210E"/>
    <w:rPr>
      <w:rFonts w:ascii="Arial" w:eastAsiaTheme="majorEastAsia" w:hAnsi="Arial" w:cstheme="majorBidi"/>
      <w:b/>
      <w:bCs/>
      <w:sz w:val="30"/>
      <w:szCs w:val="26"/>
    </w:rPr>
  </w:style>
  <w:style w:type="paragraph" w:styleId="Title">
    <w:name w:val="Title"/>
    <w:basedOn w:val="Normal"/>
    <w:next w:val="Normal"/>
    <w:link w:val="TitleChar"/>
    <w:uiPriority w:val="10"/>
    <w:qFormat/>
    <w:rsid w:val="00F87AE1"/>
    <w:pPr>
      <w:pBdr>
        <w:bottom w:val="single" w:sz="8" w:space="4" w:color="auto"/>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F87AE1"/>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semiHidden/>
    <w:qFormat/>
    <w:rsid w:val="005B210E"/>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semiHidden/>
    <w:rsid w:val="0001297A"/>
    <w:rPr>
      <w:rFonts w:ascii="Arial" w:eastAsiaTheme="majorEastAsia" w:hAnsi="Arial" w:cstheme="majorBidi"/>
      <w:i/>
      <w:iCs/>
      <w:spacing w:val="15"/>
      <w:sz w:val="24"/>
      <w:szCs w:val="24"/>
    </w:rPr>
  </w:style>
  <w:style w:type="character" w:styleId="IntenseEmphasis">
    <w:name w:val="Intense Emphasis"/>
    <w:basedOn w:val="DefaultParagraphFont"/>
    <w:uiPriority w:val="21"/>
    <w:semiHidden/>
    <w:qFormat/>
    <w:rsid w:val="005B210E"/>
    <w:rPr>
      <w:b/>
      <w:bCs/>
      <w:i/>
      <w:iCs/>
      <w:color w:val="auto"/>
    </w:rPr>
  </w:style>
  <w:style w:type="paragraph" w:styleId="IntenseQuote">
    <w:name w:val="Intense Quote"/>
    <w:basedOn w:val="Normal"/>
    <w:next w:val="Normal"/>
    <w:link w:val="IntenseQuoteChar"/>
    <w:uiPriority w:val="30"/>
    <w:semiHidden/>
    <w:qFormat/>
    <w:rsid w:val="005B210E"/>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01297A"/>
    <w:rPr>
      <w:rFonts w:ascii="Arial" w:hAnsi="Arial"/>
      <w:b/>
      <w:bCs/>
      <w:i/>
      <w:iCs/>
    </w:rPr>
  </w:style>
  <w:style w:type="character" w:styleId="SubtleReference">
    <w:name w:val="Subtle Reference"/>
    <w:basedOn w:val="DefaultParagraphFont"/>
    <w:uiPriority w:val="31"/>
    <w:semiHidden/>
    <w:qFormat/>
    <w:rsid w:val="005B210E"/>
    <w:rPr>
      <w:smallCaps/>
      <w:color w:val="auto"/>
      <w:u w:val="single"/>
    </w:rPr>
  </w:style>
  <w:style w:type="character" w:styleId="IntenseReference">
    <w:name w:val="Intense Reference"/>
    <w:basedOn w:val="DefaultParagraphFont"/>
    <w:uiPriority w:val="32"/>
    <w:semiHidden/>
    <w:qFormat/>
    <w:rsid w:val="005B210E"/>
    <w:rPr>
      <w:b/>
      <w:bCs/>
      <w:smallCaps/>
      <w:color w:val="auto"/>
      <w:spacing w:val="5"/>
      <w:u w:val="single"/>
    </w:rPr>
  </w:style>
  <w:style w:type="paragraph" w:styleId="ListParagraph">
    <w:name w:val="List Paragraph"/>
    <w:basedOn w:val="Normal"/>
    <w:uiPriority w:val="34"/>
    <w:qFormat/>
    <w:rsid w:val="005B210E"/>
    <w:pPr>
      <w:spacing w:after="120"/>
      <w:ind w:left="720"/>
    </w:pPr>
  </w:style>
  <w:style w:type="character" w:customStyle="1" w:styleId="Heading6Char">
    <w:name w:val="Heading 6 Char"/>
    <w:basedOn w:val="DefaultParagraphFont"/>
    <w:link w:val="Heading6"/>
    <w:uiPriority w:val="9"/>
    <w:semiHidden/>
    <w:rsid w:val="005B210E"/>
    <w:rPr>
      <w:rFonts w:ascii="Arial" w:eastAsiaTheme="majorEastAsia" w:hAnsi="Arial" w:cstheme="majorBidi"/>
      <w:i/>
      <w:iCs/>
    </w:rPr>
  </w:style>
  <w:style w:type="character" w:customStyle="1" w:styleId="Heading3Char">
    <w:name w:val="Heading 3 Char"/>
    <w:basedOn w:val="DefaultParagraphFont"/>
    <w:link w:val="Heading3"/>
    <w:uiPriority w:val="9"/>
    <w:rsid w:val="005B210E"/>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5B210E"/>
    <w:rPr>
      <w:rFonts w:ascii="Arial" w:eastAsiaTheme="majorEastAsia" w:hAnsi="Arial" w:cstheme="majorBidi"/>
      <w:b/>
      <w:bCs/>
      <w:iCs/>
    </w:rPr>
  </w:style>
  <w:style w:type="character" w:customStyle="1" w:styleId="Heading5Char">
    <w:name w:val="Heading 5 Char"/>
    <w:basedOn w:val="DefaultParagraphFont"/>
    <w:link w:val="Heading5"/>
    <w:uiPriority w:val="9"/>
    <w:rsid w:val="005B210E"/>
    <w:rPr>
      <w:rFonts w:ascii="Arial" w:eastAsiaTheme="majorEastAsia" w:hAnsi="Arial" w:cstheme="majorBidi"/>
      <w:b/>
      <w:i/>
    </w:rPr>
  </w:style>
  <w:style w:type="paragraph" w:styleId="Footer">
    <w:name w:val="footer"/>
    <w:basedOn w:val="Normal"/>
    <w:link w:val="FooterChar"/>
    <w:uiPriority w:val="99"/>
    <w:rsid w:val="00F87AE1"/>
    <w:pPr>
      <w:tabs>
        <w:tab w:val="center" w:pos="4680"/>
        <w:tab w:val="right" w:pos="9360"/>
      </w:tabs>
      <w:spacing w:before="0" w:after="0"/>
    </w:pPr>
    <w:rPr>
      <w:sz w:val="20"/>
    </w:rPr>
  </w:style>
  <w:style w:type="character" w:customStyle="1" w:styleId="FooterChar">
    <w:name w:val="Footer Char"/>
    <w:basedOn w:val="DefaultParagraphFont"/>
    <w:link w:val="Footer"/>
    <w:uiPriority w:val="99"/>
    <w:rsid w:val="00F87AE1"/>
    <w:rPr>
      <w:rFonts w:ascii="Arial" w:hAnsi="Arial"/>
      <w:sz w:val="20"/>
    </w:rPr>
  </w:style>
  <w:style w:type="paragraph" w:styleId="Header">
    <w:name w:val="header"/>
    <w:basedOn w:val="Normal"/>
    <w:link w:val="HeaderChar"/>
    <w:uiPriority w:val="99"/>
    <w:rsid w:val="00F87AE1"/>
    <w:pPr>
      <w:tabs>
        <w:tab w:val="center" w:pos="4680"/>
        <w:tab w:val="right" w:pos="9360"/>
      </w:tabs>
      <w:spacing w:before="0" w:after="0"/>
    </w:pPr>
    <w:rPr>
      <w:sz w:val="20"/>
    </w:rPr>
  </w:style>
  <w:style w:type="character" w:customStyle="1" w:styleId="HeaderChar">
    <w:name w:val="Header Char"/>
    <w:basedOn w:val="DefaultParagraphFont"/>
    <w:link w:val="Header"/>
    <w:uiPriority w:val="99"/>
    <w:rsid w:val="00F87AE1"/>
    <w:rPr>
      <w:rFonts w:ascii="Arial" w:hAnsi="Arial"/>
      <w:sz w:val="20"/>
    </w:rPr>
  </w:style>
  <w:style w:type="paragraph" w:styleId="FootnoteText">
    <w:name w:val="footnote text"/>
    <w:basedOn w:val="Normal"/>
    <w:link w:val="FootnoteTextChar"/>
    <w:uiPriority w:val="99"/>
    <w:rsid w:val="00F87AE1"/>
    <w:pPr>
      <w:spacing w:before="0" w:after="0"/>
    </w:pPr>
    <w:rPr>
      <w:sz w:val="18"/>
      <w:szCs w:val="20"/>
    </w:rPr>
  </w:style>
  <w:style w:type="character" w:customStyle="1" w:styleId="FootnoteTextChar">
    <w:name w:val="Footnote Text Char"/>
    <w:basedOn w:val="DefaultParagraphFont"/>
    <w:link w:val="FootnoteText"/>
    <w:uiPriority w:val="99"/>
    <w:rsid w:val="00F87AE1"/>
    <w:rPr>
      <w:rFonts w:ascii="Arial" w:hAnsi="Arial"/>
      <w:sz w:val="18"/>
      <w:szCs w:val="20"/>
    </w:rPr>
  </w:style>
  <w:style w:type="paragraph" w:styleId="BalloonText">
    <w:name w:val="Balloon Text"/>
    <w:basedOn w:val="Normal"/>
    <w:link w:val="BalloonTextChar"/>
    <w:uiPriority w:val="99"/>
    <w:semiHidden/>
    <w:unhideWhenUsed/>
    <w:rsid w:val="00B05B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B09"/>
    <w:rPr>
      <w:rFonts w:ascii="Tahoma" w:hAnsi="Tahoma" w:cs="Tahoma"/>
      <w:sz w:val="16"/>
      <w:szCs w:val="16"/>
    </w:rPr>
  </w:style>
  <w:style w:type="character" w:styleId="Hyperlink">
    <w:name w:val="Hyperlink"/>
    <w:basedOn w:val="DefaultParagraphFont"/>
    <w:uiPriority w:val="99"/>
    <w:semiHidden/>
    <w:unhideWhenUsed/>
    <w:rsid w:val="00A22603"/>
    <w:rPr>
      <w:color w:val="0000FF" w:themeColor="hyperlink"/>
      <w:u w:val="single"/>
    </w:rPr>
  </w:style>
  <w:style w:type="character" w:styleId="FollowedHyperlink">
    <w:name w:val="FollowedHyperlink"/>
    <w:basedOn w:val="DefaultParagraphFont"/>
    <w:uiPriority w:val="99"/>
    <w:semiHidden/>
    <w:unhideWhenUsed/>
    <w:rsid w:val="00A92308"/>
    <w:rPr>
      <w:color w:val="800080" w:themeColor="followedHyperlink"/>
      <w:u w:val="single"/>
    </w:rPr>
  </w:style>
  <w:style w:type="character" w:styleId="CommentReference">
    <w:name w:val="annotation reference"/>
    <w:basedOn w:val="DefaultParagraphFont"/>
    <w:uiPriority w:val="99"/>
    <w:semiHidden/>
    <w:unhideWhenUsed/>
    <w:rsid w:val="00B13605"/>
    <w:rPr>
      <w:sz w:val="16"/>
      <w:szCs w:val="16"/>
    </w:rPr>
  </w:style>
  <w:style w:type="paragraph" w:styleId="CommentText">
    <w:name w:val="annotation text"/>
    <w:basedOn w:val="Normal"/>
    <w:link w:val="CommentTextChar"/>
    <w:uiPriority w:val="99"/>
    <w:semiHidden/>
    <w:unhideWhenUsed/>
    <w:rsid w:val="00B13605"/>
    <w:rPr>
      <w:sz w:val="20"/>
      <w:szCs w:val="20"/>
    </w:rPr>
  </w:style>
  <w:style w:type="character" w:customStyle="1" w:styleId="CommentTextChar">
    <w:name w:val="Comment Text Char"/>
    <w:basedOn w:val="DefaultParagraphFont"/>
    <w:link w:val="CommentText"/>
    <w:uiPriority w:val="99"/>
    <w:semiHidden/>
    <w:rsid w:val="00B1360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13605"/>
    <w:rPr>
      <w:b/>
      <w:bCs/>
    </w:rPr>
  </w:style>
  <w:style w:type="character" w:customStyle="1" w:styleId="CommentSubjectChar">
    <w:name w:val="Comment Subject Char"/>
    <w:basedOn w:val="CommentTextChar"/>
    <w:link w:val="CommentSubject"/>
    <w:uiPriority w:val="99"/>
    <w:semiHidden/>
    <w:rsid w:val="00B13605"/>
    <w:rPr>
      <w:rFonts w:ascii="Arial" w:hAnsi="Arial"/>
      <w:b/>
      <w:bCs/>
      <w:sz w:val="20"/>
      <w:szCs w:val="20"/>
    </w:rPr>
  </w:style>
  <w:style w:type="table" w:styleId="TableGrid">
    <w:name w:val="Table Grid"/>
    <w:basedOn w:val="TableNormal"/>
    <w:uiPriority w:val="59"/>
    <w:rsid w:val="00D50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C3F01"/>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60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A97CD1443848EC98373B2BBBFB2253"/>
        <w:category>
          <w:name w:val="General"/>
          <w:gallery w:val="placeholder"/>
        </w:category>
        <w:types>
          <w:type w:val="bbPlcHdr"/>
        </w:types>
        <w:behaviors>
          <w:behavior w:val="content"/>
        </w:behaviors>
        <w:guid w:val="{AF12BBE1-80E2-4F41-A35B-1BFA0EA4DD5B}"/>
      </w:docPartPr>
      <w:docPartBody>
        <w:p w:rsidR="005E3EBD" w:rsidRDefault="00D069F2" w:rsidP="00D069F2">
          <w:pPr>
            <w:pStyle w:val="A6A97CD1443848EC98373B2BBBFB2253"/>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0A"/>
    <w:rsid w:val="00556C0A"/>
    <w:rsid w:val="005E3EBD"/>
    <w:rsid w:val="00820D84"/>
    <w:rsid w:val="00D037F5"/>
    <w:rsid w:val="00D069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69F2"/>
    <w:rPr>
      <w:color w:val="808080"/>
    </w:rPr>
  </w:style>
  <w:style w:type="paragraph" w:customStyle="1" w:styleId="6B3D742251AD44BEA286877769EEB8DD">
    <w:name w:val="6B3D742251AD44BEA286877769EEB8DD"/>
    <w:rsid w:val="00556C0A"/>
  </w:style>
  <w:style w:type="paragraph" w:customStyle="1" w:styleId="829076F934024A9393587FFD896378C8">
    <w:name w:val="829076F934024A9393587FFD896378C8"/>
    <w:rsid w:val="00556C0A"/>
  </w:style>
  <w:style w:type="paragraph" w:customStyle="1" w:styleId="A6A97CD1443848EC98373B2BBBFB2253">
    <w:name w:val="A6A97CD1443848EC98373B2BBBFB2253"/>
    <w:rsid w:val="00D069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F162C-EE93-4CF1-BEA5-3A06E5AC0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3791</Words>
  <Characters>21615</Characters>
  <Application>Microsoft Office Word</Application>
  <DocSecurity>0</DocSecurity>
  <Lines>180</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Cash Flow 101</vt:lpstr>
      <vt:lpstr>Cash Flow 101</vt:lpstr>
    </vt:vector>
  </TitlesOfParts>
  <Company>OAG-BVG</Company>
  <LinksUpToDate>false</LinksUpToDate>
  <CharactersWithSpaces>25356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Cash Flow 101</dc:title>
  <dc:subject>Cash Flow 101</dc:subject>
  <dc:creator>OAG-BVG</dc:creator>
  <cp:lastModifiedBy>Lepage, Roxanne</cp:lastModifiedBy>
  <cp:revision>4</cp:revision>
  <cp:lastPrinted>2018-05-24T17:21:00Z</cp:lastPrinted>
  <dcterms:created xsi:type="dcterms:W3CDTF">2018-09-21T16:08:00Z</dcterms:created>
  <dcterms:modified xsi:type="dcterms:W3CDTF">2020-05-29T19:50:00Z</dcterms:modified>
  <cp:category>Template</cp:category>
  <cp:contentStatus>16135</cp:contentStatus>
</cp:coreProperties>
</file>