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30E5" w14:textId="0A877514" w:rsidR="008E0152" w:rsidRPr="00473B58" w:rsidRDefault="00AF7F70" w:rsidP="000438DE">
      <w:pPr>
        <w:pStyle w:val="Title"/>
        <w:rPr>
          <w:b/>
          <w:color w:val="2E74B5" w:themeColor="accent1" w:themeShade="BF"/>
          <w:sz w:val="52"/>
          <w:szCs w:val="52"/>
          <w:lang w:val="fr-CA"/>
        </w:rPr>
      </w:pPr>
      <w:r w:rsidRPr="00473B58">
        <w:rPr>
          <w:b/>
          <w:color w:val="2E74B5" w:themeColor="accent1" w:themeShade="BF"/>
          <w:sz w:val="52"/>
          <w:szCs w:val="52"/>
          <w:lang w:val="fr-CA"/>
        </w:rPr>
        <w:t>TESTER LES OPÉRATIONS GÉNÉRATRICES DE PRODUITS (ÉTAPES</w:t>
      </w:r>
      <w:r w:rsidR="00A352F0" w:rsidRPr="00473B58">
        <w:rPr>
          <w:b/>
          <w:color w:val="2E74B5" w:themeColor="accent1" w:themeShade="BF"/>
          <w:sz w:val="52"/>
          <w:szCs w:val="52"/>
          <w:lang w:val="fr-CA"/>
        </w:rPr>
        <w:t> </w:t>
      </w:r>
      <w:r w:rsidRPr="00473B58">
        <w:rPr>
          <w:b/>
          <w:color w:val="2E74B5" w:themeColor="accent1" w:themeShade="BF"/>
          <w:sz w:val="52"/>
          <w:szCs w:val="52"/>
          <w:lang w:val="fr-CA"/>
        </w:rPr>
        <w:t>1 À 5</w:t>
      </w:r>
      <w:r w:rsidR="00A13391" w:rsidRPr="00473B58">
        <w:rPr>
          <w:b/>
          <w:color w:val="2E74B5" w:themeColor="accent1" w:themeShade="BF"/>
          <w:sz w:val="52"/>
          <w:szCs w:val="52"/>
          <w:lang w:val="fr-CA"/>
        </w:rPr>
        <w:t>)</w:t>
      </w:r>
    </w:p>
    <w:p w14:paraId="51DDB734" w14:textId="77777777" w:rsidR="00F37384" w:rsidRPr="00473B58" w:rsidRDefault="00F37384" w:rsidP="00DD6D5A">
      <w:pPr>
        <w:jc w:val="center"/>
        <w:rPr>
          <w:color w:val="2E74B5" w:themeColor="accent1" w:themeShade="BF"/>
          <w:sz w:val="36"/>
          <w:szCs w:val="36"/>
          <w:lang w:val="fr-CA"/>
        </w:rPr>
      </w:pPr>
    </w:p>
    <w:p w14:paraId="41CA22F4" w14:textId="03AC21F1" w:rsidR="00F37384" w:rsidRPr="00473B58" w:rsidRDefault="00AF7F70" w:rsidP="000438DE">
      <w:pPr>
        <w:pStyle w:val="Subtitle"/>
        <w:rPr>
          <w:color w:val="2E74B5" w:themeColor="accent1" w:themeShade="BF"/>
          <w:sz w:val="36"/>
          <w:szCs w:val="36"/>
          <w:lang w:val="fr-CA"/>
        </w:rPr>
      </w:pPr>
      <w:r w:rsidRPr="00473B58">
        <w:rPr>
          <w:color w:val="2E74B5" w:themeColor="accent1" w:themeShade="BF"/>
          <w:sz w:val="36"/>
          <w:szCs w:val="36"/>
          <w:lang w:val="fr-CA"/>
        </w:rPr>
        <w:t>Procé</w:t>
      </w:r>
      <w:r w:rsidR="00F37384" w:rsidRPr="00473B58">
        <w:rPr>
          <w:color w:val="2E74B5" w:themeColor="accent1" w:themeShade="BF"/>
          <w:sz w:val="36"/>
          <w:szCs w:val="36"/>
          <w:lang w:val="fr-CA"/>
        </w:rPr>
        <w:t>dures</w:t>
      </w:r>
      <w:r w:rsidRPr="00473B58">
        <w:rPr>
          <w:color w:val="2E74B5" w:themeColor="accent1" w:themeShade="BF"/>
          <w:sz w:val="36"/>
          <w:szCs w:val="36"/>
          <w:lang w:val="fr-CA"/>
        </w:rPr>
        <w:t xml:space="preserve"> d’audit</w:t>
      </w:r>
    </w:p>
    <w:p w14:paraId="2696E4AB" w14:textId="3CF69AB3" w:rsidR="00A13391" w:rsidRPr="00473B58" w:rsidRDefault="00AF7F70" w:rsidP="00AF7F70">
      <w:pPr>
        <w:jc w:val="center"/>
        <w:rPr>
          <w:lang w:val="fr-CA"/>
        </w:rPr>
      </w:pPr>
      <w:r w:rsidRPr="00473B58">
        <w:rPr>
          <w:color w:val="2E74B5" w:themeColor="accent1" w:themeShade="BF"/>
          <w:sz w:val="36"/>
          <w:szCs w:val="36"/>
          <w:lang w:val="fr-CA"/>
        </w:rPr>
        <w:t>Guide de l’utilisateur</w:t>
      </w:r>
    </w:p>
    <w:p w14:paraId="05CF3BE8" w14:textId="77777777" w:rsidR="00A13391" w:rsidRPr="00473B58" w:rsidRDefault="00A13391" w:rsidP="00A13391">
      <w:pPr>
        <w:rPr>
          <w:lang w:val="fr-CA"/>
        </w:rPr>
      </w:pPr>
    </w:p>
    <w:p w14:paraId="7A39E734" w14:textId="77777777" w:rsidR="00A13391" w:rsidRPr="00473B58" w:rsidRDefault="00A13391" w:rsidP="00A13391">
      <w:pPr>
        <w:rPr>
          <w:lang w:val="fr-CA"/>
        </w:rPr>
      </w:pPr>
    </w:p>
    <w:p w14:paraId="1A67B160" w14:textId="77777777" w:rsidR="00A13391" w:rsidRPr="00473B58" w:rsidRDefault="00A13391" w:rsidP="00A13391">
      <w:pPr>
        <w:rPr>
          <w:lang w:val="fr-CA"/>
        </w:rPr>
      </w:pPr>
    </w:p>
    <w:p w14:paraId="170C708A" w14:textId="77777777" w:rsidR="00A13391" w:rsidRPr="00473B58" w:rsidRDefault="00A13391" w:rsidP="00A13391">
      <w:pPr>
        <w:rPr>
          <w:lang w:val="fr-CA"/>
        </w:rPr>
      </w:pPr>
    </w:p>
    <w:p w14:paraId="53462E9B" w14:textId="77777777" w:rsidR="00A13391" w:rsidRPr="00473B58" w:rsidRDefault="00A13391" w:rsidP="00A13391">
      <w:pPr>
        <w:rPr>
          <w:lang w:val="fr-CA"/>
        </w:rPr>
      </w:pPr>
    </w:p>
    <w:sdt>
      <w:sdtPr>
        <w:rPr>
          <w:rFonts w:eastAsiaTheme="minorHAnsi"/>
          <w:lang w:val="fr-CA"/>
        </w:rPr>
        <w:id w:val="-1965258345"/>
        <w:docPartObj>
          <w:docPartGallery w:val="Table of Contents"/>
          <w:docPartUnique/>
        </w:docPartObj>
      </w:sdtPr>
      <w:sdtEndPr>
        <w:rPr>
          <w:rFonts w:eastAsiaTheme="minorEastAsia"/>
          <w:b/>
          <w:bCs/>
          <w:noProof/>
        </w:rPr>
      </w:sdtEndPr>
      <w:sdtContent>
        <w:p w14:paraId="0716C386" w14:textId="77777777" w:rsidR="00C32DEB" w:rsidRPr="00473B58" w:rsidRDefault="00C32DEB" w:rsidP="000438DE">
          <w:pPr>
            <w:rPr>
              <w:rFonts w:eastAsiaTheme="minorHAnsi"/>
              <w:lang w:val="fr-CA"/>
            </w:rPr>
          </w:pPr>
        </w:p>
        <w:p w14:paraId="3116E0F8" w14:textId="77777777" w:rsidR="00C32DEB" w:rsidRPr="00473B58" w:rsidRDefault="00C32DEB">
          <w:pPr>
            <w:rPr>
              <w:rFonts w:eastAsiaTheme="minorHAnsi"/>
              <w:lang w:val="fr-CA"/>
            </w:rPr>
          </w:pPr>
          <w:r w:rsidRPr="00473B58">
            <w:rPr>
              <w:rFonts w:eastAsiaTheme="minorHAnsi"/>
              <w:lang w:val="fr-CA"/>
            </w:rPr>
            <w:br w:type="page"/>
          </w:r>
        </w:p>
        <w:p w14:paraId="10303E30" w14:textId="5F8B68A9" w:rsidR="00A13391" w:rsidRPr="00473B58" w:rsidRDefault="00A13391" w:rsidP="000438DE">
          <w:pPr>
            <w:rPr>
              <w:b/>
              <w:color w:val="2E74B5" w:themeColor="accent1" w:themeShade="BF"/>
              <w:sz w:val="30"/>
              <w:szCs w:val="30"/>
              <w:lang w:val="fr-CA"/>
            </w:rPr>
          </w:pPr>
          <w:r w:rsidRPr="00473B58">
            <w:rPr>
              <w:b/>
              <w:color w:val="2E74B5" w:themeColor="accent1" w:themeShade="BF"/>
              <w:sz w:val="30"/>
              <w:szCs w:val="30"/>
              <w:lang w:val="fr-CA"/>
            </w:rPr>
            <w:lastRenderedPageBreak/>
            <w:t xml:space="preserve">Table </w:t>
          </w:r>
          <w:r w:rsidR="00251E49" w:rsidRPr="00473B58">
            <w:rPr>
              <w:b/>
              <w:color w:val="2E74B5" w:themeColor="accent1" w:themeShade="BF"/>
              <w:sz w:val="30"/>
              <w:szCs w:val="30"/>
              <w:lang w:val="fr-CA"/>
            </w:rPr>
            <w:t>des matières</w:t>
          </w:r>
        </w:p>
        <w:p w14:paraId="2F7E2135" w14:textId="77777777" w:rsidR="00251E49" w:rsidRPr="00473B58" w:rsidRDefault="00A13391">
          <w:pPr>
            <w:pStyle w:val="TOC1"/>
            <w:rPr>
              <w:noProof/>
              <w:sz w:val="22"/>
              <w:szCs w:val="22"/>
              <w:lang w:val="fr-CA" w:eastAsia="fr-CA"/>
            </w:rPr>
          </w:pPr>
          <w:r w:rsidRPr="00473B58">
            <w:rPr>
              <w:b/>
              <w:bCs/>
              <w:noProof/>
              <w:lang w:val="fr-CA"/>
            </w:rPr>
            <w:fldChar w:fldCharType="begin"/>
          </w:r>
          <w:r w:rsidRPr="00473B58">
            <w:rPr>
              <w:b/>
              <w:bCs/>
              <w:noProof/>
              <w:lang w:val="fr-CA"/>
            </w:rPr>
            <w:instrText xml:space="preserve"> TOC \o "1-3" \h \z \u </w:instrText>
          </w:r>
          <w:r w:rsidRPr="00473B58">
            <w:rPr>
              <w:b/>
              <w:bCs/>
              <w:noProof/>
              <w:lang w:val="fr-CA"/>
            </w:rPr>
            <w:fldChar w:fldCharType="separate"/>
          </w:r>
          <w:hyperlink w:anchor="_Toc73001868" w:history="1">
            <w:r w:rsidR="00251E49" w:rsidRPr="00473B58">
              <w:rPr>
                <w:rStyle w:val="Hyperlink"/>
                <w:noProof/>
                <w:lang w:val="fr-CA"/>
              </w:rPr>
              <w:t>1.</w:t>
            </w:r>
            <w:r w:rsidR="00251E49" w:rsidRPr="00473B58">
              <w:rPr>
                <w:noProof/>
                <w:sz w:val="22"/>
                <w:szCs w:val="22"/>
                <w:lang w:val="fr-CA" w:eastAsia="fr-CA"/>
              </w:rPr>
              <w:tab/>
            </w:r>
            <w:r w:rsidR="00251E49" w:rsidRPr="00473B58">
              <w:rPr>
                <w:rStyle w:val="Hyperlink"/>
                <w:noProof/>
                <w:lang w:val="fr-CA"/>
              </w:rPr>
              <w:t>Aperçu</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_Toc73001868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w:t>
            </w:r>
            <w:r w:rsidR="00251E49" w:rsidRPr="00473B58">
              <w:rPr>
                <w:noProof/>
                <w:webHidden/>
                <w:lang w:val="fr-CA"/>
              </w:rPr>
              <w:fldChar w:fldCharType="end"/>
            </w:r>
          </w:hyperlink>
        </w:p>
        <w:p w14:paraId="14CCB789" w14:textId="77777777" w:rsidR="00251E49" w:rsidRPr="00473B58" w:rsidRDefault="00D97151">
          <w:pPr>
            <w:pStyle w:val="TOC1"/>
            <w:rPr>
              <w:noProof/>
              <w:sz w:val="22"/>
              <w:szCs w:val="22"/>
              <w:lang w:val="fr-CA" w:eastAsia="fr-CA"/>
            </w:rPr>
          </w:pPr>
          <w:hyperlink w:anchor="_Toc73001869" w:history="1">
            <w:r w:rsidR="00251E49" w:rsidRPr="00473B58">
              <w:rPr>
                <w:rStyle w:val="Hyperlink"/>
                <w:noProof/>
                <w:lang w:val="fr-CA"/>
              </w:rPr>
              <w:t>2.</w:t>
            </w:r>
            <w:r w:rsidR="00251E49" w:rsidRPr="00473B58">
              <w:rPr>
                <w:noProof/>
                <w:sz w:val="22"/>
                <w:szCs w:val="22"/>
                <w:lang w:val="fr-CA" w:eastAsia="fr-CA"/>
              </w:rPr>
              <w:tab/>
            </w:r>
            <w:r w:rsidR="00251E49" w:rsidRPr="00473B58">
              <w:rPr>
                <w:rStyle w:val="Hyperlink"/>
                <w:noProof/>
                <w:lang w:val="fr-CA"/>
              </w:rPr>
              <w:t>Procédures générales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_Toc73001869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8</w:t>
            </w:r>
            <w:r w:rsidR="00251E49" w:rsidRPr="00473B58">
              <w:rPr>
                <w:noProof/>
                <w:webHidden/>
                <w:lang w:val="fr-CA"/>
              </w:rPr>
              <w:fldChar w:fldCharType="end"/>
            </w:r>
          </w:hyperlink>
        </w:p>
        <w:p w14:paraId="0CA9CEFA" w14:textId="77777777" w:rsidR="00251E49" w:rsidRPr="00473B58" w:rsidRDefault="00D97151">
          <w:pPr>
            <w:pStyle w:val="TOC1"/>
            <w:rPr>
              <w:noProof/>
              <w:sz w:val="22"/>
              <w:szCs w:val="22"/>
              <w:lang w:val="fr-CA" w:eastAsia="fr-CA"/>
            </w:rPr>
          </w:pPr>
          <w:hyperlink w:anchor="_Toc73001870" w:history="1">
            <w:r w:rsidR="00251E49" w:rsidRPr="00473B58">
              <w:rPr>
                <w:rStyle w:val="Hyperlink"/>
                <w:noProof/>
                <w:lang w:val="fr-CA"/>
              </w:rPr>
              <w:t>3.</w:t>
            </w:r>
            <w:r w:rsidR="00251E49" w:rsidRPr="00473B58">
              <w:rPr>
                <w:noProof/>
                <w:sz w:val="22"/>
                <w:szCs w:val="22"/>
                <w:lang w:val="fr-CA" w:eastAsia="fr-CA"/>
              </w:rPr>
              <w:tab/>
            </w:r>
            <w:r w:rsidR="00251E49" w:rsidRPr="00473B58">
              <w:rPr>
                <w:rStyle w:val="Hyperlink"/>
                <w:noProof/>
                <w:lang w:val="fr-CA"/>
              </w:rPr>
              <w:t>Modèle des résultats (Étape 1) — Identifier le contrat</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_Toc73001870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10</w:t>
            </w:r>
            <w:r w:rsidR="00251E49" w:rsidRPr="00473B58">
              <w:rPr>
                <w:noProof/>
                <w:webHidden/>
                <w:lang w:val="fr-CA"/>
              </w:rPr>
              <w:fldChar w:fldCharType="end"/>
            </w:r>
          </w:hyperlink>
        </w:p>
        <w:p w14:paraId="6975F5E1" w14:textId="77777777" w:rsidR="00251E49" w:rsidRPr="00473B58" w:rsidRDefault="00D97151">
          <w:pPr>
            <w:pStyle w:val="TOC1"/>
            <w:rPr>
              <w:noProof/>
              <w:sz w:val="22"/>
              <w:szCs w:val="22"/>
              <w:lang w:val="fr-CA" w:eastAsia="fr-CA"/>
            </w:rPr>
          </w:pPr>
          <w:hyperlink w:anchor="_Toc73001871" w:history="1">
            <w:r w:rsidR="00251E49" w:rsidRPr="00473B58">
              <w:rPr>
                <w:rStyle w:val="Hyperlink"/>
                <w:noProof/>
                <w:lang w:val="fr-CA"/>
              </w:rPr>
              <w:t>4.</w:t>
            </w:r>
            <w:r w:rsidR="00251E49" w:rsidRPr="00473B58">
              <w:rPr>
                <w:noProof/>
                <w:sz w:val="22"/>
                <w:szCs w:val="22"/>
                <w:lang w:val="fr-CA" w:eastAsia="fr-CA"/>
              </w:rPr>
              <w:tab/>
            </w:r>
            <w:r w:rsidR="00251E49" w:rsidRPr="00473B58">
              <w:rPr>
                <w:rStyle w:val="Hyperlink"/>
                <w:noProof/>
                <w:lang w:val="fr-CA"/>
              </w:rPr>
              <w:t>Modèle des résultats (Étape 2) — Identifier les obligations de prestation du contrat</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_Toc73001871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14</w:t>
            </w:r>
            <w:r w:rsidR="00251E49" w:rsidRPr="00473B58">
              <w:rPr>
                <w:noProof/>
                <w:webHidden/>
                <w:lang w:val="fr-CA"/>
              </w:rPr>
              <w:fldChar w:fldCharType="end"/>
            </w:r>
          </w:hyperlink>
        </w:p>
        <w:p w14:paraId="6D66A741" w14:textId="77777777" w:rsidR="00251E49" w:rsidRPr="00473B58" w:rsidRDefault="00D97151">
          <w:pPr>
            <w:pStyle w:val="TOC1"/>
            <w:rPr>
              <w:noProof/>
              <w:sz w:val="22"/>
              <w:szCs w:val="22"/>
              <w:lang w:val="fr-CA" w:eastAsia="fr-CA"/>
            </w:rPr>
          </w:pPr>
          <w:hyperlink w:anchor="_Toc73001872" w:history="1">
            <w:r w:rsidR="00251E49" w:rsidRPr="00473B58">
              <w:rPr>
                <w:rStyle w:val="Hyperlink"/>
                <w:noProof/>
                <w:lang w:val="fr-CA"/>
              </w:rPr>
              <w:t>5.</w:t>
            </w:r>
            <w:r w:rsidR="00251E49" w:rsidRPr="00473B58">
              <w:rPr>
                <w:noProof/>
                <w:sz w:val="22"/>
                <w:szCs w:val="22"/>
                <w:lang w:val="fr-CA" w:eastAsia="fr-CA"/>
              </w:rPr>
              <w:tab/>
            </w:r>
            <w:r w:rsidR="00251E49" w:rsidRPr="00473B58">
              <w:rPr>
                <w:rStyle w:val="Hyperlink"/>
                <w:noProof/>
                <w:lang w:val="fr-CA"/>
              </w:rPr>
              <w:t>Modèle des résultats (Étape 3) — Déterminer le prix de transaction</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_Toc73001872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18</w:t>
            </w:r>
            <w:r w:rsidR="00251E49" w:rsidRPr="00473B58">
              <w:rPr>
                <w:noProof/>
                <w:webHidden/>
                <w:lang w:val="fr-CA"/>
              </w:rPr>
              <w:fldChar w:fldCharType="end"/>
            </w:r>
          </w:hyperlink>
        </w:p>
        <w:p w14:paraId="162B65BF" w14:textId="77777777" w:rsidR="00251E49" w:rsidRPr="00473B58" w:rsidRDefault="00D97151">
          <w:pPr>
            <w:pStyle w:val="TOC1"/>
            <w:rPr>
              <w:noProof/>
              <w:sz w:val="22"/>
              <w:szCs w:val="22"/>
              <w:lang w:val="fr-CA" w:eastAsia="fr-CA"/>
            </w:rPr>
          </w:pPr>
          <w:hyperlink w:anchor="_Toc73001873" w:history="1">
            <w:r w:rsidR="00251E49" w:rsidRPr="00473B58">
              <w:rPr>
                <w:rStyle w:val="Hyperlink"/>
                <w:noProof/>
                <w:lang w:val="fr-CA"/>
              </w:rPr>
              <w:t>6.</w:t>
            </w:r>
            <w:r w:rsidR="00251E49" w:rsidRPr="00473B58">
              <w:rPr>
                <w:noProof/>
                <w:sz w:val="22"/>
                <w:szCs w:val="22"/>
                <w:lang w:val="fr-CA" w:eastAsia="fr-CA"/>
              </w:rPr>
              <w:tab/>
            </w:r>
            <w:r w:rsidR="00251E49" w:rsidRPr="00473B58">
              <w:rPr>
                <w:rStyle w:val="Hyperlink"/>
                <w:noProof/>
                <w:lang w:val="fr-CA"/>
              </w:rPr>
              <w:t>Modèle des résultats (Étape 4) — Répartir le prix de transaction entre les obligations de prestation</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_Toc73001873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22</w:t>
            </w:r>
            <w:r w:rsidR="00251E49" w:rsidRPr="00473B58">
              <w:rPr>
                <w:noProof/>
                <w:webHidden/>
                <w:lang w:val="fr-CA"/>
              </w:rPr>
              <w:fldChar w:fldCharType="end"/>
            </w:r>
          </w:hyperlink>
        </w:p>
        <w:p w14:paraId="19EB110D" w14:textId="77777777" w:rsidR="00251E49" w:rsidRPr="00473B58" w:rsidRDefault="00D97151">
          <w:pPr>
            <w:pStyle w:val="TOC1"/>
            <w:rPr>
              <w:noProof/>
              <w:sz w:val="22"/>
              <w:szCs w:val="22"/>
              <w:lang w:val="fr-CA" w:eastAsia="fr-CA"/>
            </w:rPr>
          </w:pPr>
          <w:hyperlink w:anchor="_Toc73001874" w:history="1">
            <w:r w:rsidR="00251E49" w:rsidRPr="00473B58">
              <w:rPr>
                <w:rStyle w:val="Hyperlink"/>
                <w:noProof/>
                <w:lang w:val="fr-CA"/>
              </w:rPr>
              <w:t>7.</w:t>
            </w:r>
            <w:r w:rsidR="00251E49" w:rsidRPr="00473B58">
              <w:rPr>
                <w:noProof/>
                <w:sz w:val="22"/>
                <w:szCs w:val="22"/>
                <w:lang w:val="fr-CA" w:eastAsia="fr-CA"/>
              </w:rPr>
              <w:tab/>
            </w:r>
            <w:r w:rsidR="00251E49" w:rsidRPr="00473B58">
              <w:rPr>
                <w:rStyle w:val="Hyperlink"/>
                <w:noProof/>
                <w:lang w:val="fr-CA"/>
              </w:rPr>
              <w:t>Modèle des résultats (Étape 5) — Tester les produits comptabilisés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_Toc73001874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25</w:t>
            </w:r>
            <w:r w:rsidR="00251E49" w:rsidRPr="00473B58">
              <w:rPr>
                <w:noProof/>
                <w:webHidden/>
                <w:lang w:val="fr-CA"/>
              </w:rPr>
              <w:fldChar w:fldCharType="end"/>
            </w:r>
          </w:hyperlink>
        </w:p>
        <w:p w14:paraId="69F9F032" w14:textId="77777777" w:rsidR="00251E49" w:rsidRPr="00473B58" w:rsidRDefault="00D97151">
          <w:pPr>
            <w:pStyle w:val="TOC1"/>
            <w:rPr>
              <w:noProof/>
              <w:sz w:val="22"/>
              <w:szCs w:val="22"/>
              <w:lang w:val="fr-CA" w:eastAsia="fr-CA"/>
            </w:rPr>
          </w:pPr>
          <w:hyperlink w:anchor="_Toc73001875" w:history="1">
            <w:r w:rsidR="00251E49" w:rsidRPr="00473B58">
              <w:rPr>
                <w:rStyle w:val="Hyperlink"/>
                <w:noProof/>
                <w:lang w:val="fr-CA"/>
              </w:rPr>
              <w:t>8.</w:t>
            </w:r>
            <w:r w:rsidR="00251E49" w:rsidRPr="00473B58">
              <w:rPr>
                <w:noProof/>
                <w:sz w:val="22"/>
                <w:szCs w:val="22"/>
                <w:lang w:val="fr-CA" w:eastAsia="fr-CA"/>
              </w:rPr>
              <w:tab/>
            </w:r>
            <w:r w:rsidR="00251E49" w:rsidRPr="00473B58">
              <w:rPr>
                <w:rStyle w:val="Hyperlink"/>
                <w:noProof/>
                <w:lang w:val="fr-CA"/>
              </w:rPr>
              <w:t>Foire aux questions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_Toc73001875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31</w:t>
            </w:r>
            <w:r w:rsidR="00251E49" w:rsidRPr="00473B58">
              <w:rPr>
                <w:noProof/>
                <w:webHidden/>
                <w:lang w:val="fr-CA"/>
              </w:rPr>
              <w:fldChar w:fldCharType="end"/>
            </w:r>
          </w:hyperlink>
        </w:p>
        <w:p w14:paraId="34808B27" w14:textId="77777777" w:rsidR="00251E49" w:rsidRPr="00473B58" w:rsidRDefault="00D97151">
          <w:pPr>
            <w:pStyle w:val="TOC3"/>
            <w:tabs>
              <w:tab w:val="left" w:pos="880"/>
              <w:tab w:val="right" w:leader="dot" w:pos="12950"/>
            </w:tabs>
            <w:rPr>
              <w:noProof/>
              <w:sz w:val="22"/>
              <w:szCs w:val="22"/>
              <w:lang w:val="fr-CA" w:eastAsia="fr-CA"/>
            </w:rPr>
          </w:pPr>
          <w:hyperlink w:anchor="_Toc73001876" w:history="1">
            <w:r w:rsidR="00251E49" w:rsidRPr="00473B58">
              <w:rPr>
                <w:rStyle w:val="Hyperlink"/>
                <w:noProof/>
                <w:lang w:val="fr-CA"/>
              </w:rPr>
              <w:t>1.</w:t>
            </w:r>
            <w:r w:rsidR="00251E49" w:rsidRPr="00473B58">
              <w:rPr>
                <w:noProof/>
                <w:sz w:val="22"/>
                <w:szCs w:val="22"/>
                <w:lang w:val="fr-CA" w:eastAsia="fr-CA"/>
              </w:rPr>
              <w:tab/>
            </w:r>
            <w:r w:rsidR="00251E49" w:rsidRPr="00473B58">
              <w:rPr>
                <w:rStyle w:val="Hyperlink"/>
                <w:noProof/>
                <w:lang w:val="fr-CA"/>
              </w:rPr>
              <w:t>Quels facteurs doivent être pris en compte pour déterminer l’unité d’échantillonnage qui est le plus appropriée lors de la conception d’un test des opérations génératrices de produits?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_Toc73001876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31</w:t>
            </w:r>
            <w:r w:rsidR="00251E49" w:rsidRPr="00473B58">
              <w:rPr>
                <w:noProof/>
                <w:webHidden/>
                <w:lang w:val="fr-CA"/>
              </w:rPr>
              <w:fldChar w:fldCharType="end"/>
            </w:r>
          </w:hyperlink>
        </w:p>
        <w:p w14:paraId="42671A9B" w14:textId="77777777" w:rsidR="00251E49" w:rsidRPr="00473B58" w:rsidRDefault="00D97151">
          <w:pPr>
            <w:pStyle w:val="TOC3"/>
            <w:tabs>
              <w:tab w:val="left" w:pos="880"/>
              <w:tab w:val="right" w:leader="dot" w:pos="12950"/>
            </w:tabs>
            <w:rPr>
              <w:noProof/>
              <w:sz w:val="22"/>
              <w:szCs w:val="22"/>
              <w:lang w:val="fr-CA" w:eastAsia="fr-CA"/>
            </w:rPr>
          </w:pPr>
          <w:hyperlink w:anchor="_Toc73001877" w:history="1">
            <w:r w:rsidR="00251E49" w:rsidRPr="00473B58">
              <w:rPr>
                <w:rStyle w:val="Hyperlink"/>
                <w:noProof/>
                <w:lang w:val="fr-CA"/>
              </w:rPr>
              <w:t>2.</w:t>
            </w:r>
            <w:r w:rsidR="00251E49" w:rsidRPr="00473B58">
              <w:rPr>
                <w:noProof/>
                <w:sz w:val="22"/>
                <w:szCs w:val="22"/>
                <w:lang w:val="fr-CA" w:eastAsia="fr-CA"/>
              </w:rPr>
              <w:tab/>
            </w:r>
            <w:r w:rsidR="00251E49" w:rsidRPr="00473B58">
              <w:rPr>
                <w:rStyle w:val="Hyperlink"/>
                <w:noProof/>
                <w:lang w:val="fr-CA"/>
              </w:rPr>
              <w:t>J’envisage de tester les produits à l’aide de TAAO. Quelles procédures de test des opérations génératrices de produits dois-je utiliser pour documenter les tests?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_Toc73001877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33</w:t>
            </w:r>
            <w:r w:rsidR="00251E49" w:rsidRPr="00473B58">
              <w:rPr>
                <w:noProof/>
                <w:webHidden/>
                <w:lang w:val="fr-CA"/>
              </w:rPr>
              <w:fldChar w:fldCharType="end"/>
            </w:r>
          </w:hyperlink>
        </w:p>
        <w:p w14:paraId="08747212" w14:textId="77777777" w:rsidR="00251E49" w:rsidRPr="00473B58" w:rsidRDefault="00D97151">
          <w:pPr>
            <w:pStyle w:val="TOC3"/>
            <w:tabs>
              <w:tab w:val="left" w:pos="880"/>
              <w:tab w:val="right" w:leader="dot" w:pos="12950"/>
            </w:tabs>
            <w:rPr>
              <w:noProof/>
              <w:sz w:val="22"/>
              <w:szCs w:val="22"/>
              <w:lang w:val="fr-CA" w:eastAsia="fr-CA"/>
            </w:rPr>
          </w:pPr>
          <w:hyperlink w:anchor="_Toc73001878" w:history="1">
            <w:r w:rsidR="00251E49" w:rsidRPr="00473B58">
              <w:rPr>
                <w:rStyle w:val="Hyperlink"/>
                <w:noProof/>
                <w:lang w:val="fr-CA"/>
              </w:rPr>
              <w:t>3.</w:t>
            </w:r>
            <w:r w:rsidR="00251E49" w:rsidRPr="00473B58">
              <w:rPr>
                <w:noProof/>
                <w:sz w:val="22"/>
                <w:szCs w:val="22"/>
                <w:lang w:val="fr-CA" w:eastAsia="fr-CA"/>
              </w:rPr>
              <w:tab/>
            </w:r>
            <w:r w:rsidR="00251E49" w:rsidRPr="00473B58">
              <w:rPr>
                <w:rStyle w:val="Hyperlink"/>
                <w:noProof/>
                <w:lang w:val="fr-CA"/>
              </w:rPr>
              <w:t>Dois-je ajouter et remplir la procédure «  Tester l’exactitude des opérations génératrices de produits pour la vente de biens » afin de réaliser un test de corroboration visant l’exhaustivité des produits?</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_Toc73001878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34</w:t>
            </w:r>
            <w:r w:rsidR="00251E49" w:rsidRPr="00473B58">
              <w:rPr>
                <w:noProof/>
                <w:webHidden/>
                <w:lang w:val="fr-CA"/>
              </w:rPr>
              <w:fldChar w:fldCharType="end"/>
            </w:r>
          </w:hyperlink>
        </w:p>
        <w:p w14:paraId="7648D422" w14:textId="77777777" w:rsidR="00251E49" w:rsidRPr="00473B58" w:rsidRDefault="00D97151">
          <w:pPr>
            <w:pStyle w:val="TOC3"/>
            <w:tabs>
              <w:tab w:val="left" w:pos="880"/>
              <w:tab w:val="right" w:leader="dot" w:pos="12950"/>
            </w:tabs>
            <w:rPr>
              <w:noProof/>
              <w:sz w:val="22"/>
              <w:szCs w:val="22"/>
              <w:lang w:val="fr-CA" w:eastAsia="fr-CA"/>
            </w:rPr>
          </w:pPr>
          <w:hyperlink w:anchor="_Toc73001879" w:history="1">
            <w:r w:rsidR="00251E49" w:rsidRPr="00473B58">
              <w:rPr>
                <w:rStyle w:val="Hyperlink"/>
                <w:noProof/>
                <w:lang w:val="fr-CA"/>
              </w:rPr>
              <w:t>4.</w:t>
            </w:r>
            <w:r w:rsidR="00251E49" w:rsidRPr="00473B58">
              <w:rPr>
                <w:noProof/>
                <w:sz w:val="22"/>
                <w:szCs w:val="22"/>
                <w:lang w:val="fr-CA" w:eastAsia="fr-CA"/>
              </w:rPr>
              <w:tab/>
            </w:r>
            <w:r w:rsidR="00251E49" w:rsidRPr="00473B58">
              <w:rPr>
                <w:rStyle w:val="Hyperlink"/>
                <w:noProof/>
                <w:lang w:val="fr-CA"/>
              </w:rPr>
              <w:t>Comment peut-on concevoir une stratégie de test efficace et efficiente pour les contrats à prix coûtant majoré?</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_Toc73001879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35</w:t>
            </w:r>
            <w:r w:rsidR="00251E49" w:rsidRPr="00473B58">
              <w:rPr>
                <w:noProof/>
                <w:webHidden/>
                <w:lang w:val="fr-CA"/>
              </w:rPr>
              <w:fldChar w:fldCharType="end"/>
            </w:r>
          </w:hyperlink>
        </w:p>
        <w:p w14:paraId="62FF1403" w14:textId="77777777" w:rsidR="00251E49" w:rsidRPr="00473B58" w:rsidRDefault="00D97151">
          <w:pPr>
            <w:pStyle w:val="TOC1"/>
            <w:rPr>
              <w:noProof/>
              <w:sz w:val="22"/>
              <w:szCs w:val="22"/>
              <w:lang w:val="fr-CA" w:eastAsia="fr-CA"/>
            </w:rPr>
          </w:pPr>
          <w:hyperlink w:anchor="_Toc73001880" w:history="1">
            <w:r w:rsidR="00251E49" w:rsidRPr="00473B58">
              <w:rPr>
                <w:rStyle w:val="Hyperlink"/>
                <w:noProof/>
                <w:lang w:val="fr-CA"/>
              </w:rPr>
              <w:t>9.</w:t>
            </w:r>
            <w:r w:rsidR="00251E49" w:rsidRPr="00473B58">
              <w:rPr>
                <w:noProof/>
                <w:sz w:val="22"/>
                <w:szCs w:val="22"/>
                <w:lang w:val="fr-CA" w:eastAsia="fr-CA"/>
              </w:rPr>
              <w:tab/>
            </w:r>
            <w:r w:rsidR="00251E49" w:rsidRPr="00473B58">
              <w:rPr>
                <w:rStyle w:val="Hyperlink"/>
                <w:noProof/>
                <w:lang w:val="fr-CA"/>
              </w:rPr>
              <w:t>Annexe</w:t>
            </w:r>
            <w:r w:rsidR="00251E49" w:rsidRPr="00473B58">
              <w:rPr>
                <w:noProof/>
                <w:webHidden/>
                <w:lang w:val="fr-CA"/>
              </w:rPr>
              <w:tab/>
            </w:r>
            <w:r w:rsidR="00251E49" w:rsidRPr="00473B58">
              <w:rPr>
                <w:noProof/>
                <w:webHidden/>
                <w:lang w:val="fr-CA"/>
              </w:rPr>
              <w:fldChar w:fldCharType="begin"/>
            </w:r>
            <w:r w:rsidR="00251E49" w:rsidRPr="00473B58">
              <w:rPr>
                <w:noProof/>
                <w:webHidden/>
                <w:lang w:val="fr-CA"/>
              </w:rPr>
              <w:instrText xml:space="preserve"> PAGEREF _Toc73001880 \h </w:instrText>
            </w:r>
            <w:r w:rsidR="00251E49" w:rsidRPr="00473B58">
              <w:rPr>
                <w:noProof/>
                <w:webHidden/>
                <w:lang w:val="fr-CA"/>
              </w:rPr>
            </w:r>
            <w:r w:rsidR="00251E49" w:rsidRPr="00473B58">
              <w:rPr>
                <w:noProof/>
                <w:webHidden/>
                <w:lang w:val="fr-CA"/>
              </w:rPr>
              <w:fldChar w:fldCharType="separate"/>
            </w:r>
            <w:r w:rsidR="00251E49" w:rsidRPr="00473B58">
              <w:rPr>
                <w:noProof/>
                <w:webHidden/>
                <w:lang w:val="fr-CA"/>
              </w:rPr>
              <w:t>37</w:t>
            </w:r>
            <w:r w:rsidR="00251E49" w:rsidRPr="00473B58">
              <w:rPr>
                <w:noProof/>
                <w:webHidden/>
                <w:lang w:val="fr-CA"/>
              </w:rPr>
              <w:fldChar w:fldCharType="end"/>
            </w:r>
          </w:hyperlink>
        </w:p>
        <w:p w14:paraId="62B3A88A" w14:textId="77777777" w:rsidR="00A13391" w:rsidRPr="00473B58" w:rsidRDefault="00A13391">
          <w:pPr>
            <w:rPr>
              <w:lang w:val="fr-CA"/>
            </w:rPr>
          </w:pPr>
          <w:r w:rsidRPr="00473B58">
            <w:rPr>
              <w:b/>
              <w:bCs/>
              <w:noProof/>
              <w:lang w:val="fr-CA"/>
            </w:rPr>
            <w:fldChar w:fldCharType="end"/>
          </w:r>
        </w:p>
      </w:sdtContent>
    </w:sdt>
    <w:p w14:paraId="2155B3A4" w14:textId="77777777" w:rsidR="00A13391" w:rsidRPr="00473B58" w:rsidRDefault="00A13391" w:rsidP="00A13391">
      <w:pPr>
        <w:rPr>
          <w:lang w:val="fr-CA"/>
        </w:rPr>
      </w:pPr>
    </w:p>
    <w:p w14:paraId="6FD95791" w14:textId="77777777" w:rsidR="00A13391" w:rsidRPr="00473B58" w:rsidRDefault="00A13391" w:rsidP="00A13391">
      <w:pPr>
        <w:rPr>
          <w:lang w:val="fr-CA"/>
        </w:rPr>
      </w:pPr>
    </w:p>
    <w:p w14:paraId="00015056" w14:textId="77777777" w:rsidR="00A13391" w:rsidRPr="00473B58" w:rsidRDefault="00A13391" w:rsidP="00A13391">
      <w:pPr>
        <w:rPr>
          <w:lang w:val="fr-CA"/>
        </w:rPr>
      </w:pPr>
    </w:p>
    <w:p w14:paraId="4D73B40E" w14:textId="77777777" w:rsidR="00A13391" w:rsidRPr="00473B58" w:rsidRDefault="00A13391" w:rsidP="00A13391">
      <w:pPr>
        <w:rPr>
          <w:lang w:val="fr-CA"/>
        </w:rPr>
      </w:pPr>
    </w:p>
    <w:p w14:paraId="6ACF5B7F" w14:textId="1E2DA1C6" w:rsidR="00A13391" w:rsidRPr="00473B58" w:rsidRDefault="00A13391" w:rsidP="00D2576A">
      <w:pPr>
        <w:tabs>
          <w:tab w:val="left" w:pos="4746"/>
        </w:tabs>
        <w:rPr>
          <w:lang w:val="fr-CA"/>
        </w:rPr>
      </w:pPr>
    </w:p>
    <w:p w14:paraId="6E5FC857" w14:textId="7607E4D5" w:rsidR="00A13391" w:rsidRPr="00473B58" w:rsidRDefault="00AF7F70" w:rsidP="00A8759A">
      <w:pPr>
        <w:pStyle w:val="Heading1"/>
        <w:rPr>
          <w:lang w:val="fr-CA"/>
        </w:rPr>
      </w:pPr>
      <w:bookmarkStart w:id="0" w:name="_Toc73001868"/>
      <w:r w:rsidRPr="00473B58">
        <w:rPr>
          <w:lang w:val="fr-CA"/>
        </w:rPr>
        <w:t>Aperçu</w:t>
      </w:r>
      <w:bookmarkEnd w:id="0"/>
      <w:r w:rsidR="00A13391" w:rsidRPr="00473B58">
        <w:rPr>
          <w:lang w:val="fr-CA"/>
        </w:rPr>
        <w:t xml:space="preserve"> </w:t>
      </w:r>
    </w:p>
    <w:tbl>
      <w:tblPr>
        <w:tblStyle w:val="TableGrid"/>
        <w:tblW w:w="13452" w:type="dxa"/>
        <w:tblLook w:val="04A0" w:firstRow="1" w:lastRow="0" w:firstColumn="1" w:lastColumn="0" w:noHBand="0" w:noVBand="1"/>
      </w:tblPr>
      <w:tblGrid>
        <w:gridCol w:w="13452"/>
      </w:tblGrid>
      <w:tr w:rsidR="006912C1" w:rsidRPr="00D97151" w14:paraId="7607BB74" w14:textId="77777777" w:rsidTr="000438DE">
        <w:trPr>
          <w:trHeight w:val="6931"/>
        </w:trPr>
        <w:tc>
          <w:tcPr>
            <w:tcW w:w="1345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1EC77EA" w14:textId="0CBD66CB" w:rsidR="006912C1" w:rsidRPr="00473B58" w:rsidRDefault="00466E72" w:rsidP="005975FE">
            <w:pPr>
              <w:spacing w:before="120"/>
              <w:rPr>
                <w:lang w:val="fr-CA"/>
              </w:rPr>
            </w:pPr>
            <w:r w:rsidRPr="00473B58">
              <w:rPr>
                <w:lang w:val="fr-CA"/>
              </w:rPr>
              <w:t xml:space="preserve">Ce </w:t>
            </w:r>
            <w:r w:rsidR="00251E49" w:rsidRPr="00473B58">
              <w:rPr>
                <w:lang w:val="fr-CA"/>
              </w:rPr>
              <w:t xml:space="preserve">guide </w:t>
            </w:r>
            <w:r w:rsidR="00277CA7" w:rsidRPr="00473B58">
              <w:rPr>
                <w:lang w:val="fr-CA"/>
              </w:rPr>
              <w:t xml:space="preserve">est conçu pour </w:t>
            </w:r>
            <w:r w:rsidRPr="00473B58">
              <w:rPr>
                <w:lang w:val="fr-CA"/>
              </w:rPr>
              <w:t>aider les équipes à mettre en œuvre de façon appropriée, efficace et efficiente les procédures décrites dans le classeur «</w:t>
            </w:r>
            <w:r w:rsidR="00A352F0" w:rsidRPr="00473B58">
              <w:rPr>
                <w:lang w:val="fr-CA"/>
              </w:rPr>
              <w:t> </w:t>
            </w:r>
            <w:r w:rsidR="00106F02" w:rsidRPr="00473B58">
              <w:rPr>
                <w:lang w:val="fr-CA"/>
              </w:rPr>
              <w:t xml:space="preserve">IFRS </w:t>
            </w:r>
            <w:r w:rsidR="00FF10CF" w:rsidRPr="00473B58">
              <w:rPr>
                <w:lang w:val="fr-CA"/>
              </w:rPr>
              <w:t>—</w:t>
            </w:r>
            <w:r w:rsidRPr="00473B58">
              <w:rPr>
                <w:lang w:val="fr-CA"/>
              </w:rPr>
              <w:t xml:space="preserve"> </w:t>
            </w:r>
            <w:r w:rsidR="00106F02" w:rsidRPr="00473B58">
              <w:rPr>
                <w:lang w:val="fr-CA"/>
              </w:rPr>
              <w:t>Tests</w:t>
            </w:r>
            <w:r w:rsidRPr="00473B58">
              <w:rPr>
                <w:lang w:val="fr-CA"/>
              </w:rPr>
              <w:t xml:space="preserve"> de corroboration</w:t>
            </w:r>
            <w:r w:rsidR="00A352F0" w:rsidRPr="00473B58">
              <w:rPr>
                <w:lang w:val="fr-CA"/>
              </w:rPr>
              <w:t> </w:t>
            </w:r>
            <w:r w:rsidRPr="00473B58">
              <w:rPr>
                <w:lang w:val="fr-CA"/>
              </w:rPr>
              <w:t xml:space="preserve">» </w:t>
            </w:r>
            <w:r w:rsidR="00277CA7" w:rsidRPr="00473B58">
              <w:rPr>
                <w:lang w:val="fr-CA"/>
              </w:rPr>
              <w:t xml:space="preserve">afin de </w:t>
            </w:r>
            <w:r w:rsidRPr="00473B58">
              <w:rPr>
                <w:lang w:val="fr-CA"/>
              </w:rPr>
              <w:t xml:space="preserve">documenter les procédures de corroboration </w:t>
            </w:r>
            <w:r w:rsidR="00277CA7" w:rsidRPr="00473B58">
              <w:rPr>
                <w:lang w:val="fr-CA"/>
              </w:rPr>
              <w:t xml:space="preserve">mises en œuvre pour tester les </w:t>
            </w:r>
            <w:r w:rsidRPr="00473B58">
              <w:rPr>
                <w:lang w:val="fr-CA"/>
              </w:rPr>
              <w:t xml:space="preserve">opérations génératrices de produits qui sont comptabilisées par les entités </w:t>
            </w:r>
            <w:r w:rsidR="00AE42F5" w:rsidRPr="00473B58">
              <w:rPr>
                <w:lang w:val="fr-CA"/>
              </w:rPr>
              <w:t xml:space="preserve">qui </w:t>
            </w:r>
            <w:r w:rsidRPr="00473B58">
              <w:rPr>
                <w:lang w:val="fr-CA"/>
              </w:rPr>
              <w:t xml:space="preserve">appliquent la norme </w:t>
            </w:r>
            <w:r w:rsidR="006912C1" w:rsidRPr="00473B58">
              <w:rPr>
                <w:b/>
                <w:lang w:val="fr-CA"/>
              </w:rPr>
              <w:t>IFRS</w:t>
            </w:r>
            <w:r w:rsidR="00A352F0" w:rsidRPr="00473B58">
              <w:rPr>
                <w:b/>
                <w:lang w:val="fr-CA"/>
              </w:rPr>
              <w:t> </w:t>
            </w:r>
            <w:r w:rsidR="006912C1" w:rsidRPr="00473B58">
              <w:rPr>
                <w:b/>
                <w:bCs/>
                <w:lang w:val="fr-CA"/>
              </w:rPr>
              <w:t xml:space="preserve">15 </w:t>
            </w:r>
            <w:r w:rsidR="00FF10CF" w:rsidRPr="00473B58">
              <w:rPr>
                <w:b/>
                <w:bCs/>
                <w:lang w:val="fr-CA"/>
              </w:rPr>
              <w:t>—</w:t>
            </w:r>
            <w:r w:rsidRPr="00473B58">
              <w:rPr>
                <w:b/>
                <w:bCs/>
                <w:lang w:val="fr-CA"/>
              </w:rPr>
              <w:t xml:space="preserve"> Produits des activités ordinaires tirés de contrats conclus avec des clients</w:t>
            </w:r>
            <w:r w:rsidRPr="00473B58">
              <w:rPr>
                <w:bCs/>
                <w:lang w:val="fr-CA"/>
              </w:rPr>
              <w:t xml:space="preserve">. </w:t>
            </w:r>
          </w:p>
          <w:p w14:paraId="29C6EE63" w14:textId="77777777" w:rsidR="006912C1" w:rsidRPr="00473B58" w:rsidRDefault="006912C1" w:rsidP="006912C1">
            <w:pPr>
              <w:rPr>
                <w:lang w:val="fr-CA"/>
              </w:rPr>
            </w:pPr>
          </w:p>
          <w:p w14:paraId="503E925F" w14:textId="0C7DBF47" w:rsidR="006912C1" w:rsidRPr="00473B58" w:rsidRDefault="00AF7F70" w:rsidP="006912C1">
            <w:pPr>
              <w:rPr>
                <w:b/>
                <w:lang w:val="fr-CA"/>
              </w:rPr>
            </w:pPr>
            <w:r w:rsidRPr="00473B58">
              <w:rPr>
                <w:b/>
                <w:lang w:val="fr-CA"/>
              </w:rPr>
              <w:t xml:space="preserve">Le </w:t>
            </w:r>
            <w:r w:rsidR="00AE42F5" w:rsidRPr="00473B58">
              <w:rPr>
                <w:b/>
                <w:lang w:val="fr-CA"/>
              </w:rPr>
              <w:t xml:space="preserve">guide </w:t>
            </w:r>
            <w:r w:rsidRPr="00473B58">
              <w:rPr>
                <w:b/>
                <w:lang w:val="fr-CA"/>
              </w:rPr>
              <w:t>comprend les trois éléments ci-après</w:t>
            </w:r>
            <w:r w:rsidR="00A352F0" w:rsidRPr="00473B58">
              <w:rPr>
                <w:b/>
                <w:lang w:val="fr-CA"/>
              </w:rPr>
              <w:t> </w:t>
            </w:r>
            <w:r w:rsidR="006912C1" w:rsidRPr="00473B58">
              <w:rPr>
                <w:b/>
                <w:lang w:val="fr-CA"/>
              </w:rPr>
              <w:t xml:space="preserve">: </w:t>
            </w:r>
          </w:p>
          <w:p w14:paraId="1BBE7E80" w14:textId="423977B2" w:rsidR="006912C1" w:rsidRPr="00473B58" w:rsidRDefault="00AA58E2" w:rsidP="00A13391">
            <w:pPr>
              <w:rPr>
                <w:lang w:val="fr-CA"/>
              </w:rPr>
            </w:pPr>
            <w:r w:rsidRPr="00473B58">
              <w:rPr>
                <w:noProof/>
                <w:lang w:eastAsia="en-CA"/>
              </w:rPr>
              <mc:AlternateContent>
                <mc:Choice Requires="wps">
                  <w:drawing>
                    <wp:anchor distT="45720" distB="45720" distL="114300" distR="114300" simplePos="0" relativeHeight="251660288" behindDoc="0" locked="0" layoutInCell="1" allowOverlap="1" wp14:anchorId="7507399E" wp14:editId="7D78A1D7">
                      <wp:simplePos x="0" y="0"/>
                      <wp:positionH relativeFrom="margin">
                        <wp:posOffset>2614915</wp:posOffset>
                      </wp:positionH>
                      <wp:positionV relativeFrom="paragraph">
                        <wp:posOffset>2287239</wp:posOffset>
                      </wp:positionV>
                      <wp:extent cx="3088887" cy="112890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887" cy="1128906"/>
                              </a:xfrm>
                              <a:prstGeom prst="rect">
                                <a:avLst/>
                              </a:prstGeom>
                              <a:solidFill>
                                <a:srgbClr val="FFFFFF"/>
                              </a:solidFill>
                              <a:ln w="9525">
                                <a:noFill/>
                                <a:miter lim="800000"/>
                                <a:headEnd/>
                                <a:tailEnd/>
                              </a:ln>
                            </wps:spPr>
                            <wps:txbx>
                              <w:txbxContent>
                                <w:p w14:paraId="7CBC7E50" w14:textId="3553065F" w:rsidR="00BF563C" w:rsidRPr="00AA58E2" w:rsidRDefault="00BF563C" w:rsidP="00C32DEB">
                                  <w:pPr>
                                    <w:spacing w:before="120" w:after="120" w:line="240" w:lineRule="auto"/>
                                    <w:rPr>
                                      <w:rFonts w:cstheme="minorHAnsi"/>
                                      <w:b/>
                                      <w:bCs/>
                                      <w:lang w:val="fr-CA"/>
                                    </w:rPr>
                                  </w:pPr>
                                  <w:r w:rsidRPr="00AA58E2">
                                    <w:rPr>
                                      <w:rFonts w:cstheme="minorHAnsi"/>
                                      <w:lang w:val="fr-CA"/>
                                    </w:rPr>
                                    <w:t>Des</w:t>
                                  </w:r>
                                  <w:r w:rsidRPr="00AA58E2">
                                    <w:rPr>
                                      <w:rFonts w:cstheme="minorHAnsi"/>
                                      <w:color w:val="2E74B5" w:themeColor="accent1" w:themeShade="BF"/>
                                      <w:lang w:val="fr-CA"/>
                                    </w:rPr>
                                    <w:t xml:space="preserve"> directives de l’utilisateur détaillées </w:t>
                                  </w:r>
                                  <w:r>
                                    <w:rPr>
                                      <w:rFonts w:cstheme="minorHAnsi"/>
                                      <w:lang w:val="fr-CA"/>
                                    </w:rPr>
                                    <w:t>qui aident les équipes de mission à comprendre les attentes relatives à la constitution d’une documentation détaillée lors de la mise en œuvre des procédures contenues dans « </w:t>
                                  </w:r>
                                  <w:r w:rsidRPr="00AA58E2">
                                    <w:rPr>
                                      <w:rFonts w:cstheme="minorHAnsi"/>
                                      <w:b/>
                                      <w:bCs/>
                                      <w:lang w:val="fr-CA"/>
                                    </w:rPr>
                                    <w:t>Test</w:t>
                                  </w:r>
                                  <w:r>
                                    <w:rPr>
                                      <w:rFonts w:cstheme="minorHAnsi"/>
                                      <w:b/>
                                      <w:bCs/>
                                      <w:lang w:val="fr-CA"/>
                                    </w:rPr>
                                    <w:t xml:space="preserve">er les opérations génératrices de produits </w:t>
                                  </w:r>
                                  <w:r w:rsidRPr="00AA58E2">
                                    <w:rPr>
                                      <w:rFonts w:cstheme="minorHAnsi"/>
                                      <w:b/>
                                      <w:bCs/>
                                      <w:lang w:val="fr-CA"/>
                                    </w:rPr>
                                    <w:t>(</w:t>
                                  </w:r>
                                  <w:r>
                                    <w:rPr>
                                      <w:rFonts w:cstheme="minorHAnsi"/>
                                      <w:b/>
                                      <w:bCs/>
                                      <w:lang w:val="fr-CA"/>
                                    </w:rPr>
                                    <w:t xml:space="preserve">Étapes 1 à </w:t>
                                  </w:r>
                                  <w:r w:rsidRPr="00AA58E2">
                                    <w:rPr>
                                      <w:rFonts w:cstheme="minorHAnsi"/>
                                      <w:b/>
                                      <w:bCs/>
                                      <w:lang w:val="fr-CA"/>
                                    </w:rPr>
                                    <w:t>5)</w:t>
                                  </w:r>
                                  <w:r>
                                    <w:rPr>
                                      <w:rFonts w:cstheme="minorHAnsi"/>
                                      <w:b/>
                                      <w:bCs/>
                                      <w:lang w:val="fr-CA"/>
                                    </w:rPr>
                                    <w:t xml:space="preserve"> (NCA 540) »</w:t>
                                  </w:r>
                                </w:p>
                                <w:p w14:paraId="6646B254" w14:textId="77777777" w:rsidR="00BF563C" w:rsidRPr="00AA58E2" w:rsidRDefault="00BF563C" w:rsidP="00C32DEB">
                                  <w:pPr>
                                    <w:spacing w:before="120" w:after="120" w:line="240" w:lineRule="auto"/>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7399E" id="_x0000_t202" coordsize="21600,21600" o:spt="202" path="m,l,21600r21600,l21600,xe">
                      <v:stroke joinstyle="miter"/>
                      <v:path gradientshapeok="t" o:connecttype="rect"/>
                    </v:shapetype>
                    <v:shape id="Text Box 2" o:spid="_x0000_s1026" type="#_x0000_t202" style="position:absolute;margin-left:205.9pt;margin-top:180.1pt;width:243.2pt;height:88.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YJuIQIAAB4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" stroked="f">
                      <v:textbox>
                        <w:txbxContent>
                          <w:p w14:paraId="7CBC7E50" w14:textId="3553065F" w:rsidR="00BF563C" w:rsidRPr="00AA58E2" w:rsidRDefault="00BF563C" w:rsidP="00C32DEB">
                            <w:pPr>
                              <w:spacing w:before="120" w:after="120" w:line="240" w:lineRule="auto"/>
                              <w:rPr>
                                <w:rFonts w:cstheme="minorHAnsi"/>
                                <w:b/>
                                <w:bCs/>
                                <w:lang w:val="fr-CA"/>
                              </w:rPr>
                            </w:pPr>
                            <w:r w:rsidRPr="00AA58E2">
                              <w:rPr>
                                <w:rFonts w:cstheme="minorHAnsi"/>
                                <w:lang w:val="fr-CA"/>
                              </w:rPr>
                              <w:t>Des</w:t>
                            </w:r>
                            <w:r w:rsidRPr="00AA58E2">
                              <w:rPr>
                                <w:rFonts w:cstheme="minorHAnsi"/>
                                <w:color w:val="2E74B5" w:themeColor="accent1" w:themeShade="BF"/>
                                <w:lang w:val="fr-CA"/>
                              </w:rPr>
                              <w:t xml:space="preserve"> directives de l’utilisateur détaillées </w:t>
                            </w:r>
                            <w:r>
                              <w:rPr>
                                <w:rFonts w:cstheme="minorHAnsi"/>
                                <w:lang w:val="fr-CA"/>
                              </w:rPr>
                              <w:t>qui aident les équipes de mission à comprendre les attentes relatives à la constitution d’une documentation détaillée lors de la mise en œuvre des procédures contenues dans « </w:t>
                            </w:r>
                            <w:r w:rsidRPr="00AA58E2">
                              <w:rPr>
                                <w:rFonts w:cstheme="minorHAnsi"/>
                                <w:b/>
                                <w:bCs/>
                                <w:lang w:val="fr-CA"/>
                              </w:rPr>
                              <w:t>Test</w:t>
                            </w:r>
                            <w:r>
                              <w:rPr>
                                <w:rFonts w:cstheme="minorHAnsi"/>
                                <w:b/>
                                <w:bCs/>
                                <w:lang w:val="fr-CA"/>
                              </w:rPr>
                              <w:t xml:space="preserve">er les opérations génératrices de produits </w:t>
                            </w:r>
                            <w:r w:rsidRPr="00AA58E2">
                              <w:rPr>
                                <w:rFonts w:cstheme="minorHAnsi"/>
                                <w:b/>
                                <w:bCs/>
                                <w:lang w:val="fr-CA"/>
                              </w:rPr>
                              <w:t>(</w:t>
                            </w:r>
                            <w:r>
                              <w:rPr>
                                <w:rFonts w:cstheme="minorHAnsi"/>
                                <w:b/>
                                <w:bCs/>
                                <w:lang w:val="fr-CA"/>
                              </w:rPr>
                              <w:t xml:space="preserve">Étapes 1 à </w:t>
                            </w:r>
                            <w:r w:rsidRPr="00AA58E2">
                              <w:rPr>
                                <w:rFonts w:cstheme="minorHAnsi"/>
                                <w:b/>
                                <w:bCs/>
                                <w:lang w:val="fr-CA"/>
                              </w:rPr>
                              <w:t>5)</w:t>
                            </w:r>
                            <w:r>
                              <w:rPr>
                                <w:rFonts w:cstheme="minorHAnsi"/>
                                <w:b/>
                                <w:bCs/>
                                <w:lang w:val="fr-CA"/>
                              </w:rPr>
                              <w:t xml:space="preserve"> (</w:t>
                            </w:r>
                            <w:proofErr w:type="spellStart"/>
                            <w:r>
                              <w:rPr>
                                <w:rFonts w:cstheme="minorHAnsi"/>
                                <w:b/>
                                <w:bCs/>
                                <w:lang w:val="fr-CA"/>
                              </w:rPr>
                              <w:t>NCA</w:t>
                            </w:r>
                            <w:proofErr w:type="spellEnd"/>
                            <w:r>
                              <w:rPr>
                                <w:rFonts w:cstheme="minorHAnsi"/>
                                <w:b/>
                                <w:bCs/>
                                <w:lang w:val="fr-CA"/>
                              </w:rPr>
                              <w:t xml:space="preserve"> 540) »</w:t>
                            </w:r>
                          </w:p>
                          <w:p w14:paraId="6646B254" w14:textId="77777777" w:rsidR="00BF563C" w:rsidRPr="00AA58E2" w:rsidRDefault="00BF563C" w:rsidP="00C32DEB">
                            <w:pPr>
                              <w:spacing w:before="120" w:after="120" w:line="240" w:lineRule="auto"/>
                              <w:rPr>
                                <w:lang w:val="fr-CA"/>
                              </w:rPr>
                            </w:pPr>
                          </w:p>
                        </w:txbxContent>
                      </v:textbox>
                      <w10:wrap anchorx="margin"/>
                    </v:shape>
                  </w:pict>
                </mc:Fallback>
              </mc:AlternateContent>
            </w:r>
            <w:r w:rsidRPr="00473B58">
              <w:rPr>
                <w:b/>
                <w:noProof/>
                <w:lang w:eastAsia="en-CA"/>
              </w:rPr>
              <mc:AlternateContent>
                <mc:Choice Requires="wps">
                  <w:drawing>
                    <wp:anchor distT="45720" distB="45720" distL="114300" distR="114300" simplePos="0" relativeHeight="251663360" behindDoc="0" locked="0" layoutInCell="1" allowOverlap="1" wp14:anchorId="24D7A2DF" wp14:editId="6AE1F8CA">
                      <wp:simplePos x="0" y="0"/>
                      <wp:positionH relativeFrom="margin">
                        <wp:posOffset>5982583</wp:posOffset>
                      </wp:positionH>
                      <wp:positionV relativeFrom="paragraph">
                        <wp:posOffset>452863</wp:posOffset>
                      </wp:positionV>
                      <wp:extent cx="1823224" cy="259334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224" cy="2593340"/>
                              </a:xfrm>
                              <a:prstGeom prst="rect">
                                <a:avLst/>
                              </a:prstGeom>
                              <a:solidFill>
                                <a:srgbClr val="FFFFFF"/>
                              </a:solidFill>
                              <a:ln w="9525">
                                <a:noFill/>
                                <a:miter lim="800000"/>
                                <a:headEnd/>
                                <a:tailEnd/>
                              </a:ln>
                            </wps:spPr>
                            <wps:txbx>
                              <w:txbxContent>
                                <w:p w14:paraId="0B2275D9" w14:textId="2FDA2B4E" w:rsidR="00BF563C" w:rsidRPr="00AA58E2" w:rsidRDefault="00BF563C" w:rsidP="00C32DEB">
                                  <w:pPr>
                                    <w:spacing w:before="120" w:after="120" w:line="240" w:lineRule="auto"/>
                                    <w:rPr>
                                      <w:lang w:val="fr-CA"/>
                                    </w:rPr>
                                  </w:pPr>
                                  <w:r w:rsidRPr="00AA58E2">
                                    <w:rPr>
                                      <w:rFonts w:cstheme="minorHAnsi"/>
                                      <w:lang w:val="fr-CA"/>
                                    </w:rPr>
                                    <w:t>Une</w:t>
                                  </w:r>
                                  <w:r w:rsidRPr="00AA58E2">
                                    <w:rPr>
                                      <w:rFonts w:cstheme="minorHAnsi"/>
                                      <w:color w:val="7030A0"/>
                                      <w:lang w:val="fr-CA"/>
                                    </w:rPr>
                                    <w:t xml:space="preserve"> F</w:t>
                                  </w:r>
                                  <w:r>
                                    <w:rPr>
                                      <w:rFonts w:cstheme="minorHAnsi"/>
                                      <w:color w:val="7030A0"/>
                                      <w:lang w:val="fr-CA"/>
                                    </w:rPr>
                                    <w:t xml:space="preserve">oire aux questions </w:t>
                                  </w:r>
                                  <w:r w:rsidRPr="00AA58E2">
                                    <w:rPr>
                                      <w:rFonts w:cstheme="minorHAnsi"/>
                                      <w:lang w:val="fr-CA"/>
                                    </w:rPr>
                                    <w:t xml:space="preserve">sur </w:t>
                                  </w:r>
                                  <w:r>
                                    <w:rPr>
                                      <w:rFonts w:cstheme="minorHAnsi"/>
                                      <w:lang w:val="fr-CA"/>
                                    </w:rPr>
                                    <w:t>la conception d’une stratégie efficace pour tester les opérations génératrices de produits qui porte sur un nombre limité de sujets sur lesquels les équipes de mission veulent souvent obtenir des précisions lorsqu’elles auditent les produits comptabilisés selon l’</w:t>
                                  </w:r>
                                  <w:r w:rsidRPr="00AA58E2">
                                    <w:rPr>
                                      <w:lang w:val="fr-CA"/>
                                    </w:rPr>
                                    <w:t>IFRS</w:t>
                                  </w:r>
                                  <w:r>
                                    <w:rPr>
                                      <w:lang w:val="fr-CA"/>
                                    </w:rPr>
                                    <w:t> </w:t>
                                  </w:r>
                                  <w:r w:rsidRPr="00AA58E2">
                                    <w:rPr>
                                      <w:lang w:val="fr-CA"/>
                                    </w:rPr>
                                    <w:t>15</w:t>
                                  </w:r>
                                  <w:r>
                                    <w:rPr>
                                      <w:lang w:val="fr-CA"/>
                                    </w:rPr>
                                    <w:t>.</w:t>
                                  </w:r>
                                </w:p>
                                <w:p w14:paraId="440FC7FE" w14:textId="77777777" w:rsidR="00BF563C" w:rsidRPr="00AA58E2" w:rsidRDefault="00BF563C" w:rsidP="00C32DEB">
                                  <w:pPr>
                                    <w:spacing w:before="120" w:after="120" w:line="240" w:lineRule="auto"/>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A2DF" id="_x0000_s1027" type="#_x0000_t202" style="position:absolute;margin-left:471.05pt;margin-top:35.65pt;width:143.55pt;height:20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" stroked="f">
                      <v:textbox>
                        <w:txbxContent>
                          <w:p w14:paraId="0B2275D9" w14:textId="2FDA2B4E" w:rsidR="00BF563C" w:rsidRPr="00AA58E2" w:rsidRDefault="00BF563C" w:rsidP="00C32DEB">
                            <w:pPr>
                              <w:spacing w:before="120" w:after="120" w:line="240" w:lineRule="auto"/>
                              <w:rPr>
                                <w:lang w:val="fr-CA"/>
                              </w:rPr>
                            </w:pPr>
                            <w:r w:rsidRPr="00AA58E2">
                              <w:rPr>
                                <w:rFonts w:cstheme="minorHAnsi"/>
                                <w:lang w:val="fr-CA"/>
                              </w:rPr>
                              <w:t>Une</w:t>
                            </w:r>
                            <w:r w:rsidRPr="00AA58E2">
                              <w:rPr>
                                <w:rFonts w:cstheme="minorHAnsi"/>
                                <w:color w:val="7030A0"/>
                                <w:lang w:val="fr-CA"/>
                              </w:rPr>
                              <w:t xml:space="preserve"> F</w:t>
                            </w:r>
                            <w:r>
                              <w:rPr>
                                <w:rFonts w:cstheme="minorHAnsi"/>
                                <w:color w:val="7030A0"/>
                                <w:lang w:val="fr-CA"/>
                              </w:rPr>
                              <w:t xml:space="preserve">oire aux questions </w:t>
                            </w:r>
                            <w:r w:rsidRPr="00AA58E2">
                              <w:rPr>
                                <w:rFonts w:cstheme="minorHAnsi"/>
                                <w:lang w:val="fr-CA"/>
                              </w:rPr>
                              <w:t xml:space="preserve">sur </w:t>
                            </w:r>
                            <w:r>
                              <w:rPr>
                                <w:rFonts w:cstheme="minorHAnsi"/>
                                <w:lang w:val="fr-CA"/>
                              </w:rPr>
                              <w:t>la conception d’une stratégie efficace pour tester les opérations génératrices de produits qui porte sur un nombre limité de sujets sur lesquels les équipes de mission veulent souvent obtenir des précisions lorsqu’elles auditent les produits comptabilisés selon l’</w:t>
                            </w:r>
                            <w:proofErr w:type="spellStart"/>
                            <w:r w:rsidRPr="00AA58E2">
                              <w:rPr>
                                <w:lang w:val="fr-CA"/>
                              </w:rPr>
                              <w:t>IFRS</w:t>
                            </w:r>
                            <w:proofErr w:type="spellEnd"/>
                            <w:r>
                              <w:rPr>
                                <w:lang w:val="fr-CA"/>
                              </w:rPr>
                              <w:t> </w:t>
                            </w:r>
                            <w:r w:rsidRPr="00AA58E2">
                              <w:rPr>
                                <w:lang w:val="fr-CA"/>
                              </w:rPr>
                              <w:t>15</w:t>
                            </w:r>
                            <w:r>
                              <w:rPr>
                                <w:lang w:val="fr-CA"/>
                              </w:rPr>
                              <w:t>.</w:t>
                            </w:r>
                          </w:p>
                          <w:p w14:paraId="440FC7FE" w14:textId="77777777" w:rsidR="00BF563C" w:rsidRPr="00AA58E2" w:rsidRDefault="00BF563C" w:rsidP="00C32DEB">
                            <w:pPr>
                              <w:spacing w:before="120" w:after="120" w:line="240" w:lineRule="auto"/>
                              <w:rPr>
                                <w:lang w:val="fr-CA"/>
                              </w:rPr>
                            </w:pPr>
                          </w:p>
                        </w:txbxContent>
                      </v:textbox>
                      <w10:wrap anchorx="margin"/>
                    </v:shape>
                  </w:pict>
                </mc:Fallback>
              </mc:AlternateContent>
            </w:r>
            <w:r w:rsidRPr="00473B58">
              <w:rPr>
                <w:noProof/>
                <w:lang w:eastAsia="en-CA"/>
              </w:rPr>
              <mc:AlternateContent>
                <mc:Choice Requires="wps">
                  <w:drawing>
                    <wp:anchor distT="0" distB="0" distL="0" distR="0" simplePos="0" relativeHeight="251658240" behindDoc="1" locked="0" layoutInCell="1" allowOverlap="1" wp14:anchorId="5378AB58" wp14:editId="31B1BB83">
                      <wp:simplePos x="0" y="0"/>
                      <wp:positionH relativeFrom="margin">
                        <wp:posOffset>629920</wp:posOffset>
                      </wp:positionH>
                      <wp:positionV relativeFrom="page">
                        <wp:posOffset>1292860</wp:posOffset>
                      </wp:positionV>
                      <wp:extent cx="1818005" cy="946150"/>
                      <wp:effectExtent l="0" t="0" r="10795" b="6350"/>
                      <wp:wrapTight wrapText="bothSides">
                        <wp:wrapPolygon edited="0">
                          <wp:start x="0" y="0"/>
                          <wp:lineTo x="0" y="21310"/>
                          <wp:lineTo x="21502" y="21310"/>
                          <wp:lineTo x="2150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30E9E" w14:textId="4B49F271" w:rsidR="00BF563C" w:rsidRPr="00AA58E2" w:rsidRDefault="00BF563C" w:rsidP="00DD6D5A">
                                  <w:pPr>
                                    <w:spacing w:before="120" w:after="120" w:line="240" w:lineRule="auto"/>
                                    <w:textAlignment w:val="baseline"/>
                                    <w:rPr>
                                      <w:rFonts w:eastAsia="Arial" w:cstheme="minorHAnsi"/>
                                      <w:color w:val="000000"/>
                                      <w:lang w:val="fr-CA"/>
                                    </w:rPr>
                                  </w:pPr>
                                  <w:r w:rsidRPr="00AA58E2">
                                    <w:rPr>
                                      <w:rFonts w:eastAsia="Arial" w:cstheme="minorHAnsi"/>
                                      <w:lang w:val="fr-CA"/>
                                    </w:rPr>
                                    <w:t>Un</w:t>
                                  </w:r>
                                  <w:r w:rsidRPr="00AA58E2">
                                    <w:rPr>
                                      <w:rFonts w:eastAsia="Arial" w:cstheme="minorHAnsi"/>
                                      <w:color w:val="2E74B5" w:themeColor="accent1" w:themeShade="BF"/>
                                      <w:lang w:val="fr-CA"/>
                                    </w:rPr>
                                    <w:t xml:space="preserve"> arbre de décision </w:t>
                                  </w:r>
                                  <w:r>
                                    <w:rPr>
                                      <w:rFonts w:eastAsia="Arial" w:cstheme="minorHAnsi"/>
                                      <w:color w:val="000000"/>
                                      <w:lang w:val="fr-CA"/>
                                    </w:rPr>
                                    <w:t xml:space="preserve">pour aider les équipes de mission à choisir les procédures appropriées pour tester les opérations génératrices de produits.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AB58" id="Text Box 1" o:spid="_x0000_s1028" type="#_x0000_t202" style="position:absolute;margin-left:49.6pt;margin-top:101.8pt;width:143.15pt;height:74.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" filled="f" stroked="f">
                      <v:textbox inset="0,0,0,0">
                        <w:txbxContent>
                          <w:p w14:paraId="4F130E9E" w14:textId="4B49F271" w:rsidR="00BF563C" w:rsidRPr="00AA58E2" w:rsidRDefault="00BF563C" w:rsidP="00DD6D5A">
                            <w:pPr>
                              <w:spacing w:before="120" w:after="120" w:line="240" w:lineRule="auto"/>
                              <w:textAlignment w:val="baseline"/>
                              <w:rPr>
                                <w:rFonts w:eastAsia="Arial" w:cstheme="minorHAnsi"/>
                                <w:color w:val="000000"/>
                                <w:lang w:val="fr-CA"/>
                              </w:rPr>
                            </w:pPr>
                            <w:r w:rsidRPr="00AA58E2">
                              <w:rPr>
                                <w:rFonts w:eastAsia="Arial" w:cstheme="minorHAnsi"/>
                                <w:lang w:val="fr-CA"/>
                              </w:rPr>
                              <w:t>Un</w:t>
                            </w:r>
                            <w:r w:rsidRPr="00AA58E2">
                              <w:rPr>
                                <w:rFonts w:eastAsia="Arial" w:cstheme="minorHAnsi"/>
                                <w:color w:val="2E74B5" w:themeColor="accent1" w:themeShade="BF"/>
                                <w:lang w:val="fr-CA"/>
                              </w:rPr>
                              <w:t xml:space="preserve"> arbre de décision </w:t>
                            </w:r>
                            <w:r>
                              <w:rPr>
                                <w:rFonts w:eastAsia="Arial" w:cstheme="minorHAnsi"/>
                                <w:color w:val="000000"/>
                                <w:lang w:val="fr-CA"/>
                              </w:rPr>
                              <w:t xml:space="preserve">pour aider les équipes de mission à choisir les procédures appropriées pour tester les opérations génératrices de produits. </w:t>
                            </w:r>
                          </w:p>
                        </w:txbxContent>
                      </v:textbox>
                      <w10:wrap type="tight" anchorx="margin" anchory="page"/>
                    </v:shape>
                  </w:pict>
                </mc:Fallback>
              </mc:AlternateContent>
            </w:r>
            <w:r w:rsidR="000438DE" w:rsidRPr="00473B58">
              <w:rPr>
                <w:noProof/>
                <w:lang w:eastAsia="en-CA"/>
              </w:rPr>
              <w:drawing>
                <wp:anchor distT="0" distB="0" distL="114300" distR="114300" simplePos="0" relativeHeight="251661312" behindDoc="1" locked="0" layoutInCell="1" allowOverlap="1" wp14:anchorId="6AE93DE1" wp14:editId="0318A3E2">
                  <wp:simplePos x="0" y="0"/>
                  <wp:positionH relativeFrom="margin">
                    <wp:posOffset>2593478</wp:posOffset>
                  </wp:positionH>
                  <wp:positionV relativeFrom="paragraph">
                    <wp:posOffset>495521</wp:posOffset>
                  </wp:positionV>
                  <wp:extent cx="3156585" cy="1764665"/>
                  <wp:effectExtent l="0" t="0" r="5715" b="6985"/>
                  <wp:wrapTight wrapText="bothSides">
                    <wp:wrapPolygon edited="0">
                      <wp:start x="0" y="0"/>
                      <wp:lineTo x="0" y="21452"/>
                      <wp:lineTo x="21509" y="21452"/>
                      <wp:lineTo x="21509" y="0"/>
                      <wp:lineTo x="0" y="0"/>
                    </wp:wrapPolygon>
                  </wp:wrapTight>
                  <wp:docPr id="757"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56585" cy="1764665"/>
                          </a:xfrm>
                          <a:prstGeom prst="rect">
                            <a:avLst/>
                          </a:prstGeom>
                        </pic:spPr>
                      </pic:pic>
                    </a:graphicData>
                  </a:graphic>
                  <wp14:sizeRelH relativeFrom="margin">
                    <wp14:pctWidth>0</wp14:pctWidth>
                  </wp14:sizeRelH>
                  <wp14:sizeRelV relativeFrom="margin">
                    <wp14:pctHeight>0</wp14:pctHeight>
                  </wp14:sizeRelV>
                </wp:anchor>
              </w:drawing>
            </w:r>
          </w:p>
        </w:tc>
      </w:tr>
    </w:tbl>
    <w:p w14:paraId="61FB0547" w14:textId="11DC5655" w:rsidR="00003234" w:rsidRPr="00473B58" w:rsidRDefault="00003234" w:rsidP="00A13391">
      <w:pPr>
        <w:rPr>
          <w:b/>
          <w:lang w:val="fr-CA"/>
        </w:rPr>
      </w:pPr>
    </w:p>
    <w:p w14:paraId="6BFD8345" w14:textId="60CF3D2B" w:rsidR="00D97151" w:rsidRDefault="00D97151">
      <w:pPr>
        <w:rPr>
          <w:b/>
          <w:lang w:val="fr-CA"/>
        </w:rPr>
      </w:pPr>
      <w:r>
        <w:rPr>
          <w:b/>
          <w:lang w:val="fr-CA"/>
        </w:rPr>
        <w:br w:type="page"/>
      </w:r>
    </w:p>
    <w:p w14:paraId="096A91E9" w14:textId="77777777" w:rsidR="00003234" w:rsidRPr="00473B58" w:rsidRDefault="00003234" w:rsidP="00003234">
      <w:pPr>
        <w:jc w:val="center"/>
        <w:rPr>
          <w:b/>
          <w:lang w:val="fr-CA"/>
        </w:rPr>
      </w:pPr>
    </w:p>
    <w:tbl>
      <w:tblPr>
        <w:tblStyle w:val="TableGrid"/>
        <w:tblW w:w="13467" w:type="dxa"/>
        <w:tblInd w:w="-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none" w:sz="0" w:space="0" w:color="auto"/>
          <w:insideV w:val="none" w:sz="0" w:space="0" w:color="auto"/>
        </w:tblBorders>
        <w:tblLook w:val="04A0" w:firstRow="1" w:lastRow="0" w:firstColumn="1" w:lastColumn="0" w:noHBand="0" w:noVBand="1"/>
      </w:tblPr>
      <w:tblGrid>
        <w:gridCol w:w="10480"/>
        <w:gridCol w:w="2987"/>
      </w:tblGrid>
      <w:tr w:rsidR="00003234" w:rsidRPr="00473B58" w14:paraId="4F10D69D" w14:textId="77777777" w:rsidTr="007D2E6D">
        <w:tc>
          <w:tcPr>
            <w:tcW w:w="10480" w:type="dxa"/>
            <w:shd w:val="clear" w:color="auto" w:fill="auto"/>
            <w:vAlign w:val="center"/>
          </w:tcPr>
          <w:p w14:paraId="3896171F" w14:textId="369E869B" w:rsidR="00003234" w:rsidRPr="00473B58" w:rsidRDefault="00EB60D1" w:rsidP="00600311">
            <w:pPr>
              <w:rPr>
                <w:b/>
                <w:color w:val="2E74B5" w:themeColor="accent1" w:themeShade="BF"/>
                <w:sz w:val="28"/>
                <w:szCs w:val="28"/>
                <w:lang w:val="fr-CA"/>
              </w:rPr>
            </w:pPr>
            <w:r w:rsidRPr="00473B58">
              <w:rPr>
                <w:b/>
                <w:color w:val="2E74B5" w:themeColor="accent1" w:themeShade="BF"/>
                <w:sz w:val="28"/>
                <w:szCs w:val="28"/>
                <w:lang w:val="fr-CA"/>
              </w:rPr>
              <w:lastRenderedPageBreak/>
              <w:t>Procédures pour tester les opérations génératrices de produits comptabilisées selon l’</w:t>
            </w:r>
            <w:r w:rsidR="00003234" w:rsidRPr="00473B58">
              <w:rPr>
                <w:b/>
                <w:color w:val="2E74B5" w:themeColor="accent1" w:themeShade="BF"/>
                <w:sz w:val="28"/>
                <w:szCs w:val="28"/>
                <w:lang w:val="fr-CA"/>
              </w:rPr>
              <w:t>IFRS</w:t>
            </w:r>
            <w:r w:rsidR="00A352F0" w:rsidRPr="00473B58">
              <w:rPr>
                <w:b/>
                <w:color w:val="2E74B5" w:themeColor="accent1" w:themeShade="BF"/>
                <w:sz w:val="28"/>
                <w:szCs w:val="28"/>
                <w:lang w:val="fr-CA"/>
              </w:rPr>
              <w:t> </w:t>
            </w:r>
            <w:r w:rsidR="00003234" w:rsidRPr="00473B58">
              <w:rPr>
                <w:b/>
                <w:color w:val="2E74B5" w:themeColor="accent1" w:themeShade="BF"/>
                <w:sz w:val="28"/>
                <w:szCs w:val="28"/>
                <w:lang w:val="fr-CA"/>
              </w:rPr>
              <w:t>15</w:t>
            </w:r>
            <w:r w:rsidRPr="00473B58">
              <w:rPr>
                <w:b/>
                <w:color w:val="2E74B5" w:themeColor="accent1" w:themeShade="BF"/>
                <w:sz w:val="28"/>
                <w:szCs w:val="28"/>
                <w:lang w:val="fr-CA"/>
              </w:rPr>
              <w:t xml:space="preserve"> </w:t>
            </w:r>
            <w:r w:rsidR="00A352F0" w:rsidRPr="00473B58">
              <w:rPr>
                <w:b/>
                <w:color w:val="2E74B5" w:themeColor="accent1" w:themeShade="BF"/>
                <w:sz w:val="28"/>
                <w:szCs w:val="28"/>
                <w:lang w:val="fr-CA"/>
              </w:rPr>
              <w:t>—</w:t>
            </w:r>
            <w:r w:rsidR="00003234" w:rsidRPr="00473B58">
              <w:rPr>
                <w:b/>
                <w:color w:val="2E74B5" w:themeColor="accent1" w:themeShade="BF"/>
                <w:sz w:val="28"/>
                <w:szCs w:val="28"/>
                <w:lang w:val="fr-CA"/>
              </w:rPr>
              <w:t xml:space="preserve"> </w:t>
            </w:r>
            <w:r w:rsidRPr="00473B58">
              <w:rPr>
                <w:b/>
                <w:color w:val="2E74B5" w:themeColor="accent1" w:themeShade="BF"/>
                <w:sz w:val="28"/>
                <w:szCs w:val="28"/>
                <w:lang w:val="fr-CA"/>
              </w:rPr>
              <w:t>Rappels d’ordre général</w:t>
            </w:r>
          </w:p>
          <w:p w14:paraId="7101E3B1" w14:textId="77777777" w:rsidR="00003234" w:rsidRPr="00473B58" w:rsidRDefault="00003234" w:rsidP="00C32DEB">
            <w:pPr>
              <w:jc w:val="center"/>
              <w:rPr>
                <w:lang w:val="fr-CA"/>
              </w:rPr>
            </w:pPr>
          </w:p>
        </w:tc>
        <w:tc>
          <w:tcPr>
            <w:tcW w:w="2987" w:type="dxa"/>
            <w:shd w:val="clear" w:color="auto" w:fill="DEEAF6" w:themeFill="accent1" w:themeFillTint="33"/>
          </w:tcPr>
          <w:p w14:paraId="56AC9ED7" w14:textId="09D9B551" w:rsidR="00752F81" w:rsidRPr="00473B58" w:rsidRDefault="00752F81" w:rsidP="00845AB8">
            <w:pPr>
              <w:autoSpaceDE w:val="0"/>
              <w:autoSpaceDN w:val="0"/>
              <w:adjustRightInd w:val="0"/>
              <w:rPr>
                <w:rFonts w:cstheme="minorHAnsi"/>
                <w:b/>
                <w:color w:val="2E74B5" w:themeColor="accent1" w:themeShade="BF"/>
                <w:sz w:val="24"/>
                <w:szCs w:val="24"/>
                <w:lang w:val="fr-CA"/>
              </w:rPr>
            </w:pPr>
            <w:r w:rsidRPr="00473B58">
              <w:rPr>
                <w:rFonts w:cstheme="minorHAnsi"/>
                <w:b/>
                <w:color w:val="2E74B5" w:themeColor="accent1" w:themeShade="BF"/>
                <w:sz w:val="24"/>
                <w:szCs w:val="24"/>
                <w:lang w:val="fr-CA"/>
              </w:rPr>
              <w:t>Procédure pour t</w:t>
            </w:r>
            <w:r w:rsidR="00003234" w:rsidRPr="00473B58">
              <w:rPr>
                <w:rFonts w:cstheme="minorHAnsi"/>
                <w:b/>
                <w:color w:val="2E74B5" w:themeColor="accent1" w:themeShade="BF"/>
                <w:sz w:val="24"/>
                <w:szCs w:val="24"/>
                <w:lang w:val="fr-CA"/>
              </w:rPr>
              <w:t>est</w:t>
            </w:r>
            <w:r w:rsidR="00845AB8" w:rsidRPr="00473B58">
              <w:rPr>
                <w:rFonts w:cstheme="minorHAnsi"/>
                <w:b/>
                <w:color w:val="2E74B5" w:themeColor="accent1" w:themeShade="BF"/>
                <w:sz w:val="24"/>
                <w:szCs w:val="24"/>
                <w:lang w:val="fr-CA"/>
              </w:rPr>
              <w:t>er les</w:t>
            </w:r>
            <w:r w:rsidR="00EB60D1" w:rsidRPr="00473B58">
              <w:rPr>
                <w:rFonts w:cstheme="minorHAnsi"/>
                <w:b/>
                <w:color w:val="2E74B5" w:themeColor="accent1" w:themeShade="BF"/>
                <w:sz w:val="24"/>
                <w:szCs w:val="24"/>
                <w:lang w:val="fr-CA"/>
              </w:rPr>
              <w:t xml:space="preserve"> opérations génératrices de produits </w:t>
            </w:r>
            <w:r w:rsidR="00003234" w:rsidRPr="00473B58">
              <w:rPr>
                <w:rFonts w:cstheme="minorHAnsi"/>
                <w:b/>
                <w:color w:val="2E74B5" w:themeColor="accent1" w:themeShade="BF"/>
                <w:sz w:val="24"/>
                <w:szCs w:val="24"/>
                <w:lang w:val="fr-CA"/>
              </w:rPr>
              <w:t>(</w:t>
            </w:r>
            <w:r w:rsidR="00AE42F5" w:rsidRPr="00473B58">
              <w:rPr>
                <w:rFonts w:cstheme="minorHAnsi"/>
                <w:b/>
                <w:color w:val="2E74B5" w:themeColor="accent1" w:themeShade="BF"/>
                <w:sz w:val="24"/>
                <w:szCs w:val="24"/>
                <w:lang w:val="fr-CA"/>
              </w:rPr>
              <w:t>É</w:t>
            </w:r>
            <w:r w:rsidR="00EB60D1" w:rsidRPr="00473B58">
              <w:rPr>
                <w:rFonts w:cstheme="minorHAnsi"/>
                <w:b/>
                <w:color w:val="2E74B5" w:themeColor="accent1" w:themeShade="BF"/>
                <w:sz w:val="24"/>
                <w:szCs w:val="24"/>
                <w:lang w:val="fr-CA"/>
              </w:rPr>
              <w:t>tapes</w:t>
            </w:r>
            <w:r w:rsidR="00A352F0" w:rsidRPr="00473B58">
              <w:rPr>
                <w:rFonts w:cstheme="minorHAnsi"/>
                <w:b/>
                <w:color w:val="2E74B5" w:themeColor="accent1" w:themeShade="BF"/>
                <w:sz w:val="24"/>
                <w:szCs w:val="24"/>
                <w:lang w:val="fr-CA"/>
              </w:rPr>
              <w:t> </w:t>
            </w:r>
            <w:r w:rsidR="00003234" w:rsidRPr="00473B58">
              <w:rPr>
                <w:rFonts w:cstheme="minorHAnsi"/>
                <w:b/>
                <w:color w:val="2E74B5" w:themeColor="accent1" w:themeShade="BF"/>
                <w:sz w:val="24"/>
                <w:szCs w:val="24"/>
                <w:lang w:val="fr-CA"/>
              </w:rPr>
              <w:t xml:space="preserve">1 </w:t>
            </w:r>
            <w:r w:rsidR="00EB60D1" w:rsidRPr="00473B58">
              <w:rPr>
                <w:rFonts w:cstheme="minorHAnsi"/>
                <w:b/>
                <w:color w:val="2E74B5" w:themeColor="accent1" w:themeShade="BF"/>
                <w:sz w:val="24"/>
                <w:szCs w:val="24"/>
                <w:lang w:val="fr-CA"/>
              </w:rPr>
              <w:t xml:space="preserve">à </w:t>
            </w:r>
            <w:r w:rsidR="00003234" w:rsidRPr="00473B58">
              <w:rPr>
                <w:rFonts w:cstheme="minorHAnsi"/>
                <w:b/>
                <w:color w:val="2E74B5" w:themeColor="accent1" w:themeShade="BF"/>
                <w:sz w:val="24"/>
                <w:szCs w:val="24"/>
                <w:lang w:val="fr-CA"/>
              </w:rPr>
              <w:t>5)</w:t>
            </w:r>
          </w:p>
          <w:p w14:paraId="7088E6F2" w14:textId="06C76996" w:rsidR="00003234" w:rsidRPr="00473B58" w:rsidRDefault="00752F81" w:rsidP="00845AB8">
            <w:pPr>
              <w:autoSpaceDE w:val="0"/>
              <w:autoSpaceDN w:val="0"/>
              <w:adjustRightInd w:val="0"/>
              <w:rPr>
                <w:rFonts w:cstheme="minorHAnsi"/>
                <w:b/>
                <w:sz w:val="24"/>
                <w:szCs w:val="24"/>
                <w:lang w:val="fr-CA"/>
              </w:rPr>
            </w:pPr>
            <w:r w:rsidRPr="00473B58">
              <w:rPr>
                <w:rFonts w:cstheme="minorHAnsi"/>
                <w:b/>
                <w:color w:val="2E74B5" w:themeColor="accent1" w:themeShade="BF"/>
                <w:sz w:val="24"/>
                <w:szCs w:val="24"/>
                <w:lang w:val="fr-CA"/>
              </w:rPr>
              <w:t>Arbre de décision</w:t>
            </w:r>
            <w:r w:rsidR="00003234" w:rsidRPr="00473B58">
              <w:rPr>
                <w:rFonts w:cstheme="minorHAnsi"/>
                <w:b/>
                <w:color w:val="2E74B5" w:themeColor="accent1" w:themeShade="BF"/>
                <w:sz w:val="24"/>
                <w:szCs w:val="24"/>
                <w:lang w:val="fr-CA"/>
              </w:rPr>
              <w:t xml:space="preserve"> </w:t>
            </w:r>
          </w:p>
        </w:tc>
      </w:tr>
      <w:tr w:rsidR="00003234" w:rsidRPr="00D97151" w14:paraId="416B1D7D" w14:textId="77777777" w:rsidTr="00077CF5">
        <w:trPr>
          <w:trHeight w:val="7314"/>
        </w:trPr>
        <w:tc>
          <w:tcPr>
            <w:tcW w:w="10480" w:type="dxa"/>
            <w:shd w:val="clear" w:color="auto" w:fill="auto"/>
          </w:tcPr>
          <w:p w14:paraId="540612E2" w14:textId="21E77833" w:rsidR="00003234" w:rsidRPr="00473B58" w:rsidRDefault="00B55E13" w:rsidP="00C32DEB">
            <w:pPr>
              <w:pStyle w:val="ListParagraph"/>
              <w:rPr>
                <w:lang w:val="fr-CA"/>
              </w:rPr>
            </w:pPr>
            <w:r w:rsidRPr="00473B58">
              <w:rPr>
                <w:noProof/>
                <w:lang w:eastAsia="en-CA"/>
              </w:rPr>
              <w:drawing>
                <wp:anchor distT="0" distB="0" distL="114300" distR="114300" simplePos="0" relativeHeight="251712512" behindDoc="1" locked="0" layoutInCell="1" allowOverlap="1" wp14:anchorId="2823D812" wp14:editId="167A6B37">
                  <wp:simplePos x="0" y="0"/>
                  <wp:positionH relativeFrom="column">
                    <wp:posOffset>95885</wp:posOffset>
                  </wp:positionH>
                  <wp:positionV relativeFrom="paragraph">
                    <wp:posOffset>9829</wp:posOffset>
                  </wp:positionV>
                  <wp:extent cx="269875" cy="254000"/>
                  <wp:effectExtent l="0" t="0" r="0" b="0"/>
                  <wp:wrapTight wrapText="bothSides">
                    <wp:wrapPolygon edited="0">
                      <wp:start x="0" y="0"/>
                      <wp:lineTo x="0" y="19440"/>
                      <wp:lineTo x="19821" y="19440"/>
                      <wp:lineTo x="198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duotone>
                              <a:schemeClr val="accent5">
                                <a:shade val="45000"/>
                                <a:satMod val="135000"/>
                              </a:schemeClr>
                              <a:prstClr val="white"/>
                            </a:duotone>
                            <a:extLst>
                              <a:ext uri="{28A0092B-C50C-407E-A947-70E740481C1C}">
                                <a14:useLocalDpi xmlns:a14="http://schemas.microsoft.com/office/drawing/2010/main" val="0"/>
                              </a:ext>
                            </a:extLst>
                          </a:blip>
                          <a:srcRect l="13345" t="11508" r="10900" b="14702"/>
                          <a:stretch/>
                        </pic:blipFill>
                        <pic:spPr bwMode="auto">
                          <a:xfrm>
                            <a:off x="0" y="0"/>
                            <a:ext cx="269875" cy="25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77B" w:rsidRPr="00473B58">
              <w:rPr>
                <w:lang w:val="fr-CA"/>
              </w:rPr>
              <w:t xml:space="preserve">Nous avons conçu notre approche pour tester les opérations génératrices de produits </w:t>
            </w:r>
            <w:r w:rsidR="00845AB8" w:rsidRPr="00473B58">
              <w:rPr>
                <w:lang w:val="fr-CA"/>
              </w:rPr>
              <w:t xml:space="preserve">en fonction de divers facteurs, notamment notre compréhension et les résultats de notre évaluation du processus </w:t>
            </w:r>
            <w:r w:rsidR="00AE42F5" w:rsidRPr="00473B58">
              <w:rPr>
                <w:lang w:val="fr-CA"/>
              </w:rPr>
              <w:t xml:space="preserve">opérationnel </w:t>
            </w:r>
            <w:r w:rsidR="00845AB8" w:rsidRPr="00473B58">
              <w:rPr>
                <w:lang w:val="fr-CA"/>
              </w:rPr>
              <w:t>lié aux produits et aux débiteurs</w:t>
            </w:r>
            <w:r w:rsidR="00003234" w:rsidRPr="00473B58">
              <w:rPr>
                <w:lang w:val="fr-CA"/>
              </w:rPr>
              <w:t xml:space="preserve">, </w:t>
            </w:r>
            <w:r w:rsidR="00845AB8" w:rsidRPr="00473B58">
              <w:rPr>
                <w:lang w:val="fr-CA"/>
              </w:rPr>
              <w:t xml:space="preserve">notre examen des contrats </w:t>
            </w:r>
            <w:r w:rsidR="00C74485" w:rsidRPr="00473B58">
              <w:rPr>
                <w:lang w:val="fr-CA"/>
              </w:rPr>
              <w:t>générateurs de p</w:t>
            </w:r>
            <w:r w:rsidR="00845AB8" w:rsidRPr="00473B58">
              <w:rPr>
                <w:lang w:val="fr-CA"/>
              </w:rPr>
              <w:t xml:space="preserve">roduits </w:t>
            </w:r>
            <w:r w:rsidR="00C74485" w:rsidRPr="00473B58">
              <w:rPr>
                <w:lang w:val="fr-CA"/>
              </w:rPr>
              <w:t xml:space="preserve">importants </w:t>
            </w:r>
            <w:r w:rsidR="00845AB8" w:rsidRPr="00473B58">
              <w:rPr>
                <w:lang w:val="fr-CA"/>
              </w:rPr>
              <w:t xml:space="preserve">et les populations </w:t>
            </w:r>
            <w:r w:rsidR="00C74485" w:rsidRPr="00473B58">
              <w:rPr>
                <w:lang w:val="fr-CA"/>
              </w:rPr>
              <w:t xml:space="preserve">et unités de test/d’échantillonnage déterminées </w:t>
            </w:r>
            <w:r w:rsidR="00845AB8" w:rsidRPr="00473B58">
              <w:rPr>
                <w:lang w:val="fr-CA"/>
              </w:rPr>
              <w:t>pour chaque type de produit</w:t>
            </w:r>
            <w:r w:rsidR="00C74485" w:rsidRPr="00473B58">
              <w:rPr>
                <w:lang w:val="fr-CA"/>
              </w:rPr>
              <w:t xml:space="preserve"> à tester</w:t>
            </w:r>
            <w:r w:rsidR="00845AB8" w:rsidRPr="00473B58">
              <w:rPr>
                <w:lang w:val="fr-CA"/>
              </w:rPr>
              <w:t>.</w:t>
            </w:r>
          </w:p>
          <w:p w14:paraId="3A7F68EF" w14:textId="54A1DD74" w:rsidR="000438DE" w:rsidRPr="00473B58" w:rsidRDefault="00B55E13" w:rsidP="00C32DEB">
            <w:pPr>
              <w:pStyle w:val="ListParagraph"/>
              <w:rPr>
                <w:lang w:val="fr-CA"/>
              </w:rPr>
            </w:pPr>
            <w:r w:rsidRPr="00916118">
              <w:rPr>
                <w:noProof/>
                <w:lang w:eastAsia="en-CA"/>
              </w:rPr>
              <w:drawing>
                <wp:anchor distT="0" distB="0" distL="114300" distR="114300" simplePos="0" relativeHeight="251713536" behindDoc="1" locked="0" layoutInCell="1" allowOverlap="1" wp14:anchorId="411AFE97" wp14:editId="28F205B1">
                  <wp:simplePos x="0" y="0"/>
                  <wp:positionH relativeFrom="column">
                    <wp:posOffset>56846</wp:posOffset>
                  </wp:positionH>
                  <wp:positionV relativeFrom="paragraph">
                    <wp:posOffset>151765</wp:posOffset>
                  </wp:positionV>
                  <wp:extent cx="304070" cy="298735"/>
                  <wp:effectExtent l="0" t="0" r="1270" b="6350"/>
                  <wp:wrapTight wrapText="bothSides">
                    <wp:wrapPolygon edited="0">
                      <wp:start x="0" y="0"/>
                      <wp:lineTo x="0" y="20681"/>
                      <wp:lineTo x="20335" y="20681"/>
                      <wp:lineTo x="203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070" cy="298735"/>
                          </a:xfrm>
                          <a:prstGeom prst="rect">
                            <a:avLst/>
                          </a:prstGeom>
                        </pic:spPr>
                      </pic:pic>
                    </a:graphicData>
                  </a:graphic>
                  <wp14:sizeRelH relativeFrom="margin">
                    <wp14:pctWidth>0</wp14:pctWidth>
                  </wp14:sizeRelH>
                  <wp14:sizeRelV relativeFrom="margin">
                    <wp14:pctHeight>0</wp14:pctHeight>
                  </wp14:sizeRelV>
                </wp:anchor>
              </w:drawing>
            </w:r>
          </w:p>
          <w:p w14:paraId="080F5DBE" w14:textId="1C5D68D3" w:rsidR="00003234" w:rsidRPr="00473B58" w:rsidRDefault="00845AB8" w:rsidP="00C32DEB">
            <w:pPr>
              <w:pStyle w:val="ListParagraph"/>
              <w:rPr>
                <w:lang w:val="fr-CA"/>
              </w:rPr>
            </w:pPr>
            <w:r w:rsidRPr="00473B58">
              <w:rPr>
                <w:rFonts w:cstheme="minorHAnsi"/>
                <w:color w:val="000000"/>
                <w:lang w:val="fr-CA"/>
              </w:rPr>
              <w:t>Pour concevoir une stratégie efficace et efficiente pour tester les opérations génératrices de produits, il faut généralement faire intervenir les membres expérimentés de l’équipe de mission qui possèdent une connaissance pratique et approfondie des exigences du référentiel d’information financière applicable.</w:t>
            </w:r>
            <w:r w:rsidR="00EA0BC5" w:rsidRPr="00473B58">
              <w:rPr>
                <w:rFonts w:cstheme="minorHAnsi"/>
                <w:color w:val="000000"/>
                <w:lang w:val="fr-CA"/>
              </w:rPr>
              <w:t xml:space="preserve"> L’auditeur peut </w:t>
            </w:r>
            <w:r w:rsidR="00C62D82">
              <w:rPr>
                <w:rFonts w:cstheme="minorHAnsi"/>
                <w:color w:val="000000"/>
                <w:lang w:val="fr-CA"/>
              </w:rPr>
              <w:t xml:space="preserve">envisager de </w:t>
            </w:r>
            <w:r w:rsidR="00EA0BC5" w:rsidRPr="00473B58">
              <w:rPr>
                <w:rFonts w:cstheme="minorHAnsi"/>
                <w:color w:val="000000"/>
                <w:lang w:val="fr-CA"/>
              </w:rPr>
              <w:t xml:space="preserve">consulter le document </w:t>
            </w:r>
            <w:hyperlink r:id="rId11" w:history="1">
              <w:r w:rsidR="003E7DEB" w:rsidRPr="006A64AC">
                <w:rPr>
                  <w:rStyle w:val="Hyperlink"/>
                  <w:rFonts w:ascii="Arial" w:hAnsi="Arial" w:cs="Arial"/>
                  <w:sz w:val="19"/>
                  <w:szCs w:val="19"/>
                  <w:lang w:val="fr-CA"/>
                </w:rPr>
                <w:t>PwC: Accounting and Financial Reporting Guide for Revenue from Contracts with Customers</w:t>
              </w:r>
            </w:hyperlink>
            <w:r w:rsidR="003E7DEB" w:rsidRPr="006A64AC">
              <w:rPr>
                <w:rFonts w:ascii="Arial" w:hAnsi="Arial" w:cs="Arial"/>
                <w:sz w:val="19"/>
                <w:szCs w:val="19"/>
                <w:lang w:val="fr-CA"/>
              </w:rPr>
              <w:t xml:space="preserve"> (disponible en anglais seulement) </w:t>
            </w:r>
            <w:r w:rsidR="00003234" w:rsidRPr="00473B58">
              <w:rPr>
                <w:rFonts w:cstheme="minorHAnsi"/>
                <w:color w:val="000000"/>
                <w:lang w:val="fr-CA"/>
              </w:rPr>
              <w:t xml:space="preserve"> </w:t>
            </w:r>
          </w:p>
          <w:p w14:paraId="4BF788E2" w14:textId="77777777" w:rsidR="000438DE" w:rsidRPr="00473B58" w:rsidRDefault="000438DE" w:rsidP="00C32DEB">
            <w:pPr>
              <w:pStyle w:val="ListParagraph"/>
              <w:rPr>
                <w:lang w:val="fr-CA"/>
              </w:rPr>
            </w:pPr>
          </w:p>
          <w:p w14:paraId="44E979EE" w14:textId="518618B8" w:rsidR="000438DE" w:rsidRPr="00473B58" w:rsidRDefault="000438DE" w:rsidP="00C32DEB">
            <w:pPr>
              <w:pStyle w:val="ListParagraph"/>
              <w:rPr>
                <w:lang w:val="fr-CA"/>
              </w:rPr>
            </w:pPr>
          </w:p>
          <w:p w14:paraId="508BFC3E" w14:textId="006D453F" w:rsidR="00003234" w:rsidRPr="00473B58" w:rsidRDefault="00B55E13" w:rsidP="00C32DEB">
            <w:pPr>
              <w:pStyle w:val="ListParagraph"/>
              <w:autoSpaceDE w:val="0"/>
              <w:autoSpaceDN w:val="0"/>
              <w:adjustRightInd w:val="0"/>
              <w:rPr>
                <w:rFonts w:cstheme="minorHAnsi"/>
                <w:lang w:val="fr-CA"/>
              </w:rPr>
            </w:pPr>
            <w:r w:rsidRPr="00916118">
              <w:rPr>
                <w:noProof/>
                <w:lang w:eastAsia="en-CA"/>
              </w:rPr>
              <w:drawing>
                <wp:anchor distT="0" distB="0" distL="114300" distR="114300" simplePos="0" relativeHeight="251714560" behindDoc="1" locked="0" layoutInCell="1" allowOverlap="1" wp14:anchorId="5E3EA163" wp14:editId="4FBFCFE1">
                  <wp:simplePos x="0" y="0"/>
                  <wp:positionH relativeFrom="column">
                    <wp:posOffset>91440</wp:posOffset>
                  </wp:positionH>
                  <wp:positionV relativeFrom="paragraph">
                    <wp:posOffset>15240</wp:posOffset>
                  </wp:positionV>
                  <wp:extent cx="271145" cy="262890"/>
                  <wp:effectExtent l="0" t="0" r="0" b="3810"/>
                  <wp:wrapTight wrapText="bothSides">
                    <wp:wrapPolygon edited="0">
                      <wp:start x="0" y="0"/>
                      <wp:lineTo x="0" y="20348"/>
                      <wp:lineTo x="19728" y="20348"/>
                      <wp:lineTo x="197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5">
                                <a:shade val="45000"/>
                                <a:satMod val="135000"/>
                              </a:schemeClr>
                              <a:prstClr val="white"/>
                            </a:duotone>
                            <a:extLst>
                              <a:ext uri="{28A0092B-C50C-407E-A947-70E740481C1C}">
                                <a14:useLocalDpi xmlns:a14="http://schemas.microsoft.com/office/drawing/2010/main" val="0"/>
                              </a:ext>
                            </a:extLst>
                          </a:blip>
                          <a:srcRect l="7620" t="7762" r="8484" b="9369"/>
                          <a:stretch/>
                        </pic:blipFill>
                        <pic:spPr bwMode="auto">
                          <a:xfrm>
                            <a:off x="0" y="0"/>
                            <a:ext cx="271145" cy="262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0B2E" w:rsidRPr="00473B58">
              <w:rPr>
                <w:rFonts w:cstheme="minorHAnsi"/>
                <w:lang w:val="fr-CA"/>
              </w:rPr>
              <w:t xml:space="preserve">Dans la mesure où la comptabilisation des produits </w:t>
            </w:r>
            <w:r w:rsidR="00C74485" w:rsidRPr="00473B58">
              <w:rPr>
                <w:rFonts w:cstheme="minorHAnsi"/>
                <w:lang w:val="fr-CA"/>
              </w:rPr>
              <w:t xml:space="preserve">par </w:t>
            </w:r>
            <w:r w:rsidR="00600B2E" w:rsidRPr="00473B58">
              <w:rPr>
                <w:rFonts w:cstheme="minorHAnsi"/>
                <w:lang w:val="fr-CA"/>
              </w:rPr>
              <w:t xml:space="preserve">l’entité comporte une estimation établie par la direction, </w:t>
            </w:r>
            <w:r w:rsidR="00FE0E20" w:rsidRPr="00473B58">
              <w:rPr>
                <w:rFonts w:cstheme="minorHAnsi"/>
                <w:lang w:val="fr-CA"/>
              </w:rPr>
              <w:t>l’équipe de mission devrait</w:t>
            </w:r>
            <w:r w:rsidR="00C74485" w:rsidRPr="00473B58">
              <w:rPr>
                <w:rFonts w:cstheme="minorHAnsi"/>
                <w:lang w:val="fr-CA"/>
              </w:rPr>
              <w:t>, en plus de mettre en œuvre des procédures pour tester les opérations</w:t>
            </w:r>
            <w:r w:rsidR="004D6C25" w:rsidRPr="00473B58">
              <w:rPr>
                <w:rFonts w:cstheme="minorHAnsi"/>
                <w:lang w:val="fr-CA"/>
              </w:rPr>
              <w:t xml:space="preserve"> génératrices de produits</w:t>
            </w:r>
            <w:r w:rsidR="00C74485" w:rsidRPr="00473B58">
              <w:rPr>
                <w:rFonts w:cstheme="minorHAnsi"/>
                <w:lang w:val="fr-CA"/>
              </w:rPr>
              <w:t xml:space="preserve">, </w:t>
            </w:r>
            <w:r w:rsidR="00FE0E20" w:rsidRPr="00473B58">
              <w:rPr>
                <w:rFonts w:cstheme="minorHAnsi"/>
                <w:lang w:val="fr-CA"/>
              </w:rPr>
              <w:t xml:space="preserve">concevoir et </w:t>
            </w:r>
            <w:r w:rsidR="00C74485" w:rsidRPr="00473B58">
              <w:rPr>
                <w:rFonts w:cstheme="minorHAnsi"/>
                <w:lang w:val="fr-CA"/>
              </w:rPr>
              <w:t xml:space="preserve">exécuter </w:t>
            </w:r>
            <w:r w:rsidR="00EA0BC5" w:rsidRPr="00473B58">
              <w:rPr>
                <w:rFonts w:cstheme="minorHAnsi"/>
                <w:lang w:val="fr-CA"/>
              </w:rPr>
              <w:t>l</w:t>
            </w:r>
            <w:r w:rsidR="00FE0E20" w:rsidRPr="00473B58">
              <w:rPr>
                <w:rFonts w:cstheme="minorHAnsi"/>
                <w:lang w:val="fr-CA"/>
              </w:rPr>
              <w:t xml:space="preserve">es </w:t>
            </w:r>
            <w:r w:rsidR="00EA0BC5" w:rsidRPr="00473B58">
              <w:rPr>
                <w:rFonts w:cstheme="minorHAnsi"/>
                <w:lang w:val="fr-CA"/>
              </w:rPr>
              <w:t xml:space="preserve">étapes </w:t>
            </w:r>
            <w:r w:rsidR="00FE0E20" w:rsidRPr="00473B58">
              <w:rPr>
                <w:rFonts w:cstheme="minorHAnsi"/>
                <w:lang w:val="fr-CA"/>
              </w:rPr>
              <w:t xml:space="preserve">appropriées </w:t>
            </w:r>
            <w:r w:rsidR="00EA0BC5" w:rsidRPr="00473B58">
              <w:rPr>
                <w:rFonts w:cstheme="minorHAnsi"/>
                <w:lang w:val="fr-CA"/>
              </w:rPr>
              <w:t xml:space="preserve">des procédures </w:t>
            </w:r>
            <w:r w:rsidR="00B018CF" w:rsidRPr="00473B58">
              <w:rPr>
                <w:rFonts w:cstheme="minorHAnsi"/>
                <w:lang w:val="fr-CA"/>
              </w:rPr>
              <w:t>à l’égard des estimations comptables re</w:t>
            </w:r>
            <w:r w:rsidR="00C74485" w:rsidRPr="00473B58">
              <w:rPr>
                <w:rFonts w:cstheme="minorHAnsi"/>
                <w:lang w:val="fr-CA"/>
              </w:rPr>
              <w:t>levées</w:t>
            </w:r>
            <w:r w:rsidR="00003234" w:rsidRPr="00473B58">
              <w:rPr>
                <w:rFonts w:cstheme="minorHAnsi"/>
                <w:lang w:val="fr-CA"/>
              </w:rPr>
              <w:t>.</w:t>
            </w:r>
          </w:p>
          <w:p w14:paraId="0EB5E119" w14:textId="0100CFD0" w:rsidR="000438DE" w:rsidRPr="00473B58" w:rsidRDefault="00B55E13" w:rsidP="00C32DEB">
            <w:pPr>
              <w:pStyle w:val="ListParagraph"/>
              <w:autoSpaceDE w:val="0"/>
              <w:autoSpaceDN w:val="0"/>
              <w:adjustRightInd w:val="0"/>
              <w:rPr>
                <w:rFonts w:cstheme="minorHAnsi"/>
                <w:lang w:val="fr-CA"/>
              </w:rPr>
            </w:pPr>
            <w:r w:rsidRPr="00916118">
              <w:rPr>
                <w:noProof/>
                <w:lang w:eastAsia="en-CA"/>
              </w:rPr>
              <w:drawing>
                <wp:anchor distT="0" distB="0" distL="114300" distR="114300" simplePos="0" relativeHeight="251715584" behindDoc="1" locked="0" layoutInCell="1" allowOverlap="1" wp14:anchorId="326E30AD" wp14:editId="39972000">
                  <wp:simplePos x="0" y="0"/>
                  <wp:positionH relativeFrom="column">
                    <wp:posOffset>99695</wp:posOffset>
                  </wp:positionH>
                  <wp:positionV relativeFrom="paragraph">
                    <wp:posOffset>152400</wp:posOffset>
                  </wp:positionV>
                  <wp:extent cx="246380" cy="231140"/>
                  <wp:effectExtent l="0" t="0" r="1270" b="0"/>
                  <wp:wrapTight wrapText="bothSides">
                    <wp:wrapPolygon edited="0">
                      <wp:start x="0" y="0"/>
                      <wp:lineTo x="0" y="19582"/>
                      <wp:lineTo x="20041" y="19582"/>
                      <wp:lineTo x="2004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schemeClr val="accent5">
                                <a:shade val="45000"/>
                                <a:satMod val="135000"/>
                              </a:schemeClr>
                              <a:prstClr val="white"/>
                            </a:duotone>
                            <a:extLst>
                              <a:ext uri="{28A0092B-C50C-407E-A947-70E740481C1C}">
                                <a14:useLocalDpi xmlns:a14="http://schemas.microsoft.com/office/drawing/2010/main" val="0"/>
                              </a:ext>
                            </a:extLst>
                          </a:blip>
                          <a:srcRect l="16342" t="13735" r="16125" b="15170"/>
                          <a:stretch/>
                        </pic:blipFill>
                        <pic:spPr bwMode="auto">
                          <a:xfrm>
                            <a:off x="0" y="0"/>
                            <a:ext cx="246380" cy="23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8B589" w14:textId="69A1C23E" w:rsidR="00003234" w:rsidRPr="00473B58" w:rsidRDefault="00E230AA" w:rsidP="00C32DEB">
            <w:pPr>
              <w:pStyle w:val="ListParagraph"/>
              <w:autoSpaceDE w:val="0"/>
              <w:autoSpaceDN w:val="0"/>
              <w:adjustRightInd w:val="0"/>
              <w:rPr>
                <w:rFonts w:cstheme="minorHAnsi"/>
                <w:lang w:val="fr-CA"/>
              </w:rPr>
            </w:pPr>
            <w:r w:rsidRPr="00473B58">
              <w:rPr>
                <w:rFonts w:cstheme="minorHAnsi"/>
                <w:lang w:val="fr-CA"/>
              </w:rPr>
              <w:t xml:space="preserve">Méthodes de travail attendues lors de la mise en œuvre des procédures </w:t>
            </w:r>
            <w:r w:rsidR="00C74485" w:rsidRPr="00473B58">
              <w:rPr>
                <w:rFonts w:cstheme="minorHAnsi"/>
                <w:lang w:val="fr-CA"/>
              </w:rPr>
              <w:t xml:space="preserve">pour tester les </w:t>
            </w:r>
            <w:r w:rsidRPr="00473B58">
              <w:rPr>
                <w:rFonts w:cstheme="minorHAnsi"/>
                <w:lang w:val="fr-CA"/>
              </w:rPr>
              <w:t>opérations génératrices de produits comptabilisées selon l’</w:t>
            </w:r>
            <w:r w:rsidR="00003234" w:rsidRPr="00473B58">
              <w:rPr>
                <w:rFonts w:cstheme="minorHAnsi"/>
                <w:lang w:val="fr-CA"/>
              </w:rPr>
              <w:t>IFRS</w:t>
            </w:r>
            <w:r w:rsidR="00A352F0" w:rsidRPr="00473B58">
              <w:rPr>
                <w:rFonts w:cstheme="minorHAnsi"/>
                <w:lang w:val="fr-CA"/>
              </w:rPr>
              <w:t> </w:t>
            </w:r>
            <w:r w:rsidR="00003234" w:rsidRPr="00473B58">
              <w:rPr>
                <w:rFonts w:cstheme="minorHAnsi"/>
                <w:lang w:val="fr-CA"/>
              </w:rPr>
              <w:t xml:space="preserve">15 </w:t>
            </w:r>
          </w:p>
          <w:p w14:paraId="57390888" w14:textId="63DCCC8B" w:rsidR="00003234" w:rsidRPr="00473B58" w:rsidRDefault="00E230AA" w:rsidP="00C32DEB">
            <w:pPr>
              <w:pStyle w:val="ListParagraph"/>
              <w:numPr>
                <w:ilvl w:val="1"/>
                <w:numId w:val="5"/>
              </w:numPr>
              <w:autoSpaceDE w:val="0"/>
              <w:autoSpaceDN w:val="0"/>
              <w:adjustRightInd w:val="0"/>
              <w:rPr>
                <w:rFonts w:cstheme="minorHAnsi"/>
                <w:lang w:val="fr-CA"/>
              </w:rPr>
            </w:pPr>
            <w:r w:rsidRPr="00473B58">
              <w:rPr>
                <w:rFonts w:cstheme="minorHAnsi"/>
                <w:lang w:val="fr-CA"/>
              </w:rPr>
              <w:t>Ne pas supprimer ni cacher de colonnes dans les modèles de résultats</w:t>
            </w:r>
            <w:r w:rsidR="00C74485" w:rsidRPr="00473B58">
              <w:rPr>
                <w:rFonts w:cstheme="minorHAnsi"/>
                <w:lang w:val="fr-CA"/>
              </w:rPr>
              <w:t>.</w:t>
            </w:r>
            <w:r w:rsidRPr="00473B58">
              <w:rPr>
                <w:rFonts w:cstheme="minorHAnsi"/>
                <w:lang w:val="fr-CA"/>
              </w:rPr>
              <w:t xml:space="preserve"> </w:t>
            </w:r>
            <w:r w:rsidR="00EA0BC5" w:rsidRPr="00473B58">
              <w:rPr>
                <w:rFonts w:cstheme="minorHAnsi"/>
                <w:lang w:val="fr-CA"/>
              </w:rPr>
              <w:t>Les</w:t>
            </w:r>
            <w:r w:rsidRPr="00473B58">
              <w:rPr>
                <w:rFonts w:cstheme="minorHAnsi"/>
                <w:lang w:val="fr-CA"/>
              </w:rPr>
              <w:t xml:space="preserve"> fonctionnalité</w:t>
            </w:r>
            <w:r w:rsidR="00EA0BC5" w:rsidRPr="00473B58">
              <w:rPr>
                <w:rFonts w:cstheme="minorHAnsi"/>
                <w:lang w:val="fr-CA"/>
              </w:rPr>
              <w:t>s des modèles</w:t>
            </w:r>
            <w:r w:rsidRPr="00473B58">
              <w:rPr>
                <w:rFonts w:cstheme="minorHAnsi"/>
                <w:lang w:val="fr-CA"/>
              </w:rPr>
              <w:t xml:space="preserve"> aide</w:t>
            </w:r>
            <w:r w:rsidR="00EA0BC5" w:rsidRPr="00473B58">
              <w:rPr>
                <w:rFonts w:cstheme="minorHAnsi"/>
                <w:lang w:val="fr-CA"/>
              </w:rPr>
              <w:t>nt</w:t>
            </w:r>
            <w:r w:rsidRPr="00473B58">
              <w:rPr>
                <w:rFonts w:cstheme="minorHAnsi"/>
                <w:lang w:val="fr-CA"/>
              </w:rPr>
              <w:t xml:space="preserve"> l’auditeur à mettre en œuvre toutes les procédures applicables. </w:t>
            </w:r>
          </w:p>
          <w:p w14:paraId="42093959" w14:textId="725A1A44" w:rsidR="00003234" w:rsidRPr="00473B58" w:rsidRDefault="00E230AA" w:rsidP="00C32DEB">
            <w:pPr>
              <w:pStyle w:val="ListParagraph"/>
              <w:numPr>
                <w:ilvl w:val="1"/>
                <w:numId w:val="5"/>
              </w:numPr>
              <w:autoSpaceDE w:val="0"/>
              <w:autoSpaceDN w:val="0"/>
              <w:adjustRightInd w:val="0"/>
              <w:rPr>
                <w:rFonts w:cstheme="minorHAnsi"/>
                <w:lang w:val="fr-CA"/>
              </w:rPr>
            </w:pPr>
            <w:r w:rsidRPr="00473B58">
              <w:rPr>
                <w:rFonts w:cstheme="minorHAnsi"/>
                <w:lang w:val="fr-CA"/>
              </w:rPr>
              <w:t>Ne pas supprimer ni cacher des onglets</w:t>
            </w:r>
            <w:r w:rsidR="00003234" w:rsidRPr="00473B58">
              <w:rPr>
                <w:rFonts w:cstheme="minorHAnsi"/>
                <w:lang w:val="fr-CA"/>
              </w:rPr>
              <w:t>/</w:t>
            </w:r>
            <w:r w:rsidRPr="00473B58">
              <w:rPr>
                <w:rFonts w:cstheme="minorHAnsi"/>
                <w:lang w:val="fr-CA"/>
              </w:rPr>
              <w:t>feuilles de travail, sauf si un message vous invite à le faire dans le modèle, car</w:t>
            </w:r>
            <w:r w:rsidR="00C74485" w:rsidRPr="00473B58">
              <w:rPr>
                <w:rFonts w:cstheme="minorHAnsi"/>
                <w:lang w:val="fr-CA"/>
              </w:rPr>
              <w:t xml:space="preserve"> ces onglets/feuilles de travail </w:t>
            </w:r>
            <w:r w:rsidR="004F3B7D" w:rsidRPr="00473B58">
              <w:rPr>
                <w:rFonts w:cstheme="minorHAnsi"/>
                <w:lang w:val="fr-CA"/>
              </w:rPr>
              <w:t xml:space="preserve">pourraient être nécessaires pour le report de la documentation aux exercices ultérieurs. </w:t>
            </w:r>
          </w:p>
          <w:p w14:paraId="76E9F368" w14:textId="691A9D7C" w:rsidR="00003234" w:rsidRPr="00473B58" w:rsidRDefault="00003234" w:rsidP="00C32DEB">
            <w:pPr>
              <w:pStyle w:val="ListParagraph"/>
              <w:numPr>
                <w:ilvl w:val="1"/>
                <w:numId w:val="5"/>
              </w:numPr>
              <w:autoSpaceDE w:val="0"/>
              <w:autoSpaceDN w:val="0"/>
              <w:adjustRightInd w:val="0"/>
              <w:rPr>
                <w:rFonts w:cstheme="minorHAnsi"/>
                <w:lang w:val="fr-CA"/>
              </w:rPr>
            </w:pPr>
            <w:r w:rsidRPr="00473B58">
              <w:rPr>
                <w:rFonts w:cstheme="minorHAnsi"/>
                <w:lang w:val="fr-CA"/>
              </w:rPr>
              <w:t>A</w:t>
            </w:r>
            <w:r w:rsidR="0007261C" w:rsidRPr="00473B58">
              <w:rPr>
                <w:rFonts w:cstheme="minorHAnsi"/>
                <w:lang w:val="fr-CA"/>
              </w:rPr>
              <w:t xml:space="preserve">jouter des colonnes supplémentaires, au besoin, pour refléter de manière appropriée la documentation de l’audit. </w:t>
            </w:r>
          </w:p>
          <w:p w14:paraId="11C18FA6" w14:textId="5A80B578" w:rsidR="00003234" w:rsidRPr="00473B58" w:rsidRDefault="0007261C" w:rsidP="00D30091">
            <w:pPr>
              <w:pStyle w:val="ListParagraph"/>
              <w:numPr>
                <w:ilvl w:val="1"/>
                <w:numId w:val="5"/>
              </w:numPr>
              <w:autoSpaceDE w:val="0"/>
              <w:autoSpaceDN w:val="0"/>
              <w:adjustRightInd w:val="0"/>
              <w:rPr>
                <w:lang w:val="fr-CA"/>
              </w:rPr>
            </w:pPr>
            <w:r w:rsidRPr="00473B58">
              <w:rPr>
                <w:rFonts w:cstheme="minorHAnsi"/>
                <w:lang w:val="fr-CA"/>
              </w:rPr>
              <w:t>Lorsqu’il faut plus d’une ligne pour document</w:t>
            </w:r>
            <w:r w:rsidR="00C74485" w:rsidRPr="00473B58">
              <w:rPr>
                <w:rFonts w:cstheme="minorHAnsi"/>
                <w:lang w:val="fr-CA"/>
              </w:rPr>
              <w:t>er</w:t>
            </w:r>
            <w:r w:rsidRPr="00473B58">
              <w:rPr>
                <w:rFonts w:cstheme="minorHAnsi"/>
                <w:lang w:val="fr-CA"/>
              </w:rPr>
              <w:t xml:space="preserve"> les résultats du test d’un seul élément d’échantillon </w:t>
            </w:r>
            <w:r w:rsidR="00003234" w:rsidRPr="00473B58">
              <w:rPr>
                <w:rFonts w:cstheme="minorHAnsi"/>
                <w:lang w:val="fr-CA"/>
              </w:rPr>
              <w:t>(</w:t>
            </w:r>
            <w:r w:rsidRPr="00473B58">
              <w:rPr>
                <w:rFonts w:cstheme="minorHAnsi"/>
                <w:lang w:val="fr-CA"/>
              </w:rPr>
              <w:t>p. ex. une opération sélectionnée pour être testée peut avoir des obligations de prestation multiples qui nécessitent plusieurs lignes pour être documentées à l’étape</w:t>
            </w:r>
            <w:r w:rsidR="00A352F0" w:rsidRPr="00473B58">
              <w:rPr>
                <w:rFonts w:cstheme="minorHAnsi"/>
                <w:lang w:val="fr-CA"/>
              </w:rPr>
              <w:t> </w:t>
            </w:r>
            <w:r w:rsidR="00D30091" w:rsidRPr="00473B58">
              <w:rPr>
                <w:rFonts w:cstheme="minorHAnsi"/>
                <w:lang w:val="fr-CA"/>
              </w:rPr>
              <w:t xml:space="preserve">2), il faut simplement ajouter les lignes nécessaires. </w:t>
            </w:r>
          </w:p>
        </w:tc>
        <w:tc>
          <w:tcPr>
            <w:tcW w:w="2987" w:type="dxa"/>
            <w:shd w:val="clear" w:color="auto" w:fill="DEEAF6" w:themeFill="accent1" w:themeFillTint="33"/>
          </w:tcPr>
          <w:p w14:paraId="49B09BFC" w14:textId="289FE7EF" w:rsidR="00003234" w:rsidRPr="00473B58" w:rsidRDefault="00845AB8" w:rsidP="00C32DEB">
            <w:pPr>
              <w:autoSpaceDE w:val="0"/>
              <w:autoSpaceDN w:val="0"/>
              <w:adjustRightInd w:val="0"/>
              <w:spacing w:before="120" w:after="120"/>
              <w:rPr>
                <w:rFonts w:cstheme="minorHAnsi"/>
                <w:lang w:val="fr-CA"/>
              </w:rPr>
            </w:pPr>
            <w:r w:rsidRPr="00473B58">
              <w:rPr>
                <w:rFonts w:cstheme="minorHAnsi"/>
                <w:lang w:val="fr-CA"/>
              </w:rPr>
              <w:t>Le programme «</w:t>
            </w:r>
            <w:r w:rsidR="00A352F0" w:rsidRPr="00473B58">
              <w:rPr>
                <w:rFonts w:cstheme="minorHAnsi"/>
                <w:lang w:val="fr-CA"/>
              </w:rPr>
              <w:t> </w:t>
            </w:r>
            <w:r w:rsidRPr="00473B58">
              <w:rPr>
                <w:rFonts w:cstheme="minorHAnsi"/>
                <w:i/>
                <w:lang w:val="fr-CA"/>
              </w:rPr>
              <w:t>Produits des activités ordinaires tirés de contrats conclus avec des clients</w:t>
            </w:r>
            <w:r w:rsidR="00A352F0" w:rsidRPr="00473B58">
              <w:rPr>
                <w:rFonts w:cstheme="minorHAnsi"/>
                <w:i/>
                <w:lang w:val="fr-CA"/>
              </w:rPr>
              <w:t> </w:t>
            </w:r>
            <w:r w:rsidRPr="00473B58">
              <w:rPr>
                <w:rFonts w:cstheme="minorHAnsi"/>
                <w:i/>
                <w:lang w:val="fr-CA"/>
              </w:rPr>
              <w:t xml:space="preserve">» </w:t>
            </w:r>
            <w:r w:rsidRPr="00473B58">
              <w:rPr>
                <w:rFonts w:cstheme="minorHAnsi"/>
                <w:lang w:val="fr-CA"/>
              </w:rPr>
              <w:t>qui se trouve dans le classeur «</w:t>
            </w:r>
            <w:r w:rsidR="00A352F0" w:rsidRPr="00473B58">
              <w:rPr>
                <w:rFonts w:cstheme="minorHAnsi"/>
                <w:lang w:val="fr-CA"/>
              </w:rPr>
              <w:t> </w:t>
            </w:r>
            <w:r w:rsidR="00F37384" w:rsidRPr="00473B58">
              <w:rPr>
                <w:rFonts w:cstheme="minorHAnsi"/>
                <w:i/>
                <w:lang w:val="fr-CA"/>
              </w:rPr>
              <w:t xml:space="preserve">IFRS – </w:t>
            </w:r>
            <w:r w:rsidR="00AE42F5" w:rsidRPr="00473B58">
              <w:rPr>
                <w:rFonts w:cstheme="minorHAnsi"/>
                <w:i/>
                <w:lang w:val="fr-CA"/>
              </w:rPr>
              <w:t>Tests</w:t>
            </w:r>
            <w:r w:rsidRPr="00473B58">
              <w:rPr>
                <w:rFonts w:cstheme="minorHAnsi"/>
                <w:i/>
                <w:lang w:val="fr-CA"/>
              </w:rPr>
              <w:t xml:space="preserve"> de corroboration</w:t>
            </w:r>
            <w:r w:rsidR="00A352F0" w:rsidRPr="00473B58">
              <w:rPr>
                <w:rFonts w:cstheme="minorHAnsi"/>
                <w:i/>
                <w:lang w:val="fr-CA"/>
              </w:rPr>
              <w:t> </w:t>
            </w:r>
            <w:r w:rsidRPr="00473B58">
              <w:rPr>
                <w:rFonts w:cstheme="minorHAnsi"/>
                <w:i/>
                <w:lang w:val="fr-CA"/>
              </w:rPr>
              <w:t xml:space="preserve">» </w:t>
            </w:r>
            <w:r w:rsidR="00AE42F5" w:rsidRPr="00473B58">
              <w:rPr>
                <w:rFonts w:cstheme="minorHAnsi"/>
                <w:lang w:val="fr-CA"/>
              </w:rPr>
              <w:t xml:space="preserve">contient </w:t>
            </w:r>
            <w:r w:rsidR="008C6812" w:rsidRPr="00473B58">
              <w:rPr>
                <w:rFonts w:cstheme="minorHAnsi"/>
                <w:lang w:val="fr-CA"/>
              </w:rPr>
              <w:t>trois</w:t>
            </w:r>
            <w:r w:rsidR="00AE42F5" w:rsidRPr="00473B58">
              <w:rPr>
                <w:rFonts w:cstheme="minorHAnsi"/>
                <w:lang w:val="fr-CA"/>
              </w:rPr>
              <w:t> </w:t>
            </w:r>
            <w:r w:rsidRPr="00473B58">
              <w:rPr>
                <w:rFonts w:cstheme="minorHAnsi"/>
                <w:lang w:val="fr-CA"/>
              </w:rPr>
              <w:t>procédures distinctes pour tester les opérations génératrices de produits comptabilisées selon l’</w:t>
            </w:r>
            <w:r w:rsidR="00003234" w:rsidRPr="00473B58">
              <w:rPr>
                <w:rFonts w:cstheme="minorHAnsi"/>
                <w:lang w:val="fr-CA"/>
              </w:rPr>
              <w:t>IFRS</w:t>
            </w:r>
            <w:r w:rsidR="00A352F0" w:rsidRPr="00473B58">
              <w:rPr>
                <w:rFonts w:cstheme="minorHAnsi"/>
                <w:lang w:val="fr-CA"/>
              </w:rPr>
              <w:t> </w:t>
            </w:r>
            <w:r w:rsidR="00003234" w:rsidRPr="00473B58">
              <w:rPr>
                <w:rFonts w:cstheme="minorHAnsi"/>
                <w:lang w:val="fr-CA"/>
              </w:rPr>
              <w:t>15</w:t>
            </w:r>
            <w:r w:rsidR="008F7084" w:rsidRPr="00473B58">
              <w:rPr>
                <w:rFonts w:cstheme="minorHAnsi"/>
                <w:lang w:val="fr-CA"/>
              </w:rPr>
              <w:t>.</w:t>
            </w:r>
          </w:p>
          <w:p w14:paraId="175CF3BB" w14:textId="199183D5" w:rsidR="00003234" w:rsidRPr="00473B58" w:rsidRDefault="00AF7F70" w:rsidP="00C32DEB">
            <w:pPr>
              <w:pStyle w:val="ListParagraph"/>
              <w:numPr>
                <w:ilvl w:val="0"/>
                <w:numId w:val="6"/>
              </w:numPr>
              <w:autoSpaceDE w:val="0"/>
              <w:autoSpaceDN w:val="0"/>
              <w:adjustRightInd w:val="0"/>
              <w:spacing w:before="120" w:after="120"/>
              <w:rPr>
                <w:rFonts w:cstheme="minorHAnsi"/>
                <w:lang w:val="fr-CA"/>
              </w:rPr>
            </w:pPr>
            <w:r w:rsidRPr="00473B58">
              <w:rPr>
                <w:rFonts w:cstheme="minorHAnsi"/>
                <w:lang w:val="fr-CA"/>
              </w:rPr>
              <w:t>Tester les opérations génératrices de produits (Étapes</w:t>
            </w:r>
            <w:r w:rsidR="00A352F0" w:rsidRPr="00473B58">
              <w:rPr>
                <w:rFonts w:cstheme="minorHAnsi"/>
                <w:lang w:val="fr-CA"/>
              </w:rPr>
              <w:t> </w:t>
            </w:r>
            <w:r w:rsidRPr="00473B58">
              <w:rPr>
                <w:rFonts w:cstheme="minorHAnsi"/>
                <w:lang w:val="fr-CA"/>
              </w:rPr>
              <w:t xml:space="preserve">1 à 5) </w:t>
            </w:r>
            <w:r w:rsidR="00FF10CF" w:rsidRPr="00473B58">
              <w:rPr>
                <w:rFonts w:cstheme="minorHAnsi"/>
                <w:lang w:val="fr-CA"/>
              </w:rPr>
              <w:t>—</w:t>
            </w:r>
            <w:r w:rsidRPr="00473B58">
              <w:rPr>
                <w:rFonts w:cstheme="minorHAnsi"/>
                <w:lang w:val="fr-CA"/>
              </w:rPr>
              <w:t xml:space="preserve"> Obligation de prestation distincte</w:t>
            </w:r>
            <w:r w:rsidR="008C6812" w:rsidRPr="00473B58">
              <w:rPr>
                <w:rFonts w:cstheme="minorHAnsi"/>
                <w:lang w:val="fr-CA"/>
              </w:rPr>
              <w:t xml:space="preserve"> </w:t>
            </w:r>
            <w:r w:rsidRPr="00473B58">
              <w:rPr>
                <w:rFonts w:cstheme="minorHAnsi"/>
                <w:lang w:val="fr-CA"/>
              </w:rPr>
              <w:t xml:space="preserve">remplie à un moment précis </w:t>
            </w:r>
            <w:r w:rsidR="00FF10CF" w:rsidRPr="00473B58">
              <w:rPr>
                <w:rFonts w:cstheme="minorHAnsi"/>
                <w:lang w:val="fr-CA"/>
              </w:rPr>
              <w:t>—</w:t>
            </w:r>
            <w:r w:rsidR="00003234" w:rsidRPr="00473B58">
              <w:rPr>
                <w:rFonts w:cstheme="minorHAnsi"/>
                <w:lang w:val="fr-CA"/>
              </w:rPr>
              <w:t xml:space="preserve"> [</w:t>
            </w:r>
            <w:r w:rsidRPr="00473B58">
              <w:rPr>
                <w:rFonts w:cstheme="minorHAnsi"/>
                <w:lang w:val="fr-CA"/>
              </w:rPr>
              <w:t>Type de produit</w:t>
            </w:r>
            <w:r w:rsidR="00003234" w:rsidRPr="00473B58">
              <w:rPr>
                <w:rFonts w:cstheme="minorHAnsi"/>
                <w:lang w:val="fr-CA"/>
              </w:rPr>
              <w:t>]</w:t>
            </w:r>
            <w:r w:rsidR="008C6812" w:rsidRPr="00473B58">
              <w:rPr>
                <w:rFonts w:cstheme="minorHAnsi"/>
                <w:lang w:val="fr-CA"/>
              </w:rPr>
              <w:t xml:space="preserve"> (NCA 540)</w:t>
            </w:r>
          </w:p>
          <w:p w14:paraId="207AE568" w14:textId="5B011F5F" w:rsidR="00003234" w:rsidRPr="006A64AC" w:rsidRDefault="00AF7F70" w:rsidP="00C32DEB">
            <w:pPr>
              <w:pStyle w:val="ListParagraph"/>
              <w:numPr>
                <w:ilvl w:val="0"/>
                <w:numId w:val="6"/>
              </w:numPr>
              <w:autoSpaceDE w:val="0"/>
              <w:autoSpaceDN w:val="0"/>
              <w:adjustRightInd w:val="0"/>
              <w:spacing w:before="120" w:after="120"/>
              <w:rPr>
                <w:rFonts w:cstheme="minorHAnsi"/>
                <w:lang w:val="fr-CA"/>
              </w:rPr>
            </w:pPr>
            <w:r w:rsidRPr="00473B58">
              <w:rPr>
                <w:rFonts w:cstheme="minorHAnsi"/>
                <w:lang w:val="fr-CA"/>
              </w:rPr>
              <w:t>Tester les opérations génératrices de produits (Étapes</w:t>
            </w:r>
            <w:r w:rsidR="00A352F0" w:rsidRPr="00473B58">
              <w:rPr>
                <w:rFonts w:cstheme="minorHAnsi"/>
                <w:lang w:val="fr-CA"/>
              </w:rPr>
              <w:t> </w:t>
            </w:r>
            <w:r w:rsidRPr="00473B58">
              <w:rPr>
                <w:rFonts w:cstheme="minorHAnsi"/>
                <w:lang w:val="fr-CA"/>
              </w:rPr>
              <w:t>1 à 5</w:t>
            </w:r>
            <w:r w:rsidR="00003234" w:rsidRPr="00473B58">
              <w:rPr>
                <w:rFonts w:cstheme="minorHAnsi"/>
                <w:lang w:val="fr-CA"/>
              </w:rPr>
              <w:t>)</w:t>
            </w:r>
            <w:r w:rsidR="008C6812" w:rsidRPr="00473B58">
              <w:rPr>
                <w:rFonts w:cstheme="minorHAnsi"/>
                <w:lang w:val="fr-CA"/>
              </w:rPr>
              <w:t xml:space="preserve"> — Obligation de prestation distincte </w:t>
            </w:r>
            <w:r w:rsidR="008C6812" w:rsidRPr="006A64AC">
              <w:rPr>
                <w:rFonts w:cstheme="minorHAnsi"/>
                <w:lang w:val="fr-CA"/>
              </w:rPr>
              <w:t>(ou</w:t>
            </w:r>
            <w:r w:rsidR="00867F45" w:rsidRPr="006A64AC">
              <w:rPr>
                <w:rFonts w:cstheme="minorHAnsi"/>
                <w:lang w:val="fr-CA"/>
              </w:rPr>
              <w:t xml:space="preserve"> série de biens ou de services distincts</w:t>
            </w:r>
            <w:r w:rsidR="008C6812" w:rsidRPr="006A64AC">
              <w:rPr>
                <w:rFonts w:cstheme="minorHAnsi"/>
                <w:lang w:val="fr-CA"/>
              </w:rPr>
              <w:t xml:space="preserve">) </w:t>
            </w:r>
            <w:r w:rsidR="00EA0BC5" w:rsidRPr="006A64AC">
              <w:rPr>
                <w:rFonts w:cstheme="minorHAnsi"/>
                <w:lang w:val="fr-CA"/>
              </w:rPr>
              <w:t>remplie progressivement</w:t>
            </w:r>
            <w:r w:rsidR="008C6812" w:rsidRPr="006A64AC">
              <w:rPr>
                <w:rFonts w:cstheme="minorHAnsi"/>
                <w:lang w:val="fr-CA"/>
              </w:rPr>
              <w:t xml:space="preserve"> – [Type de produit]</w:t>
            </w:r>
            <w:r w:rsidR="00A52C94">
              <w:rPr>
                <w:rFonts w:cstheme="minorHAnsi"/>
                <w:lang w:val="fr-CA"/>
              </w:rPr>
              <w:t xml:space="preserve"> (NCA 540)</w:t>
            </w:r>
          </w:p>
          <w:p w14:paraId="5446D6BB" w14:textId="38587535" w:rsidR="008C6812" w:rsidRPr="006A64AC" w:rsidRDefault="008C6812" w:rsidP="008C6812">
            <w:pPr>
              <w:pStyle w:val="ListParagraph"/>
              <w:numPr>
                <w:ilvl w:val="0"/>
                <w:numId w:val="6"/>
              </w:numPr>
              <w:autoSpaceDE w:val="0"/>
              <w:autoSpaceDN w:val="0"/>
              <w:adjustRightInd w:val="0"/>
              <w:spacing w:before="120" w:after="120"/>
              <w:rPr>
                <w:rFonts w:cstheme="minorHAnsi"/>
                <w:lang w:val="fr-CA"/>
              </w:rPr>
            </w:pPr>
            <w:r w:rsidRPr="006A64AC">
              <w:rPr>
                <w:rFonts w:cstheme="minorHAnsi"/>
                <w:lang w:val="fr-CA"/>
              </w:rPr>
              <w:t>Tester les op</w:t>
            </w:r>
            <w:r w:rsidRPr="00473B58">
              <w:rPr>
                <w:rFonts w:cstheme="minorHAnsi"/>
                <w:lang w:val="fr-CA"/>
              </w:rPr>
              <w:t>é</w:t>
            </w:r>
            <w:r w:rsidRPr="006A64AC">
              <w:rPr>
                <w:rFonts w:cstheme="minorHAnsi"/>
                <w:lang w:val="fr-CA"/>
              </w:rPr>
              <w:t>rations géné</w:t>
            </w:r>
            <w:r w:rsidRPr="00473B58">
              <w:rPr>
                <w:rFonts w:cstheme="minorHAnsi"/>
                <w:lang w:val="fr-CA"/>
              </w:rPr>
              <w:t>r</w:t>
            </w:r>
            <w:r w:rsidR="00EA0BC5" w:rsidRPr="00473B58">
              <w:rPr>
                <w:rFonts w:cstheme="minorHAnsi"/>
                <w:lang w:val="fr-CA"/>
              </w:rPr>
              <w:t>a</w:t>
            </w:r>
            <w:r w:rsidRPr="00473B58">
              <w:rPr>
                <w:rFonts w:cstheme="minorHAnsi"/>
                <w:lang w:val="fr-CA"/>
              </w:rPr>
              <w:t>trices de produit</w:t>
            </w:r>
            <w:r w:rsidR="00C62D82">
              <w:rPr>
                <w:rFonts w:cstheme="minorHAnsi"/>
                <w:lang w:val="fr-CA"/>
              </w:rPr>
              <w:t>s</w:t>
            </w:r>
            <w:r w:rsidRPr="00473B58">
              <w:rPr>
                <w:rFonts w:cstheme="minorHAnsi"/>
                <w:lang w:val="fr-CA"/>
              </w:rPr>
              <w:t xml:space="preserve"> </w:t>
            </w:r>
            <w:r w:rsidRPr="006A64AC">
              <w:rPr>
                <w:rFonts w:cstheme="minorHAnsi"/>
                <w:lang w:val="fr-CA"/>
              </w:rPr>
              <w:t>(</w:t>
            </w:r>
            <w:r w:rsidRPr="00473B58">
              <w:rPr>
                <w:rFonts w:cstheme="minorHAnsi"/>
                <w:lang w:val="fr-CA"/>
              </w:rPr>
              <w:t>Étapes 1 à 5</w:t>
            </w:r>
            <w:r w:rsidRPr="006A64AC">
              <w:rPr>
                <w:rFonts w:cstheme="minorHAnsi"/>
                <w:lang w:val="fr-CA"/>
              </w:rPr>
              <w:t>) (</w:t>
            </w:r>
            <w:r w:rsidRPr="00473B58">
              <w:rPr>
                <w:rFonts w:cstheme="minorHAnsi"/>
                <w:lang w:val="fr-CA"/>
              </w:rPr>
              <w:t>N</w:t>
            </w:r>
            <w:r w:rsidRPr="006A64AC">
              <w:rPr>
                <w:rFonts w:cstheme="minorHAnsi"/>
                <w:lang w:val="fr-CA"/>
              </w:rPr>
              <w:t>CA 540)</w:t>
            </w:r>
          </w:p>
          <w:p w14:paraId="5A4EB089" w14:textId="77777777" w:rsidR="008C6812" w:rsidRPr="00473B58" w:rsidRDefault="008C6812" w:rsidP="006A64AC">
            <w:pPr>
              <w:pStyle w:val="ListParagraph"/>
              <w:autoSpaceDE w:val="0"/>
              <w:autoSpaceDN w:val="0"/>
              <w:adjustRightInd w:val="0"/>
              <w:spacing w:before="120" w:after="120"/>
              <w:ind w:left="360"/>
              <w:rPr>
                <w:rFonts w:cstheme="minorHAnsi"/>
                <w:lang w:val="fr-CA"/>
              </w:rPr>
            </w:pPr>
          </w:p>
          <w:p w14:paraId="25BF92AF" w14:textId="77777777" w:rsidR="00003234" w:rsidRPr="00473B58" w:rsidRDefault="00003234" w:rsidP="00A13391">
            <w:pPr>
              <w:rPr>
                <w:lang w:val="fr-CA"/>
              </w:rPr>
            </w:pPr>
          </w:p>
        </w:tc>
      </w:tr>
    </w:tbl>
    <w:p w14:paraId="2955E9B9" w14:textId="10C09CBF" w:rsidR="00D30091" w:rsidRPr="00473B58" w:rsidRDefault="0007261C" w:rsidP="00077CF5">
      <w:pPr>
        <w:autoSpaceDE w:val="0"/>
        <w:autoSpaceDN w:val="0"/>
        <w:adjustRightInd w:val="0"/>
        <w:spacing w:after="0" w:line="240" w:lineRule="auto"/>
        <w:jc w:val="both"/>
        <w:rPr>
          <w:rFonts w:cstheme="minorHAnsi"/>
          <w:lang w:val="fr-CA"/>
        </w:rPr>
      </w:pPr>
      <w:r w:rsidRPr="00473B58">
        <w:rPr>
          <w:rFonts w:cstheme="minorHAnsi"/>
          <w:lang w:val="fr-CA"/>
        </w:rPr>
        <w:t xml:space="preserve">L’arbre de décision ci-après peut servir à déterminer </w:t>
      </w:r>
      <w:r w:rsidR="00D30091" w:rsidRPr="00473B58">
        <w:rPr>
          <w:rFonts w:cstheme="minorHAnsi"/>
          <w:lang w:val="fr-CA"/>
        </w:rPr>
        <w:t>la p</w:t>
      </w:r>
      <w:r w:rsidR="001F7B65" w:rsidRPr="00473B58">
        <w:rPr>
          <w:rFonts w:cstheme="minorHAnsi"/>
          <w:lang w:val="fr-CA"/>
        </w:rPr>
        <w:t xml:space="preserve">rocédure </w:t>
      </w:r>
      <w:r w:rsidR="00D30091" w:rsidRPr="00473B58">
        <w:rPr>
          <w:rFonts w:cstheme="minorHAnsi"/>
          <w:lang w:val="fr-CA"/>
        </w:rPr>
        <w:t xml:space="preserve">qui doit être </w:t>
      </w:r>
      <w:r w:rsidR="001F7B65" w:rsidRPr="00473B58">
        <w:rPr>
          <w:rFonts w:cstheme="minorHAnsi"/>
          <w:lang w:val="fr-CA"/>
        </w:rPr>
        <w:t xml:space="preserve">appliquée en fonction des circonstances propres à la mission. Pour vous aider à choisir la bonne procédure, </w:t>
      </w:r>
      <w:r w:rsidR="00EA0BC5" w:rsidRPr="00473B58">
        <w:rPr>
          <w:rFonts w:cstheme="minorHAnsi"/>
          <w:lang w:val="fr-CA"/>
        </w:rPr>
        <w:t xml:space="preserve">chacune des deux premières </w:t>
      </w:r>
      <w:r w:rsidR="001F7B65" w:rsidRPr="00473B58">
        <w:rPr>
          <w:rFonts w:cstheme="minorHAnsi"/>
          <w:lang w:val="fr-CA"/>
        </w:rPr>
        <w:t>procédure</w:t>
      </w:r>
      <w:r w:rsidR="00EA0BC5" w:rsidRPr="00473B58">
        <w:rPr>
          <w:rFonts w:cstheme="minorHAnsi"/>
          <w:lang w:val="fr-CA"/>
        </w:rPr>
        <w:t>s de la liste précédente</w:t>
      </w:r>
      <w:r w:rsidR="001F7B65" w:rsidRPr="00473B58">
        <w:rPr>
          <w:rFonts w:cstheme="minorHAnsi"/>
          <w:lang w:val="fr-CA"/>
        </w:rPr>
        <w:t xml:space="preserve"> contient une </w:t>
      </w:r>
      <w:r w:rsidR="0077206A" w:rsidRPr="00473B58">
        <w:rPr>
          <w:rFonts w:cstheme="minorHAnsi"/>
          <w:lang w:val="fr-CA"/>
        </w:rPr>
        <w:t xml:space="preserve">étape </w:t>
      </w:r>
      <w:r w:rsidR="001F7B65" w:rsidRPr="00473B58">
        <w:rPr>
          <w:rFonts w:cstheme="minorHAnsi"/>
          <w:lang w:val="fr-CA"/>
        </w:rPr>
        <w:t xml:space="preserve">préliminaire qui permet de déterminer si le type de produit audité </w:t>
      </w:r>
      <w:r w:rsidR="0077206A" w:rsidRPr="00473B58">
        <w:rPr>
          <w:rFonts w:cstheme="minorHAnsi"/>
          <w:lang w:val="fr-CA"/>
        </w:rPr>
        <w:t xml:space="preserve">satisfait aux </w:t>
      </w:r>
      <w:r w:rsidR="001F7B65" w:rsidRPr="00473B58">
        <w:rPr>
          <w:rFonts w:cstheme="minorHAnsi"/>
          <w:lang w:val="fr-CA"/>
        </w:rPr>
        <w:t>conditions nécessaires à l’application de cette procédure. Selon les circonstances propres à l’entité, l’auditeur peut mettre</w:t>
      </w:r>
      <w:r w:rsidR="0007420A" w:rsidRPr="00473B58">
        <w:rPr>
          <w:rFonts w:cstheme="minorHAnsi"/>
          <w:lang w:val="fr-CA"/>
        </w:rPr>
        <w:t xml:space="preserve"> e</w:t>
      </w:r>
      <w:r w:rsidR="001F7B65" w:rsidRPr="00473B58">
        <w:rPr>
          <w:rFonts w:cstheme="minorHAnsi"/>
          <w:lang w:val="fr-CA"/>
        </w:rPr>
        <w:t>n œuvre une combinaison de procédures décrites précédemment pour différents types de produits. Il est primordial que chacune des conditions préalables à l’utilisation de la</w:t>
      </w:r>
      <w:r w:rsidR="00002450" w:rsidRPr="00473B58">
        <w:rPr>
          <w:rFonts w:cstheme="minorHAnsi"/>
          <w:lang w:val="fr-CA"/>
        </w:rPr>
        <w:t xml:space="preserve"> </w:t>
      </w:r>
      <w:r w:rsidR="0050412C" w:rsidRPr="00473B58">
        <w:rPr>
          <w:rFonts w:cstheme="minorHAnsi"/>
          <w:lang w:val="fr-CA"/>
        </w:rPr>
        <w:t>proc</w:t>
      </w:r>
      <w:r w:rsidR="001F7B65" w:rsidRPr="00473B58">
        <w:rPr>
          <w:rFonts w:cstheme="minorHAnsi"/>
          <w:lang w:val="fr-CA"/>
        </w:rPr>
        <w:t>é</w:t>
      </w:r>
      <w:r w:rsidR="0050412C" w:rsidRPr="00473B58">
        <w:rPr>
          <w:rFonts w:cstheme="minorHAnsi"/>
          <w:lang w:val="fr-CA"/>
        </w:rPr>
        <w:t>dure</w:t>
      </w:r>
      <w:r w:rsidR="00002450" w:rsidRPr="00473B58">
        <w:rPr>
          <w:rFonts w:cstheme="minorHAnsi"/>
          <w:lang w:val="fr-CA"/>
        </w:rPr>
        <w:t xml:space="preserve"> </w:t>
      </w:r>
      <w:r w:rsidR="0077206A" w:rsidRPr="00473B58">
        <w:rPr>
          <w:rFonts w:cstheme="minorHAnsi"/>
          <w:lang w:val="fr-CA"/>
        </w:rPr>
        <w:t xml:space="preserve">décrite </w:t>
      </w:r>
      <w:r w:rsidR="001F7B65" w:rsidRPr="00473B58">
        <w:rPr>
          <w:rFonts w:cstheme="minorHAnsi"/>
          <w:lang w:val="fr-CA"/>
        </w:rPr>
        <w:t xml:space="preserve">dans la première étape soit documentée de manière appropriée et exacte dans la procédure choisie pour le type de produit à tester afin de pouvoir vérifier que la procédure choisie par l’auditeur est appropriée dans les circonstances. L’auditeur doit aussi déterminer si </w:t>
      </w:r>
      <w:r w:rsidR="0077206A" w:rsidRPr="00473B58">
        <w:rPr>
          <w:rFonts w:cstheme="minorHAnsi"/>
          <w:lang w:val="fr-CA"/>
        </w:rPr>
        <w:t xml:space="preserve">une toute </w:t>
      </w:r>
      <w:r w:rsidR="001F7B65" w:rsidRPr="00473B58">
        <w:rPr>
          <w:rFonts w:cstheme="minorHAnsi"/>
          <w:lang w:val="fr-CA"/>
        </w:rPr>
        <w:t>une autre procédure doit être mise en œuvre pour corrobor</w:t>
      </w:r>
      <w:r w:rsidR="0077206A" w:rsidRPr="00473B58">
        <w:rPr>
          <w:rFonts w:cstheme="minorHAnsi"/>
          <w:lang w:val="fr-CA"/>
        </w:rPr>
        <w:t xml:space="preserve">er </w:t>
      </w:r>
      <w:r w:rsidR="00F45AA3" w:rsidRPr="00473B58">
        <w:rPr>
          <w:rFonts w:cstheme="minorHAnsi"/>
          <w:lang w:val="fr-CA"/>
        </w:rPr>
        <w:t xml:space="preserve">d’autres assertions pertinentes qui comportent un risque d’anomalies </w:t>
      </w:r>
      <w:r w:rsidR="004A35AC">
        <w:rPr>
          <w:rFonts w:cstheme="minorHAnsi"/>
          <w:lang w:val="fr-CA"/>
        </w:rPr>
        <w:t>significatives</w:t>
      </w:r>
      <w:r w:rsidR="00F45AA3" w:rsidRPr="00473B58">
        <w:rPr>
          <w:rFonts w:cstheme="minorHAnsi"/>
          <w:lang w:val="fr-CA"/>
        </w:rPr>
        <w:t xml:space="preserve"> lié aux produits (par exemple </w:t>
      </w:r>
      <w:r w:rsidR="0077206A" w:rsidRPr="00473B58">
        <w:rPr>
          <w:rFonts w:cstheme="minorHAnsi"/>
          <w:lang w:val="fr-CA"/>
        </w:rPr>
        <w:t>d</w:t>
      </w:r>
      <w:r w:rsidR="00F45AA3" w:rsidRPr="00473B58">
        <w:rPr>
          <w:rFonts w:cstheme="minorHAnsi"/>
          <w:lang w:val="fr-CA"/>
        </w:rPr>
        <w:t>es procédures visant des éléments comme la séparation des produits ou les passifs contractuels).</w:t>
      </w:r>
    </w:p>
    <w:p w14:paraId="7F472734" w14:textId="77777777" w:rsidR="00EA0BC5" w:rsidRPr="00473B58" w:rsidRDefault="00EA0BC5" w:rsidP="00077CF5">
      <w:pPr>
        <w:autoSpaceDE w:val="0"/>
        <w:autoSpaceDN w:val="0"/>
        <w:adjustRightInd w:val="0"/>
        <w:spacing w:after="0" w:line="240" w:lineRule="auto"/>
        <w:jc w:val="both"/>
        <w:rPr>
          <w:rFonts w:cstheme="minorHAnsi"/>
          <w:lang w:val="fr-CA"/>
        </w:rPr>
      </w:pPr>
    </w:p>
    <w:p w14:paraId="75612CE1" w14:textId="77777777" w:rsidR="00EA0BC5" w:rsidRPr="006A64AC" w:rsidRDefault="00EA0BC5" w:rsidP="00EA0BC5">
      <w:pPr>
        <w:autoSpaceDE w:val="0"/>
        <w:autoSpaceDN w:val="0"/>
        <w:adjustRightInd w:val="0"/>
        <w:spacing w:after="0" w:line="240" w:lineRule="auto"/>
        <w:jc w:val="both"/>
        <w:rPr>
          <w:rFonts w:cstheme="minorHAnsi"/>
          <w:lang w:val="fr-CA"/>
        </w:rPr>
      </w:pPr>
    </w:p>
    <w:p w14:paraId="2C03A2DC" w14:textId="77777777" w:rsidR="00EA0BC5" w:rsidRPr="006A64AC" w:rsidRDefault="00EA0BC5" w:rsidP="00EA0BC5">
      <w:pPr>
        <w:autoSpaceDE w:val="0"/>
        <w:autoSpaceDN w:val="0"/>
        <w:adjustRightInd w:val="0"/>
        <w:spacing w:after="0" w:line="240" w:lineRule="auto"/>
        <w:jc w:val="both"/>
        <w:rPr>
          <w:rFonts w:cstheme="minorHAnsi"/>
          <w:lang w:val="fr-CA"/>
        </w:rPr>
      </w:pPr>
    </w:p>
    <w:p w14:paraId="228B93C9" w14:textId="77777777" w:rsidR="00EA0BC5" w:rsidRPr="006A64AC" w:rsidRDefault="00EA0BC5" w:rsidP="00EA0BC5">
      <w:pPr>
        <w:autoSpaceDE w:val="0"/>
        <w:autoSpaceDN w:val="0"/>
        <w:adjustRightInd w:val="0"/>
        <w:spacing w:after="0" w:line="240" w:lineRule="auto"/>
        <w:jc w:val="both"/>
        <w:rPr>
          <w:rFonts w:cstheme="minorHAnsi"/>
          <w:sz w:val="20"/>
          <w:szCs w:val="20"/>
          <w:lang w:val="fr-CA"/>
        </w:rPr>
      </w:pPr>
      <w:r w:rsidRPr="00473B58">
        <w:rPr>
          <w:rFonts w:cstheme="minorHAnsi"/>
          <w:noProof/>
          <w:sz w:val="20"/>
          <w:szCs w:val="20"/>
          <w:lang w:eastAsia="en-CA"/>
        </w:rPr>
        <mc:AlternateContent>
          <mc:Choice Requires="wps">
            <w:drawing>
              <wp:anchor distT="45720" distB="45720" distL="114300" distR="114300" simplePos="0" relativeHeight="251742208" behindDoc="0" locked="0" layoutInCell="1" allowOverlap="1" wp14:anchorId="695467E6" wp14:editId="6622DC89">
                <wp:simplePos x="0" y="0"/>
                <wp:positionH relativeFrom="column">
                  <wp:posOffset>2611830</wp:posOffset>
                </wp:positionH>
                <wp:positionV relativeFrom="paragraph">
                  <wp:posOffset>2446</wp:posOffset>
                </wp:positionV>
                <wp:extent cx="3162935" cy="452120"/>
                <wp:effectExtent l="0" t="0" r="1841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452120"/>
                        </a:xfrm>
                        <a:prstGeom prst="rect">
                          <a:avLst/>
                        </a:prstGeom>
                        <a:solidFill>
                          <a:schemeClr val="accent1">
                            <a:lumMod val="50000"/>
                          </a:schemeClr>
                        </a:solidFill>
                        <a:ln w="9525">
                          <a:solidFill>
                            <a:srgbClr val="000000"/>
                          </a:solidFill>
                          <a:miter lim="800000"/>
                          <a:headEnd/>
                          <a:tailEnd/>
                        </a:ln>
                      </wps:spPr>
                      <wps:txbx>
                        <w:txbxContent>
                          <w:p w14:paraId="685A7C0A" w14:textId="77777777" w:rsidR="00BF563C" w:rsidRPr="00B54AAF" w:rsidRDefault="00BF563C" w:rsidP="00EA0BC5">
                            <w:pPr>
                              <w:jc w:val="center"/>
                              <w:rPr>
                                <w:color w:val="FFFFFF" w:themeColor="background1"/>
                                <w:lang w:val="fr-CA"/>
                              </w:rPr>
                            </w:pPr>
                            <w:r w:rsidRPr="00B54AAF">
                              <w:rPr>
                                <w:color w:val="FFFFFF" w:themeColor="background1"/>
                                <w:lang w:val="fr-CA"/>
                              </w:rPr>
                              <w:t xml:space="preserve">Comprendre la nature des contrats et les types de produits qui ont été déterminés par la direction </w:t>
                            </w:r>
                          </w:p>
                          <w:p w14:paraId="5EED02CF" w14:textId="77777777" w:rsidR="00BF563C" w:rsidRPr="0039108E" w:rsidRDefault="00BF563C" w:rsidP="00EA0BC5">
                            <w:pPr>
                              <w:rPr>
                                <w:color w:val="FFFFFF" w:themeColor="background1"/>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467E6" id="_x0000_s1029" type="#_x0000_t202" style="position:absolute;left:0;text-align:left;margin-left:205.65pt;margin-top:.2pt;width:249.05pt;height:35.6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" fillcolor="#1f4d78 [1604]">
                <v:textbox>
                  <w:txbxContent>
                    <w:p w14:paraId="685A7C0A" w14:textId="77777777" w:rsidR="00BF563C" w:rsidRPr="00B54AAF" w:rsidRDefault="00BF563C" w:rsidP="00EA0BC5">
                      <w:pPr>
                        <w:jc w:val="center"/>
                        <w:rPr>
                          <w:color w:val="FFFFFF" w:themeColor="background1"/>
                          <w:lang w:val="fr-CA"/>
                        </w:rPr>
                      </w:pPr>
                      <w:r w:rsidRPr="00B54AAF">
                        <w:rPr>
                          <w:color w:val="FFFFFF" w:themeColor="background1"/>
                          <w:lang w:val="fr-CA"/>
                        </w:rPr>
                        <w:t xml:space="preserve">Comprendre la nature des contrats et les types de produits qui ont été déterminés par la direction </w:t>
                      </w:r>
                    </w:p>
                    <w:p w14:paraId="5EED02CF" w14:textId="77777777" w:rsidR="00BF563C" w:rsidRPr="0041111C" w:rsidRDefault="00BF563C" w:rsidP="00EA0BC5">
                      <w:pPr>
                        <w:rPr>
                          <w:color w:val="FFFFFF" w:themeColor="background1"/>
                        </w:rPr>
                      </w:pPr>
                    </w:p>
                  </w:txbxContent>
                </v:textbox>
                <w10:wrap type="square"/>
              </v:shape>
            </w:pict>
          </mc:Fallback>
        </mc:AlternateContent>
      </w:r>
    </w:p>
    <w:p w14:paraId="5FB152E5" w14:textId="77777777" w:rsidR="00EA0BC5" w:rsidRPr="006A64AC" w:rsidRDefault="00EA0BC5" w:rsidP="00EA0BC5">
      <w:pPr>
        <w:autoSpaceDE w:val="0"/>
        <w:autoSpaceDN w:val="0"/>
        <w:adjustRightInd w:val="0"/>
        <w:spacing w:after="0" w:line="240" w:lineRule="auto"/>
        <w:jc w:val="center"/>
        <w:rPr>
          <w:rFonts w:cstheme="minorHAnsi"/>
          <w:sz w:val="20"/>
          <w:szCs w:val="20"/>
          <w:lang w:val="fr-CA"/>
        </w:rPr>
      </w:pPr>
    </w:p>
    <w:p w14:paraId="30C602F8" w14:textId="11CDED9E" w:rsidR="00EA0BC5" w:rsidRPr="006A64AC" w:rsidRDefault="00EA0BC5" w:rsidP="00EA0BC5">
      <w:pPr>
        <w:autoSpaceDE w:val="0"/>
        <w:autoSpaceDN w:val="0"/>
        <w:adjustRightInd w:val="0"/>
        <w:spacing w:after="0" w:line="240" w:lineRule="auto"/>
        <w:jc w:val="both"/>
        <w:rPr>
          <w:rFonts w:cstheme="minorHAnsi"/>
          <w:sz w:val="20"/>
          <w:szCs w:val="20"/>
          <w:lang w:val="fr-CA"/>
        </w:rPr>
      </w:pPr>
      <w:r w:rsidRPr="00473B58">
        <w:rPr>
          <w:rFonts w:cstheme="minorHAnsi"/>
          <w:b/>
          <w:bCs/>
          <w:noProof/>
          <w:sz w:val="24"/>
          <w:szCs w:val="24"/>
          <w:lang w:eastAsia="en-CA"/>
        </w:rPr>
        <mc:AlternateContent>
          <mc:Choice Requires="wps">
            <w:drawing>
              <wp:anchor distT="0" distB="0" distL="114300" distR="114300" simplePos="0" relativeHeight="251751424" behindDoc="0" locked="0" layoutInCell="1" allowOverlap="1" wp14:anchorId="022B3890" wp14:editId="4F25A974">
                <wp:simplePos x="0" y="0"/>
                <wp:positionH relativeFrom="column">
                  <wp:posOffset>4230806</wp:posOffset>
                </wp:positionH>
                <wp:positionV relativeFrom="paragraph">
                  <wp:posOffset>142685</wp:posOffset>
                </wp:positionV>
                <wp:extent cx="0" cy="240002"/>
                <wp:effectExtent l="0" t="0" r="19050" b="27305"/>
                <wp:wrapNone/>
                <wp:docPr id="5" name="Straight Connector 50"/>
                <wp:cNvGraphicFramePr/>
                <a:graphic xmlns:a="http://schemas.openxmlformats.org/drawingml/2006/main">
                  <a:graphicData uri="http://schemas.microsoft.com/office/word/2010/wordprocessingShape">
                    <wps:wsp>
                      <wps:cNvCnPr/>
                      <wps:spPr>
                        <a:xfrm>
                          <a:off x="0" y="0"/>
                          <a:ext cx="0" cy="2400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E4DFD" id="Straight Connector 5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15pt,11.25pt" to="333.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" strokecolor="black [3213]" strokeweight="1pt">
                <v:stroke joinstyle="miter"/>
              </v:line>
            </w:pict>
          </mc:Fallback>
        </mc:AlternateContent>
      </w:r>
    </w:p>
    <w:p w14:paraId="376CAD86"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p>
    <w:p w14:paraId="5F49C7D1"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43232" behindDoc="0" locked="0" layoutInCell="1" allowOverlap="1" wp14:anchorId="72E2B4DE" wp14:editId="7E41A58D">
                <wp:simplePos x="0" y="0"/>
                <wp:positionH relativeFrom="column">
                  <wp:posOffset>3454874</wp:posOffset>
                </wp:positionH>
                <wp:positionV relativeFrom="paragraph">
                  <wp:posOffset>46194</wp:posOffset>
                </wp:positionV>
                <wp:extent cx="1555750" cy="452120"/>
                <wp:effectExtent l="0" t="0" r="2540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2120"/>
                        </a:xfrm>
                        <a:prstGeom prst="rect">
                          <a:avLst/>
                        </a:prstGeom>
                        <a:solidFill>
                          <a:schemeClr val="accent5">
                            <a:lumMod val="75000"/>
                          </a:schemeClr>
                        </a:solidFill>
                        <a:ln w="9525">
                          <a:solidFill>
                            <a:srgbClr val="000000"/>
                          </a:solidFill>
                          <a:miter lim="800000"/>
                          <a:headEnd/>
                          <a:tailEnd/>
                        </a:ln>
                      </wps:spPr>
                      <wps:txbx>
                        <w:txbxContent>
                          <w:p w14:paraId="7EC8595E" w14:textId="30FC7A75" w:rsidR="00BF563C" w:rsidRPr="00DD6D5A" w:rsidRDefault="00BF563C" w:rsidP="00EA0BC5">
                            <w:pPr>
                              <w:jc w:val="center"/>
                              <w:rPr>
                                <w:color w:val="FFFFFF" w:themeColor="background1"/>
                              </w:rPr>
                            </w:pPr>
                            <w:r>
                              <w:rPr>
                                <w:color w:val="FFFFFF" w:themeColor="background1"/>
                              </w:rPr>
                              <w:t>Nombre d’obligations de prestation</w:t>
                            </w:r>
                          </w:p>
                          <w:p w14:paraId="671974CA" w14:textId="77777777" w:rsidR="00BF563C" w:rsidRPr="0041111C" w:rsidRDefault="00BF563C" w:rsidP="00EA0BC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B4DE" id="_x0000_s1030" type="#_x0000_t202" style="position:absolute;left:0;text-align:left;margin-left:272.05pt;margin-top:3.65pt;width:122.5pt;height:35.6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" fillcolor="#2f5496 [2408]">
                <v:textbox>
                  <w:txbxContent>
                    <w:p w14:paraId="7EC8595E" w14:textId="30FC7A75" w:rsidR="00BF563C" w:rsidRPr="00DD6D5A" w:rsidRDefault="00BF563C" w:rsidP="00EA0BC5">
                      <w:pPr>
                        <w:jc w:val="center"/>
                        <w:rPr>
                          <w:color w:val="FFFFFF" w:themeColor="background1"/>
                        </w:rPr>
                      </w:pPr>
                      <w:proofErr w:type="spellStart"/>
                      <w:r>
                        <w:rPr>
                          <w:color w:val="FFFFFF" w:themeColor="background1"/>
                        </w:rPr>
                        <w:t>Nombre</w:t>
                      </w:r>
                      <w:proofErr w:type="spellEnd"/>
                      <w:r>
                        <w:rPr>
                          <w:color w:val="FFFFFF" w:themeColor="background1"/>
                        </w:rPr>
                        <w:t xml:space="preserve"> </w:t>
                      </w:r>
                      <w:proofErr w:type="spellStart"/>
                      <w:r>
                        <w:rPr>
                          <w:color w:val="FFFFFF" w:themeColor="background1"/>
                        </w:rPr>
                        <w:t>d’obligations</w:t>
                      </w:r>
                      <w:proofErr w:type="spellEnd"/>
                      <w:r>
                        <w:rPr>
                          <w:color w:val="FFFFFF" w:themeColor="background1"/>
                        </w:rPr>
                        <w:t xml:space="preserve"> de </w:t>
                      </w:r>
                      <w:proofErr w:type="spellStart"/>
                      <w:r>
                        <w:rPr>
                          <w:color w:val="FFFFFF" w:themeColor="background1"/>
                        </w:rPr>
                        <w:t>prestation</w:t>
                      </w:r>
                      <w:proofErr w:type="spellEnd"/>
                    </w:p>
                    <w:p w14:paraId="671974CA" w14:textId="77777777" w:rsidR="00BF563C" w:rsidRPr="0041111C" w:rsidRDefault="00BF563C" w:rsidP="00EA0BC5">
                      <w:pPr>
                        <w:rPr>
                          <w:color w:val="FFFFFF" w:themeColor="background1"/>
                        </w:rPr>
                      </w:pPr>
                    </w:p>
                  </w:txbxContent>
                </v:textbox>
                <w10:wrap type="square"/>
              </v:shape>
            </w:pict>
          </mc:Fallback>
        </mc:AlternateContent>
      </w:r>
    </w:p>
    <w:p w14:paraId="2C838A79" w14:textId="2E2F0E23" w:rsidR="00EA0BC5" w:rsidRPr="006A64AC" w:rsidRDefault="00AF07C5"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52448" behindDoc="0" locked="0" layoutInCell="1" allowOverlap="1" wp14:anchorId="2EAB0684" wp14:editId="48688DB3">
                <wp:simplePos x="0" y="0"/>
                <wp:positionH relativeFrom="column">
                  <wp:posOffset>1170305</wp:posOffset>
                </wp:positionH>
                <wp:positionV relativeFrom="paragraph">
                  <wp:posOffset>69215</wp:posOffset>
                </wp:positionV>
                <wp:extent cx="1978660" cy="356870"/>
                <wp:effectExtent l="0" t="0" r="21590"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356870"/>
                        </a:xfrm>
                        <a:prstGeom prst="rect">
                          <a:avLst/>
                        </a:prstGeom>
                        <a:solidFill>
                          <a:schemeClr val="accent5">
                            <a:lumMod val="75000"/>
                          </a:schemeClr>
                        </a:solidFill>
                        <a:ln w="9525">
                          <a:solidFill>
                            <a:srgbClr val="000000"/>
                          </a:solidFill>
                          <a:miter lim="800000"/>
                          <a:headEnd/>
                          <a:tailEnd/>
                        </a:ln>
                      </wps:spPr>
                      <wps:txbx>
                        <w:txbxContent>
                          <w:p w14:paraId="2DDC46A2" w14:textId="60F2B83D" w:rsidR="00BF563C" w:rsidRPr="006A64AC" w:rsidRDefault="00BF563C" w:rsidP="00EA0BC5">
                            <w:pPr>
                              <w:jc w:val="center"/>
                              <w:rPr>
                                <w:color w:val="FFFFFF" w:themeColor="background1"/>
                                <w:lang w:val="fr-CA"/>
                              </w:rPr>
                            </w:pPr>
                            <w:r w:rsidRPr="006A64AC">
                              <w:rPr>
                                <w:color w:val="FFFFFF" w:themeColor="background1"/>
                                <w:lang w:val="fr-CA"/>
                              </w:rPr>
                              <w:t>Obligation de prestation distincte</w:t>
                            </w:r>
                          </w:p>
                          <w:p w14:paraId="768E87CB" w14:textId="77777777" w:rsidR="00BF563C" w:rsidRPr="006A64AC" w:rsidRDefault="00BF563C" w:rsidP="00EA0BC5">
                            <w:pPr>
                              <w:rPr>
                                <w:color w:val="FFFFFF" w:themeColor="background1"/>
                                <w:lang w:val="fr-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0684" id="_x0000_s1031" type="#_x0000_t202" style="position:absolute;left:0;text-align:left;margin-left:92.15pt;margin-top:5.45pt;width:155.8pt;height:28.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" fillcolor="#2f5496 [2408]">
                <v:textbox inset="0,0,0,0">
                  <w:txbxContent>
                    <w:p w14:paraId="2DDC46A2" w14:textId="60F2B83D" w:rsidR="00BF563C" w:rsidRPr="006A64AC" w:rsidRDefault="00BF563C" w:rsidP="00EA0BC5">
                      <w:pPr>
                        <w:jc w:val="center"/>
                        <w:rPr>
                          <w:color w:val="FFFFFF" w:themeColor="background1"/>
                          <w:lang w:val="fr-CA"/>
                        </w:rPr>
                      </w:pPr>
                      <w:r w:rsidRPr="006A64AC">
                        <w:rPr>
                          <w:color w:val="FFFFFF" w:themeColor="background1"/>
                          <w:lang w:val="fr-CA"/>
                        </w:rPr>
                        <w:t>Obligation de prestation distincte</w:t>
                      </w:r>
                    </w:p>
                    <w:p w14:paraId="768E87CB" w14:textId="77777777" w:rsidR="00BF563C" w:rsidRPr="006A64AC" w:rsidRDefault="00BF563C" w:rsidP="00EA0BC5">
                      <w:pPr>
                        <w:rPr>
                          <w:color w:val="FFFFFF" w:themeColor="background1"/>
                          <w:lang w:val="fr-CA"/>
                        </w:rPr>
                      </w:pPr>
                    </w:p>
                  </w:txbxContent>
                </v:textbox>
                <w10:wrap type="square"/>
              </v:shap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50400" behindDoc="0" locked="0" layoutInCell="1" allowOverlap="1" wp14:anchorId="37790AA2" wp14:editId="3999BECC">
                <wp:simplePos x="0" y="0"/>
                <wp:positionH relativeFrom="column">
                  <wp:posOffset>5012576</wp:posOffset>
                </wp:positionH>
                <wp:positionV relativeFrom="paragraph">
                  <wp:posOffset>154248</wp:posOffset>
                </wp:positionV>
                <wp:extent cx="303291" cy="158115"/>
                <wp:effectExtent l="0" t="0" r="20955" b="32385"/>
                <wp:wrapNone/>
                <wp:docPr id="10" name="Straight Connector 49"/>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407EB" id="Straight Connector 49"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12.15pt" to="418.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" strokecolor="black [3213]" strokeweight="1pt">
                <v:stroke joinstyle="miter"/>
              </v:lin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49376" behindDoc="0" locked="0" layoutInCell="1" allowOverlap="1" wp14:anchorId="5A3958B2" wp14:editId="650C9488">
                <wp:simplePos x="0" y="0"/>
                <wp:positionH relativeFrom="column">
                  <wp:posOffset>3126332</wp:posOffset>
                </wp:positionH>
                <wp:positionV relativeFrom="paragraph">
                  <wp:posOffset>160086</wp:posOffset>
                </wp:positionV>
                <wp:extent cx="335108" cy="155911"/>
                <wp:effectExtent l="0" t="0" r="27305" b="34925"/>
                <wp:wrapNone/>
                <wp:docPr id="11" name="Straight Connector 48"/>
                <wp:cNvGraphicFramePr/>
                <a:graphic xmlns:a="http://schemas.openxmlformats.org/drawingml/2006/main">
                  <a:graphicData uri="http://schemas.microsoft.com/office/word/2010/wordprocessingShape">
                    <wps:wsp>
                      <wps:cNvCnPr/>
                      <wps:spPr>
                        <a:xfrm flipH="1">
                          <a:off x="0" y="0"/>
                          <a:ext cx="335108" cy="155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EDB77" id="Straight Connector 4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15pt,12.6pt" to="272.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" strokecolor="black [3213]" strokeweight="1pt">
                <v:stroke joinstyle="miter"/>
              </v:line>
            </w:pict>
          </mc:Fallback>
        </mc:AlternateContent>
      </w:r>
    </w:p>
    <w:p w14:paraId="4D640CDD" w14:textId="6209D4A1"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53472" behindDoc="0" locked="0" layoutInCell="1" allowOverlap="1" wp14:anchorId="2C3797BC" wp14:editId="6BC4D3A5">
                <wp:simplePos x="0" y="0"/>
                <wp:positionH relativeFrom="column">
                  <wp:posOffset>5316779</wp:posOffset>
                </wp:positionH>
                <wp:positionV relativeFrom="paragraph">
                  <wp:posOffset>20320</wp:posOffset>
                </wp:positionV>
                <wp:extent cx="1978660" cy="217805"/>
                <wp:effectExtent l="0" t="0" r="21590"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17805"/>
                        </a:xfrm>
                        <a:prstGeom prst="rect">
                          <a:avLst/>
                        </a:prstGeom>
                        <a:solidFill>
                          <a:schemeClr val="accent5">
                            <a:lumMod val="75000"/>
                          </a:schemeClr>
                        </a:solidFill>
                        <a:ln w="9525">
                          <a:solidFill>
                            <a:srgbClr val="000000"/>
                          </a:solidFill>
                          <a:miter lim="800000"/>
                          <a:headEnd/>
                          <a:tailEnd/>
                        </a:ln>
                      </wps:spPr>
                      <wps:txbx>
                        <w:txbxContent>
                          <w:p w14:paraId="74DC350D" w14:textId="4F7EA048" w:rsidR="00BF563C" w:rsidRPr="00DD6D5A" w:rsidRDefault="00BF563C" w:rsidP="00EA0BC5">
                            <w:pPr>
                              <w:jc w:val="center"/>
                              <w:rPr>
                                <w:color w:val="FFFFFF" w:themeColor="background1"/>
                              </w:rPr>
                            </w:pPr>
                            <w:r>
                              <w:rPr>
                                <w:color w:val="FFFFFF" w:themeColor="background1"/>
                              </w:rPr>
                              <w:t>Obligations de prestation multiples</w:t>
                            </w:r>
                          </w:p>
                          <w:p w14:paraId="3EEC3A25" w14:textId="77777777" w:rsidR="00BF563C" w:rsidRPr="0041111C" w:rsidRDefault="00BF563C" w:rsidP="00EA0BC5">
                            <w:pPr>
                              <w:rPr>
                                <w:color w:val="FFFFFF" w:themeColor="background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97BC" id="_x0000_s1032" type="#_x0000_t202" style="position:absolute;left:0;text-align:left;margin-left:418.65pt;margin-top:1.6pt;width:155.8pt;height:17.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" fillcolor="#2f5496 [2408]">
                <v:textbox inset="0,0,0,0">
                  <w:txbxContent>
                    <w:p w14:paraId="74DC350D" w14:textId="4F7EA048" w:rsidR="00BF563C" w:rsidRPr="00DD6D5A" w:rsidRDefault="00BF563C" w:rsidP="00EA0BC5">
                      <w:pPr>
                        <w:jc w:val="center"/>
                        <w:rPr>
                          <w:color w:val="FFFFFF" w:themeColor="background1"/>
                        </w:rPr>
                      </w:pPr>
                      <w:r>
                        <w:rPr>
                          <w:color w:val="FFFFFF" w:themeColor="background1"/>
                        </w:rPr>
                        <w:t xml:space="preserve">Obligations de </w:t>
                      </w:r>
                      <w:proofErr w:type="spellStart"/>
                      <w:r>
                        <w:rPr>
                          <w:color w:val="FFFFFF" w:themeColor="background1"/>
                        </w:rPr>
                        <w:t>prestation</w:t>
                      </w:r>
                      <w:proofErr w:type="spellEnd"/>
                      <w:r>
                        <w:rPr>
                          <w:color w:val="FFFFFF" w:themeColor="background1"/>
                        </w:rPr>
                        <w:t xml:space="preserve"> multiples</w:t>
                      </w:r>
                    </w:p>
                    <w:p w14:paraId="3EEC3A25" w14:textId="77777777" w:rsidR="00BF563C" w:rsidRPr="0041111C" w:rsidRDefault="00BF563C" w:rsidP="00EA0BC5">
                      <w:pPr>
                        <w:rPr>
                          <w:color w:val="FFFFFF" w:themeColor="background1"/>
                        </w:rPr>
                      </w:pPr>
                    </w:p>
                  </w:txbxContent>
                </v:textbox>
                <w10:wrap type="square"/>
              </v:shape>
            </w:pict>
          </mc:Fallback>
        </mc:AlternateContent>
      </w:r>
    </w:p>
    <w:p w14:paraId="124E4A03" w14:textId="30B0A315" w:rsidR="00EA0BC5" w:rsidRPr="006A64AC" w:rsidRDefault="0003759C" w:rsidP="00EA0BC5">
      <w:pPr>
        <w:autoSpaceDE w:val="0"/>
        <w:autoSpaceDN w:val="0"/>
        <w:adjustRightInd w:val="0"/>
        <w:spacing w:after="0" w:line="240" w:lineRule="auto"/>
        <w:jc w:val="center"/>
        <w:rPr>
          <w:rFonts w:cstheme="minorHAnsi"/>
          <w:b/>
          <w:bCs/>
          <w:sz w:val="24"/>
          <w:szCs w:val="24"/>
          <w:lang w:val="fr-CA"/>
        </w:rPr>
      </w:pPr>
      <w:r w:rsidRPr="00865BA2">
        <w:rPr>
          <w:rFonts w:cstheme="minorHAnsi"/>
          <w:noProof/>
          <w:sz w:val="20"/>
          <w:szCs w:val="20"/>
          <w:lang w:eastAsia="en-CA"/>
        </w:rPr>
        <mc:AlternateContent>
          <mc:Choice Requires="wps">
            <w:drawing>
              <wp:anchor distT="45720" distB="45720" distL="114300" distR="114300" simplePos="0" relativeHeight="251760640" behindDoc="0" locked="0" layoutInCell="1" allowOverlap="1" wp14:anchorId="231F549B" wp14:editId="37C15A82">
                <wp:simplePos x="0" y="0"/>
                <wp:positionH relativeFrom="column">
                  <wp:posOffset>5494020</wp:posOffset>
                </wp:positionH>
                <wp:positionV relativeFrom="paragraph">
                  <wp:posOffset>184785</wp:posOffset>
                </wp:positionV>
                <wp:extent cx="1719580" cy="396240"/>
                <wp:effectExtent l="0" t="0" r="13970" b="2286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96240"/>
                        </a:xfrm>
                        <a:prstGeom prst="rect">
                          <a:avLst/>
                        </a:prstGeom>
                        <a:solidFill>
                          <a:schemeClr val="accent5">
                            <a:lumMod val="75000"/>
                          </a:schemeClr>
                        </a:solidFill>
                        <a:ln w="9525">
                          <a:solidFill>
                            <a:srgbClr val="000000"/>
                          </a:solidFill>
                          <a:miter lim="800000"/>
                          <a:headEnd/>
                          <a:tailEnd/>
                        </a:ln>
                      </wps:spPr>
                      <wps:txbx>
                        <w:txbxContent>
                          <w:p w14:paraId="152A3297" w14:textId="77777777" w:rsidR="00BF563C" w:rsidRPr="006A64AC" w:rsidRDefault="00BF563C" w:rsidP="00BF5923">
                            <w:pPr>
                              <w:jc w:val="center"/>
                              <w:rPr>
                                <w:color w:val="FFFFFF" w:themeColor="background1"/>
                                <w:sz w:val="17"/>
                                <w:szCs w:val="17"/>
                                <w:lang w:val="fr-CA"/>
                              </w:rPr>
                            </w:pPr>
                            <w:r w:rsidRPr="006A64AC">
                              <w:rPr>
                                <w:color w:val="FFFFFF" w:themeColor="background1"/>
                                <w:sz w:val="17"/>
                                <w:szCs w:val="17"/>
                                <w:lang w:val="fr-CA"/>
                              </w:rPr>
                              <w:t>Comment l’obligation de prestation sera-t-elle satisfaite?</w:t>
                            </w:r>
                          </w:p>
                          <w:p w14:paraId="6FFD3BD6" w14:textId="77777777" w:rsidR="00BF563C" w:rsidRPr="0039108E" w:rsidRDefault="00BF563C" w:rsidP="00EA0BC5">
                            <w:pPr>
                              <w:rPr>
                                <w:color w:val="FFFFFF" w:themeColor="background1"/>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F549B" id="_x0000_s1033" type="#_x0000_t202" style="position:absolute;left:0;text-align:left;margin-left:432.6pt;margin-top:14.55pt;width:135.4pt;height:31.2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" fillcolor="#2f5496 [2408]">
                <v:textbox>
                  <w:txbxContent>
                    <w:p w14:paraId="152A3297" w14:textId="77777777" w:rsidR="00BF563C" w:rsidRPr="006A64AC" w:rsidRDefault="00BF563C" w:rsidP="00BF5923">
                      <w:pPr>
                        <w:jc w:val="center"/>
                        <w:rPr>
                          <w:color w:val="FFFFFF" w:themeColor="background1"/>
                          <w:sz w:val="17"/>
                          <w:szCs w:val="17"/>
                          <w:lang w:val="fr-CA"/>
                        </w:rPr>
                      </w:pPr>
                      <w:r w:rsidRPr="006A64AC">
                        <w:rPr>
                          <w:color w:val="FFFFFF" w:themeColor="background1"/>
                          <w:sz w:val="17"/>
                          <w:szCs w:val="17"/>
                          <w:lang w:val="fr-CA"/>
                        </w:rPr>
                        <w:t>Comment l’obligation de prestation sera-t-elle satisfaite?</w:t>
                      </w:r>
                    </w:p>
                    <w:p w14:paraId="6FFD3BD6" w14:textId="77777777" w:rsidR="00BF563C" w:rsidRPr="0041111C" w:rsidRDefault="00BF563C" w:rsidP="00EA0BC5">
                      <w:pPr>
                        <w:rPr>
                          <w:color w:val="FFFFFF" w:themeColor="background1"/>
                        </w:rPr>
                      </w:pPr>
                    </w:p>
                  </w:txbxContent>
                </v:textbox>
                <w10:wrap type="square"/>
              </v:shape>
            </w:pict>
          </mc:Fallback>
        </mc:AlternateContent>
      </w:r>
      <w:r w:rsidR="00EA0BC5" w:rsidRPr="00473B58">
        <w:rPr>
          <w:rFonts w:cstheme="minorHAnsi"/>
          <w:b/>
          <w:bCs/>
          <w:noProof/>
          <w:sz w:val="24"/>
          <w:szCs w:val="24"/>
          <w:lang w:eastAsia="en-CA"/>
        </w:rPr>
        <mc:AlternateContent>
          <mc:Choice Requires="wps">
            <w:drawing>
              <wp:anchor distT="0" distB="0" distL="114300" distR="114300" simplePos="0" relativeHeight="251765760" behindDoc="0" locked="0" layoutInCell="1" allowOverlap="1" wp14:anchorId="78F864AA" wp14:editId="036D2CE2">
                <wp:simplePos x="0" y="0"/>
                <wp:positionH relativeFrom="column">
                  <wp:posOffset>6359857</wp:posOffset>
                </wp:positionH>
                <wp:positionV relativeFrom="paragraph">
                  <wp:posOffset>17145</wp:posOffset>
                </wp:positionV>
                <wp:extent cx="4527" cy="203703"/>
                <wp:effectExtent l="0" t="0" r="33655" b="25400"/>
                <wp:wrapNone/>
                <wp:docPr id="54" name="Straight Connector 54"/>
                <wp:cNvGraphicFramePr/>
                <a:graphic xmlns:a="http://schemas.openxmlformats.org/drawingml/2006/main">
                  <a:graphicData uri="http://schemas.microsoft.com/office/word/2010/wordprocessingShape">
                    <wps:wsp>
                      <wps:cNvCnPr/>
                      <wps:spPr>
                        <a:xfrm flipH="1">
                          <a:off x="0" y="0"/>
                          <a:ext cx="4527" cy="203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0EB84" id="Straight Connector 54"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8pt,1.35pt" to="50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" strokecolor="black [3213]" strokeweight="1pt">
                <v:stroke joinstyle="miter"/>
              </v:lin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48352" behindDoc="0" locked="0" layoutInCell="1" allowOverlap="1" wp14:anchorId="2DBAF56A" wp14:editId="154B9965">
                <wp:simplePos x="0" y="0"/>
                <wp:positionH relativeFrom="column">
                  <wp:posOffset>2165833</wp:posOffset>
                </wp:positionH>
                <wp:positionV relativeFrom="paragraph">
                  <wp:posOffset>51435</wp:posOffset>
                </wp:positionV>
                <wp:extent cx="4527" cy="203703"/>
                <wp:effectExtent l="0" t="0" r="33655" b="25400"/>
                <wp:wrapNone/>
                <wp:docPr id="25" name="Straight Connector 47"/>
                <wp:cNvGraphicFramePr/>
                <a:graphic xmlns:a="http://schemas.openxmlformats.org/drawingml/2006/main">
                  <a:graphicData uri="http://schemas.microsoft.com/office/word/2010/wordprocessingShape">
                    <wps:wsp>
                      <wps:cNvCnPr/>
                      <wps:spPr>
                        <a:xfrm flipH="1">
                          <a:off x="0" y="0"/>
                          <a:ext cx="4527" cy="203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81C48" id="Straight Connector 47"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5pt,4.05pt" to="170.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" strokecolor="black [3213]" strokeweight="1pt">
                <v:stroke joinstyle="miter"/>
              </v:line>
            </w:pict>
          </mc:Fallback>
        </mc:AlternateContent>
      </w:r>
    </w:p>
    <w:p w14:paraId="607A12C1" w14:textId="577D254F" w:rsidR="00EA0BC5" w:rsidRPr="006A64AC" w:rsidRDefault="0003759C" w:rsidP="00EA0BC5">
      <w:pPr>
        <w:autoSpaceDE w:val="0"/>
        <w:autoSpaceDN w:val="0"/>
        <w:adjustRightInd w:val="0"/>
        <w:spacing w:after="0" w:line="240" w:lineRule="auto"/>
        <w:jc w:val="center"/>
        <w:rPr>
          <w:rFonts w:cstheme="minorHAnsi"/>
          <w:b/>
          <w:bCs/>
          <w:sz w:val="24"/>
          <w:szCs w:val="24"/>
          <w:lang w:val="fr-CA"/>
        </w:rPr>
      </w:pPr>
      <w:r w:rsidRPr="00865BA2">
        <w:rPr>
          <w:rFonts w:cstheme="minorHAnsi"/>
          <w:noProof/>
          <w:sz w:val="20"/>
          <w:szCs w:val="20"/>
          <w:lang w:eastAsia="en-CA"/>
        </w:rPr>
        <mc:AlternateContent>
          <mc:Choice Requires="wps">
            <w:drawing>
              <wp:anchor distT="45720" distB="45720" distL="114300" distR="114300" simplePos="0" relativeHeight="251754496" behindDoc="0" locked="0" layoutInCell="1" allowOverlap="1" wp14:anchorId="72C48980" wp14:editId="0983CB33">
                <wp:simplePos x="0" y="0"/>
                <wp:positionH relativeFrom="column">
                  <wp:posOffset>1256665</wp:posOffset>
                </wp:positionH>
                <wp:positionV relativeFrom="paragraph">
                  <wp:posOffset>6985</wp:posOffset>
                </wp:positionV>
                <wp:extent cx="1788160" cy="389255"/>
                <wp:effectExtent l="0" t="0" r="21590"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389255"/>
                        </a:xfrm>
                        <a:prstGeom prst="rect">
                          <a:avLst/>
                        </a:prstGeom>
                        <a:solidFill>
                          <a:schemeClr val="accent5">
                            <a:lumMod val="75000"/>
                          </a:schemeClr>
                        </a:solidFill>
                        <a:ln w="9525">
                          <a:solidFill>
                            <a:srgbClr val="000000"/>
                          </a:solidFill>
                          <a:miter lim="800000"/>
                          <a:headEnd/>
                          <a:tailEnd/>
                        </a:ln>
                      </wps:spPr>
                      <wps:txbx>
                        <w:txbxContent>
                          <w:p w14:paraId="02D217FE" w14:textId="79C7F5D3" w:rsidR="00BF563C" w:rsidRPr="006A64AC" w:rsidRDefault="00BF563C" w:rsidP="00BF5923">
                            <w:pPr>
                              <w:jc w:val="center"/>
                              <w:rPr>
                                <w:color w:val="FFFFFF" w:themeColor="background1"/>
                                <w:sz w:val="17"/>
                                <w:szCs w:val="17"/>
                                <w:lang w:val="fr-CA"/>
                              </w:rPr>
                            </w:pPr>
                            <w:r w:rsidRPr="006A64AC">
                              <w:rPr>
                                <w:color w:val="FFFFFF" w:themeColor="background1"/>
                                <w:sz w:val="17"/>
                                <w:szCs w:val="17"/>
                                <w:lang w:val="fr-CA"/>
                              </w:rPr>
                              <w:t>Comment l’obligation de prestation sera-t-elle  satisfaite?</w:t>
                            </w:r>
                          </w:p>
                          <w:p w14:paraId="09BC7D07" w14:textId="77777777" w:rsidR="00BF563C" w:rsidRPr="0039108E" w:rsidRDefault="00BF563C" w:rsidP="00EA0BC5">
                            <w:pPr>
                              <w:rPr>
                                <w:color w:val="FFFFFF" w:themeColor="background1"/>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48980" id="_x0000_s1034" type="#_x0000_t202" style="position:absolute;left:0;text-align:left;margin-left:98.95pt;margin-top:.55pt;width:140.8pt;height:30.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" fillcolor="#2f5496 [2408]">
                <v:textbox>
                  <w:txbxContent>
                    <w:p w14:paraId="02D217FE" w14:textId="79C7F5D3" w:rsidR="00BF563C" w:rsidRPr="006A64AC" w:rsidRDefault="00BF563C" w:rsidP="00BF5923">
                      <w:pPr>
                        <w:jc w:val="center"/>
                        <w:rPr>
                          <w:color w:val="FFFFFF" w:themeColor="background1"/>
                          <w:sz w:val="17"/>
                          <w:szCs w:val="17"/>
                          <w:lang w:val="fr-CA"/>
                        </w:rPr>
                      </w:pPr>
                      <w:r w:rsidRPr="006A64AC">
                        <w:rPr>
                          <w:color w:val="FFFFFF" w:themeColor="background1"/>
                          <w:sz w:val="17"/>
                          <w:szCs w:val="17"/>
                          <w:lang w:val="fr-CA"/>
                        </w:rPr>
                        <w:t>Comment l’obligation de prestation sera-t-elle  satisfaite?</w:t>
                      </w:r>
                    </w:p>
                    <w:p w14:paraId="09BC7D07" w14:textId="77777777" w:rsidR="00BF563C" w:rsidRPr="0041111C" w:rsidRDefault="00BF563C" w:rsidP="00EA0BC5">
                      <w:pPr>
                        <w:rPr>
                          <w:color w:val="FFFFFF" w:themeColor="background1"/>
                        </w:rPr>
                      </w:pPr>
                    </w:p>
                  </w:txbxContent>
                </v:textbox>
                <w10:wrap type="square"/>
              </v:shape>
            </w:pict>
          </mc:Fallback>
        </mc:AlternateContent>
      </w:r>
    </w:p>
    <w:p w14:paraId="462E62C2"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r w:rsidRPr="0039108E">
        <w:rPr>
          <w:rFonts w:cstheme="minorHAnsi"/>
          <w:b/>
          <w:bCs/>
          <w:noProof/>
          <w:sz w:val="24"/>
          <w:szCs w:val="24"/>
          <w:lang w:eastAsia="en-CA"/>
        </w:rPr>
        <mc:AlternateContent>
          <mc:Choice Requires="wps">
            <w:drawing>
              <wp:anchor distT="0" distB="0" distL="114300" distR="114300" simplePos="0" relativeHeight="251764736" behindDoc="0" locked="0" layoutInCell="1" allowOverlap="1" wp14:anchorId="27BCA22D" wp14:editId="0AA65EB5">
                <wp:simplePos x="0" y="0"/>
                <wp:positionH relativeFrom="column">
                  <wp:posOffset>7212804</wp:posOffset>
                </wp:positionH>
                <wp:positionV relativeFrom="paragraph">
                  <wp:posOffset>178919</wp:posOffset>
                </wp:positionV>
                <wp:extent cx="303291" cy="158115"/>
                <wp:effectExtent l="0" t="0" r="20955" b="32385"/>
                <wp:wrapNone/>
                <wp:docPr id="53" name="Straight Connector 53"/>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A180E" id="Straight Connector 53" o:spid="_x0000_s1026" style="position:absolute;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95pt,14.1pt" to="591.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" strokecolor="black [3213]" strokeweight="1pt">
                <v:stroke joinstyle="miter"/>
              </v:line>
            </w:pict>
          </mc:Fallback>
        </mc:AlternateContent>
      </w:r>
      <w:r w:rsidRPr="0039108E">
        <w:rPr>
          <w:rFonts w:cstheme="minorHAnsi"/>
          <w:b/>
          <w:bCs/>
          <w:noProof/>
          <w:sz w:val="24"/>
          <w:szCs w:val="24"/>
          <w:lang w:eastAsia="en-CA"/>
        </w:rPr>
        <mc:AlternateContent>
          <mc:Choice Requires="wps">
            <w:drawing>
              <wp:anchor distT="0" distB="0" distL="114300" distR="114300" simplePos="0" relativeHeight="251763712" behindDoc="0" locked="0" layoutInCell="1" allowOverlap="1" wp14:anchorId="2B8C0EBC" wp14:editId="371E18FD">
                <wp:simplePos x="0" y="0"/>
                <wp:positionH relativeFrom="column">
                  <wp:posOffset>5158105</wp:posOffset>
                </wp:positionH>
                <wp:positionV relativeFrom="paragraph">
                  <wp:posOffset>185411</wp:posOffset>
                </wp:positionV>
                <wp:extent cx="335108" cy="155911"/>
                <wp:effectExtent l="0" t="0" r="27305" b="34925"/>
                <wp:wrapNone/>
                <wp:docPr id="52" name="Straight Connector 52"/>
                <wp:cNvGraphicFramePr/>
                <a:graphic xmlns:a="http://schemas.openxmlformats.org/drawingml/2006/main">
                  <a:graphicData uri="http://schemas.microsoft.com/office/word/2010/wordprocessingShape">
                    <wps:wsp>
                      <wps:cNvCnPr/>
                      <wps:spPr>
                        <a:xfrm flipH="1">
                          <a:off x="0" y="0"/>
                          <a:ext cx="335108" cy="1559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7C027" id="Straight Connector 52"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15pt,14.6pt" to="432.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" strokecolor="black [3213]" strokeweight="1pt">
                <v:stroke joinstyle="miter"/>
              </v:line>
            </w:pict>
          </mc:Fallback>
        </mc:AlternateContent>
      </w:r>
      <w:r w:rsidRPr="0039108E">
        <w:rPr>
          <w:rFonts w:cstheme="minorHAnsi"/>
          <w:b/>
          <w:bCs/>
          <w:noProof/>
          <w:sz w:val="24"/>
          <w:szCs w:val="24"/>
          <w:lang w:eastAsia="en-CA"/>
        </w:rPr>
        <mc:AlternateContent>
          <mc:Choice Requires="wps">
            <w:drawing>
              <wp:anchor distT="0" distB="0" distL="114300" distR="114300" simplePos="0" relativeHeight="251758592" behindDoc="0" locked="0" layoutInCell="1" allowOverlap="1" wp14:anchorId="18B181D2" wp14:editId="6CCE1BF2">
                <wp:simplePos x="0" y="0"/>
                <wp:positionH relativeFrom="column">
                  <wp:posOffset>3043413</wp:posOffset>
                </wp:positionH>
                <wp:positionV relativeFrom="paragraph">
                  <wp:posOffset>178502</wp:posOffset>
                </wp:positionV>
                <wp:extent cx="303291" cy="158115"/>
                <wp:effectExtent l="0" t="0" r="20955" b="32385"/>
                <wp:wrapNone/>
                <wp:docPr id="36" name="Straight Connector 36"/>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BD523" id="Straight Connector 36"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14.05pt" to="26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" strokecolor="black [3213]" strokeweight="1pt">
                <v:stroke joinstyle="miter"/>
              </v:line>
            </w:pict>
          </mc:Fallback>
        </mc:AlternateContent>
      </w:r>
      <w:r w:rsidRPr="0039108E">
        <w:rPr>
          <w:rFonts w:cstheme="minorHAnsi"/>
          <w:b/>
          <w:bCs/>
          <w:noProof/>
          <w:sz w:val="24"/>
          <w:szCs w:val="24"/>
          <w:lang w:eastAsia="en-CA"/>
        </w:rPr>
        <mc:AlternateContent>
          <mc:Choice Requires="wps">
            <w:drawing>
              <wp:anchor distT="0" distB="0" distL="114300" distR="114300" simplePos="0" relativeHeight="251757568" behindDoc="0" locked="0" layoutInCell="1" allowOverlap="1" wp14:anchorId="3A12F7C5" wp14:editId="04B806EE">
                <wp:simplePos x="0" y="0"/>
                <wp:positionH relativeFrom="column">
                  <wp:posOffset>988724</wp:posOffset>
                </wp:positionH>
                <wp:positionV relativeFrom="paragraph">
                  <wp:posOffset>180728</wp:posOffset>
                </wp:positionV>
                <wp:extent cx="334645" cy="155575"/>
                <wp:effectExtent l="0" t="0" r="27305" b="34925"/>
                <wp:wrapNone/>
                <wp:docPr id="35" name="Straight Connector 35"/>
                <wp:cNvGraphicFramePr/>
                <a:graphic xmlns:a="http://schemas.openxmlformats.org/drawingml/2006/main">
                  <a:graphicData uri="http://schemas.microsoft.com/office/word/2010/wordprocessingShape">
                    <wps:wsp>
                      <wps:cNvCnPr/>
                      <wps:spPr>
                        <a:xfrm flipH="1">
                          <a:off x="0" y="0"/>
                          <a:ext cx="334645" cy="155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E31EF" id="Straight Connector 35"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4.25pt" to="10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" strokecolor="black [3213]" strokeweight="1pt">
                <v:stroke joinstyle="miter"/>
              </v:line>
            </w:pict>
          </mc:Fallback>
        </mc:AlternateContent>
      </w:r>
    </w:p>
    <w:p w14:paraId="7C8F94D9" w14:textId="4A9461C0" w:rsidR="00EA0BC5" w:rsidRPr="006A64AC" w:rsidRDefault="00BF5923"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44256" behindDoc="0" locked="0" layoutInCell="1" allowOverlap="1" wp14:anchorId="2D44CFEF" wp14:editId="13F4DD8E">
                <wp:simplePos x="0" y="0"/>
                <wp:positionH relativeFrom="column">
                  <wp:posOffset>323215</wp:posOffset>
                </wp:positionH>
                <wp:positionV relativeFrom="paragraph">
                  <wp:posOffset>154305</wp:posOffset>
                </wp:positionV>
                <wp:extent cx="1667510" cy="197485"/>
                <wp:effectExtent l="0" t="0" r="27940" b="1206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97485"/>
                        </a:xfrm>
                        <a:prstGeom prst="rect">
                          <a:avLst/>
                        </a:prstGeom>
                        <a:solidFill>
                          <a:srgbClr val="FFFFFF"/>
                        </a:solidFill>
                        <a:ln w="9525">
                          <a:solidFill>
                            <a:srgbClr val="000000"/>
                          </a:solidFill>
                          <a:miter lim="800000"/>
                          <a:headEnd/>
                          <a:tailEnd/>
                        </a:ln>
                      </wps:spPr>
                      <wps:txbx>
                        <w:txbxContent>
                          <w:p w14:paraId="5A267F6F" w14:textId="77777777" w:rsidR="00BF563C" w:rsidRPr="00752F81" w:rsidRDefault="00BF563C" w:rsidP="00BF5923">
                            <w:pPr>
                              <w:jc w:val="center"/>
                              <w:rPr>
                                <w:lang w:val="fr-CA"/>
                              </w:rPr>
                            </w:pPr>
                            <w:r w:rsidRPr="00752F81">
                              <w:rPr>
                                <w:lang w:val="fr-CA"/>
                              </w:rPr>
                              <w:t xml:space="preserve">À un moment précis </w:t>
                            </w:r>
                            <w:r w:rsidRPr="00752F81">
                              <w:rPr>
                                <w:b/>
                                <w:i/>
                                <w:lang w:val="fr-CA"/>
                              </w:rPr>
                              <w:t>(note 1)</w:t>
                            </w:r>
                          </w:p>
                          <w:p w14:paraId="6A0A06D9" w14:textId="77777777" w:rsidR="00BF563C" w:rsidRPr="006A64AC" w:rsidRDefault="00BF563C" w:rsidP="00EA0BC5">
                            <w:pPr>
                              <w:shd w:val="clear" w:color="auto" w:fill="BFBFBF" w:themeFill="background1" w:themeFillShade="BF"/>
                              <w:jc w:val="center"/>
                              <w:rPr>
                                <w:lang w:val="fr-CA"/>
                              </w:rPr>
                            </w:pPr>
                          </w:p>
                          <w:p w14:paraId="1DB598E3" w14:textId="77777777" w:rsidR="00BF563C" w:rsidRPr="006A64AC" w:rsidRDefault="00BF563C" w:rsidP="00EA0BC5">
                            <w:pPr>
                              <w:rPr>
                                <w:lang w:val="fr-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CFEF" id="_x0000_s1035" type="#_x0000_t202" style="position:absolute;left:0;text-align:left;margin-left:25.45pt;margin-top:12.15pt;width:131.3pt;height:15.5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">
                <v:textbox inset="0,0,0,0">
                  <w:txbxContent>
                    <w:p w14:paraId="5A267F6F" w14:textId="77777777" w:rsidR="00BF563C" w:rsidRPr="00752F81" w:rsidRDefault="00BF563C" w:rsidP="00BF5923">
                      <w:pPr>
                        <w:jc w:val="center"/>
                        <w:rPr>
                          <w:lang w:val="fr-CA"/>
                        </w:rPr>
                      </w:pPr>
                      <w:r w:rsidRPr="00752F81">
                        <w:rPr>
                          <w:lang w:val="fr-CA"/>
                        </w:rPr>
                        <w:t xml:space="preserve">À un moment précis </w:t>
                      </w:r>
                      <w:r w:rsidRPr="00752F81">
                        <w:rPr>
                          <w:b/>
                          <w:i/>
                          <w:lang w:val="fr-CA"/>
                        </w:rPr>
                        <w:t>(note 1)</w:t>
                      </w:r>
                    </w:p>
                    <w:p w14:paraId="6A0A06D9" w14:textId="77777777" w:rsidR="00BF563C" w:rsidRPr="006A64AC" w:rsidRDefault="00BF563C" w:rsidP="00EA0BC5">
                      <w:pPr>
                        <w:shd w:val="clear" w:color="auto" w:fill="BFBFBF" w:themeFill="background1" w:themeFillShade="BF"/>
                        <w:jc w:val="center"/>
                        <w:rPr>
                          <w:lang w:val="fr-CA"/>
                        </w:rPr>
                      </w:pPr>
                    </w:p>
                    <w:p w14:paraId="1DB598E3" w14:textId="77777777" w:rsidR="00BF563C" w:rsidRPr="006A64AC" w:rsidRDefault="00BF563C" w:rsidP="00EA0BC5">
                      <w:pPr>
                        <w:rPr>
                          <w:lang w:val="fr-CA"/>
                        </w:rPr>
                      </w:pPr>
                    </w:p>
                  </w:txbxContent>
                </v:textbox>
                <w10:wrap type="square"/>
              </v:shape>
            </w:pict>
          </mc:Fallback>
        </mc:AlternateContent>
      </w:r>
      <w:r w:rsidRPr="00865BA2">
        <w:rPr>
          <w:rFonts w:cstheme="minorHAnsi"/>
          <w:noProof/>
          <w:sz w:val="20"/>
          <w:szCs w:val="20"/>
          <w:lang w:eastAsia="en-CA"/>
        </w:rPr>
        <mc:AlternateContent>
          <mc:Choice Requires="wps">
            <w:drawing>
              <wp:anchor distT="45720" distB="45720" distL="114300" distR="114300" simplePos="0" relativeHeight="251761664" behindDoc="0" locked="0" layoutInCell="1" allowOverlap="1" wp14:anchorId="0C9D8AEA" wp14:editId="3976CFED">
                <wp:simplePos x="0" y="0"/>
                <wp:positionH relativeFrom="column">
                  <wp:posOffset>4566285</wp:posOffset>
                </wp:positionH>
                <wp:positionV relativeFrom="paragraph">
                  <wp:posOffset>148590</wp:posOffset>
                </wp:positionV>
                <wp:extent cx="1701165" cy="197485"/>
                <wp:effectExtent l="0" t="0" r="13335" b="1206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97485"/>
                        </a:xfrm>
                        <a:prstGeom prst="rect">
                          <a:avLst/>
                        </a:prstGeom>
                        <a:solidFill>
                          <a:srgbClr val="FFFFFF"/>
                        </a:solidFill>
                        <a:ln w="9525">
                          <a:solidFill>
                            <a:srgbClr val="000000"/>
                          </a:solidFill>
                          <a:miter lim="800000"/>
                          <a:headEnd/>
                          <a:tailEnd/>
                        </a:ln>
                      </wps:spPr>
                      <wps:txbx>
                        <w:txbxContent>
                          <w:p w14:paraId="27805E06" w14:textId="77777777" w:rsidR="00BF563C" w:rsidRPr="00752F81" w:rsidRDefault="00BF563C" w:rsidP="00BF5923">
                            <w:pPr>
                              <w:jc w:val="center"/>
                              <w:rPr>
                                <w:lang w:val="fr-CA"/>
                              </w:rPr>
                            </w:pPr>
                            <w:r w:rsidRPr="00752F81">
                              <w:rPr>
                                <w:lang w:val="fr-CA"/>
                              </w:rPr>
                              <w:t xml:space="preserve">À un moment précis </w:t>
                            </w:r>
                            <w:r w:rsidRPr="00752F81">
                              <w:rPr>
                                <w:b/>
                                <w:i/>
                                <w:lang w:val="fr-CA"/>
                              </w:rPr>
                              <w:t>(note 1)</w:t>
                            </w:r>
                          </w:p>
                          <w:p w14:paraId="0A248EED" w14:textId="77777777" w:rsidR="00BF563C" w:rsidRPr="006A64AC" w:rsidRDefault="00BF563C" w:rsidP="00EA0BC5">
                            <w:pPr>
                              <w:shd w:val="clear" w:color="auto" w:fill="BFBFBF" w:themeFill="background1" w:themeFillShade="BF"/>
                              <w:jc w:val="center"/>
                              <w:rPr>
                                <w:lang w:val="fr-CA"/>
                              </w:rPr>
                            </w:pPr>
                          </w:p>
                          <w:p w14:paraId="378BCD33" w14:textId="77777777" w:rsidR="00BF563C" w:rsidRPr="006A64AC" w:rsidRDefault="00BF563C" w:rsidP="00EA0BC5">
                            <w:pPr>
                              <w:rPr>
                                <w:lang w:val="fr-C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D8AEA" id="_x0000_s1036" type="#_x0000_t202" style="position:absolute;left:0;text-align:left;margin-left:359.55pt;margin-top:11.7pt;width:133.95pt;height:15.5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">
                <v:textbox inset="0,0,0,0">
                  <w:txbxContent>
                    <w:p w14:paraId="27805E06" w14:textId="77777777" w:rsidR="00BF563C" w:rsidRPr="00752F81" w:rsidRDefault="00BF563C" w:rsidP="00BF5923">
                      <w:pPr>
                        <w:jc w:val="center"/>
                        <w:rPr>
                          <w:lang w:val="fr-CA"/>
                        </w:rPr>
                      </w:pPr>
                      <w:r w:rsidRPr="00752F81">
                        <w:rPr>
                          <w:lang w:val="fr-CA"/>
                        </w:rPr>
                        <w:t xml:space="preserve">À un moment précis </w:t>
                      </w:r>
                      <w:r w:rsidRPr="00752F81">
                        <w:rPr>
                          <w:b/>
                          <w:i/>
                          <w:lang w:val="fr-CA"/>
                        </w:rPr>
                        <w:t>(note 1)</w:t>
                      </w:r>
                    </w:p>
                    <w:p w14:paraId="0A248EED" w14:textId="77777777" w:rsidR="00BF563C" w:rsidRPr="006A64AC" w:rsidRDefault="00BF563C" w:rsidP="00EA0BC5">
                      <w:pPr>
                        <w:shd w:val="clear" w:color="auto" w:fill="BFBFBF" w:themeFill="background1" w:themeFillShade="BF"/>
                        <w:jc w:val="center"/>
                        <w:rPr>
                          <w:lang w:val="fr-CA"/>
                        </w:rPr>
                      </w:pPr>
                    </w:p>
                    <w:p w14:paraId="378BCD33" w14:textId="77777777" w:rsidR="00BF563C" w:rsidRPr="006A64AC" w:rsidRDefault="00BF563C" w:rsidP="00EA0BC5">
                      <w:pPr>
                        <w:rPr>
                          <w:lang w:val="fr-CA"/>
                        </w:rPr>
                      </w:pPr>
                    </w:p>
                  </w:txbxContent>
                </v:textbox>
                <w10:wrap type="square"/>
              </v:shape>
            </w:pict>
          </mc:Fallback>
        </mc:AlternateContent>
      </w:r>
      <w:r w:rsidR="00EA0BC5" w:rsidRPr="00865BA2">
        <w:rPr>
          <w:rFonts w:cstheme="minorHAnsi"/>
          <w:noProof/>
          <w:sz w:val="20"/>
          <w:szCs w:val="20"/>
          <w:lang w:eastAsia="en-CA"/>
        </w:rPr>
        <mc:AlternateContent>
          <mc:Choice Requires="wps">
            <w:drawing>
              <wp:anchor distT="45720" distB="45720" distL="114300" distR="114300" simplePos="0" relativeHeight="251762688" behindDoc="0" locked="0" layoutInCell="1" allowOverlap="1" wp14:anchorId="22EE7B14" wp14:editId="60D32B0D">
                <wp:simplePos x="0" y="0"/>
                <wp:positionH relativeFrom="column">
                  <wp:posOffset>6603725</wp:posOffset>
                </wp:positionH>
                <wp:positionV relativeFrom="paragraph">
                  <wp:posOffset>150960</wp:posOffset>
                </wp:positionV>
                <wp:extent cx="1439545" cy="197485"/>
                <wp:effectExtent l="0" t="0" r="27305" b="1206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79160BF7" w14:textId="77777777" w:rsidR="00BF563C" w:rsidRPr="00DD6D5A" w:rsidRDefault="00BF563C" w:rsidP="00BF5923">
                            <w:pPr>
                              <w:jc w:val="center"/>
                            </w:pPr>
                            <w:r>
                              <w:t xml:space="preserve">Progressivement </w:t>
                            </w:r>
                            <w:r>
                              <w:rPr>
                                <w:b/>
                                <w:i/>
                              </w:rPr>
                              <w:t>(n</w:t>
                            </w:r>
                            <w:r w:rsidRPr="0041111C">
                              <w:rPr>
                                <w:b/>
                                <w:i/>
                              </w:rPr>
                              <w:t>ote</w:t>
                            </w:r>
                            <w:r>
                              <w:rPr>
                                <w:b/>
                                <w:i/>
                              </w:rPr>
                              <w:t> </w:t>
                            </w:r>
                            <w:r w:rsidRPr="0041111C">
                              <w:rPr>
                                <w:b/>
                                <w:i/>
                              </w:rPr>
                              <w:t>1)</w:t>
                            </w:r>
                          </w:p>
                          <w:p w14:paraId="69347E73" w14:textId="77777777" w:rsidR="00BF563C" w:rsidRPr="00DD6D5A" w:rsidRDefault="00BF563C" w:rsidP="00EA0BC5">
                            <w:pPr>
                              <w:shd w:val="clear" w:color="auto" w:fill="BFBFBF" w:themeFill="background1" w:themeFillShade="BF"/>
                              <w:jc w:val="center"/>
                            </w:pPr>
                          </w:p>
                          <w:p w14:paraId="1DE40282" w14:textId="77777777" w:rsidR="00BF563C" w:rsidRDefault="00BF563C" w:rsidP="00EA0BC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E7B14" id="_x0000_s1037" type="#_x0000_t202" style="position:absolute;left:0;text-align:left;margin-left:520pt;margin-top:11.9pt;width:113.35pt;height:15.5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">
                <v:textbox inset="0,0,0,0">
                  <w:txbxContent>
                    <w:p w14:paraId="79160BF7" w14:textId="77777777" w:rsidR="00BF563C" w:rsidRPr="00DD6D5A" w:rsidRDefault="00BF563C" w:rsidP="00BF5923">
                      <w:pPr>
                        <w:jc w:val="center"/>
                      </w:pPr>
                      <w:proofErr w:type="spellStart"/>
                      <w:r>
                        <w:t>Progressivement</w:t>
                      </w:r>
                      <w:proofErr w:type="spellEnd"/>
                      <w:r>
                        <w:t xml:space="preserve"> </w:t>
                      </w:r>
                      <w:r>
                        <w:rPr>
                          <w:b/>
                          <w:i/>
                        </w:rPr>
                        <w:t>(n</w:t>
                      </w:r>
                      <w:r w:rsidRPr="0041111C">
                        <w:rPr>
                          <w:b/>
                          <w:i/>
                        </w:rPr>
                        <w:t>ote</w:t>
                      </w:r>
                      <w:r>
                        <w:rPr>
                          <w:b/>
                          <w:i/>
                        </w:rPr>
                        <w:t> </w:t>
                      </w:r>
                      <w:r w:rsidRPr="0041111C">
                        <w:rPr>
                          <w:b/>
                          <w:i/>
                        </w:rPr>
                        <w:t>1)</w:t>
                      </w:r>
                    </w:p>
                    <w:p w14:paraId="69347E73" w14:textId="77777777" w:rsidR="00BF563C" w:rsidRPr="00DD6D5A" w:rsidRDefault="00BF563C" w:rsidP="00EA0BC5">
                      <w:pPr>
                        <w:shd w:val="clear" w:color="auto" w:fill="BFBFBF" w:themeFill="background1" w:themeFillShade="BF"/>
                        <w:jc w:val="center"/>
                      </w:pPr>
                    </w:p>
                    <w:p w14:paraId="1DE40282" w14:textId="77777777" w:rsidR="00BF563C" w:rsidRDefault="00BF563C" w:rsidP="00EA0BC5"/>
                  </w:txbxContent>
                </v:textbox>
                <w10:wrap type="square"/>
              </v:shape>
            </w:pict>
          </mc:Fallback>
        </mc:AlternateContent>
      </w:r>
      <w:r w:rsidR="00EA0BC5" w:rsidRPr="00865BA2">
        <w:rPr>
          <w:rFonts w:cstheme="minorHAnsi"/>
          <w:noProof/>
          <w:sz w:val="20"/>
          <w:szCs w:val="20"/>
          <w:lang w:eastAsia="en-CA"/>
        </w:rPr>
        <mc:AlternateContent>
          <mc:Choice Requires="wps">
            <w:drawing>
              <wp:anchor distT="45720" distB="45720" distL="114300" distR="114300" simplePos="0" relativeHeight="251756544" behindDoc="0" locked="0" layoutInCell="1" allowOverlap="1" wp14:anchorId="4204D39D" wp14:editId="2DD0DBD6">
                <wp:simplePos x="0" y="0"/>
                <wp:positionH relativeFrom="column">
                  <wp:posOffset>2487058</wp:posOffset>
                </wp:positionH>
                <wp:positionV relativeFrom="paragraph">
                  <wp:posOffset>154305</wp:posOffset>
                </wp:positionV>
                <wp:extent cx="1439545" cy="197485"/>
                <wp:effectExtent l="0" t="0" r="27305" b="1206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97485"/>
                        </a:xfrm>
                        <a:prstGeom prst="rect">
                          <a:avLst/>
                        </a:prstGeom>
                        <a:solidFill>
                          <a:srgbClr val="FFFFFF"/>
                        </a:solidFill>
                        <a:ln w="9525">
                          <a:solidFill>
                            <a:srgbClr val="000000"/>
                          </a:solidFill>
                          <a:miter lim="800000"/>
                          <a:headEnd/>
                          <a:tailEnd/>
                        </a:ln>
                      </wps:spPr>
                      <wps:txbx>
                        <w:txbxContent>
                          <w:p w14:paraId="21B2805E" w14:textId="77777777" w:rsidR="00BF563C" w:rsidRPr="00DD6D5A" w:rsidRDefault="00BF563C" w:rsidP="00BF5923">
                            <w:pPr>
                              <w:jc w:val="center"/>
                            </w:pPr>
                            <w:r>
                              <w:t xml:space="preserve">Progressivement </w:t>
                            </w:r>
                            <w:r>
                              <w:rPr>
                                <w:b/>
                                <w:i/>
                              </w:rPr>
                              <w:t>(n</w:t>
                            </w:r>
                            <w:r w:rsidRPr="0041111C">
                              <w:rPr>
                                <w:b/>
                                <w:i/>
                              </w:rPr>
                              <w:t>ote</w:t>
                            </w:r>
                            <w:r>
                              <w:rPr>
                                <w:b/>
                                <w:i/>
                              </w:rPr>
                              <w:t> </w:t>
                            </w:r>
                            <w:r w:rsidRPr="0041111C">
                              <w:rPr>
                                <w:b/>
                                <w:i/>
                              </w:rPr>
                              <w:t>1)</w:t>
                            </w:r>
                          </w:p>
                          <w:p w14:paraId="682E8675" w14:textId="77777777" w:rsidR="00BF563C" w:rsidRPr="00DD6D5A" w:rsidRDefault="00BF563C" w:rsidP="00EA0BC5">
                            <w:pPr>
                              <w:shd w:val="clear" w:color="auto" w:fill="BFBFBF" w:themeFill="background1" w:themeFillShade="BF"/>
                              <w:jc w:val="center"/>
                            </w:pPr>
                          </w:p>
                          <w:p w14:paraId="5BE913DD" w14:textId="77777777" w:rsidR="00BF563C" w:rsidRDefault="00BF563C" w:rsidP="00EA0BC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4D39D" id="_x0000_s1038" type="#_x0000_t202" style="position:absolute;left:0;text-align:left;margin-left:195.85pt;margin-top:12.15pt;width:113.35pt;height:15.5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">
                <v:textbox inset="0,0,0,0">
                  <w:txbxContent>
                    <w:p w14:paraId="21B2805E" w14:textId="77777777" w:rsidR="00BF563C" w:rsidRPr="00DD6D5A" w:rsidRDefault="00BF563C" w:rsidP="00BF5923">
                      <w:pPr>
                        <w:jc w:val="center"/>
                      </w:pPr>
                      <w:proofErr w:type="spellStart"/>
                      <w:r>
                        <w:t>Progressivement</w:t>
                      </w:r>
                      <w:proofErr w:type="spellEnd"/>
                      <w:r>
                        <w:t xml:space="preserve"> </w:t>
                      </w:r>
                      <w:r>
                        <w:rPr>
                          <w:b/>
                          <w:i/>
                        </w:rPr>
                        <w:t>(n</w:t>
                      </w:r>
                      <w:r w:rsidRPr="0041111C">
                        <w:rPr>
                          <w:b/>
                          <w:i/>
                        </w:rPr>
                        <w:t>ote</w:t>
                      </w:r>
                      <w:r>
                        <w:rPr>
                          <w:b/>
                          <w:i/>
                        </w:rPr>
                        <w:t> </w:t>
                      </w:r>
                      <w:r w:rsidRPr="0041111C">
                        <w:rPr>
                          <w:b/>
                          <w:i/>
                        </w:rPr>
                        <w:t>1)</w:t>
                      </w:r>
                    </w:p>
                    <w:p w14:paraId="682E8675" w14:textId="77777777" w:rsidR="00BF563C" w:rsidRPr="00DD6D5A" w:rsidRDefault="00BF563C" w:rsidP="00EA0BC5">
                      <w:pPr>
                        <w:shd w:val="clear" w:color="auto" w:fill="BFBFBF" w:themeFill="background1" w:themeFillShade="BF"/>
                        <w:jc w:val="center"/>
                      </w:pPr>
                    </w:p>
                    <w:p w14:paraId="5BE913DD" w14:textId="77777777" w:rsidR="00BF563C" w:rsidRDefault="00BF563C" w:rsidP="00EA0BC5"/>
                  </w:txbxContent>
                </v:textbox>
                <w10:wrap type="square"/>
              </v:shape>
            </w:pict>
          </mc:Fallback>
        </mc:AlternateContent>
      </w:r>
    </w:p>
    <w:p w14:paraId="2B4E4A03" w14:textId="2AB9E83E" w:rsidR="00EA0BC5" w:rsidRPr="006A64AC" w:rsidRDefault="00BF5923"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55520" behindDoc="0" locked="0" layoutInCell="1" allowOverlap="1" wp14:anchorId="63BC71F1" wp14:editId="65C7ADB6">
                <wp:simplePos x="0" y="0"/>
                <wp:positionH relativeFrom="column">
                  <wp:posOffset>2265680</wp:posOffset>
                </wp:positionH>
                <wp:positionV relativeFrom="paragraph">
                  <wp:posOffset>230505</wp:posOffset>
                </wp:positionV>
                <wp:extent cx="2265680" cy="1231900"/>
                <wp:effectExtent l="0" t="0" r="20320"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231900"/>
                        </a:xfrm>
                        <a:prstGeom prst="rect">
                          <a:avLst/>
                        </a:prstGeom>
                        <a:solidFill>
                          <a:schemeClr val="accent1">
                            <a:lumMod val="20000"/>
                            <a:lumOff val="80000"/>
                          </a:schemeClr>
                        </a:solidFill>
                        <a:ln w="9525">
                          <a:solidFill>
                            <a:srgbClr val="000000"/>
                          </a:solidFill>
                          <a:miter lim="800000"/>
                          <a:headEnd/>
                          <a:tailEnd/>
                        </a:ln>
                      </wps:spPr>
                      <wps:txbx>
                        <w:txbxContent>
                          <w:p w14:paraId="13E47FB0" w14:textId="77777777" w:rsidR="00BF563C" w:rsidRPr="00F45AA3" w:rsidRDefault="00BF563C" w:rsidP="00BF5923">
                            <w:pPr>
                              <w:pStyle w:val="NoSpacing"/>
                              <w:jc w:val="center"/>
                              <w:rPr>
                                <w:lang w:val="fr-CA"/>
                              </w:rPr>
                            </w:pPr>
                            <w:r>
                              <w:rPr>
                                <w:lang w:val="fr-CA"/>
                              </w:rPr>
                              <w:t xml:space="preserve">Utiliser la procédure </w:t>
                            </w:r>
                            <w:r w:rsidRPr="00F45AA3">
                              <w:rPr>
                                <w:lang w:val="fr-CA"/>
                              </w:rPr>
                              <w:t xml:space="preserve"> </w:t>
                            </w:r>
                          </w:p>
                          <w:p w14:paraId="28A1564E" w14:textId="72F7D4D2" w:rsidR="00BF563C" w:rsidRPr="006A64AC" w:rsidRDefault="00BF563C" w:rsidP="00EA0BC5">
                            <w:pPr>
                              <w:pStyle w:val="NoSpacing"/>
                              <w:jc w:val="center"/>
                              <w:rPr>
                                <w:b/>
                                <w:sz w:val="20"/>
                                <w:szCs w:val="20"/>
                                <w:lang w:val="fr-CA"/>
                              </w:rPr>
                            </w:pPr>
                            <w:r>
                              <w:rPr>
                                <w:b/>
                                <w:i/>
                                <w:sz w:val="20"/>
                                <w:szCs w:val="20"/>
                                <w:lang w:val="fr-CA"/>
                              </w:rPr>
                              <w:t>« T</w:t>
                            </w:r>
                            <w:r w:rsidRPr="006A64AC">
                              <w:rPr>
                                <w:b/>
                                <w:i/>
                                <w:sz w:val="20"/>
                                <w:szCs w:val="20"/>
                                <w:lang w:val="fr-CA"/>
                              </w:rPr>
                              <w:t>ester les opérations génératrices de produits (Étapes 1 à 5) — Obligation de prestation distincte (ou série de biens ou de services distincts) remplie progressivement – [Type de produit]</w:t>
                            </w:r>
                            <w:r>
                              <w:rPr>
                                <w:b/>
                                <w:i/>
                                <w:sz w:val="20"/>
                                <w:szCs w:val="20"/>
                                <w:lang w:val="fr-CA"/>
                              </w:rPr>
                              <w:t xml:space="preserve"> (CAS 540) »</w:t>
                            </w:r>
                          </w:p>
                          <w:p w14:paraId="5078AD20" w14:textId="77777777" w:rsidR="00BF563C" w:rsidRPr="006A64AC" w:rsidRDefault="00BF563C" w:rsidP="00EA0BC5">
                            <w:pPr>
                              <w:pStyle w:val="NoSpacing"/>
                              <w:rPr>
                                <w:lang w:val="fr-CA"/>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BC71F1" id="_x0000_s1039" type="#_x0000_t202" style="position:absolute;left:0;text-align:left;margin-left:178.4pt;margin-top:18.15pt;width:178.4pt;height:9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" fillcolor="#deeaf6 [660]">
                <v:textbox inset="0,0,0,0">
                  <w:txbxContent>
                    <w:p w14:paraId="13E47FB0" w14:textId="77777777" w:rsidR="00BF563C" w:rsidRPr="00F45AA3" w:rsidRDefault="00BF563C" w:rsidP="00BF5923">
                      <w:pPr>
                        <w:pStyle w:val="NoSpacing"/>
                        <w:jc w:val="center"/>
                        <w:rPr>
                          <w:lang w:val="fr-CA"/>
                        </w:rPr>
                      </w:pPr>
                      <w:r>
                        <w:rPr>
                          <w:lang w:val="fr-CA"/>
                        </w:rPr>
                        <w:t xml:space="preserve">Utiliser la procédure </w:t>
                      </w:r>
                      <w:r w:rsidRPr="00F45AA3">
                        <w:rPr>
                          <w:lang w:val="fr-CA"/>
                        </w:rPr>
                        <w:t xml:space="preserve"> </w:t>
                      </w:r>
                    </w:p>
                    <w:p w14:paraId="28A1564E" w14:textId="72F7D4D2" w:rsidR="00BF563C" w:rsidRPr="006A64AC" w:rsidRDefault="00BF563C" w:rsidP="00EA0BC5">
                      <w:pPr>
                        <w:pStyle w:val="NoSpacing"/>
                        <w:jc w:val="center"/>
                        <w:rPr>
                          <w:b/>
                          <w:sz w:val="20"/>
                          <w:szCs w:val="20"/>
                          <w:lang w:val="fr-CA"/>
                        </w:rPr>
                      </w:pPr>
                      <w:r>
                        <w:rPr>
                          <w:b/>
                          <w:i/>
                          <w:sz w:val="20"/>
                          <w:szCs w:val="20"/>
                          <w:lang w:val="fr-CA"/>
                        </w:rPr>
                        <w:t>« T</w:t>
                      </w:r>
                      <w:r w:rsidRPr="006A64AC">
                        <w:rPr>
                          <w:b/>
                          <w:i/>
                          <w:sz w:val="20"/>
                          <w:szCs w:val="20"/>
                          <w:lang w:val="fr-CA"/>
                        </w:rPr>
                        <w:t>ester les opérations génératrices de produits (Étapes 1 à 5) — Obligation de prestation distincte (ou série de biens ou de services distincts) remplie progressivement – [Type de produit]</w:t>
                      </w:r>
                      <w:r>
                        <w:rPr>
                          <w:b/>
                          <w:i/>
                          <w:sz w:val="20"/>
                          <w:szCs w:val="20"/>
                          <w:lang w:val="fr-CA"/>
                        </w:rPr>
                        <w:t xml:space="preserve"> (CAS 540) »</w:t>
                      </w:r>
                    </w:p>
                    <w:p w14:paraId="5078AD20" w14:textId="77777777" w:rsidR="00BF563C" w:rsidRPr="006A64AC" w:rsidRDefault="00BF563C" w:rsidP="00EA0BC5">
                      <w:pPr>
                        <w:pStyle w:val="NoSpacing"/>
                        <w:rPr>
                          <w:lang w:val="fr-CA"/>
                        </w:rPr>
                      </w:pPr>
                    </w:p>
                  </w:txbxContent>
                </v:textbox>
                <w10:wrap type="square"/>
              </v:shap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67808" behindDoc="0" locked="0" layoutInCell="1" allowOverlap="1" wp14:anchorId="78ED4DD9" wp14:editId="42D071E5">
                <wp:simplePos x="0" y="0"/>
                <wp:positionH relativeFrom="column">
                  <wp:posOffset>7265936</wp:posOffset>
                </wp:positionH>
                <wp:positionV relativeFrom="paragraph">
                  <wp:posOffset>166370</wp:posOffset>
                </wp:positionV>
                <wp:extent cx="334645" cy="155575"/>
                <wp:effectExtent l="0" t="0" r="27305" b="34925"/>
                <wp:wrapNone/>
                <wp:docPr id="56" name="Straight Connector 56"/>
                <wp:cNvGraphicFramePr/>
                <a:graphic xmlns:a="http://schemas.openxmlformats.org/drawingml/2006/main">
                  <a:graphicData uri="http://schemas.microsoft.com/office/word/2010/wordprocessingShape">
                    <wps:wsp>
                      <wps:cNvCnPr/>
                      <wps:spPr>
                        <a:xfrm flipH="1">
                          <a:off x="0" y="0"/>
                          <a:ext cx="334645" cy="155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CAC29" id="Straight Connector 56"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1pt,13.1pt" to="598.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" strokecolor="black [3213]" strokeweight="1pt">
                <v:stroke joinstyle="miter"/>
              </v:lin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66784" behindDoc="0" locked="0" layoutInCell="1" allowOverlap="1" wp14:anchorId="51AE45F7" wp14:editId="25BF0487">
                <wp:simplePos x="0" y="0"/>
                <wp:positionH relativeFrom="column">
                  <wp:posOffset>5311623</wp:posOffset>
                </wp:positionH>
                <wp:positionV relativeFrom="paragraph">
                  <wp:posOffset>166000</wp:posOffset>
                </wp:positionV>
                <wp:extent cx="303291" cy="158115"/>
                <wp:effectExtent l="0" t="0" r="20955" b="32385"/>
                <wp:wrapNone/>
                <wp:docPr id="55" name="Straight Connector 55"/>
                <wp:cNvGraphicFramePr/>
                <a:graphic xmlns:a="http://schemas.openxmlformats.org/drawingml/2006/main">
                  <a:graphicData uri="http://schemas.microsoft.com/office/word/2010/wordprocessingShape">
                    <wps:wsp>
                      <wps:cNvCnPr/>
                      <wps:spPr>
                        <a:xfrm flipH="1" flipV="1">
                          <a:off x="0" y="0"/>
                          <a:ext cx="303291" cy="158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E077E" id="Straight Connector 55"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25pt,13.05pt" to="44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" strokecolor="black [3213]" strokeweight="1pt">
                <v:stroke joinstyle="miter"/>
              </v:lin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59616" behindDoc="0" locked="0" layoutInCell="1" allowOverlap="1" wp14:anchorId="2C1D62D2" wp14:editId="7E64D978">
                <wp:simplePos x="0" y="0"/>
                <wp:positionH relativeFrom="column">
                  <wp:posOffset>3193074</wp:posOffset>
                </wp:positionH>
                <wp:positionV relativeFrom="paragraph">
                  <wp:posOffset>163669</wp:posOffset>
                </wp:positionV>
                <wp:extent cx="0" cy="68239"/>
                <wp:effectExtent l="0" t="0" r="19050" b="27305"/>
                <wp:wrapNone/>
                <wp:docPr id="37" name="Straight Connector 37"/>
                <wp:cNvGraphicFramePr/>
                <a:graphic xmlns:a="http://schemas.openxmlformats.org/drawingml/2006/main">
                  <a:graphicData uri="http://schemas.microsoft.com/office/word/2010/wordprocessingShape">
                    <wps:wsp>
                      <wps:cNvCnPr/>
                      <wps:spPr>
                        <a:xfrm>
                          <a:off x="0" y="0"/>
                          <a:ext cx="0" cy="682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FAA04" id="Straight Connector 3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4pt,12.9pt" to="251.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" strokecolor="black [3213]" strokeweight="1pt">
                <v:stroke joinstyle="miter"/>
              </v:line>
            </w:pict>
          </mc:Fallback>
        </mc:AlternateContent>
      </w:r>
      <w:r w:rsidR="00EA0BC5" w:rsidRPr="00865BA2">
        <w:rPr>
          <w:rFonts w:cstheme="minorHAnsi"/>
          <w:b/>
          <w:bCs/>
          <w:noProof/>
          <w:sz w:val="24"/>
          <w:szCs w:val="24"/>
          <w:lang w:eastAsia="en-CA"/>
        </w:rPr>
        <mc:AlternateContent>
          <mc:Choice Requires="wps">
            <w:drawing>
              <wp:anchor distT="0" distB="0" distL="114300" distR="114300" simplePos="0" relativeHeight="251747328" behindDoc="0" locked="0" layoutInCell="1" allowOverlap="1" wp14:anchorId="7DF7BFDC" wp14:editId="24885116">
                <wp:simplePos x="0" y="0"/>
                <wp:positionH relativeFrom="column">
                  <wp:posOffset>1241586</wp:posOffset>
                </wp:positionH>
                <wp:positionV relativeFrom="paragraph">
                  <wp:posOffset>163830</wp:posOffset>
                </wp:positionV>
                <wp:extent cx="0" cy="68239"/>
                <wp:effectExtent l="0" t="0" r="19050" b="27305"/>
                <wp:wrapNone/>
                <wp:docPr id="29" name="Straight Connector 46"/>
                <wp:cNvGraphicFramePr/>
                <a:graphic xmlns:a="http://schemas.openxmlformats.org/drawingml/2006/main">
                  <a:graphicData uri="http://schemas.microsoft.com/office/word/2010/wordprocessingShape">
                    <wps:wsp>
                      <wps:cNvCnPr/>
                      <wps:spPr>
                        <a:xfrm>
                          <a:off x="0" y="0"/>
                          <a:ext cx="0" cy="682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60756" id="Straight Connector 4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12.9pt" to="9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" strokecolor="black [3213]" strokeweight="1pt">
                <v:stroke joinstyle="miter"/>
              </v:line>
            </w:pict>
          </mc:Fallback>
        </mc:AlternateContent>
      </w:r>
    </w:p>
    <w:p w14:paraId="757A0E42" w14:textId="5FDFE0A4" w:rsidR="00EA0BC5" w:rsidRPr="006A64AC" w:rsidRDefault="00BF5923" w:rsidP="00EA0BC5">
      <w:pPr>
        <w:autoSpaceDE w:val="0"/>
        <w:autoSpaceDN w:val="0"/>
        <w:adjustRightInd w:val="0"/>
        <w:spacing w:after="0" w:line="240" w:lineRule="auto"/>
        <w:jc w:val="center"/>
        <w:rPr>
          <w:rFonts w:cstheme="minorHAnsi"/>
          <w:b/>
          <w:bCs/>
          <w:sz w:val="24"/>
          <w:szCs w:val="24"/>
          <w:lang w:val="fr-CA"/>
        </w:rPr>
      </w:pPr>
      <w:r w:rsidRPr="00473B58">
        <w:rPr>
          <w:rFonts w:cstheme="minorHAnsi"/>
          <w:noProof/>
          <w:sz w:val="20"/>
          <w:szCs w:val="20"/>
          <w:lang w:eastAsia="en-CA"/>
        </w:rPr>
        <mc:AlternateContent>
          <mc:Choice Requires="wps">
            <w:drawing>
              <wp:anchor distT="45720" distB="45720" distL="114300" distR="114300" simplePos="0" relativeHeight="251745280" behindDoc="0" locked="0" layoutInCell="1" allowOverlap="1" wp14:anchorId="035DA38A" wp14:editId="391C25A0">
                <wp:simplePos x="0" y="0"/>
                <wp:positionH relativeFrom="column">
                  <wp:posOffset>395605</wp:posOffset>
                </wp:positionH>
                <wp:positionV relativeFrom="paragraph">
                  <wp:posOffset>44450</wp:posOffset>
                </wp:positionV>
                <wp:extent cx="1780540" cy="1187450"/>
                <wp:effectExtent l="0" t="0" r="1016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187450"/>
                        </a:xfrm>
                        <a:prstGeom prst="rect">
                          <a:avLst/>
                        </a:prstGeom>
                        <a:solidFill>
                          <a:schemeClr val="accent1">
                            <a:lumMod val="20000"/>
                            <a:lumOff val="80000"/>
                          </a:schemeClr>
                        </a:solidFill>
                        <a:ln w="9525">
                          <a:solidFill>
                            <a:srgbClr val="000000"/>
                          </a:solidFill>
                          <a:miter lim="800000"/>
                          <a:headEnd/>
                          <a:tailEnd/>
                        </a:ln>
                      </wps:spPr>
                      <wps:txbx>
                        <w:txbxContent>
                          <w:p w14:paraId="69444C2E" w14:textId="77777777" w:rsidR="00BF563C" w:rsidRPr="00F45AA3" w:rsidRDefault="00BF563C" w:rsidP="00BF5923">
                            <w:pPr>
                              <w:pStyle w:val="NoSpacing"/>
                              <w:jc w:val="center"/>
                              <w:rPr>
                                <w:lang w:val="fr-CA"/>
                              </w:rPr>
                            </w:pPr>
                            <w:r>
                              <w:rPr>
                                <w:lang w:val="fr-CA"/>
                              </w:rPr>
                              <w:t xml:space="preserve">Utiliser la procédure </w:t>
                            </w:r>
                            <w:r w:rsidRPr="00F45AA3">
                              <w:rPr>
                                <w:lang w:val="fr-CA"/>
                              </w:rPr>
                              <w:t xml:space="preserve"> </w:t>
                            </w:r>
                          </w:p>
                          <w:p w14:paraId="7C2B8242" w14:textId="7CE0178E" w:rsidR="00BF563C" w:rsidRPr="00F45AA3" w:rsidRDefault="00BF563C" w:rsidP="00BF5923">
                            <w:pPr>
                              <w:pStyle w:val="NoSpacing"/>
                              <w:jc w:val="center"/>
                              <w:rPr>
                                <w:lang w:val="fr-CA"/>
                              </w:rPr>
                            </w:pPr>
                            <w:r>
                              <w:rPr>
                                <w:b/>
                                <w:i/>
                                <w:lang w:val="fr-CA"/>
                              </w:rPr>
                              <w:t>« </w:t>
                            </w:r>
                            <w:r w:rsidRPr="00F45AA3">
                              <w:rPr>
                                <w:b/>
                                <w:i/>
                                <w:lang w:val="fr-CA"/>
                              </w:rPr>
                              <w:t>Tester les opérations génératrices de produits (Étapes</w:t>
                            </w:r>
                            <w:r>
                              <w:rPr>
                                <w:b/>
                                <w:i/>
                                <w:lang w:val="fr-CA"/>
                              </w:rPr>
                              <w:t> </w:t>
                            </w:r>
                            <w:r w:rsidRPr="00F45AA3">
                              <w:rPr>
                                <w:b/>
                                <w:i/>
                                <w:lang w:val="fr-CA"/>
                              </w:rPr>
                              <w:t xml:space="preserve">1 à 5) </w:t>
                            </w:r>
                            <w:r>
                              <w:rPr>
                                <w:b/>
                                <w:i/>
                                <w:lang w:val="fr-CA"/>
                              </w:rPr>
                              <w:t>—</w:t>
                            </w:r>
                            <w:r w:rsidRPr="00F45AA3">
                              <w:rPr>
                                <w:b/>
                                <w:i/>
                                <w:lang w:val="fr-CA"/>
                              </w:rPr>
                              <w:t xml:space="preserve"> Obligation de prestation distincte remplie à un moment précis </w:t>
                            </w:r>
                            <w:r>
                              <w:rPr>
                                <w:b/>
                                <w:i/>
                                <w:lang w:val="fr-CA"/>
                              </w:rPr>
                              <w:t xml:space="preserve">— </w:t>
                            </w:r>
                            <w:r w:rsidRPr="00F45AA3">
                              <w:rPr>
                                <w:b/>
                                <w:i/>
                                <w:lang w:val="fr-CA"/>
                              </w:rPr>
                              <w:t>[Type de produit]</w:t>
                            </w:r>
                            <w:r>
                              <w:rPr>
                                <w:b/>
                                <w:i/>
                                <w:lang w:val="fr-CA"/>
                              </w:rPr>
                              <w:t xml:space="preserve"> (NCA 540) »</w:t>
                            </w:r>
                          </w:p>
                          <w:p w14:paraId="66CA223A" w14:textId="77777777" w:rsidR="00BF563C" w:rsidRPr="006A64AC" w:rsidRDefault="00BF563C" w:rsidP="00EA0BC5">
                            <w:pPr>
                              <w:pStyle w:val="NoSpacing"/>
                              <w:rPr>
                                <w:lang w:val="fr-CA"/>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5DA38A" id="_x0000_s1040" type="#_x0000_t202" style="position:absolute;left:0;text-align:left;margin-left:31.15pt;margin-top:3.5pt;width:140.2pt;height:9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" fillcolor="#deeaf6 [660]">
                <v:textbox inset="0,0,0,0">
                  <w:txbxContent>
                    <w:p w14:paraId="69444C2E" w14:textId="77777777" w:rsidR="00BF563C" w:rsidRPr="00F45AA3" w:rsidRDefault="00BF563C" w:rsidP="00BF5923">
                      <w:pPr>
                        <w:pStyle w:val="NoSpacing"/>
                        <w:jc w:val="center"/>
                        <w:rPr>
                          <w:lang w:val="fr-CA"/>
                        </w:rPr>
                      </w:pPr>
                      <w:r>
                        <w:rPr>
                          <w:lang w:val="fr-CA"/>
                        </w:rPr>
                        <w:t xml:space="preserve">Utiliser la procédure </w:t>
                      </w:r>
                      <w:r w:rsidRPr="00F45AA3">
                        <w:rPr>
                          <w:lang w:val="fr-CA"/>
                        </w:rPr>
                        <w:t xml:space="preserve"> </w:t>
                      </w:r>
                    </w:p>
                    <w:p w14:paraId="7C2B8242" w14:textId="7CE0178E" w:rsidR="00BF563C" w:rsidRPr="00F45AA3" w:rsidRDefault="00BF563C" w:rsidP="00BF5923">
                      <w:pPr>
                        <w:pStyle w:val="NoSpacing"/>
                        <w:jc w:val="center"/>
                        <w:rPr>
                          <w:lang w:val="fr-CA"/>
                        </w:rPr>
                      </w:pPr>
                      <w:r>
                        <w:rPr>
                          <w:b/>
                          <w:i/>
                          <w:lang w:val="fr-CA"/>
                        </w:rPr>
                        <w:t>« </w:t>
                      </w:r>
                      <w:r w:rsidRPr="00F45AA3">
                        <w:rPr>
                          <w:b/>
                          <w:i/>
                          <w:lang w:val="fr-CA"/>
                        </w:rPr>
                        <w:t>Tester les opérations génératrices de produits (Étapes</w:t>
                      </w:r>
                      <w:r>
                        <w:rPr>
                          <w:b/>
                          <w:i/>
                          <w:lang w:val="fr-CA"/>
                        </w:rPr>
                        <w:t> </w:t>
                      </w:r>
                      <w:r w:rsidRPr="00F45AA3">
                        <w:rPr>
                          <w:b/>
                          <w:i/>
                          <w:lang w:val="fr-CA"/>
                        </w:rPr>
                        <w:t xml:space="preserve">1 à 5) </w:t>
                      </w:r>
                      <w:r>
                        <w:rPr>
                          <w:b/>
                          <w:i/>
                          <w:lang w:val="fr-CA"/>
                        </w:rPr>
                        <w:t>—</w:t>
                      </w:r>
                      <w:r w:rsidRPr="00F45AA3">
                        <w:rPr>
                          <w:b/>
                          <w:i/>
                          <w:lang w:val="fr-CA"/>
                        </w:rPr>
                        <w:t xml:space="preserve"> Obligation de prestation distincte remplie à un moment précis </w:t>
                      </w:r>
                      <w:r>
                        <w:rPr>
                          <w:b/>
                          <w:i/>
                          <w:lang w:val="fr-CA"/>
                        </w:rPr>
                        <w:t xml:space="preserve">— </w:t>
                      </w:r>
                      <w:r w:rsidRPr="00F45AA3">
                        <w:rPr>
                          <w:b/>
                          <w:i/>
                          <w:lang w:val="fr-CA"/>
                        </w:rPr>
                        <w:t>[Type de produit]</w:t>
                      </w:r>
                      <w:r>
                        <w:rPr>
                          <w:b/>
                          <w:i/>
                          <w:lang w:val="fr-CA"/>
                        </w:rPr>
                        <w:t xml:space="preserve"> (</w:t>
                      </w:r>
                      <w:proofErr w:type="spellStart"/>
                      <w:r>
                        <w:rPr>
                          <w:b/>
                          <w:i/>
                          <w:lang w:val="fr-CA"/>
                        </w:rPr>
                        <w:t>NCA</w:t>
                      </w:r>
                      <w:proofErr w:type="spellEnd"/>
                      <w:r>
                        <w:rPr>
                          <w:b/>
                          <w:i/>
                          <w:lang w:val="fr-CA"/>
                        </w:rPr>
                        <w:t xml:space="preserve"> 540) »</w:t>
                      </w:r>
                    </w:p>
                    <w:p w14:paraId="66CA223A" w14:textId="77777777" w:rsidR="00BF563C" w:rsidRPr="006A64AC" w:rsidRDefault="00BF563C" w:rsidP="00EA0BC5">
                      <w:pPr>
                        <w:pStyle w:val="NoSpacing"/>
                        <w:rPr>
                          <w:lang w:val="fr-CA"/>
                        </w:rPr>
                      </w:pPr>
                    </w:p>
                  </w:txbxContent>
                </v:textbox>
                <w10:wrap type="square"/>
              </v:shape>
            </w:pict>
          </mc:Fallback>
        </mc:AlternateContent>
      </w:r>
      <w:r w:rsidR="00EA0BC5" w:rsidRPr="00865BA2">
        <w:rPr>
          <w:rFonts w:cstheme="minorHAnsi"/>
          <w:noProof/>
          <w:sz w:val="20"/>
          <w:szCs w:val="20"/>
          <w:lang w:eastAsia="en-CA"/>
        </w:rPr>
        <mc:AlternateContent>
          <mc:Choice Requires="wps">
            <w:drawing>
              <wp:anchor distT="45720" distB="45720" distL="114300" distR="114300" simplePos="0" relativeHeight="251746304" behindDoc="0" locked="0" layoutInCell="1" allowOverlap="1" wp14:anchorId="1C9B7DB4" wp14:editId="7B2793F9">
                <wp:simplePos x="0" y="0"/>
                <wp:positionH relativeFrom="column">
                  <wp:posOffset>5617845</wp:posOffset>
                </wp:positionH>
                <wp:positionV relativeFrom="paragraph">
                  <wp:posOffset>43180</wp:posOffset>
                </wp:positionV>
                <wp:extent cx="1650365" cy="1076960"/>
                <wp:effectExtent l="0" t="0" r="26035"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076960"/>
                        </a:xfrm>
                        <a:prstGeom prst="rect">
                          <a:avLst/>
                        </a:prstGeom>
                        <a:solidFill>
                          <a:schemeClr val="accent1">
                            <a:lumMod val="20000"/>
                            <a:lumOff val="80000"/>
                          </a:schemeClr>
                        </a:solidFill>
                        <a:ln w="9525">
                          <a:solidFill>
                            <a:srgbClr val="000000"/>
                          </a:solidFill>
                          <a:miter lim="800000"/>
                          <a:headEnd/>
                          <a:tailEnd/>
                        </a:ln>
                      </wps:spPr>
                      <wps:txbx>
                        <w:txbxContent>
                          <w:p w14:paraId="39646819" w14:textId="77777777" w:rsidR="00BF563C" w:rsidRDefault="00BF563C" w:rsidP="00EA0BC5">
                            <w:pPr>
                              <w:pStyle w:val="NoSpacing"/>
                              <w:jc w:val="center"/>
                            </w:pPr>
                          </w:p>
                          <w:p w14:paraId="2EF2EB56" w14:textId="77777777" w:rsidR="00BF563C" w:rsidRPr="00865BA2" w:rsidRDefault="00BF563C" w:rsidP="00BF5923">
                            <w:pPr>
                              <w:pStyle w:val="NoSpacing"/>
                              <w:jc w:val="center"/>
                              <w:rPr>
                                <w:lang w:val="fr-CA"/>
                              </w:rPr>
                            </w:pPr>
                            <w:r w:rsidRPr="00865BA2">
                              <w:rPr>
                                <w:lang w:val="fr-CA"/>
                              </w:rPr>
                              <w:t xml:space="preserve">Utiliser la procédure  </w:t>
                            </w:r>
                          </w:p>
                          <w:p w14:paraId="383B1CD5" w14:textId="3F0177B6" w:rsidR="00BF563C" w:rsidRPr="00752F81" w:rsidRDefault="00BF563C" w:rsidP="00BF5923">
                            <w:pPr>
                              <w:pStyle w:val="NoSpacing"/>
                              <w:jc w:val="center"/>
                              <w:rPr>
                                <w:lang w:val="fr-CA"/>
                              </w:rPr>
                            </w:pPr>
                            <w:r w:rsidRPr="00865BA2">
                              <w:rPr>
                                <w:b/>
                                <w:i/>
                                <w:lang w:val="fr-CA"/>
                              </w:rPr>
                              <w:t xml:space="preserve"> </w:t>
                            </w:r>
                            <w:r>
                              <w:rPr>
                                <w:b/>
                                <w:i/>
                                <w:lang w:val="fr-CA"/>
                              </w:rPr>
                              <w:t>« </w:t>
                            </w:r>
                            <w:r w:rsidRPr="00865BA2">
                              <w:rPr>
                                <w:b/>
                                <w:i/>
                                <w:lang w:val="fr-CA"/>
                              </w:rPr>
                              <w:t>Tester les opérations génératrices de produits</w:t>
                            </w:r>
                            <w:r>
                              <w:rPr>
                                <w:b/>
                                <w:i/>
                                <w:lang w:val="fr-CA"/>
                              </w:rPr>
                              <w:t> </w:t>
                            </w:r>
                            <w:r w:rsidRPr="00865BA2">
                              <w:rPr>
                                <w:b/>
                                <w:i/>
                                <w:lang w:val="fr-CA"/>
                              </w:rPr>
                              <w:t>(Étapes 1 à 5) (NCA 540)</w:t>
                            </w:r>
                            <w:r>
                              <w:rPr>
                                <w:b/>
                                <w:i/>
                                <w:lang w:val="fr-CA"/>
                              </w:rPr>
                              <w:t> » </w:t>
                            </w:r>
                          </w:p>
                          <w:p w14:paraId="186BDE39" w14:textId="77777777" w:rsidR="00BF563C" w:rsidRPr="006A64AC" w:rsidRDefault="00BF563C" w:rsidP="00EA0BC5">
                            <w:pPr>
                              <w:pStyle w:val="NoSpacing"/>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B7DB4" id="_x0000_s1041" type="#_x0000_t202" style="position:absolute;left:0;text-align:left;margin-left:442.35pt;margin-top:3.4pt;width:129.95pt;height:84.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" fillcolor="#deeaf6 [660]">
                <v:textbox>
                  <w:txbxContent>
                    <w:p w14:paraId="39646819" w14:textId="77777777" w:rsidR="00BF563C" w:rsidRDefault="00BF563C" w:rsidP="00EA0BC5">
                      <w:pPr>
                        <w:pStyle w:val="NoSpacing"/>
                        <w:jc w:val="center"/>
                      </w:pPr>
                    </w:p>
                    <w:p w14:paraId="2EF2EB56" w14:textId="77777777" w:rsidR="00BF563C" w:rsidRPr="00865BA2" w:rsidRDefault="00BF563C" w:rsidP="00BF5923">
                      <w:pPr>
                        <w:pStyle w:val="NoSpacing"/>
                        <w:jc w:val="center"/>
                        <w:rPr>
                          <w:lang w:val="fr-CA"/>
                        </w:rPr>
                      </w:pPr>
                      <w:r w:rsidRPr="00865BA2">
                        <w:rPr>
                          <w:lang w:val="fr-CA"/>
                        </w:rPr>
                        <w:t xml:space="preserve">Utiliser la procédure  </w:t>
                      </w:r>
                    </w:p>
                    <w:p w14:paraId="383B1CD5" w14:textId="3F0177B6" w:rsidR="00BF563C" w:rsidRPr="00752F81" w:rsidRDefault="00BF563C" w:rsidP="00BF5923">
                      <w:pPr>
                        <w:pStyle w:val="NoSpacing"/>
                        <w:jc w:val="center"/>
                        <w:rPr>
                          <w:lang w:val="fr-CA"/>
                        </w:rPr>
                      </w:pPr>
                      <w:r w:rsidRPr="00865BA2">
                        <w:rPr>
                          <w:b/>
                          <w:i/>
                          <w:lang w:val="fr-CA"/>
                        </w:rPr>
                        <w:t xml:space="preserve"> </w:t>
                      </w:r>
                      <w:r>
                        <w:rPr>
                          <w:b/>
                          <w:i/>
                          <w:lang w:val="fr-CA"/>
                        </w:rPr>
                        <w:t>« </w:t>
                      </w:r>
                      <w:r w:rsidRPr="00865BA2">
                        <w:rPr>
                          <w:b/>
                          <w:i/>
                          <w:lang w:val="fr-CA"/>
                        </w:rPr>
                        <w:t>Tester les opérations génératrices de produits</w:t>
                      </w:r>
                      <w:r>
                        <w:rPr>
                          <w:b/>
                          <w:i/>
                          <w:lang w:val="fr-CA"/>
                        </w:rPr>
                        <w:t> </w:t>
                      </w:r>
                      <w:r w:rsidRPr="00865BA2">
                        <w:rPr>
                          <w:b/>
                          <w:i/>
                          <w:lang w:val="fr-CA"/>
                        </w:rPr>
                        <w:t>(Étapes 1 à 5) (</w:t>
                      </w:r>
                      <w:proofErr w:type="spellStart"/>
                      <w:r w:rsidRPr="00865BA2">
                        <w:rPr>
                          <w:b/>
                          <w:i/>
                          <w:lang w:val="fr-CA"/>
                        </w:rPr>
                        <w:t>NCA</w:t>
                      </w:r>
                      <w:proofErr w:type="spellEnd"/>
                      <w:r w:rsidRPr="00865BA2">
                        <w:rPr>
                          <w:b/>
                          <w:i/>
                          <w:lang w:val="fr-CA"/>
                        </w:rPr>
                        <w:t> 540)</w:t>
                      </w:r>
                      <w:r>
                        <w:rPr>
                          <w:b/>
                          <w:i/>
                          <w:lang w:val="fr-CA"/>
                        </w:rPr>
                        <w:t> » </w:t>
                      </w:r>
                    </w:p>
                    <w:p w14:paraId="186BDE39" w14:textId="77777777" w:rsidR="00BF563C" w:rsidRPr="006A64AC" w:rsidRDefault="00BF563C" w:rsidP="00EA0BC5">
                      <w:pPr>
                        <w:pStyle w:val="NoSpacing"/>
                        <w:rPr>
                          <w:lang w:val="fr-CA"/>
                        </w:rPr>
                      </w:pPr>
                    </w:p>
                  </w:txbxContent>
                </v:textbox>
                <w10:wrap type="square"/>
              </v:shape>
            </w:pict>
          </mc:Fallback>
        </mc:AlternateContent>
      </w:r>
    </w:p>
    <w:p w14:paraId="6681EA84"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p>
    <w:p w14:paraId="210EC390"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p>
    <w:p w14:paraId="4E713D95" w14:textId="77777777" w:rsidR="00EA0BC5" w:rsidRPr="006A64AC" w:rsidRDefault="00EA0BC5" w:rsidP="00EA0BC5">
      <w:pPr>
        <w:autoSpaceDE w:val="0"/>
        <w:autoSpaceDN w:val="0"/>
        <w:adjustRightInd w:val="0"/>
        <w:spacing w:after="0" w:line="240" w:lineRule="auto"/>
        <w:jc w:val="center"/>
        <w:rPr>
          <w:rFonts w:cstheme="minorHAnsi"/>
          <w:b/>
          <w:bCs/>
          <w:sz w:val="24"/>
          <w:szCs w:val="24"/>
          <w:lang w:val="fr-CA"/>
        </w:rPr>
      </w:pPr>
    </w:p>
    <w:p w14:paraId="67B7FABD" w14:textId="77777777" w:rsidR="00EA0BC5" w:rsidRPr="00473B58" w:rsidRDefault="00EA0BC5" w:rsidP="00077CF5">
      <w:pPr>
        <w:autoSpaceDE w:val="0"/>
        <w:autoSpaceDN w:val="0"/>
        <w:adjustRightInd w:val="0"/>
        <w:spacing w:after="0" w:line="240" w:lineRule="auto"/>
        <w:jc w:val="both"/>
        <w:rPr>
          <w:rFonts w:cstheme="minorHAnsi"/>
          <w:lang w:val="fr-CA"/>
        </w:rPr>
      </w:pPr>
    </w:p>
    <w:p w14:paraId="67A07698" w14:textId="5540A7A5" w:rsidR="00DD670E" w:rsidRPr="00473B58" w:rsidRDefault="00DD670E" w:rsidP="00077CF5">
      <w:pPr>
        <w:autoSpaceDE w:val="0"/>
        <w:autoSpaceDN w:val="0"/>
        <w:adjustRightInd w:val="0"/>
        <w:spacing w:after="0" w:line="240" w:lineRule="auto"/>
        <w:jc w:val="both"/>
        <w:rPr>
          <w:rFonts w:cstheme="minorHAnsi"/>
          <w:lang w:val="fr-CA"/>
        </w:rPr>
      </w:pPr>
    </w:p>
    <w:p w14:paraId="11F2928B" w14:textId="55EBEDDF" w:rsidR="00DD670E" w:rsidRPr="00473B58" w:rsidRDefault="00DD670E" w:rsidP="006B759E">
      <w:pPr>
        <w:autoSpaceDE w:val="0"/>
        <w:autoSpaceDN w:val="0"/>
        <w:adjustRightInd w:val="0"/>
        <w:spacing w:after="0" w:line="240" w:lineRule="auto"/>
        <w:jc w:val="both"/>
        <w:rPr>
          <w:rFonts w:cstheme="minorHAnsi"/>
          <w:sz w:val="20"/>
          <w:szCs w:val="20"/>
          <w:lang w:val="fr-CA"/>
        </w:rPr>
      </w:pPr>
    </w:p>
    <w:p w14:paraId="21EC9280" w14:textId="11CE2023" w:rsidR="00DD670E" w:rsidRPr="00473B58" w:rsidRDefault="00DD670E" w:rsidP="00DD6D5A">
      <w:pPr>
        <w:autoSpaceDE w:val="0"/>
        <w:autoSpaceDN w:val="0"/>
        <w:adjustRightInd w:val="0"/>
        <w:spacing w:after="0" w:line="240" w:lineRule="auto"/>
        <w:jc w:val="center"/>
        <w:rPr>
          <w:rFonts w:cstheme="minorHAnsi"/>
          <w:sz w:val="20"/>
          <w:szCs w:val="20"/>
          <w:lang w:val="fr-CA"/>
        </w:rPr>
      </w:pPr>
    </w:p>
    <w:p w14:paraId="7C795A99" w14:textId="4D45C247" w:rsidR="00DD670E" w:rsidRPr="00473B58" w:rsidRDefault="00DD670E" w:rsidP="00B55E13">
      <w:pPr>
        <w:autoSpaceDE w:val="0"/>
        <w:autoSpaceDN w:val="0"/>
        <w:adjustRightInd w:val="0"/>
        <w:spacing w:after="0" w:line="240" w:lineRule="auto"/>
        <w:jc w:val="center"/>
        <w:rPr>
          <w:rFonts w:cstheme="minorHAnsi"/>
          <w:b/>
          <w:bCs/>
          <w:sz w:val="24"/>
          <w:szCs w:val="24"/>
          <w:lang w:val="fr-CA"/>
        </w:rPr>
      </w:pPr>
    </w:p>
    <w:p w14:paraId="113F0806" w14:textId="1A48E835" w:rsidR="00003234" w:rsidRPr="00D97151" w:rsidRDefault="006B759E" w:rsidP="00B55E13">
      <w:pPr>
        <w:autoSpaceDE w:val="0"/>
        <w:autoSpaceDN w:val="0"/>
        <w:adjustRightInd w:val="0"/>
        <w:spacing w:after="0" w:line="240" w:lineRule="auto"/>
        <w:jc w:val="center"/>
        <w:rPr>
          <w:rFonts w:cstheme="minorHAnsi"/>
          <w:b/>
          <w:bCs/>
          <w:lang w:val="fr-CA"/>
        </w:rPr>
      </w:pPr>
      <w:r w:rsidRPr="00D97151">
        <w:rPr>
          <w:rFonts w:cstheme="minorHAnsi"/>
          <w:b/>
          <w:bCs/>
          <w:noProof/>
          <w:lang w:eastAsia="en-CA"/>
        </w:rPr>
        <mc:AlternateContent>
          <mc:Choice Requires="wps">
            <w:drawing>
              <wp:anchor distT="45720" distB="45720" distL="114300" distR="114300" simplePos="0" relativeHeight="251681792" behindDoc="0" locked="0" layoutInCell="1" allowOverlap="1" wp14:anchorId="79D03D85" wp14:editId="3B7A6F2A">
                <wp:simplePos x="0" y="0"/>
                <wp:positionH relativeFrom="margin">
                  <wp:posOffset>6360160</wp:posOffset>
                </wp:positionH>
                <wp:positionV relativeFrom="paragraph">
                  <wp:posOffset>1612265</wp:posOffset>
                </wp:positionV>
                <wp:extent cx="1017270" cy="2540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620D6B04" w14:textId="77777777" w:rsidR="00BF563C" w:rsidRPr="004E11C6" w:rsidRDefault="00BF563C" w:rsidP="004E11C6">
                            <w:pPr>
                              <w:jc w:val="center"/>
                              <w:rPr>
                                <w:color w:val="FFFFFF" w:themeColor="background1"/>
                                <w:sz w:val="16"/>
                                <w:szCs w:val="16"/>
                              </w:rPr>
                            </w:pPr>
                            <w:r>
                              <w:rPr>
                                <w:color w:val="FFFFFF" w:themeColor="background1"/>
                                <w:sz w:val="16"/>
                                <w:szCs w:val="16"/>
                              </w:rPr>
                              <w:t>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03D85" id="_x0000_s1049" type="#_x0000_t202" style="position:absolute;left:0;text-align:left;margin-left:500.8pt;margin-top:126.95pt;width:80.1pt;height:20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" filled="f" stroked="f">
                <v:textbox>
                  <w:txbxContent>
                    <w:p w14:paraId="620D6B04" w14:textId="77777777" w:rsidR="00BF563C" w:rsidRPr="004E11C6" w:rsidRDefault="00BF563C" w:rsidP="004E11C6">
                      <w:pPr>
                        <w:jc w:val="center"/>
                        <w:rPr>
                          <w:color w:val="FFFFFF" w:themeColor="background1"/>
                          <w:sz w:val="16"/>
                          <w:szCs w:val="16"/>
                        </w:rPr>
                      </w:pPr>
                      <w:r>
                        <w:rPr>
                          <w:color w:val="FFFFFF" w:themeColor="background1"/>
                          <w:sz w:val="16"/>
                          <w:szCs w:val="16"/>
                        </w:rPr>
                        <w:t>Over time</w:t>
                      </w:r>
                    </w:p>
                  </w:txbxContent>
                </v:textbox>
                <w10:wrap anchorx="margin"/>
              </v:shape>
            </w:pict>
          </mc:Fallback>
        </mc:AlternateContent>
      </w:r>
      <w:r w:rsidRPr="00D97151">
        <w:rPr>
          <w:rFonts w:cstheme="minorHAnsi"/>
          <w:b/>
          <w:bCs/>
          <w:noProof/>
          <w:lang w:eastAsia="en-CA"/>
        </w:rPr>
        <mc:AlternateContent>
          <mc:Choice Requires="wps">
            <w:drawing>
              <wp:anchor distT="45720" distB="45720" distL="114300" distR="114300" simplePos="0" relativeHeight="251683840" behindDoc="0" locked="0" layoutInCell="1" allowOverlap="1" wp14:anchorId="09B9C328" wp14:editId="4CC8A598">
                <wp:simplePos x="0" y="0"/>
                <wp:positionH relativeFrom="margin">
                  <wp:posOffset>4610735</wp:posOffset>
                </wp:positionH>
                <wp:positionV relativeFrom="paragraph">
                  <wp:posOffset>1611630</wp:posOffset>
                </wp:positionV>
                <wp:extent cx="1017270" cy="254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29D3BF0E" w14:textId="77777777" w:rsidR="00BF563C" w:rsidRPr="004E11C6" w:rsidRDefault="00BF563C" w:rsidP="004E11C6">
                            <w:pPr>
                              <w:jc w:val="center"/>
                              <w:rPr>
                                <w:color w:val="FFFFFF" w:themeColor="background1"/>
                                <w:sz w:val="16"/>
                                <w:szCs w:val="16"/>
                              </w:rPr>
                            </w:pPr>
                            <w:r>
                              <w:rPr>
                                <w:color w:val="FFFFFF" w:themeColor="background1"/>
                                <w:sz w:val="16"/>
                                <w:szCs w:val="16"/>
                              </w:rPr>
                              <w:t>At a point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9C328" id="_x0000_s1050" type="#_x0000_t202" style="position:absolute;left:0;text-align:left;margin-left:363.05pt;margin-top:126.9pt;width:80.1pt;height:2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" filled="f" stroked="f">
                <v:textbox>
                  <w:txbxContent>
                    <w:p w14:paraId="29D3BF0E" w14:textId="77777777" w:rsidR="00BF563C" w:rsidRPr="004E11C6" w:rsidRDefault="00BF563C" w:rsidP="004E11C6">
                      <w:pPr>
                        <w:jc w:val="center"/>
                        <w:rPr>
                          <w:color w:val="FFFFFF" w:themeColor="background1"/>
                          <w:sz w:val="16"/>
                          <w:szCs w:val="16"/>
                        </w:rPr>
                      </w:pPr>
                      <w:r>
                        <w:rPr>
                          <w:color w:val="FFFFFF" w:themeColor="background1"/>
                          <w:sz w:val="16"/>
                          <w:szCs w:val="16"/>
                        </w:rPr>
                        <w:t>At a point in time</w:t>
                      </w:r>
                    </w:p>
                  </w:txbxContent>
                </v:textbox>
                <w10:wrap anchorx="margin"/>
              </v:shape>
            </w:pict>
          </mc:Fallback>
        </mc:AlternateContent>
      </w:r>
      <w:r w:rsidRPr="00D97151">
        <w:rPr>
          <w:rFonts w:cstheme="minorHAnsi"/>
          <w:b/>
          <w:bCs/>
          <w:noProof/>
          <w:lang w:eastAsia="en-CA"/>
        </w:rPr>
        <mc:AlternateContent>
          <mc:Choice Requires="wps">
            <w:drawing>
              <wp:anchor distT="45720" distB="45720" distL="114300" distR="114300" simplePos="0" relativeHeight="251679744" behindDoc="0" locked="0" layoutInCell="1" allowOverlap="1" wp14:anchorId="3C282FC2" wp14:editId="4B5B4721">
                <wp:simplePos x="0" y="0"/>
                <wp:positionH relativeFrom="margin">
                  <wp:posOffset>2877185</wp:posOffset>
                </wp:positionH>
                <wp:positionV relativeFrom="paragraph">
                  <wp:posOffset>1627505</wp:posOffset>
                </wp:positionV>
                <wp:extent cx="1017270" cy="254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54000"/>
                        </a:xfrm>
                        <a:prstGeom prst="rect">
                          <a:avLst/>
                        </a:prstGeom>
                        <a:noFill/>
                        <a:ln w="9525">
                          <a:noFill/>
                          <a:miter lim="800000"/>
                          <a:headEnd/>
                          <a:tailEnd/>
                        </a:ln>
                      </wps:spPr>
                      <wps:txbx>
                        <w:txbxContent>
                          <w:p w14:paraId="78FBCC83" w14:textId="77777777" w:rsidR="00BF563C" w:rsidRPr="004E11C6" w:rsidRDefault="00BF563C" w:rsidP="004E11C6">
                            <w:pPr>
                              <w:jc w:val="center"/>
                              <w:rPr>
                                <w:color w:val="FFFFFF" w:themeColor="background1"/>
                                <w:sz w:val="16"/>
                                <w:szCs w:val="16"/>
                              </w:rPr>
                            </w:pPr>
                            <w:r>
                              <w:rPr>
                                <w:color w:val="FFFFFF" w:themeColor="background1"/>
                                <w:sz w:val="16"/>
                                <w:szCs w:val="16"/>
                              </w:rPr>
                              <w:t>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82FC2" id="_x0000_s1051" type="#_x0000_t202" style="position:absolute;left:0;text-align:left;margin-left:226.55pt;margin-top:128.15pt;width:80.1pt;height:2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uIDQIAAPs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" filled="f" stroked="f">
                <v:textbox>
                  <w:txbxContent>
                    <w:p w14:paraId="78FBCC83" w14:textId="77777777" w:rsidR="00BF563C" w:rsidRPr="004E11C6" w:rsidRDefault="00BF563C" w:rsidP="004E11C6">
                      <w:pPr>
                        <w:jc w:val="center"/>
                        <w:rPr>
                          <w:color w:val="FFFFFF" w:themeColor="background1"/>
                          <w:sz w:val="16"/>
                          <w:szCs w:val="16"/>
                        </w:rPr>
                      </w:pPr>
                      <w:r>
                        <w:rPr>
                          <w:color w:val="FFFFFF" w:themeColor="background1"/>
                          <w:sz w:val="16"/>
                          <w:szCs w:val="16"/>
                        </w:rPr>
                        <w:t>Over time</w:t>
                      </w:r>
                    </w:p>
                  </w:txbxContent>
                </v:textbox>
                <w10:wrap anchorx="margin"/>
              </v:shape>
            </w:pict>
          </mc:Fallback>
        </mc:AlternateContent>
      </w:r>
    </w:p>
    <w:p w14:paraId="623CFF2C" w14:textId="77777777" w:rsidR="00D97151" w:rsidRDefault="00D97151">
      <w:pPr>
        <w:rPr>
          <w:rFonts w:cstheme="minorHAnsi"/>
          <w:b/>
          <w:i/>
          <w:color w:val="000000"/>
          <w:sz w:val="20"/>
          <w:szCs w:val="20"/>
          <w:u w:val="single"/>
          <w:lang w:val="fr-CA"/>
        </w:rPr>
      </w:pPr>
      <w:r>
        <w:rPr>
          <w:rFonts w:cstheme="minorHAnsi"/>
          <w:b/>
          <w:i/>
          <w:color w:val="000000"/>
          <w:sz w:val="20"/>
          <w:szCs w:val="20"/>
          <w:u w:val="single"/>
          <w:lang w:val="fr-CA"/>
        </w:rPr>
        <w:br w:type="page"/>
      </w:r>
    </w:p>
    <w:p w14:paraId="134A3811" w14:textId="78F4CBD7" w:rsidR="00FA120F" w:rsidRPr="00473B58" w:rsidRDefault="00824F61" w:rsidP="006B759E">
      <w:pPr>
        <w:autoSpaceDE w:val="0"/>
        <w:autoSpaceDN w:val="0"/>
        <w:adjustRightInd w:val="0"/>
        <w:spacing w:after="0" w:line="276" w:lineRule="auto"/>
        <w:rPr>
          <w:rFonts w:cstheme="minorHAnsi"/>
          <w:color w:val="000000"/>
          <w:sz w:val="20"/>
          <w:szCs w:val="20"/>
          <w:lang w:val="fr-CA"/>
        </w:rPr>
      </w:pPr>
      <w:r w:rsidRPr="00473B58">
        <w:rPr>
          <w:rFonts w:cstheme="minorHAnsi"/>
          <w:b/>
          <w:i/>
          <w:color w:val="000000"/>
          <w:sz w:val="20"/>
          <w:szCs w:val="20"/>
          <w:u w:val="single"/>
          <w:lang w:val="fr-CA"/>
        </w:rPr>
        <w:t>Note</w:t>
      </w:r>
      <w:r w:rsidR="00A352F0" w:rsidRPr="00473B58">
        <w:rPr>
          <w:rFonts w:cstheme="minorHAnsi"/>
          <w:b/>
          <w:i/>
          <w:color w:val="000000"/>
          <w:sz w:val="20"/>
          <w:szCs w:val="20"/>
          <w:u w:val="single"/>
          <w:lang w:val="fr-CA"/>
        </w:rPr>
        <w:t> </w:t>
      </w:r>
      <w:r w:rsidR="0064217C" w:rsidRPr="00473B58">
        <w:rPr>
          <w:rFonts w:cstheme="minorHAnsi"/>
          <w:b/>
          <w:i/>
          <w:color w:val="000000"/>
          <w:sz w:val="20"/>
          <w:szCs w:val="20"/>
          <w:u w:val="single"/>
          <w:lang w:val="fr-CA"/>
        </w:rPr>
        <w:t>1</w:t>
      </w:r>
      <w:r w:rsidR="004D097C" w:rsidRPr="00473B58">
        <w:rPr>
          <w:rFonts w:cstheme="minorHAnsi"/>
          <w:color w:val="000000"/>
          <w:sz w:val="20"/>
          <w:szCs w:val="20"/>
          <w:lang w:val="fr-CA"/>
        </w:rPr>
        <w:t xml:space="preserve"> – </w:t>
      </w:r>
      <w:r w:rsidR="00EC40C4">
        <w:rPr>
          <w:rFonts w:cstheme="minorHAnsi"/>
          <w:color w:val="000000"/>
          <w:sz w:val="20"/>
          <w:szCs w:val="20"/>
          <w:lang w:val="fr-CA"/>
        </w:rPr>
        <w:t>I</w:t>
      </w:r>
      <w:r w:rsidRPr="00473B58">
        <w:rPr>
          <w:rFonts w:cstheme="minorHAnsi"/>
          <w:color w:val="000000"/>
          <w:sz w:val="20"/>
          <w:szCs w:val="20"/>
          <w:lang w:val="fr-CA"/>
        </w:rPr>
        <w:t>nd</w:t>
      </w:r>
      <w:r w:rsidR="004D097C" w:rsidRPr="00473B58">
        <w:rPr>
          <w:rFonts w:cstheme="minorHAnsi"/>
          <w:color w:val="000000"/>
          <w:sz w:val="20"/>
          <w:szCs w:val="20"/>
          <w:lang w:val="fr-CA"/>
        </w:rPr>
        <w:t xml:space="preserve">ique les procédures qui peuvent s’appliquer selon la </w:t>
      </w:r>
      <w:r w:rsidRPr="00473B58">
        <w:rPr>
          <w:rFonts w:cstheme="minorHAnsi"/>
          <w:color w:val="000000"/>
          <w:sz w:val="20"/>
          <w:szCs w:val="20"/>
          <w:lang w:val="fr-CA"/>
        </w:rPr>
        <w:t xml:space="preserve">nature </w:t>
      </w:r>
      <w:r w:rsidR="004D097C" w:rsidRPr="00473B58">
        <w:rPr>
          <w:rFonts w:cstheme="minorHAnsi"/>
          <w:color w:val="000000"/>
          <w:sz w:val="20"/>
          <w:szCs w:val="20"/>
          <w:lang w:val="fr-CA"/>
        </w:rPr>
        <w:t>du type de produit à tester et les modalités du contrat conclu avec le client.</w:t>
      </w:r>
    </w:p>
    <w:p w14:paraId="317F6C75" w14:textId="77777777" w:rsidR="0077206A" w:rsidRPr="00473B58" w:rsidRDefault="0077206A" w:rsidP="006B759E">
      <w:pPr>
        <w:autoSpaceDE w:val="0"/>
        <w:autoSpaceDN w:val="0"/>
        <w:adjustRightInd w:val="0"/>
        <w:spacing w:after="0" w:line="276" w:lineRule="auto"/>
        <w:rPr>
          <w:rFonts w:ascii="ArialMT" w:hAnsi="ArialMT" w:cs="ArialMT"/>
          <w:color w:val="000000"/>
          <w:sz w:val="20"/>
          <w:szCs w:val="20"/>
          <w:lang w:val="fr-CA"/>
        </w:rPr>
      </w:pPr>
    </w:p>
    <w:tbl>
      <w:tblPr>
        <w:tblStyle w:val="TableGrid"/>
        <w:tblW w:w="0" w:type="auto"/>
        <w:tblLook w:val="04A0" w:firstRow="1" w:lastRow="0" w:firstColumn="1" w:lastColumn="0" w:noHBand="0" w:noVBand="1"/>
      </w:tblPr>
      <w:tblGrid>
        <w:gridCol w:w="12950"/>
      </w:tblGrid>
      <w:tr w:rsidR="008616C8" w:rsidRPr="00D97151" w14:paraId="5C5B7673" w14:textId="77777777" w:rsidTr="00AF7F70">
        <w:trPr>
          <w:trHeight w:val="455"/>
        </w:trPr>
        <w:tc>
          <w:tcPr>
            <w:tcW w:w="12950" w:type="dxa"/>
            <w:shd w:val="clear" w:color="auto" w:fill="C9C9C9" w:themeFill="accent3" w:themeFillTint="99"/>
          </w:tcPr>
          <w:p w14:paraId="2CF55F72" w14:textId="350ABDEC" w:rsidR="008616C8" w:rsidRPr="00473B58" w:rsidRDefault="004D097C">
            <w:pPr>
              <w:autoSpaceDE w:val="0"/>
              <w:autoSpaceDN w:val="0"/>
              <w:adjustRightInd w:val="0"/>
              <w:rPr>
                <w:rFonts w:cstheme="minorHAnsi"/>
                <w:b/>
                <w:bCs/>
                <w:sz w:val="20"/>
                <w:szCs w:val="20"/>
                <w:lang w:val="fr-CA"/>
              </w:rPr>
            </w:pPr>
            <w:r w:rsidRPr="00473B58">
              <w:rPr>
                <w:rFonts w:cstheme="minorHAnsi"/>
                <w:b/>
                <w:bCs/>
                <w:sz w:val="20"/>
                <w:szCs w:val="20"/>
                <w:lang w:val="fr-CA"/>
              </w:rPr>
              <w:t>Veuillez consulter l’</w:t>
            </w:r>
            <w:hyperlink w:anchor="lt_pId444" w:history="1">
              <w:r w:rsidR="008616C8" w:rsidRPr="0039108E">
                <w:rPr>
                  <w:rStyle w:val="Hyperlink"/>
                  <w:rFonts w:cstheme="minorHAnsi"/>
                  <w:b/>
                  <w:bCs/>
                  <w:sz w:val="20"/>
                  <w:szCs w:val="20"/>
                  <w:lang w:val="fr-CA"/>
                </w:rPr>
                <w:t>A</w:t>
              </w:r>
              <w:r w:rsidRPr="0039108E">
                <w:rPr>
                  <w:rStyle w:val="Hyperlink"/>
                  <w:rFonts w:cstheme="minorHAnsi"/>
                  <w:b/>
                  <w:bCs/>
                  <w:sz w:val="20"/>
                  <w:szCs w:val="20"/>
                  <w:lang w:val="fr-CA"/>
                </w:rPr>
                <w:t>nn</w:t>
              </w:r>
              <w:r w:rsidRPr="0039108E">
                <w:rPr>
                  <w:rStyle w:val="Hyperlink"/>
                  <w:rFonts w:cstheme="minorHAnsi"/>
                  <w:b/>
                  <w:bCs/>
                  <w:sz w:val="20"/>
                  <w:szCs w:val="20"/>
                  <w:lang w:val="fr-CA"/>
                </w:rPr>
                <w:t>e</w:t>
              </w:r>
              <w:r w:rsidRPr="0039108E">
                <w:rPr>
                  <w:rStyle w:val="Hyperlink"/>
                  <w:rFonts w:cstheme="minorHAnsi"/>
                  <w:b/>
                  <w:bCs/>
                  <w:sz w:val="20"/>
                  <w:szCs w:val="20"/>
                  <w:lang w:val="fr-CA"/>
                </w:rPr>
                <w:t>xe</w:t>
              </w:r>
            </w:hyperlink>
            <w:r w:rsidR="008616C8" w:rsidRPr="00473B58">
              <w:rPr>
                <w:rFonts w:cstheme="minorHAnsi"/>
                <w:b/>
                <w:bCs/>
                <w:sz w:val="20"/>
                <w:szCs w:val="20"/>
                <w:lang w:val="fr-CA"/>
              </w:rPr>
              <w:t xml:space="preserve"> – Analys</w:t>
            </w:r>
            <w:r w:rsidRPr="00473B58">
              <w:rPr>
                <w:rFonts w:cstheme="minorHAnsi"/>
                <w:b/>
                <w:bCs/>
                <w:sz w:val="20"/>
                <w:szCs w:val="20"/>
                <w:lang w:val="fr-CA"/>
              </w:rPr>
              <w:t xml:space="preserve">e des catégories de procédures </w:t>
            </w:r>
            <w:r w:rsidR="0077206A" w:rsidRPr="00473B58">
              <w:rPr>
                <w:rFonts w:cstheme="minorHAnsi"/>
                <w:b/>
                <w:bCs/>
                <w:sz w:val="20"/>
                <w:szCs w:val="20"/>
                <w:lang w:val="fr-CA"/>
              </w:rPr>
              <w:t xml:space="preserve">de chaque étape de la </w:t>
            </w:r>
            <w:r w:rsidRPr="00473B58">
              <w:rPr>
                <w:rFonts w:cstheme="minorHAnsi"/>
                <w:b/>
                <w:bCs/>
                <w:sz w:val="20"/>
                <w:szCs w:val="20"/>
                <w:lang w:val="fr-CA"/>
              </w:rPr>
              <w:t>procédure «</w:t>
            </w:r>
            <w:r w:rsidR="00A352F0" w:rsidRPr="00473B58">
              <w:rPr>
                <w:rFonts w:cstheme="minorHAnsi"/>
                <w:b/>
                <w:bCs/>
                <w:sz w:val="20"/>
                <w:szCs w:val="20"/>
                <w:lang w:val="fr-CA"/>
              </w:rPr>
              <w:t> </w:t>
            </w:r>
            <w:r w:rsidRPr="00473B58">
              <w:rPr>
                <w:rFonts w:cstheme="minorHAnsi"/>
                <w:b/>
                <w:bCs/>
                <w:sz w:val="20"/>
                <w:szCs w:val="20"/>
                <w:lang w:val="fr-CA"/>
              </w:rPr>
              <w:t>Tester les opérations génératrices de produits (Étapes</w:t>
            </w:r>
            <w:r w:rsidR="00A352F0" w:rsidRPr="00473B58">
              <w:rPr>
                <w:rFonts w:cstheme="minorHAnsi"/>
                <w:b/>
                <w:bCs/>
                <w:sz w:val="20"/>
                <w:szCs w:val="20"/>
                <w:lang w:val="fr-CA"/>
              </w:rPr>
              <w:t> </w:t>
            </w:r>
            <w:r w:rsidRPr="00473B58">
              <w:rPr>
                <w:rFonts w:cstheme="minorHAnsi"/>
                <w:b/>
                <w:bCs/>
                <w:sz w:val="20"/>
                <w:szCs w:val="20"/>
                <w:lang w:val="fr-CA"/>
              </w:rPr>
              <w:t>1 à 5)</w:t>
            </w:r>
            <w:r w:rsidR="00EC40C4">
              <w:rPr>
                <w:rFonts w:cstheme="minorHAnsi"/>
                <w:b/>
                <w:bCs/>
                <w:sz w:val="20"/>
                <w:szCs w:val="20"/>
                <w:lang w:val="fr-CA"/>
              </w:rPr>
              <w:t> </w:t>
            </w:r>
            <w:r w:rsidR="00806E74">
              <w:rPr>
                <w:rFonts w:cstheme="minorHAnsi"/>
                <w:b/>
                <w:bCs/>
                <w:sz w:val="20"/>
                <w:szCs w:val="20"/>
                <w:lang w:val="fr-CA"/>
              </w:rPr>
              <w:t xml:space="preserve">(NCA 540) </w:t>
            </w:r>
            <w:r w:rsidR="00EC40C4">
              <w:rPr>
                <w:rFonts w:cstheme="minorHAnsi"/>
                <w:b/>
                <w:bCs/>
                <w:sz w:val="20"/>
                <w:szCs w:val="20"/>
                <w:lang w:val="fr-CA"/>
              </w:rPr>
              <w:t>»</w:t>
            </w:r>
            <w:r w:rsidRPr="00473B58">
              <w:rPr>
                <w:rFonts w:cstheme="minorHAnsi"/>
                <w:b/>
                <w:bCs/>
                <w:sz w:val="20"/>
                <w:szCs w:val="20"/>
                <w:lang w:val="fr-CA"/>
              </w:rPr>
              <w:t xml:space="preserve"> pour obtenir d’autres informations détaillées sur les secteurs qui sont visés par chacune des </w:t>
            </w:r>
            <w:r w:rsidR="00BF5923" w:rsidRPr="00473B58">
              <w:rPr>
                <w:rFonts w:cstheme="minorHAnsi"/>
                <w:b/>
                <w:bCs/>
                <w:sz w:val="20"/>
                <w:szCs w:val="20"/>
                <w:lang w:val="fr-CA"/>
              </w:rPr>
              <w:t xml:space="preserve">trois </w:t>
            </w:r>
            <w:r w:rsidRPr="00473B58">
              <w:rPr>
                <w:rFonts w:cstheme="minorHAnsi"/>
                <w:b/>
                <w:bCs/>
                <w:sz w:val="20"/>
                <w:szCs w:val="20"/>
                <w:lang w:val="fr-CA"/>
              </w:rPr>
              <w:t xml:space="preserve">procédures et des exemples de scénarios pour lesquels chaque procédure </w:t>
            </w:r>
            <w:r w:rsidR="0077206A" w:rsidRPr="00473B58">
              <w:rPr>
                <w:rFonts w:cstheme="minorHAnsi"/>
                <w:b/>
                <w:bCs/>
                <w:sz w:val="20"/>
                <w:szCs w:val="20"/>
                <w:lang w:val="fr-CA"/>
              </w:rPr>
              <w:t xml:space="preserve">doit être </w:t>
            </w:r>
            <w:r w:rsidRPr="00473B58">
              <w:rPr>
                <w:rFonts w:cstheme="minorHAnsi"/>
                <w:b/>
                <w:bCs/>
                <w:sz w:val="20"/>
                <w:szCs w:val="20"/>
                <w:lang w:val="fr-CA"/>
              </w:rPr>
              <w:t>utilisée.</w:t>
            </w:r>
          </w:p>
        </w:tc>
      </w:tr>
    </w:tbl>
    <w:p w14:paraId="4A55517D" w14:textId="73A5880C" w:rsidR="00002450" w:rsidRPr="002F1B6E" w:rsidRDefault="00002450" w:rsidP="00A8759A">
      <w:pPr>
        <w:pStyle w:val="Heading1"/>
        <w:rPr>
          <w:lang w:val="fr-CA"/>
        </w:rPr>
      </w:pPr>
      <w:bookmarkStart w:id="1" w:name="_Toc69533316"/>
      <w:bookmarkStart w:id="2" w:name="_Toc73001869"/>
      <w:bookmarkEnd w:id="1"/>
      <w:r w:rsidRPr="002F1B6E">
        <w:rPr>
          <w:lang w:val="fr-CA"/>
        </w:rPr>
        <w:t>Proc</w:t>
      </w:r>
      <w:r w:rsidR="00AD449B" w:rsidRPr="002F1B6E">
        <w:rPr>
          <w:lang w:val="fr-CA"/>
        </w:rPr>
        <w:t>é</w:t>
      </w:r>
      <w:r w:rsidRPr="002F1B6E">
        <w:rPr>
          <w:lang w:val="fr-CA"/>
        </w:rPr>
        <w:t>dures</w:t>
      </w:r>
      <w:r w:rsidR="00AD449B" w:rsidRPr="002F1B6E">
        <w:rPr>
          <w:lang w:val="fr-CA"/>
        </w:rPr>
        <w:t xml:space="preserve"> générales</w:t>
      </w:r>
      <w:bookmarkEnd w:id="2"/>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3543"/>
        <w:gridCol w:w="7373"/>
      </w:tblGrid>
      <w:tr w:rsidR="00002450" w:rsidRPr="00473B58" w14:paraId="76ECE981" w14:textId="77777777" w:rsidTr="00944D25">
        <w:tc>
          <w:tcPr>
            <w:tcW w:w="2409" w:type="dxa"/>
            <w:tcBorders>
              <w:top w:val="single" w:sz="12" w:space="0" w:color="2E74B5" w:themeColor="accent1" w:themeShade="BF"/>
              <w:bottom w:val="single" w:sz="12" w:space="0" w:color="2E74B5" w:themeColor="accent1" w:themeShade="BF"/>
            </w:tcBorders>
            <w:vAlign w:val="bottom"/>
          </w:tcPr>
          <w:p w14:paraId="4624126F" w14:textId="691BDD54" w:rsidR="00002450" w:rsidRPr="00473B58" w:rsidRDefault="00AD449B" w:rsidP="00AD449B">
            <w:pPr>
              <w:spacing w:before="120" w:after="120"/>
              <w:rPr>
                <w:b/>
                <w:color w:val="2E74B5" w:themeColor="accent1" w:themeShade="BF"/>
                <w:lang w:val="fr-CA"/>
              </w:rPr>
            </w:pPr>
            <w:r w:rsidRPr="00473B58">
              <w:rPr>
                <w:b/>
                <w:color w:val="2E74B5" w:themeColor="accent1" w:themeShade="BF"/>
                <w:lang w:val="fr-CA"/>
              </w:rPr>
              <w:t>N</w:t>
            </w:r>
            <w:r w:rsidRPr="00473B58">
              <w:rPr>
                <w:b/>
                <w:color w:val="2E74B5" w:themeColor="accent1" w:themeShade="BF"/>
                <w:vertAlign w:val="superscript"/>
                <w:lang w:val="fr-CA"/>
              </w:rPr>
              <w:t>o</w:t>
            </w:r>
            <w:r w:rsidR="00A352F0" w:rsidRPr="00473B58">
              <w:rPr>
                <w:b/>
                <w:color w:val="2E74B5" w:themeColor="accent1" w:themeShade="BF"/>
                <w:lang w:val="fr-CA"/>
              </w:rPr>
              <w:t>/</w:t>
            </w:r>
            <w:r w:rsidRPr="00473B58">
              <w:rPr>
                <w:b/>
                <w:color w:val="2E74B5" w:themeColor="accent1" w:themeShade="BF"/>
                <w:lang w:val="fr-CA"/>
              </w:rPr>
              <w:t>titre de la pr</w:t>
            </w:r>
            <w:r w:rsidR="00002450" w:rsidRPr="00473B58">
              <w:rPr>
                <w:b/>
                <w:color w:val="2E74B5" w:themeColor="accent1" w:themeShade="BF"/>
                <w:lang w:val="fr-CA"/>
              </w:rPr>
              <w:t>oc</w:t>
            </w:r>
            <w:r w:rsidRPr="00473B58">
              <w:rPr>
                <w:b/>
                <w:color w:val="2E74B5" w:themeColor="accent1" w:themeShade="BF"/>
                <w:lang w:val="fr-CA"/>
              </w:rPr>
              <w:t>é</w:t>
            </w:r>
            <w:r w:rsidR="00002450" w:rsidRPr="00473B58">
              <w:rPr>
                <w:b/>
                <w:color w:val="2E74B5" w:themeColor="accent1" w:themeShade="BF"/>
                <w:lang w:val="fr-CA"/>
              </w:rPr>
              <w:t xml:space="preserve">dure </w:t>
            </w:r>
          </w:p>
        </w:tc>
        <w:tc>
          <w:tcPr>
            <w:tcW w:w="10916" w:type="dxa"/>
            <w:gridSpan w:val="2"/>
            <w:tcBorders>
              <w:top w:val="single" w:sz="12" w:space="0" w:color="2E74B5" w:themeColor="accent1" w:themeShade="BF"/>
              <w:bottom w:val="single" w:sz="12" w:space="0" w:color="2E74B5" w:themeColor="accent1" w:themeShade="BF"/>
            </w:tcBorders>
            <w:vAlign w:val="bottom"/>
          </w:tcPr>
          <w:p w14:paraId="70E406FC" w14:textId="4C6D960D" w:rsidR="00002450" w:rsidRPr="00473B58" w:rsidRDefault="00AD449B" w:rsidP="00AD449B">
            <w:pPr>
              <w:spacing w:before="120" w:after="120"/>
              <w:rPr>
                <w:b/>
                <w:color w:val="2E74B5" w:themeColor="accent1" w:themeShade="BF"/>
                <w:lang w:val="fr-CA"/>
              </w:rPr>
            </w:pPr>
            <w:r w:rsidRPr="00473B58">
              <w:rPr>
                <w:b/>
                <w:color w:val="2E74B5" w:themeColor="accent1" w:themeShade="BF"/>
                <w:lang w:val="fr-CA"/>
              </w:rPr>
              <w:t>Directives</w:t>
            </w:r>
          </w:p>
        </w:tc>
      </w:tr>
      <w:tr w:rsidR="00002450" w:rsidRPr="00D97151" w14:paraId="0A6AC7E3" w14:textId="77777777" w:rsidTr="00944D25">
        <w:tc>
          <w:tcPr>
            <w:tcW w:w="2409" w:type="dxa"/>
            <w:tcBorders>
              <w:top w:val="single" w:sz="12" w:space="0" w:color="2E74B5" w:themeColor="accent1" w:themeShade="BF"/>
              <w:bottom w:val="single" w:sz="12" w:space="0" w:color="9CC2E5" w:themeColor="accent1" w:themeTint="99"/>
            </w:tcBorders>
          </w:tcPr>
          <w:p w14:paraId="79C6F2B8" w14:textId="77777777" w:rsidR="00002450" w:rsidRPr="00473B58" w:rsidRDefault="00002450" w:rsidP="00A6257C">
            <w:pPr>
              <w:spacing w:before="120" w:after="120"/>
              <w:rPr>
                <w:lang w:val="fr-CA"/>
              </w:rPr>
            </w:pPr>
            <w:r w:rsidRPr="00473B58">
              <w:rPr>
                <w:lang w:val="fr-CA"/>
              </w:rPr>
              <w:t>1-2</w:t>
            </w:r>
          </w:p>
        </w:tc>
        <w:tc>
          <w:tcPr>
            <w:tcW w:w="10916" w:type="dxa"/>
            <w:gridSpan w:val="2"/>
            <w:tcBorders>
              <w:top w:val="single" w:sz="12" w:space="0" w:color="2E74B5" w:themeColor="accent1" w:themeShade="BF"/>
              <w:bottom w:val="single" w:sz="12" w:space="0" w:color="9CC2E5" w:themeColor="accent1" w:themeTint="99"/>
            </w:tcBorders>
          </w:tcPr>
          <w:p w14:paraId="605A7C98" w14:textId="7B475329" w:rsidR="00002450" w:rsidRPr="00473B58" w:rsidRDefault="00002450" w:rsidP="009C30B4">
            <w:pPr>
              <w:spacing w:before="120" w:after="120"/>
              <w:rPr>
                <w:lang w:val="fr-CA"/>
              </w:rPr>
            </w:pPr>
            <w:r w:rsidRPr="00473B58">
              <w:rPr>
                <w:lang w:val="fr-CA"/>
              </w:rPr>
              <w:t>Obt</w:t>
            </w:r>
            <w:r w:rsidR="004D097C" w:rsidRPr="00473B58">
              <w:rPr>
                <w:lang w:val="fr-CA"/>
              </w:rPr>
              <w:t>enir une liste détaillée des opérations génératrices de produits; effectuer un rapprochement entre les soldes et le grand livre général; tester les éléments de rapprochement importants et vérifier l’ex</w:t>
            </w:r>
            <w:r w:rsidR="009C30B4" w:rsidRPr="00473B58">
              <w:rPr>
                <w:lang w:val="fr-CA"/>
              </w:rPr>
              <w:t>h</w:t>
            </w:r>
            <w:r w:rsidR="004D097C" w:rsidRPr="00473B58">
              <w:rPr>
                <w:lang w:val="fr-CA"/>
              </w:rPr>
              <w:t xml:space="preserve">austivité </w:t>
            </w:r>
            <w:r w:rsidR="009C30B4" w:rsidRPr="00473B58">
              <w:rPr>
                <w:lang w:val="fr-CA"/>
              </w:rPr>
              <w:t>de la liste détaillée</w:t>
            </w:r>
            <w:r w:rsidRPr="00473B58">
              <w:rPr>
                <w:lang w:val="fr-CA"/>
              </w:rPr>
              <w:t>.</w:t>
            </w:r>
          </w:p>
        </w:tc>
      </w:tr>
      <w:tr w:rsidR="00002450" w:rsidRPr="00D97151" w14:paraId="58A9D601" w14:textId="77777777" w:rsidTr="00944D25">
        <w:tc>
          <w:tcPr>
            <w:tcW w:w="2409" w:type="dxa"/>
            <w:tcBorders>
              <w:top w:val="single" w:sz="12" w:space="0" w:color="9CC2E5" w:themeColor="accent1" w:themeTint="99"/>
              <w:bottom w:val="single" w:sz="12" w:space="0" w:color="2E74B5" w:themeColor="accent1" w:themeShade="BF"/>
            </w:tcBorders>
          </w:tcPr>
          <w:p w14:paraId="3D82FBD3" w14:textId="7F8E6042" w:rsidR="00002450" w:rsidRPr="00473B58" w:rsidRDefault="00002450" w:rsidP="00A6257C">
            <w:pPr>
              <w:spacing w:before="120" w:after="120"/>
              <w:rPr>
                <w:lang w:val="fr-CA"/>
              </w:rPr>
            </w:pPr>
            <w:r w:rsidRPr="00473B58">
              <w:rPr>
                <w:lang w:val="fr-CA"/>
              </w:rPr>
              <w:t>3-4</w:t>
            </w:r>
          </w:p>
        </w:tc>
        <w:tc>
          <w:tcPr>
            <w:tcW w:w="10916" w:type="dxa"/>
            <w:gridSpan w:val="2"/>
            <w:tcBorders>
              <w:top w:val="single" w:sz="12" w:space="0" w:color="9CC2E5" w:themeColor="accent1" w:themeTint="99"/>
              <w:bottom w:val="single" w:sz="12" w:space="0" w:color="2E74B5" w:themeColor="accent1" w:themeShade="BF"/>
            </w:tcBorders>
          </w:tcPr>
          <w:p w14:paraId="65039582" w14:textId="2D43D925" w:rsidR="00002450" w:rsidRPr="00473B58" w:rsidRDefault="00C71C0A" w:rsidP="00A6257C">
            <w:pPr>
              <w:spacing w:before="120" w:after="120"/>
              <w:rPr>
                <w:lang w:val="fr-CA"/>
              </w:rPr>
            </w:pPr>
            <w:r w:rsidRPr="00473B58">
              <w:rPr>
                <w:lang w:val="fr-CA"/>
              </w:rPr>
              <w:t>Pour d</w:t>
            </w:r>
            <w:r w:rsidR="009C30B4" w:rsidRPr="00473B58">
              <w:rPr>
                <w:lang w:val="fr-CA"/>
              </w:rPr>
              <w:t>éterminer</w:t>
            </w:r>
            <w:r w:rsidR="000F481E" w:rsidRPr="00473B58">
              <w:rPr>
                <w:lang w:val="fr-CA"/>
              </w:rPr>
              <w:t xml:space="preserve"> une uni</w:t>
            </w:r>
            <w:r w:rsidRPr="00473B58">
              <w:rPr>
                <w:lang w:val="fr-CA"/>
              </w:rPr>
              <w:t xml:space="preserve">té d’échantillonnage </w:t>
            </w:r>
            <w:r w:rsidR="000F481E" w:rsidRPr="00473B58">
              <w:rPr>
                <w:lang w:val="fr-CA"/>
              </w:rPr>
              <w:t xml:space="preserve">qui </w:t>
            </w:r>
            <w:r w:rsidR="002D031B" w:rsidRPr="00473B58">
              <w:rPr>
                <w:lang w:val="fr-CA"/>
              </w:rPr>
              <w:t xml:space="preserve">est </w:t>
            </w:r>
            <w:r w:rsidRPr="00473B58">
              <w:rPr>
                <w:lang w:val="fr-CA"/>
              </w:rPr>
              <w:t>appropriée,</w:t>
            </w:r>
            <w:r w:rsidR="000F481E" w:rsidRPr="00473B58">
              <w:rPr>
                <w:lang w:val="fr-CA"/>
              </w:rPr>
              <w:t xml:space="preserve"> l’auditeur doit t</w:t>
            </w:r>
            <w:r w:rsidRPr="00473B58">
              <w:rPr>
                <w:lang w:val="fr-CA"/>
              </w:rPr>
              <w:t xml:space="preserve">enir compte de la nature des contrats sous-jacents pour chaque type de produit (p. ex. </w:t>
            </w:r>
            <w:r w:rsidR="000F481E" w:rsidRPr="00473B58">
              <w:rPr>
                <w:lang w:val="fr-CA"/>
              </w:rPr>
              <w:t>des c</w:t>
            </w:r>
            <w:r w:rsidRPr="00473B58">
              <w:rPr>
                <w:lang w:val="fr-CA"/>
              </w:rPr>
              <w:t xml:space="preserve">ontrats individuels </w:t>
            </w:r>
            <w:r w:rsidR="0045526A" w:rsidRPr="00473B58">
              <w:rPr>
                <w:lang w:val="fr-CA"/>
              </w:rPr>
              <w:t>sur mesure et important</w:t>
            </w:r>
            <w:r w:rsidR="000F481E" w:rsidRPr="00473B58">
              <w:rPr>
                <w:lang w:val="fr-CA"/>
              </w:rPr>
              <w:t xml:space="preserve">s </w:t>
            </w:r>
            <w:r w:rsidRPr="00473B58">
              <w:rPr>
                <w:lang w:val="fr-CA"/>
              </w:rPr>
              <w:t>ou</w:t>
            </w:r>
            <w:r w:rsidR="00002450" w:rsidRPr="00473B58">
              <w:rPr>
                <w:lang w:val="fr-CA"/>
              </w:rPr>
              <w:t xml:space="preserve"> </w:t>
            </w:r>
            <w:r w:rsidR="0045526A" w:rsidRPr="00473B58">
              <w:rPr>
                <w:lang w:val="fr-CA"/>
              </w:rPr>
              <w:t xml:space="preserve">un </w:t>
            </w:r>
            <w:r w:rsidRPr="00473B58">
              <w:rPr>
                <w:lang w:val="fr-CA"/>
              </w:rPr>
              <w:t>v</w:t>
            </w:r>
            <w:r w:rsidR="00002450" w:rsidRPr="00473B58">
              <w:rPr>
                <w:lang w:val="fr-CA"/>
              </w:rPr>
              <w:t xml:space="preserve">olume </w:t>
            </w:r>
            <w:r w:rsidR="00FB4A21" w:rsidRPr="00473B58">
              <w:rPr>
                <w:lang w:val="fr-CA"/>
              </w:rPr>
              <w:t xml:space="preserve">élevé </w:t>
            </w:r>
            <w:r w:rsidRPr="00473B58">
              <w:rPr>
                <w:lang w:val="fr-CA"/>
              </w:rPr>
              <w:t>d’opérations de faible valeur avec des modalités de contrat standards). Les scénarios les plus courants comprennent</w:t>
            </w:r>
            <w:r w:rsidR="0045526A" w:rsidRPr="00473B58">
              <w:rPr>
                <w:lang w:val="fr-CA"/>
              </w:rPr>
              <w:t xml:space="preserve"> les suivants</w:t>
            </w:r>
            <w:r w:rsidR="00A352F0" w:rsidRPr="00473B58">
              <w:rPr>
                <w:lang w:val="fr-CA"/>
              </w:rPr>
              <w:t> </w:t>
            </w:r>
            <w:r w:rsidR="00002450" w:rsidRPr="00473B58">
              <w:rPr>
                <w:lang w:val="fr-CA"/>
              </w:rPr>
              <w:t>:</w:t>
            </w:r>
          </w:p>
          <w:p w14:paraId="558B7D7C" w14:textId="1957918C" w:rsidR="00002450" w:rsidRPr="00473B58" w:rsidRDefault="00C71C0A" w:rsidP="00A6257C">
            <w:pPr>
              <w:pStyle w:val="ListParagraph"/>
              <w:numPr>
                <w:ilvl w:val="0"/>
                <w:numId w:val="9"/>
              </w:numPr>
              <w:spacing w:before="120" w:after="120"/>
              <w:rPr>
                <w:lang w:val="fr-CA"/>
              </w:rPr>
            </w:pPr>
            <w:r w:rsidRPr="00473B58">
              <w:rPr>
                <w:lang w:val="fr-CA"/>
              </w:rPr>
              <w:t>Scé</w:t>
            </w:r>
            <w:r w:rsidR="00002450" w:rsidRPr="00473B58">
              <w:rPr>
                <w:lang w:val="fr-CA"/>
              </w:rPr>
              <w:t>nario</w:t>
            </w:r>
            <w:r w:rsidR="00A352F0" w:rsidRPr="00473B58">
              <w:rPr>
                <w:lang w:val="fr-CA"/>
              </w:rPr>
              <w:t> </w:t>
            </w:r>
            <w:r w:rsidR="00002450" w:rsidRPr="00473B58">
              <w:rPr>
                <w:lang w:val="fr-CA"/>
              </w:rPr>
              <w:t xml:space="preserve">1 – </w:t>
            </w:r>
            <w:r w:rsidRPr="00473B58">
              <w:rPr>
                <w:lang w:val="fr-CA"/>
              </w:rPr>
              <w:t>Si les modalités de contrats générateurs de produits important</w:t>
            </w:r>
            <w:r w:rsidR="0007420A" w:rsidRPr="00473B58">
              <w:rPr>
                <w:lang w:val="fr-CA"/>
              </w:rPr>
              <w:t>s</w:t>
            </w:r>
            <w:r w:rsidRPr="00473B58">
              <w:rPr>
                <w:lang w:val="fr-CA"/>
              </w:rPr>
              <w:t xml:space="preserve"> pris individuellement sont adaptées en fonction d</w:t>
            </w:r>
            <w:r w:rsidR="0045526A" w:rsidRPr="00473B58">
              <w:rPr>
                <w:lang w:val="fr-CA"/>
              </w:rPr>
              <w:t>’un</w:t>
            </w:r>
            <w:r w:rsidRPr="00473B58">
              <w:rPr>
                <w:lang w:val="fr-CA"/>
              </w:rPr>
              <w:t xml:space="preserve"> client (modalités </w:t>
            </w:r>
            <w:r w:rsidR="0045526A" w:rsidRPr="00473B58">
              <w:rPr>
                <w:lang w:val="fr-CA"/>
              </w:rPr>
              <w:t>sur mesure</w:t>
            </w:r>
            <w:r w:rsidRPr="00473B58">
              <w:rPr>
                <w:lang w:val="fr-CA"/>
              </w:rPr>
              <w:t>), l’auditeur doit alors réaliser l’étape</w:t>
            </w:r>
            <w:r w:rsidR="00A352F0" w:rsidRPr="00473B58">
              <w:rPr>
                <w:lang w:val="fr-CA"/>
              </w:rPr>
              <w:t> </w:t>
            </w:r>
            <w:r w:rsidRPr="00473B58">
              <w:rPr>
                <w:lang w:val="fr-CA"/>
              </w:rPr>
              <w:t xml:space="preserve">1 </w:t>
            </w:r>
            <w:r w:rsidR="007673F5" w:rsidRPr="00473B58">
              <w:rPr>
                <w:lang w:val="fr-CA"/>
              </w:rPr>
              <w:t>et les suivantes</w:t>
            </w:r>
            <w:r w:rsidRPr="00473B58">
              <w:rPr>
                <w:lang w:val="fr-CA"/>
              </w:rPr>
              <w:t xml:space="preserve"> en prélevant un échantillon de contrats</w:t>
            </w:r>
            <w:r w:rsidR="00002450" w:rsidRPr="00473B58">
              <w:rPr>
                <w:lang w:val="fr-CA"/>
              </w:rPr>
              <w:t>.</w:t>
            </w:r>
          </w:p>
          <w:p w14:paraId="6359CF0B" w14:textId="4A1EB22C" w:rsidR="00002450" w:rsidRPr="00473B58" w:rsidRDefault="00002450" w:rsidP="00A6257C">
            <w:pPr>
              <w:pStyle w:val="ListParagraph"/>
              <w:numPr>
                <w:ilvl w:val="0"/>
                <w:numId w:val="8"/>
              </w:numPr>
              <w:spacing w:before="120" w:after="120"/>
              <w:rPr>
                <w:lang w:val="fr-CA"/>
              </w:rPr>
            </w:pPr>
            <w:r w:rsidRPr="00473B58">
              <w:rPr>
                <w:lang w:val="fr-CA"/>
              </w:rPr>
              <w:t>S</w:t>
            </w:r>
            <w:r w:rsidR="00C71C0A" w:rsidRPr="00473B58">
              <w:rPr>
                <w:lang w:val="fr-CA"/>
              </w:rPr>
              <w:t>cénario</w:t>
            </w:r>
            <w:r w:rsidR="00A352F0" w:rsidRPr="00473B58">
              <w:rPr>
                <w:lang w:val="fr-CA"/>
              </w:rPr>
              <w:t> </w:t>
            </w:r>
            <w:r w:rsidR="00C71C0A" w:rsidRPr="00473B58">
              <w:rPr>
                <w:lang w:val="fr-CA"/>
              </w:rPr>
              <w:t xml:space="preserve">2 – Si les produits </w:t>
            </w:r>
            <w:r w:rsidR="0045526A" w:rsidRPr="00473B58">
              <w:rPr>
                <w:lang w:val="fr-CA"/>
              </w:rPr>
              <w:t xml:space="preserve">sont </w:t>
            </w:r>
            <w:r w:rsidR="00C71C0A" w:rsidRPr="00473B58">
              <w:rPr>
                <w:lang w:val="fr-CA"/>
              </w:rPr>
              <w:t xml:space="preserve">générés par un volume </w:t>
            </w:r>
            <w:r w:rsidR="00FB4A21" w:rsidRPr="00473B58">
              <w:rPr>
                <w:lang w:val="fr-CA"/>
              </w:rPr>
              <w:t xml:space="preserve">élevé </w:t>
            </w:r>
            <w:r w:rsidR="00C71C0A" w:rsidRPr="00473B58">
              <w:rPr>
                <w:lang w:val="fr-CA"/>
              </w:rPr>
              <w:t xml:space="preserve">d’opérations de faible valeur avec des modalités de contrat standards </w:t>
            </w:r>
            <w:r w:rsidR="007673F5" w:rsidRPr="00473B58">
              <w:rPr>
                <w:lang w:val="fr-CA"/>
              </w:rPr>
              <w:t>qui ne sont jamais modifiées, l’auditeur peut alors réaliser les étapes</w:t>
            </w:r>
            <w:r w:rsidR="00A352F0" w:rsidRPr="00473B58">
              <w:rPr>
                <w:lang w:val="fr-CA"/>
              </w:rPr>
              <w:t> </w:t>
            </w:r>
            <w:r w:rsidR="007673F5" w:rsidRPr="00473B58">
              <w:rPr>
                <w:lang w:val="fr-CA"/>
              </w:rPr>
              <w:t>1 et 2 de la procédure en fonction des modalités standards des contrats. Lorsqu’il réalise les étapes</w:t>
            </w:r>
            <w:r w:rsidR="00A352F0" w:rsidRPr="00473B58">
              <w:rPr>
                <w:lang w:val="fr-CA"/>
              </w:rPr>
              <w:t> </w:t>
            </w:r>
            <w:r w:rsidRPr="00473B58">
              <w:rPr>
                <w:lang w:val="fr-CA"/>
              </w:rPr>
              <w:t xml:space="preserve">3, 4 </w:t>
            </w:r>
            <w:r w:rsidR="007673F5" w:rsidRPr="00473B58">
              <w:rPr>
                <w:lang w:val="fr-CA"/>
              </w:rPr>
              <w:t xml:space="preserve">et </w:t>
            </w:r>
            <w:r w:rsidRPr="00473B58">
              <w:rPr>
                <w:lang w:val="fr-CA"/>
              </w:rPr>
              <w:t>5</w:t>
            </w:r>
            <w:r w:rsidR="007673F5" w:rsidRPr="00473B58">
              <w:rPr>
                <w:lang w:val="fr-CA"/>
              </w:rPr>
              <w:t>, l’audit</w:t>
            </w:r>
            <w:r w:rsidR="0045526A" w:rsidRPr="00473B58">
              <w:rPr>
                <w:lang w:val="fr-CA"/>
              </w:rPr>
              <w:t xml:space="preserve">eur cible </w:t>
            </w:r>
            <w:r w:rsidR="007673F5" w:rsidRPr="00473B58">
              <w:rPr>
                <w:lang w:val="fr-CA"/>
              </w:rPr>
              <w:t xml:space="preserve">les obligations de prestation/opérations </w:t>
            </w:r>
            <w:r w:rsidR="0045526A" w:rsidRPr="00473B58">
              <w:rPr>
                <w:lang w:val="fr-CA"/>
              </w:rPr>
              <w:t xml:space="preserve">détaillées </w:t>
            </w:r>
            <w:r w:rsidR="007673F5" w:rsidRPr="00473B58">
              <w:rPr>
                <w:lang w:val="fr-CA"/>
              </w:rPr>
              <w:t>et choisit donc une unité d’échantillonnage à ce niveau. La population pour le test sera la liste détaillée contenant chaque obligation de prestat</w:t>
            </w:r>
            <w:r w:rsidR="0007420A" w:rsidRPr="00473B58">
              <w:rPr>
                <w:lang w:val="fr-CA"/>
              </w:rPr>
              <w:t>ion</w:t>
            </w:r>
            <w:r w:rsidR="007673F5" w:rsidRPr="00473B58">
              <w:rPr>
                <w:lang w:val="fr-CA"/>
              </w:rPr>
              <w:t>/opération. Toutefois, dans ce cas de figure, lors de l’exécution des étapes</w:t>
            </w:r>
            <w:r w:rsidR="00A352F0" w:rsidRPr="00473B58">
              <w:rPr>
                <w:lang w:val="fr-CA"/>
              </w:rPr>
              <w:t> </w:t>
            </w:r>
            <w:r w:rsidR="007673F5" w:rsidRPr="00473B58">
              <w:rPr>
                <w:lang w:val="fr-CA"/>
              </w:rPr>
              <w:t xml:space="preserve">3, 4 et 5, l’auditeur doit rester à l’affût de tout indice susceptible d’indiquer que les modalités des contrats pour chaque opération sélectionnée pour </w:t>
            </w:r>
            <w:r w:rsidR="0045526A" w:rsidRPr="00473B58">
              <w:rPr>
                <w:lang w:val="fr-CA"/>
              </w:rPr>
              <w:t xml:space="preserve">le test </w:t>
            </w:r>
            <w:r w:rsidR="007673F5" w:rsidRPr="00473B58">
              <w:rPr>
                <w:lang w:val="fr-CA"/>
              </w:rPr>
              <w:t xml:space="preserve">ne sont pas conformes aux modalités des contrats standards testées lors des deux premières étapes. </w:t>
            </w:r>
          </w:p>
          <w:p w14:paraId="0768C067" w14:textId="5170D801" w:rsidR="00FA120F" w:rsidRPr="00473B58" w:rsidRDefault="00C71C0A" w:rsidP="0045526A">
            <w:pPr>
              <w:pStyle w:val="ListParagraph"/>
              <w:numPr>
                <w:ilvl w:val="0"/>
                <w:numId w:val="7"/>
              </w:numPr>
              <w:spacing w:before="120" w:after="120"/>
              <w:rPr>
                <w:lang w:val="fr-CA"/>
              </w:rPr>
            </w:pPr>
            <w:r w:rsidRPr="00473B58">
              <w:rPr>
                <w:lang w:val="fr-CA"/>
              </w:rPr>
              <w:t>Scé</w:t>
            </w:r>
            <w:r w:rsidR="00002450" w:rsidRPr="00473B58">
              <w:rPr>
                <w:lang w:val="fr-CA"/>
              </w:rPr>
              <w:t>nario</w:t>
            </w:r>
            <w:r w:rsidR="00A352F0" w:rsidRPr="00473B58">
              <w:rPr>
                <w:lang w:val="fr-CA"/>
              </w:rPr>
              <w:t> </w:t>
            </w:r>
            <w:r w:rsidR="00002450" w:rsidRPr="00473B58">
              <w:rPr>
                <w:lang w:val="fr-CA"/>
              </w:rPr>
              <w:t xml:space="preserve">3 – </w:t>
            </w:r>
            <w:r w:rsidR="00092171" w:rsidRPr="00473B58">
              <w:rPr>
                <w:lang w:val="fr-CA"/>
              </w:rPr>
              <w:t>Si les contrats peuvent être classés par groupes, en fonction des mêmes modalités contractuelles, les tests prévus aux étapes</w:t>
            </w:r>
            <w:r w:rsidR="00A352F0" w:rsidRPr="00473B58">
              <w:rPr>
                <w:lang w:val="fr-CA"/>
              </w:rPr>
              <w:t> </w:t>
            </w:r>
            <w:r w:rsidR="00092171" w:rsidRPr="00473B58">
              <w:rPr>
                <w:lang w:val="fr-CA"/>
              </w:rPr>
              <w:t>1 et 2 peuvent être effectués pour chaque groupe</w:t>
            </w:r>
            <w:r w:rsidR="0045526A" w:rsidRPr="00473B58">
              <w:rPr>
                <w:lang w:val="fr-CA"/>
              </w:rPr>
              <w:t xml:space="preserve"> dans son ensemble</w:t>
            </w:r>
            <w:r w:rsidR="00092171" w:rsidRPr="00473B58">
              <w:rPr>
                <w:lang w:val="fr-CA"/>
              </w:rPr>
              <w:t>. Les tests prévus aux étapes</w:t>
            </w:r>
            <w:r w:rsidR="00A352F0" w:rsidRPr="00473B58">
              <w:rPr>
                <w:lang w:val="fr-CA"/>
              </w:rPr>
              <w:t> </w:t>
            </w:r>
            <w:r w:rsidR="00092171" w:rsidRPr="00473B58">
              <w:rPr>
                <w:lang w:val="fr-CA"/>
              </w:rPr>
              <w:t>3, 4 et 5 devraient cependant être réalisés individuellement pour chaque obligation de prestat</w:t>
            </w:r>
            <w:r w:rsidR="0045526A" w:rsidRPr="00473B58">
              <w:rPr>
                <w:lang w:val="fr-CA"/>
              </w:rPr>
              <w:t>ion</w:t>
            </w:r>
            <w:r w:rsidR="00092171" w:rsidRPr="00473B58">
              <w:rPr>
                <w:lang w:val="fr-CA"/>
              </w:rPr>
              <w:t xml:space="preserve">/opération dans chacun des groupes. Lorsque les contrats sont classés par groupes, l’auditeur doit se reporter aux directives de la section </w:t>
            </w:r>
            <w:hyperlink r:id="rId14" w:history="1">
              <w:r w:rsidR="00092171" w:rsidRPr="00473B58">
                <w:rPr>
                  <w:rStyle w:val="Hyperlink"/>
                  <w:lang w:val="fr-CA"/>
                </w:rPr>
                <w:t>BVG Audit 7044.1</w:t>
              </w:r>
            </w:hyperlink>
            <w:r w:rsidR="00092171" w:rsidRPr="00473B58">
              <w:rPr>
                <w:lang w:val="fr-CA"/>
              </w:rPr>
              <w:t xml:space="preserve"> (étape</w:t>
            </w:r>
            <w:r w:rsidR="00A352F0" w:rsidRPr="00473B58">
              <w:rPr>
                <w:lang w:val="fr-CA"/>
              </w:rPr>
              <w:t> </w:t>
            </w:r>
            <w:r w:rsidR="00F1330F" w:rsidRPr="00473B58">
              <w:rPr>
                <w:lang w:val="fr-CA"/>
              </w:rPr>
              <w:t>2)</w:t>
            </w:r>
            <w:r w:rsidR="00002450" w:rsidRPr="00473B58">
              <w:rPr>
                <w:lang w:val="fr-CA"/>
              </w:rPr>
              <w:t xml:space="preserve"> </w:t>
            </w:r>
            <w:r w:rsidR="00092171" w:rsidRPr="00473B58">
              <w:rPr>
                <w:lang w:val="fr-CA"/>
              </w:rPr>
              <w:t xml:space="preserve">pour évaluer s’il a défini une </w:t>
            </w:r>
            <w:r w:rsidR="00002450" w:rsidRPr="00473B58">
              <w:rPr>
                <w:lang w:val="fr-CA"/>
              </w:rPr>
              <w:t>population</w:t>
            </w:r>
            <w:r w:rsidR="00092171" w:rsidRPr="00473B58">
              <w:rPr>
                <w:lang w:val="fr-CA"/>
              </w:rPr>
              <w:t xml:space="preserve"> appropriée pour les tests. </w:t>
            </w:r>
            <w:r w:rsidR="0045526A" w:rsidRPr="00473B58">
              <w:rPr>
                <w:lang w:val="fr-CA"/>
              </w:rPr>
              <w:t>Par exemple</w:t>
            </w:r>
            <w:r w:rsidR="00092171" w:rsidRPr="00473B58">
              <w:rPr>
                <w:lang w:val="fr-CA"/>
              </w:rPr>
              <w:t xml:space="preserve">, si les différents groupes de contrats ne sont pas </w:t>
            </w:r>
            <w:r w:rsidR="0045526A" w:rsidRPr="00473B58">
              <w:rPr>
                <w:lang w:val="fr-CA"/>
              </w:rPr>
              <w:t xml:space="preserve">tous </w:t>
            </w:r>
            <w:r w:rsidR="00092171" w:rsidRPr="00473B58">
              <w:rPr>
                <w:lang w:val="fr-CA"/>
              </w:rPr>
              <w:t xml:space="preserve">assujettis </w:t>
            </w:r>
            <w:r w:rsidR="0045526A" w:rsidRPr="00473B58">
              <w:rPr>
                <w:lang w:val="fr-CA"/>
              </w:rPr>
              <w:t xml:space="preserve">aux mêmes </w:t>
            </w:r>
            <w:r w:rsidR="00092171" w:rsidRPr="00473B58">
              <w:rPr>
                <w:lang w:val="fr-CA"/>
              </w:rPr>
              <w:t>processus et contrôles, il convient probablement de définir chaque groupe comme une population distincte pour les besoins des tests.</w:t>
            </w:r>
          </w:p>
        </w:tc>
      </w:tr>
      <w:tr w:rsidR="00A739AD" w:rsidRPr="00473B58" w14:paraId="6D343B19" w14:textId="77777777" w:rsidTr="00AA5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single" w:sz="12" w:space="0" w:color="2E74B5" w:themeColor="accent1" w:themeShade="BF"/>
              <w:left w:val="nil"/>
              <w:bottom w:val="single" w:sz="12" w:space="0" w:color="2E74B5" w:themeColor="accent1" w:themeShade="BF"/>
              <w:right w:val="nil"/>
            </w:tcBorders>
            <w:vAlign w:val="bottom"/>
          </w:tcPr>
          <w:p w14:paraId="0A469E7C" w14:textId="4651FC19" w:rsidR="00A739AD" w:rsidRPr="00473B58" w:rsidRDefault="00AD449B" w:rsidP="00A6257C">
            <w:pPr>
              <w:spacing w:before="120" w:after="120"/>
              <w:rPr>
                <w:b/>
                <w:color w:val="2E74B5" w:themeColor="accent1" w:themeShade="BF"/>
                <w:lang w:val="fr-CA"/>
              </w:rPr>
            </w:pPr>
            <w:r w:rsidRPr="00473B58">
              <w:rPr>
                <w:b/>
                <w:color w:val="2E74B5" w:themeColor="accent1" w:themeShade="BF"/>
                <w:lang w:val="fr-CA"/>
              </w:rPr>
              <w:t>N</w:t>
            </w:r>
            <w:r w:rsidRPr="00473B58">
              <w:rPr>
                <w:b/>
                <w:color w:val="2E74B5" w:themeColor="accent1" w:themeShade="BF"/>
                <w:vertAlign w:val="superscript"/>
                <w:lang w:val="fr-CA"/>
              </w:rPr>
              <w:t>o</w:t>
            </w:r>
            <w:r w:rsidRPr="00473B58">
              <w:rPr>
                <w:b/>
                <w:color w:val="2E74B5" w:themeColor="accent1" w:themeShade="BF"/>
                <w:lang w:val="fr-CA"/>
              </w:rPr>
              <w:t xml:space="preserve"> / titre de la procédure</w:t>
            </w:r>
          </w:p>
        </w:tc>
        <w:tc>
          <w:tcPr>
            <w:tcW w:w="3543" w:type="dxa"/>
            <w:tcBorders>
              <w:top w:val="single" w:sz="12" w:space="0" w:color="2E74B5" w:themeColor="accent1" w:themeShade="BF"/>
              <w:left w:val="nil"/>
              <w:bottom w:val="single" w:sz="12" w:space="0" w:color="2E74B5" w:themeColor="accent1" w:themeShade="BF"/>
              <w:right w:val="nil"/>
            </w:tcBorders>
            <w:vAlign w:val="bottom"/>
          </w:tcPr>
          <w:p w14:paraId="523AAF32" w14:textId="2759DE3D" w:rsidR="00A739AD" w:rsidRPr="00473B58" w:rsidRDefault="00A739AD" w:rsidP="00AD449B">
            <w:pPr>
              <w:spacing w:before="120" w:after="120"/>
              <w:rPr>
                <w:b/>
                <w:color w:val="2E74B5" w:themeColor="accent1" w:themeShade="BF"/>
                <w:lang w:val="fr-CA"/>
              </w:rPr>
            </w:pPr>
          </w:p>
        </w:tc>
        <w:tc>
          <w:tcPr>
            <w:tcW w:w="7373" w:type="dxa"/>
            <w:tcBorders>
              <w:top w:val="single" w:sz="12" w:space="0" w:color="2E74B5" w:themeColor="accent1" w:themeShade="BF"/>
              <w:left w:val="nil"/>
              <w:bottom w:val="single" w:sz="12" w:space="0" w:color="2E74B5" w:themeColor="accent1" w:themeShade="BF"/>
              <w:right w:val="nil"/>
            </w:tcBorders>
            <w:vAlign w:val="bottom"/>
          </w:tcPr>
          <w:p w14:paraId="305FFB30" w14:textId="375661FE" w:rsidR="00A739AD" w:rsidRPr="00473B58" w:rsidRDefault="00AD449B" w:rsidP="00AD449B">
            <w:pPr>
              <w:spacing w:before="120" w:after="120"/>
              <w:rPr>
                <w:b/>
                <w:color w:val="2E74B5" w:themeColor="accent1" w:themeShade="BF"/>
                <w:lang w:val="fr-CA"/>
              </w:rPr>
            </w:pPr>
            <w:r w:rsidRPr="00473B58">
              <w:rPr>
                <w:b/>
                <w:color w:val="2E74B5" w:themeColor="accent1" w:themeShade="BF"/>
                <w:lang w:val="fr-CA"/>
              </w:rPr>
              <w:t xml:space="preserve">Directives </w:t>
            </w:r>
          </w:p>
        </w:tc>
      </w:tr>
      <w:tr w:rsidR="00A739AD" w:rsidRPr="00D97151" w14:paraId="71C78F4A" w14:textId="77777777" w:rsidTr="00E11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single" w:sz="12" w:space="0" w:color="2E74B5" w:themeColor="accent1" w:themeShade="BF"/>
              <w:left w:val="nil"/>
              <w:bottom w:val="single" w:sz="12" w:space="0" w:color="2E74B5" w:themeColor="accent1" w:themeShade="BF"/>
              <w:right w:val="nil"/>
            </w:tcBorders>
          </w:tcPr>
          <w:p w14:paraId="07CC260C" w14:textId="57518E54" w:rsidR="00A739AD" w:rsidRPr="00473B58" w:rsidRDefault="00BF5923" w:rsidP="00091BB2">
            <w:pPr>
              <w:spacing w:before="120" w:after="120"/>
              <w:rPr>
                <w:b/>
                <w:lang w:val="fr-CA"/>
              </w:rPr>
            </w:pPr>
            <w:r w:rsidRPr="00A52106">
              <w:rPr>
                <w:b/>
                <w:lang w:val="fr-CA"/>
              </w:rPr>
              <w:t xml:space="preserve">Onglet </w:t>
            </w:r>
            <w:r w:rsidR="006A64AC">
              <w:rPr>
                <w:b/>
                <w:lang w:val="fr-CA"/>
              </w:rPr>
              <w:t>« </w:t>
            </w:r>
            <w:r w:rsidR="00091BB2">
              <w:rPr>
                <w:b/>
                <w:lang w:val="fr-CA"/>
              </w:rPr>
              <w:t>Sélection de l’échantillon</w:t>
            </w:r>
            <w:r w:rsidRPr="00A52106">
              <w:rPr>
                <w:b/>
                <w:lang w:val="fr-CA"/>
              </w:rPr>
              <w:t> »</w:t>
            </w:r>
          </w:p>
        </w:tc>
        <w:tc>
          <w:tcPr>
            <w:tcW w:w="3543" w:type="dxa"/>
            <w:tcBorders>
              <w:top w:val="single" w:sz="12" w:space="0" w:color="2E74B5" w:themeColor="accent1" w:themeShade="BF"/>
              <w:left w:val="nil"/>
              <w:bottom w:val="single" w:sz="12" w:space="0" w:color="2E74B5" w:themeColor="accent1" w:themeShade="BF"/>
              <w:right w:val="nil"/>
            </w:tcBorders>
          </w:tcPr>
          <w:p w14:paraId="3DDC467E" w14:textId="77777777" w:rsidR="00A739AD" w:rsidRPr="00473B58" w:rsidRDefault="00A739AD" w:rsidP="00A6257C">
            <w:pPr>
              <w:spacing w:before="120" w:after="120"/>
              <w:rPr>
                <w:lang w:val="fr-CA"/>
              </w:rPr>
            </w:pPr>
          </w:p>
        </w:tc>
        <w:tc>
          <w:tcPr>
            <w:tcW w:w="7373" w:type="dxa"/>
            <w:tcBorders>
              <w:top w:val="single" w:sz="12" w:space="0" w:color="2E74B5" w:themeColor="accent1" w:themeShade="BF"/>
              <w:left w:val="nil"/>
              <w:bottom w:val="single" w:sz="12" w:space="0" w:color="2E74B5" w:themeColor="accent1" w:themeShade="BF"/>
              <w:right w:val="nil"/>
            </w:tcBorders>
          </w:tcPr>
          <w:p w14:paraId="14753CE9" w14:textId="6E302E00" w:rsidR="00A739AD" w:rsidRPr="00473B58" w:rsidRDefault="00412F06" w:rsidP="00A6257C">
            <w:pPr>
              <w:spacing w:before="120" w:after="120"/>
              <w:rPr>
                <w:lang w:val="fr-CA"/>
              </w:rPr>
            </w:pPr>
            <w:r w:rsidRPr="00473B58">
              <w:rPr>
                <w:lang w:val="fr-CA"/>
              </w:rPr>
              <w:t>Il faut utilise</w:t>
            </w:r>
            <w:r w:rsidR="0045526A" w:rsidRPr="00473B58">
              <w:rPr>
                <w:lang w:val="fr-CA"/>
              </w:rPr>
              <w:t>r</w:t>
            </w:r>
            <w:r w:rsidRPr="00473B58">
              <w:rPr>
                <w:lang w:val="fr-CA"/>
              </w:rPr>
              <w:t xml:space="preserve"> cet onglet pour documenter les éléments sélectionnés pour les besoins des tests </w:t>
            </w:r>
            <w:r w:rsidR="0045526A" w:rsidRPr="00473B58">
              <w:rPr>
                <w:lang w:val="fr-CA"/>
              </w:rPr>
              <w:t>dans</w:t>
            </w:r>
            <w:r w:rsidRPr="00473B58">
              <w:rPr>
                <w:lang w:val="fr-CA"/>
              </w:rPr>
              <w:t xml:space="preserve"> la liste détaillée des produits de l’entité dont l’exhaustivité a été vérifiée dans la section «</w:t>
            </w:r>
            <w:r w:rsidR="00A352F0" w:rsidRPr="00473B58">
              <w:rPr>
                <w:lang w:val="fr-CA"/>
              </w:rPr>
              <w:t> </w:t>
            </w:r>
            <w:r w:rsidRPr="00473B58">
              <w:rPr>
                <w:lang w:val="fr-CA"/>
              </w:rPr>
              <w:t>Procédures générales</w:t>
            </w:r>
            <w:r w:rsidR="00A352F0" w:rsidRPr="00473B58">
              <w:rPr>
                <w:lang w:val="fr-CA"/>
              </w:rPr>
              <w:t> </w:t>
            </w:r>
            <w:r w:rsidRPr="00473B58">
              <w:rPr>
                <w:lang w:val="fr-CA"/>
              </w:rPr>
              <w:t>».</w:t>
            </w:r>
          </w:p>
          <w:p w14:paraId="70AE823F" w14:textId="0E7621D1" w:rsidR="00A739AD" w:rsidRPr="00473B58" w:rsidRDefault="00412F06" w:rsidP="00AE66CA">
            <w:pPr>
              <w:spacing w:before="120" w:after="120"/>
              <w:rPr>
                <w:lang w:val="fr-CA"/>
              </w:rPr>
            </w:pPr>
            <w:r w:rsidRPr="00473B58">
              <w:rPr>
                <w:lang w:val="fr-CA"/>
              </w:rPr>
              <w:t xml:space="preserve">Se reporter </w:t>
            </w:r>
            <w:r w:rsidR="0007420A" w:rsidRPr="00473B58">
              <w:rPr>
                <w:lang w:val="fr-CA"/>
              </w:rPr>
              <w:t>à la</w:t>
            </w:r>
            <w:r w:rsidRPr="00473B58">
              <w:rPr>
                <w:lang w:val="fr-CA"/>
              </w:rPr>
              <w:t xml:space="preserve"> section </w:t>
            </w:r>
            <w:hyperlink r:id="rId15" w:history="1">
              <w:r w:rsidRPr="00473B58">
                <w:rPr>
                  <w:rStyle w:val="Hyperlink"/>
                  <w:lang w:val="fr-CA"/>
                </w:rPr>
                <w:t>BVG Audit 7040</w:t>
              </w:r>
            </w:hyperlink>
            <w:r w:rsidR="0050412C" w:rsidRPr="00473B58">
              <w:rPr>
                <w:lang w:val="fr-CA"/>
              </w:rPr>
              <w:t xml:space="preserve"> </w:t>
            </w:r>
            <w:r w:rsidRPr="00473B58">
              <w:rPr>
                <w:lang w:val="fr-CA"/>
              </w:rPr>
              <w:t>pour obtenir des directives sur la conception et la réalisation d’un test de détail efficace. La stratégie de test de détail du Bureau privilégie les tests ciblés, car ces tests reposent sur une part important</w:t>
            </w:r>
            <w:r w:rsidR="0007420A" w:rsidRPr="00473B58">
              <w:rPr>
                <w:lang w:val="fr-CA"/>
              </w:rPr>
              <w:t>e</w:t>
            </w:r>
            <w:r w:rsidRPr="00473B58">
              <w:rPr>
                <w:lang w:val="fr-CA"/>
              </w:rPr>
              <w:t xml:space="preserve"> de jugement </w:t>
            </w:r>
            <w:r w:rsidR="0045526A" w:rsidRPr="00473B58">
              <w:rPr>
                <w:lang w:val="fr-CA"/>
              </w:rPr>
              <w:t>lors de la s</w:t>
            </w:r>
            <w:r w:rsidRPr="00473B58">
              <w:rPr>
                <w:lang w:val="fr-CA"/>
              </w:rPr>
              <w:t>élection</w:t>
            </w:r>
            <w:r w:rsidR="0045526A" w:rsidRPr="00473B58">
              <w:rPr>
                <w:lang w:val="fr-CA"/>
              </w:rPr>
              <w:t xml:space="preserve"> des</w:t>
            </w:r>
            <w:r w:rsidRPr="00473B58">
              <w:rPr>
                <w:lang w:val="fr-CA"/>
              </w:rPr>
              <w:t xml:space="preserve"> éléments à tester. Toutefois, pour tester les produits, il est généralement nécessaire de mettre en œuvre des procédures supplémentaires visant le solde non testé. </w:t>
            </w:r>
            <w:r w:rsidR="00AE66CA" w:rsidRPr="00473B58">
              <w:rPr>
                <w:lang w:val="fr-CA"/>
              </w:rPr>
              <w:t>Pour ce faire, l</w:t>
            </w:r>
            <w:r w:rsidRPr="00473B58">
              <w:rPr>
                <w:lang w:val="fr-CA"/>
              </w:rPr>
              <w:t>’auditeur choisit généralement les éléments à tester à l’aide d’une méthode d’échantillonnage non statistique.</w:t>
            </w:r>
          </w:p>
        </w:tc>
      </w:tr>
    </w:tbl>
    <w:p w14:paraId="472E5626" w14:textId="77777777" w:rsidR="00715176" w:rsidRPr="00473B58" w:rsidRDefault="00715176">
      <w:pPr>
        <w:rPr>
          <w:lang w:val="fr-CA"/>
        </w:rPr>
      </w:pPr>
    </w:p>
    <w:p w14:paraId="5932691A" w14:textId="77777777" w:rsidR="00077CF5" w:rsidRPr="00473B58" w:rsidRDefault="00077CF5">
      <w:pPr>
        <w:rPr>
          <w:lang w:val="fr-CA"/>
        </w:rPr>
      </w:pPr>
      <w:r w:rsidRPr="00473B58">
        <w:rPr>
          <w:lang w:val="fr-CA"/>
        </w:rP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600311" w:rsidRPr="00473B58" w14:paraId="038C13F6" w14:textId="77777777" w:rsidTr="00077CF5">
        <w:trPr>
          <w:trHeight w:val="132"/>
        </w:trPr>
        <w:tc>
          <w:tcPr>
            <w:tcW w:w="2607" w:type="dxa"/>
            <w:shd w:val="clear" w:color="auto" w:fill="C45911" w:themeFill="accent2" w:themeFillShade="BF"/>
          </w:tcPr>
          <w:p w14:paraId="6A8E5B01" w14:textId="48F0E3C1" w:rsidR="00715176" w:rsidRPr="00473B58" w:rsidRDefault="00D97151" w:rsidP="00715176">
            <w:pPr>
              <w:jc w:val="center"/>
              <w:rPr>
                <w:b/>
                <w:color w:val="FFFFFF" w:themeColor="background1"/>
                <w:sz w:val="24"/>
                <w:szCs w:val="24"/>
                <w:lang w:val="fr-CA"/>
              </w:rPr>
            </w:pPr>
            <w:hyperlink w:anchor="_Results_Template_(Step" w:history="1">
              <w:r w:rsidR="00AF7F70"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AF7F70" w:rsidRPr="00473B58">
                <w:rPr>
                  <w:rStyle w:val="Hyperlink"/>
                  <w:b/>
                  <w:color w:val="FFFFFF" w:themeColor="background1"/>
                  <w:sz w:val="24"/>
                  <w:szCs w:val="24"/>
                  <w:lang w:val="fr-CA"/>
                </w:rPr>
                <w:t>1</w:t>
              </w:r>
            </w:hyperlink>
          </w:p>
        </w:tc>
        <w:tc>
          <w:tcPr>
            <w:tcW w:w="2607" w:type="dxa"/>
            <w:shd w:val="clear" w:color="auto" w:fill="2E74B5" w:themeFill="accent1" w:themeFillShade="BF"/>
          </w:tcPr>
          <w:p w14:paraId="72462E12" w14:textId="25105CEE" w:rsidR="00715176" w:rsidRPr="00473B58" w:rsidRDefault="00D97151" w:rsidP="00715176">
            <w:pPr>
              <w:jc w:val="center"/>
              <w:rPr>
                <w:b/>
                <w:color w:val="FFFFFF" w:themeColor="background1"/>
                <w:sz w:val="24"/>
                <w:szCs w:val="24"/>
                <w:lang w:val="fr-CA"/>
              </w:rPr>
            </w:pPr>
            <w:hyperlink w:anchor="_Results_Template_(Step_5" w:history="1">
              <w:r w:rsidR="00AF7F70"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AF7F70" w:rsidRPr="00473B58">
                <w:rPr>
                  <w:rStyle w:val="Hyperlink"/>
                  <w:b/>
                  <w:color w:val="FFFFFF" w:themeColor="background1"/>
                  <w:sz w:val="24"/>
                  <w:szCs w:val="24"/>
                  <w:lang w:val="fr-CA"/>
                </w:rPr>
                <w:t>2</w:t>
              </w:r>
            </w:hyperlink>
          </w:p>
        </w:tc>
        <w:tc>
          <w:tcPr>
            <w:tcW w:w="2607" w:type="dxa"/>
            <w:shd w:val="clear" w:color="auto" w:fill="2E74B5" w:themeFill="accent1" w:themeFillShade="BF"/>
          </w:tcPr>
          <w:p w14:paraId="09625A49" w14:textId="7C0FA573" w:rsidR="00715176" w:rsidRPr="00473B58" w:rsidRDefault="00D97151" w:rsidP="00715176">
            <w:pPr>
              <w:jc w:val="center"/>
              <w:rPr>
                <w:b/>
                <w:color w:val="FFFFFF" w:themeColor="background1"/>
                <w:sz w:val="24"/>
                <w:szCs w:val="24"/>
                <w:lang w:val="fr-CA"/>
              </w:rPr>
            </w:pPr>
            <w:hyperlink w:anchor="_Results_Template_(Step_2" w:history="1">
              <w:r w:rsidR="00AF7F70"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AF7F70" w:rsidRPr="00473B58">
                <w:rPr>
                  <w:rStyle w:val="Hyperlink"/>
                  <w:b/>
                  <w:color w:val="FFFFFF" w:themeColor="background1"/>
                  <w:sz w:val="24"/>
                  <w:szCs w:val="24"/>
                  <w:lang w:val="fr-CA"/>
                </w:rPr>
                <w:t>3</w:t>
              </w:r>
            </w:hyperlink>
          </w:p>
        </w:tc>
        <w:tc>
          <w:tcPr>
            <w:tcW w:w="2607" w:type="dxa"/>
            <w:shd w:val="clear" w:color="auto" w:fill="2E74B5" w:themeFill="accent1" w:themeFillShade="BF"/>
          </w:tcPr>
          <w:p w14:paraId="1D2E4BCF" w14:textId="0214EA6B" w:rsidR="00715176" w:rsidRPr="00473B58" w:rsidRDefault="00D97151" w:rsidP="00715176">
            <w:pPr>
              <w:jc w:val="center"/>
              <w:rPr>
                <w:b/>
                <w:color w:val="FFFFFF" w:themeColor="background1"/>
                <w:sz w:val="24"/>
                <w:szCs w:val="24"/>
                <w:lang w:val="fr-CA"/>
              </w:rPr>
            </w:pPr>
            <w:hyperlink w:anchor="_Results_Template_(Step_3" w:history="1">
              <w:r w:rsidR="00AF7F70"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AF7F70" w:rsidRPr="00473B58">
                <w:rPr>
                  <w:rStyle w:val="Hyperlink"/>
                  <w:b/>
                  <w:color w:val="FFFFFF" w:themeColor="background1"/>
                  <w:sz w:val="24"/>
                  <w:szCs w:val="24"/>
                  <w:lang w:val="fr-CA"/>
                </w:rPr>
                <w:t>4</w:t>
              </w:r>
            </w:hyperlink>
          </w:p>
        </w:tc>
        <w:tc>
          <w:tcPr>
            <w:tcW w:w="2608" w:type="dxa"/>
            <w:shd w:val="clear" w:color="auto" w:fill="2E74B5" w:themeFill="accent1" w:themeFillShade="BF"/>
          </w:tcPr>
          <w:p w14:paraId="141EFAE6" w14:textId="6024BF13" w:rsidR="00715176" w:rsidRPr="00473B58" w:rsidRDefault="00D97151" w:rsidP="00715176">
            <w:pPr>
              <w:jc w:val="center"/>
              <w:rPr>
                <w:b/>
                <w:color w:val="FFFFFF" w:themeColor="background1"/>
                <w:sz w:val="24"/>
                <w:szCs w:val="24"/>
                <w:lang w:val="fr-CA"/>
              </w:rPr>
            </w:pPr>
            <w:hyperlink w:anchor="_Results_Template_(Step_4" w:history="1">
              <w:r w:rsidR="00AF7F70"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AF7F70" w:rsidRPr="00473B58">
                <w:rPr>
                  <w:rStyle w:val="Hyperlink"/>
                  <w:b/>
                  <w:color w:val="FFFFFF" w:themeColor="background1"/>
                  <w:sz w:val="24"/>
                  <w:szCs w:val="24"/>
                  <w:lang w:val="fr-CA"/>
                </w:rPr>
                <w:t>5</w:t>
              </w:r>
            </w:hyperlink>
          </w:p>
        </w:tc>
      </w:tr>
    </w:tbl>
    <w:p w14:paraId="5D1D2FB1" w14:textId="64FBFD9B" w:rsidR="00A739AD" w:rsidRPr="00A52106" w:rsidRDefault="009C30B4" w:rsidP="00A8759A">
      <w:pPr>
        <w:pStyle w:val="Heading1"/>
        <w:rPr>
          <w:lang w:val="fr-CA"/>
        </w:rPr>
      </w:pPr>
      <w:bookmarkStart w:id="3" w:name="_Results_Template_(Step"/>
      <w:bookmarkStart w:id="4" w:name="_Toc73001870"/>
      <w:bookmarkEnd w:id="3"/>
      <w:r w:rsidRPr="00A52106">
        <w:rPr>
          <w:lang w:val="fr-CA"/>
        </w:rPr>
        <w:t>Modèle des résultats</w:t>
      </w:r>
      <w:r w:rsidR="00A739AD" w:rsidRPr="00A52106">
        <w:rPr>
          <w:lang w:val="fr-CA"/>
        </w:rPr>
        <w:t xml:space="preserve"> (</w:t>
      </w:r>
      <w:r w:rsidR="00091BB2">
        <w:rPr>
          <w:lang w:val="fr-CA"/>
        </w:rPr>
        <w:t>é</w:t>
      </w:r>
      <w:r w:rsidRPr="00A52106">
        <w:rPr>
          <w:lang w:val="fr-CA"/>
        </w:rPr>
        <w:t>tape</w:t>
      </w:r>
      <w:r w:rsidR="00A352F0" w:rsidRPr="00A52106">
        <w:rPr>
          <w:lang w:val="fr-CA"/>
        </w:rPr>
        <w:t> </w:t>
      </w:r>
      <w:r w:rsidR="00A739AD" w:rsidRPr="00A52106">
        <w:rPr>
          <w:lang w:val="fr-CA"/>
        </w:rPr>
        <w:t xml:space="preserve">1) </w:t>
      </w:r>
      <w:r w:rsidR="00A352F0" w:rsidRPr="00A52106">
        <w:rPr>
          <w:lang w:val="fr-CA"/>
        </w:rPr>
        <w:t>—</w:t>
      </w:r>
      <w:r w:rsidR="00A739AD" w:rsidRPr="00A52106">
        <w:rPr>
          <w:lang w:val="fr-CA"/>
        </w:rPr>
        <w:t xml:space="preserve"> Identif</w:t>
      </w:r>
      <w:r w:rsidRPr="00A52106">
        <w:rPr>
          <w:lang w:val="fr-CA"/>
        </w:rPr>
        <w:t>ier le contrat</w:t>
      </w:r>
      <w:bookmarkEnd w:id="4"/>
      <w:r w:rsidRPr="00A52106">
        <w:rPr>
          <w:lang w:val="fr-CA"/>
        </w:rPr>
        <w:t xml:space="preserve"> </w:t>
      </w:r>
    </w:p>
    <w:tbl>
      <w:tblPr>
        <w:tblStyle w:val="TableGrid"/>
        <w:tblpPr w:leftFromText="180" w:rightFromText="180" w:vertAnchor="text" w:horzAnchor="margin" w:tblpY="164"/>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E11EF4" w:rsidRPr="00D97151" w14:paraId="673AE38F" w14:textId="77777777" w:rsidTr="00C100B5">
        <w:tc>
          <w:tcPr>
            <w:tcW w:w="13041"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70F182" w14:textId="6AB658E8" w:rsidR="00E11EF4" w:rsidRPr="00473B58" w:rsidRDefault="00517765" w:rsidP="00600311">
            <w:pPr>
              <w:spacing w:before="120"/>
              <w:rPr>
                <w:lang w:val="fr-CA"/>
              </w:rPr>
            </w:pPr>
            <w:r w:rsidRPr="00473B58">
              <w:rPr>
                <w:lang w:val="fr-CA"/>
              </w:rPr>
              <w:t xml:space="preserve">La première étape consiste à évaluer l’identification des contrats effectuée par la direction de l’entité pour les éléments sélectionnés. Il faut savoir que les contrats générateurs de produits peuvent différer selon l’emplacement et les secteurs d’activité </w:t>
            </w:r>
            <w:r w:rsidR="00DA61E9" w:rsidRPr="00473B58">
              <w:rPr>
                <w:lang w:val="fr-CA"/>
              </w:rPr>
              <w:t xml:space="preserve">de l’entité </w:t>
            </w:r>
            <w:r w:rsidRPr="00473B58">
              <w:rPr>
                <w:lang w:val="fr-CA"/>
              </w:rPr>
              <w:t xml:space="preserve">(p. ex. </w:t>
            </w:r>
            <w:r w:rsidR="004A7D51" w:rsidRPr="00473B58">
              <w:rPr>
                <w:lang w:val="fr-CA"/>
              </w:rPr>
              <w:t xml:space="preserve">bon de </w:t>
            </w:r>
            <w:r w:rsidRPr="00473B58">
              <w:rPr>
                <w:lang w:val="fr-CA"/>
              </w:rPr>
              <w:t xml:space="preserve">commande, courriel ou reçu de vente) et peuvent ne pas </w:t>
            </w:r>
            <w:r w:rsidR="00DA61E9" w:rsidRPr="00473B58">
              <w:rPr>
                <w:lang w:val="fr-CA"/>
              </w:rPr>
              <w:t>être des contrats officiels portant une signature</w:t>
            </w:r>
            <w:r w:rsidRPr="00473B58">
              <w:rPr>
                <w:lang w:val="fr-CA"/>
              </w:rPr>
              <w:t>. Il faut tenir compte de tous les textes législatifs et réglementaires applicables qui définissent les contrats.</w:t>
            </w:r>
          </w:p>
          <w:p w14:paraId="3A8C60BC" w14:textId="77777777" w:rsidR="00C100B5" w:rsidRPr="00473B58" w:rsidRDefault="00C100B5" w:rsidP="00C6186F">
            <w:pPr>
              <w:rPr>
                <w:lang w:val="fr-CA"/>
              </w:rPr>
            </w:pPr>
          </w:p>
          <w:p w14:paraId="49353BDF" w14:textId="79FD4F36" w:rsidR="00C100B5" w:rsidRPr="00473B58" w:rsidRDefault="00C100B5" w:rsidP="00C6186F">
            <w:pPr>
              <w:rPr>
                <w:b/>
                <w:color w:val="2E74B5" w:themeColor="accent1" w:themeShade="BF"/>
                <w:lang w:val="fr-CA"/>
              </w:rPr>
            </w:pPr>
            <w:r w:rsidRPr="00473B58">
              <w:rPr>
                <w:b/>
                <w:color w:val="2E74B5" w:themeColor="accent1" w:themeShade="BF"/>
                <w:lang w:val="fr-CA"/>
              </w:rPr>
              <w:t>R</w:t>
            </w:r>
            <w:r w:rsidR="001978D4" w:rsidRPr="00473B58">
              <w:rPr>
                <w:b/>
                <w:color w:val="2E74B5" w:themeColor="accent1" w:themeShade="BF"/>
                <w:lang w:val="fr-CA"/>
              </w:rPr>
              <w:t>appel</w:t>
            </w:r>
            <w:r w:rsidRPr="00473B58">
              <w:rPr>
                <w:b/>
                <w:color w:val="2E74B5" w:themeColor="accent1" w:themeShade="BF"/>
                <w:lang w:val="fr-CA"/>
              </w:rPr>
              <w:t xml:space="preserve"> </w:t>
            </w:r>
          </w:p>
          <w:p w14:paraId="1A46C53D" w14:textId="16068834" w:rsidR="00C100B5" w:rsidRPr="00473B58" w:rsidRDefault="00010538" w:rsidP="00C6186F">
            <w:pPr>
              <w:rPr>
                <w:lang w:val="fr-CA"/>
              </w:rPr>
            </w:pPr>
            <w:r w:rsidRPr="00473B58">
              <w:rPr>
                <w:lang w:val="fr-CA"/>
              </w:rPr>
              <w:t xml:space="preserve">Une </w:t>
            </w:r>
            <w:r w:rsidR="001978D4" w:rsidRPr="00473B58">
              <w:rPr>
                <w:lang w:val="fr-CA"/>
              </w:rPr>
              <w:t>entité doit comptabiliser un contrat conclu avec un client qui entre dan</w:t>
            </w:r>
            <w:r w:rsidRPr="00473B58">
              <w:rPr>
                <w:lang w:val="fr-CA"/>
              </w:rPr>
              <w:t>s le champ d</w:t>
            </w:r>
            <w:r w:rsidR="00FF10CF" w:rsidRPr="00473B58">
              <w:rPr>
                <w:lang w:val="fr-CA"/>
              </w:rPr>
              <w:t>’</w:t>
            </w:r>
            <w:r w:rsidRPr="00473B58">
              <w:rPr>
                <w:lang w:val="fr-CA"/>
              </w:rPr>
              <w:t>application de l’IFRS</w:t>
            </w:r>
            <w:r w:rsidR="00A352F0" w:rsidRPr="00473B58">
              <w:rPr>
                <w:lang w:val="fr-CA"/>
              </w:rPr>
              <w:t> </w:t>
            </w:r>
            <w:r w:rsidRPr="00473B58">
              <w:rPr>
                <w:lang w:val="fr-CA"/>
              </w:rPr>
              <w:t xml:space="preserve">15 </w:t>
            </w:r>
            <w:r w:rsidR="001978D4" w:rsidRPr="00473B58">
              <w:rPr>
                <w:lang w:val="fr-CA"/>
              </w:rPr>
              <w:t>uniquement lorsque toutes les conditions suivantes sont remplie</w:t>
            </w:r>
            <w:r w:rsidRPr="00473B58">
              <w:rPr>
                <w:lang w:val="fr-CA"/>
              </w:rPr>
              <w:t>s</w:t>
            </w:r>
            <w:r w:rsidR="00A352F0" w:rsidRPr="00473B58">
              <w:rPr>
                <w:lang w:val="fr-CA"/>
              </w:rPr>
              <w:t> </w:t>
            </w:r>
            <w:r w:rsidRPr="00473B58">
              <w:rPr>
                <w:lang w:val="fr-CA"/>
              </w:rPr>
              <w:t>:</w:t>
            </w:r>
          </w:p>
          <w:p w14:paraId="280965DE" w14:textId="77777777" w:rsidR="00C100B5" w:rsidRPr="00473B58" w:rsidRDefault="00C100B5" w:rsidP="00C6186F">
            <w:pPr>
              <w:rPr>
                <w:lang w:val="fr-CA"/>
              </w:rPr>
            </w:pPr>
          </w:p>
          <w:p w14:paraId="1CA954C4" w14:textId="27B3E61F" w:rsidR="001978D4" w:rsidRPr="00473B58" w:rsidRDefault="001978D4" w:rsidP="001978D4">
            <w:pPr>
              <w:pStyle w:val="ListParagraph"/>
              <w:numPr>
                <w:ilvl w:val="0"/>
                <w:numId w:val="7"/>
              </w:numPr>
              <w:rPr>
                <w:lang w:val="fr-CA"/>
              </w:rPr>
            </w:pPr>
            <w:bookmarkStart w:id="5" w:name="lt_pId085"/>
            <w:r w:rsidRPr="00473B58">
              <w:rPr>
                <w:lang w:val="fr-CA"/>
              </w:rPr>
              <w:t xml:space="preserve">les parties au contrat </w:t>
            </w:r>
            <w:r w:rsidR="004A7D51" w:rsidRPr="00473B58">
              <w:rPr>
                <w:lang w:val="fr-CA"/>
              </w:rPr>
              <w:t>l’</w:t>
            </w:r>
            <w:r w:rsidRPr="00473B58">
              <w:rPr>
                <w:lang w:val="fr-CA"/>
              </w:rPr>
              <w:t>ont approuvé et se sont engagées à remplir leurs obligations respectives;</w:t>
            </w:r>
            <w:bookmarkEnd w:id="5"/>
          </w:p>
          <w:p w14:paraId="27259914" w14:textId="77777777" w:rsidR="001978D4" w:rsidRPr="00473B58" w:rsidRDefault="001978D4" w:rsidP="001978D4">
            <w:pPr>
              <w:pStyle w:val="ListParagraph"/>
              <w:rPr>
                <w:lang w:val="fr-CA"/>
              </w:rPr>
            </w:pPr>
          </w:p>
          <w:p w14:paraId="686E5EBE" w14:textId="0C9B5E58" w:rsidR="001978D4" w:rsidRPr="00473B58" w:rsidRDefault="001978D4" w:rsidP="001978D4">
            <w:pPr>
              <w:pStyle w:val="ListParagraph"/>
              <w:numPr>
                <w:ilvl w:val="0"/>
                <w:numId w:val="7"/>
              </w:numPr>
              <w:rPr>
                <w:lang w:val="fr-CA"/>
              </w:rPr>
            </w:pPr>
            <w:bookmarkStart w:id="6" w:name="lt_pId086"/>
            <w:r w:rsidRPr="00473B58">
              <w:rPr>
                <w:lang w:val="fr-CA"/>
              </w:rPr>
              <w:t>l</w:t>
            </w:r>
            <w:r w:rsidR="00FF10CF" w:rsidRPr="00473B58">
              <w:rPr>
                <w:lang w:val="fr-CA"/>
              </w:rPr>
              <w:t>’</w:t>
            </w:r>
            <w:r w:rsidRPr="00473B58">
              <w:rPr>
                <w:lang w:val="fr-CA"/>
              </w:rPr>
              <w:t>entité peut identifier les droits de chaque partie en ce qui concerne les biens ou les services à fournir;</w:t>
            </w:r>
            <w:bookmarkEnd w:id="6"/>
          </w:p>
          <w:p w14:paraId="6D358DFD" w14:textId="77777777" w:rsidR="001978D4" w:rsidRPr="00473B58" w:rsidRDefault="001978D4" w:rsidP="001978D4">
            <w:pPr>
              <w:rPr>
                <w:lang w:val="fr-CA"/>
              </w:rPr>
            </w:pPr>
          </w:p>
          <w:p w14:paraId="3A95237D" w14:textId="31CAB7DF" w:rsidR="001978D4" w:rsidRPr="00473B58" w:rsidRDefault="001978D4" w:rsidP="001978D4">
            <w:pPr>
              <w:pStyle w:val="ListParagraph"/>
              <w:numPr>
                <w:ilvl w:val="0"/>
                <w:numId w:val="7"/>
              </w:numPr>
              <w:rPr>
                <w:lang w:val="fr-CA"/>
              </w:rPr>
            </w:pPr>
            <w:bookmarkStart w:id="7" w:name="lt_pId087"/>
            <w:r w:rsidRPr="00473B58">
              <w:rPr>
                <w:lang w:val="fr-CA"/>
              </w:rPr>
              <w:t>l</w:t>
            </w:r>
            <w:r w:rsidR="00FF10CF" w:rsidRPr="00473B58">
              <w:rPr>
                <w:lang w:val="fr-CA"/>
              </w:rPr>
              <w:t>’</w:t>
            </w:r>
            <w:r w:rsidRPr="00473B58">
              <w:rPr>
                <w:lang w:val="fr-CA"/>
              </w:rPr>
              <w:t>entité peut identifier les conditions de paiement prévues pour les biens ou les services à fournir;</w:t>
            </w:r>
            <w:bookmarkEnd w:id="7"/>
          </w:p>
          <w:p w14:paraId="067F4090" w14:textId="77777777" w:rsidR="001978D4" w:rsidRPr="00473B58" w:rsidRDefault="001978D4" w:rsidP="001978D4">
            <w:pPr>
              <w:rPr>
                <w:lang w:val="fr-CA"/>
              </w:rPr>
            </w:pPr>
          </w:p>
          <w:p w14:paraId="5ADC9918" w14:textId="1945EC8A" w:rsidR="001978D4" w:rsidRPr="00473B58" w:rsidRDefault="001978D4" w:rsidP="001978D4">
            <w:pPr>
              <w:pStyle w:val="ListParagraph"/>
              <w:numPr>
                <w:ilvl w:val="0"/>
                <w:numId w:val="7"/>
              </w:numPr>
              <w:rPr>
                <w:lang w:val="fr-CA"/>
              </w:rPr>
            </w:pPr>
            <w:bookmarkStart w:id="8" w:name="lt_pId088"/>
            <w:r w:rsidRPr="00473B58">
              <w:rPr>
                <w:lang w:val="fr-CA"/>
              </w:rPr>
              <w:t>le contrat a une substance commerciale (c</w:t>
            </w:r>
            <w:r w:rsidR="00C92A43" w:rsidRPr="00473B58">
              <w:rPr>
                <w:lang w:val="fr-CA"/>
              </w:rPr>
              <w:t>.-à-d.</w:t>
            </w:r>
            <w:r w:rsidRPr="00473B58">
              <w:rPr>
                <w:lang w:val="fr-CA"/>
              </w:rPr>
              <w:t xml:space="preserve"> qu</w:t>
            </w:r>
            <w:r w:rsidR="00FF10CF" w:rsidRPr="00473B58">
              <w:rPr>
                <w:lang w:val="fr-CA"/>
              </w:rPr>
              <w:t>’</w:t>
            </w:r>
            <w:r w:rsidRPr="00473B58">
              <w:rPr>
                <w:lang w:val="fr-CA"/>
              </w:rPr>
              <w:t>on s</w:t>
            </w:r>
            <w:r w:rsidR="00FF10CF" w:rsidRPr="00473B58">
              <w:rPr>
                <w:lang w:val="fr-CA"/>
              </w:rPr>
              <w:t>’</w:t>
            </w:r>
            <w:r w:rsidRPr="00473B58">
              <w:rPr>
                <w:lang w:val="fr-CA"/>
              </w:rPr>
              <w:t>attend à ce qu</w:t>
            </w:r>
            <w:r w:rsidR="00FF10CF" w:rsidRPr="00473B58">
              <w:rPr>
                <w:lang w:val="fr-CA"/>
              </w:rPr>
              <w:t>’</w:t>
            </w:r>
            <w:r w:rsidRPr="00473B58">
              <w:rPr>
                <w:lang w:val="fr-CA"/>
              </w:rPr>
              <w:t>il cause une modification du calendrier ou du montant des flux de trésorerie futurs de l</w:t>
            </w:r>
            <w:r w:rsidR="00FF10CF" w:rsidRPr="00473B58">
              <w:rPr>
                <w:lang w:val="fr-CA"/>
              </w:rPr>
              <w:t>’</w:t>
            </w:r>
            <w:r w:rsidRPr="00473B58">
              <w:rPr>
                <w:lang w:val="fr-CA"/>
              </w:rPr>
              <w:t>entité ou du risque qui leur est associé);</w:t>
            </w:r>
            <w:bookmarkEnd w:id="8"/>
          </w:p>
          <w:p w14:paraId="5BEA242E" w14:textId="77777777" w:rsidR="001978D4" w:rsidRPr="00473B58" w:rsidRDefault="001978D4" w:rsidP="001978D4">
            <w:pPr>
              <w:rPr>
                <w:lang w:val="fr-CA"/>
              </w:rPr>
            </w:pPr>
          </w:p>
          <w:p w14:paraId="407AD938" w14:textId="1F4657B7" w:rsidR="001978D4" w:rsidRPr="00473B58" w:rsidRDefault="001978D4" w:rsidP="001978D4">
            <w:pPr>
              <w:pStyle w:val="ListParagraph"/>
              <w:numPr>
                <w:ilvl w:val="0"/>
                <w:numId w:val="7"/>
              </w:numPr>
              <w:rPr>
                <w:lang w:val="fr-CA"/>
              </w:rPr>
            </w:pPr>
            <w:bookmarkStart w:id="9" w:name="lt_pId089"/>
            <w:r w:rsidRPr="00473B58">
              <w:rPr>
                <w:lang w:val="fr-CA"/>
              </w:rPr>
              <w:t>il est probable que l</w:t>
            </w:r>
            <w:r w:rsidR="00FF10CF" w:rsidRPr="00473B58">
              <w:rPr>
                <w:lang w:val="fr-CA"/>
              </w:rPr>
              <w:t>’</w:t>
            </w:r>
            <w:r w:rsidRPr="00473B58">
              <w:rPr>
                <w:lang w:val="fr-CA"/>
              </w:rPr>
              <w:t>entité recouvrera la contrepartie à laquelle elle a droit en échange des biens ou des services qu</w:t>
            </w:r>
            <w:r w:rsidR="00FF10CF" w:rsidRPr="00473B58">
              <w:rPr>
                <w:lang w:val="fr-CA"/>
              </w:rPr>
              <w:t>’</w:t>
            </w:r>
            <w:r w:rsidRPr="00473B58">
              <w:rPr>
                <w:lang w:val="fr-CA"/>
              </w:rPr>
              <w:t>elle fournira au client.</w:t>
            </w:r>
            <w:bookmarkEnd w:id="9"/>
          </w:p>
          <w:p w14:paraId="32EDC8BE" w14:textId="77777777" w:rsidR="00E11EF4" w:rsidRPr="00473B58" w:rsidRDefault="00E11EF4" w:rsidP="00C6186F">
            <w:pPr>
              <w:rPr>
                <w:lang w:val="fr-CA"/>
              </w:rPr>
            </w:pPr>
          </w:p>
        </w:tc>
      </w:tr>
    </w:tbl>
    <w:p w14:paraId="6BF3FB15" w14:textId="77777777" w:rsidR="00E11EF4" w:rsidRPr="00473B58" w:rsidRDefault="00E11EF4" w:rsidP="00E11EF4">
      <w:pPr>
        <w:rPr>
          <w:lang w:val="fr-CA"/>
        </w:rPr>
      </w:pPr>
    </w:p>
    <w:p w14:paraId="4FAE310A" w14:textId="77777777" w:rsidR="00077CF5" w:rsidRPr="00473B58" w:rsidRDefault="00077CF5">
      <w:pPr>
        <w:rPr>
          <w:lang w:val="fr-CA"/>
        </w:rPr>
      </w:pPr>
      <w:r w:rsidRPr="00473B58">
        <w:rPr>
          <w:lang w:val="fr-CA"/>
        </w:rPr>
        <w:br w:type="page"/>
      </w:r>
    </w:p>
    <w:tbl>
      <w:tblPr>
        <w:tblStyle w:val="TableGrid"/>
        <w:tblW w:w="13750" w:type="dxa"/>
        <w:tblLayout w:type="fixed"/>
        <w:tblLook w:val="04A0" w:firstRow="1" w:lastRow="0" w:firstColumn="1" w:lastColumn="0" w:noHBand="0" w:noVBand="1"/>
      </w:tblPr>
      <w:tblGrid>
        <w:gridCol w:w="2406"/>
        <w:gridCol w:w="2553"/>
        <w:gridCol w:w="8791"/>
      </w:tblGrid>
      <w:tr w:rsidR="00A739AD" w:rsidRPr="00473B58" w14:paraId="0572C3D9"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1C6AF301" w14:textId="382C70C5" w:rsidR="00A739AD" w:rsidRPr="00473B58" w:rsidRDefault="00AD449B" w:rsidP="00C6186F">
            <w:pPr>
              <w:spacing w:before="120" w:after="120"/>
              <w:rPr>
                <w:b/>
                <w:color w:val="2E74B5" w:themeColor="accent1" w:themeShade="BF"/>
                <w:lang w:val="fr-CA"/>
              </w:rPr>
            </w:pPr>
            <w:r w:rsidRPr="00A52106">
              <w:rPr>
                <w:b/>
                <w:color w:val="2E74B5" w:themeColor="accent1" w:themeShade="BF"/>
                <w:lang w:val="fr-CA"/>
              </w:rPr>
              <w:t>N</w:t>
            </w:r>
            <w:r w:rsidRPr="00A52106">
              <w:rPr>
                <w:b/>
                <w:color w:val="2E74B5" w:themeColor="accent1" w:themeShade="BF"/>
                <w:vertAlign w:val="superscript"/>
                <w:lang w:val="fr-CA"/>
              </w:rPr>
              <w:t>o</w:t>
            </w:r>
            <w:r w:rsidR="00A352F0" w:rsidRPr="00A52106">
              <w:rPr>
                <w:b/>
                <w:color w:val="2E74B5" w:themeColor="accent1" w:themeShade="BF"/>
                <w:lang w:val="fr-CA"/>
              </w:rPr>
              <w:t>/</w:t>
            </w:r>
            <w:r w:rsidRPr="00A52106">
              <w:rPr>
                <w:b/>
                <w:color w:val="2E74B5" w:themeColor="accent1" w:themeShade="BF"/>
                <w:lang w:val="fr-CA"/>
              </w:rPr>
              <w:t>titre de la procédure</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4DF92C61" w14:textId="26AB7A21" w:rsidR="00A739AD" w:rsidRPr="00473B58" w:rsidRDefault="009E0A64" w:rsidP="00DA61E9">
            <w:pPr>
              <w:spacing w:before="120" w:after="120"/>
              <w:rPr>
                <w:b/>
                <w:color w:val="2E74B5" w:themeColor="accent1" w:themeShade="BF"/>
                <w:lang w:val="fr-CA"/>
              </w:rPr>
            </w:pPr>
            <w:r w:rsidRPr="00473B58">
              <w:rPr>
                <w:b/>
                <w:color w:val="2E74B5" w:themeColor="accent1" w:themeShade="BF"/>
                <w:lang w:val="fr-CA"/>
              </w:rPr>
              <w:t>Paragraphe</w:t>
            </w:r>
            <w:r w:rsidR="00DA61E9" w:rsidRPr="00473B58">
              <w:rPr>
                <w:b/>
                <w:color w:val="2E74B5" w:themeColor="accent1" w:themeShade="BF"/>
                <w:lang w:val="fr-CA"/>
              </w:rPr>
              <w:t>s de l’</w:t>
            </w:r>
            <w:r w:rsidR="00A739AD" w:rsidRPr="00473B58">
              <w:rPr>
                <w:b/>
                <w:color w:val="2E74B5" w:themeColor="accent1" w:themeShade="BF"/>
                <w:lang w:val="fr-CA"/>
              </w:rPr>
              <w:t>IFRS</w:t>
            </w:r>
            <w:r w:rsidR="00A352F0" w:rsidRPr="00473B58">
              <w:rPr>
                <w:b/>
                <w:color w:val="2E74B5" w:themeColor="accent1" w:themeShade="BF"/>
                <w:lang w:val="fr-CA"/>
              </w:rPr>
              <w:t> </w:t>
            </w:r>
            <w:r w:rsidR="00A739AD" w:rsidRPr="00473B58">
              <w:rPr>
                <w:b/>
                <w:color w:val="2E74B5" w:themeColor="accent1" w:themeShade="BF"/>
                <w:lang w:val="fr-CA"/>
              </w:rPr>
              <w:t>15 (</w:t>
            </w:r>
            <w:r w:rsidR="00AD449B" w:rsidRPr="00473B58">
              <w:rPr>
                <w:b/>
                <w:color w:val="2E74B5" w:themeColor="accent1" w:themeShade="BF"/>
                <w:lang w:val="fr-CA"/>
              </w:rPr>
              <w:t>le cas échéant</w:t>
            </w:r>
            <w:r w:rsidR="00A739AD" w:rsidRPr="00473B58">
              <w:rPr>
                <w:b/>
                <w:color w:val="2E74B5" w:themeColor="accent1" w:themeShade="BF"/>
                <w:lang w:val="fr-CA"/>
              </w:rPr>
              <w:t xml:space="preserve">) </w:t>
            </w:r>
          </w:p>
        </w:tc>
        <w:tc>
          <w:tcPr>
            <w:tcW w:w="8791" w:type="dxa"/>
            <w:tcBorders>
              <w:top w:val="single" w:sz="12" w:space="0" w:color="2E74B5" w:themeColor="accent1" w:themeShade="BF"/>
              <w:left w:val="nil"/>
              <w:bottom w:val="single" w:sz="12" w:space="0" w:color="2E74B5" w:themeColor="accent1" w:themeShade="BF"/>
              <w:right w:val="nil"/>
            </w:tcBorders>
            <w:vAlign w:val="bottom"/>
          </w:tcPr>
          <w:p w14:paraId="6B2855DC" w14:textId="62B948C4" w:rsidR="00A739AD" w:rsidRPr="00473B58" w:rsidRDefault="00AD449B" w:rsidP="00AD449B">
            <w:pPr>
              <w:spacing w:before="120" w:after="120"/>
              <w:rPr>
                <w:b/>
                <w:color w:val="2E74B5" w:themeColor="accent1" w:themeShade="BF"/>
                <w:lang w:val="fr-CA"/>
              </w:rPr>
            </w:pPr>
            <w:r w:rsidRPr="00473B58">
              <w:rPr>
                <w:b/>
                <w:color w:val="2E74B5" w:themeColor="accent1" w:themeShade="BF"/>
                <w:lang w:val="fr-CA"/>
              </w:rPr>
              <w:t>Directives</w:t>
            </w:r>
          </w:p>
        </w:tc>
      </w:tr>
      <w:tr w:rsidR="00A739AD" w:rsidRPr="00D97151" w14:paraId="2550D53C" w14:textId="77777777" w:rsidTr="00C100B5">
        <w:tc>
          <w:tcPr>
            <w:tcW w:w="2406" w:type="dxa"/>
            <w:tcBorders>
              <w:top w:val="single" w:sz="12" w:space="0" w:color="2E74B5" w:themeColor="accent1" w:themeShade="BF"/>
              <w:left w:val="nil"/>
              <w:bottom w:val="single" w:sz="12" w:space="0" w:color="9CC2E5" w:themeColor="accent1" w:themeTint="99"/>
              <w:right w:val="nil"/>
            </w:tcBorders>
          </w:tcPr>
          <w:p w14:paraId="1ED0171A" w14:textId="080D88F5" w:rsidR="00A739AD" w:rsidRPr="00473B58" w:rsidRDefault="00A739AD" w:rsidP="00513F3D">
            <w:pPr>
              <w:spacing w:before="120" w:after="120"/>
              <w:rPr>
                <w:lang w:val="fr-CA"/>
              </w:rPr>
            </w:pPr>
            <w:r w:rsidRPr="00841B78">
              <w:rPr>
                <w:lang w:val="fr-CA"/>
              </w:rPr>
              <w:t xml:space="preserve">Documentation </w:t>
            </w:r>
            <w:r w:rsidR="001978D4" w:rsidRPr="00841B78">
              <w:rPr>
                <w:lang w:val="fr-CA"/>
              </w:rPr>
              <w:t>de</w:t>
            </w:r>
            <w:r w:rsidR="00513F3D">
              <w:rPr>
                <w:lang w:val="fr-CA"/>
              </w:rPr>
              <w:t>s sélections</w:t>
            </w:r>
            <w:r w:rsidRPr="00841B78">
              <w:rPr>
                <w:lang w:val="fr-CA"/>
              </w:rPr>
              <w:t xml:space="preserve"> (</w:t>
            </w:r>
            <w:r w:rsidR="001978D4" w:rsidRPr="00841B78">
              <w:rPr>
                <w:lang w:val="fr-CA"/>
              </w:rPr>
              <w:t>selon la liste détaillée</w:t>
            </w:r>
            <w:r w:rsidRPr="00841B78">
              <w:rPr>
                <w:lang w:val="fr-CA"/>
              </w:rPr>
              <w:t>)</w:t>
            </w:r>
            <w:r w:rsidRPr="00473B58">
              <w:rPr>
                <w:lang w:val="fr-CA"/>
              </w:rPr>
              <w:t xml:space="preserve"> </w:t>
            </w:r>
          </w:p>
        </w:tc>
        <w:tc>
          <w:tcPr>
            <w:tcW w:w="2553" w:type="dxa"/>
            <w:tcBorders>
              <w:top w:val="single" w:sz="12" w:space="0" w:color="2E74B5" w:themeColor="accent1" w:themeShade="BF"/>
              <w:left w:val="nil"/>
              <w:bottom w:val="single" w:sz="12" w:space="0" w:color="9CC2E5" w:themeColor="accent1" w:themeTint="99"/>
              <w:right w:val="nil"/>
            </w:tcBorders>
          </w:tcPr>
          <w:p w14:paraId="30130DEC" w14:textId="77777777" w:rsidR="00C7503A" w:rsidRPr="00473B58" w:rsidRDefault="00C7503A" w:rsidP="00C6186F">
            <w:pPr>
              <w:spacing w:before="120" w:after="120"/>
              <w:rPr>
                <w:lang w:val="fr-CA"/>
              </w:rPr>
            </w:pPr>
          </w:p>
        </w:tc>
        <w:tc>
          <w:tcPr>
            <w:tcW w:w="8791" w:type="dxa"/>
            <w:tcBorders>
              <w:top w:val="single" w:sz="12" w:space="0" w:color="2E74B5" w:themeColor="accent1" w:themeShade="BF"/>
              <w:left w:val="nil"/>
              <w:bottom w:val="single" w:sz="12" w:space="0" w:color="9CC2E5" w:themeColor="accent1" w:themeTint="99"/>
              <w:right w:val="nil"/>
            </w:tcBorders>
          </w:tcPr>
          <w:p w14:paraId="6609E987" w14:textId="3FF841F7" w:rsidR="00A739AD" w:rsidRPr="00473B58" w:rsidRDefault="00A739AD" w:rsidP="00DA61E9">
            <w:pPr>
              <w:spacing w:before="120" w:after="120"/>
              <w:rPr>
                <w:lang w:val="fr-CA"/>
              </w:rPr>
            </w:pPr>
            <w:r w:rsidRPr="006A64AC">
              <w:rPr>
                <w:b/>
                <w:lang w:val="fr-CA"/>
              </w:rPr>
              <w:t>Document</w:t>
            </w:r>
            <w:r w:rsidR="00944A1D" w:rsidRPr="006A64AC">
              <w:rPr>
                <w:b/>
                <w:lang w:val="fr-CA"/>
              </w:rPr>
              <w:t>er le</w:t>
            </w:r>
            <w:r w:rsidR="00DA61E9" w:rsidRPr="006A64AC">
              <w:rPr>
                <w:b/>
                <w:lang w:val="fr-CA"/>
              </w:rPr>
              <w:t xml:space="preserve"> détail</w:t>
            </w:r>
            <w:r w:rsidR="00DA61E9" w:rsidRPr="00473B58">
              <w:rPr>
                <w:lang w:val="fr-CA"/>
              </w:rPr>
              <w:t xml:space="preserve"> des</w:t>
            </w:r>
            <w:r w:rsidR="00944A1D" w:rsidRPr="00473B58">
              <w:rPr>
                <w:lang w:val="fr-CA"/>
              </w:rPr>
              <w:t xml:space="preserve"> contrats sélectionnés dans la population par rapport à la liste détaillée d’opérations génératrices de produits. </w:t>
            </w:r>
            <w:r w:rsidRPr="00473B58">
              <w:rPr>
                <w:lang w:val="fr-CA"/>
              </w:rPr>
              <w:t xml:space="preserve"> </w:t>
            </w:r>
          </w:p>
        </w:tc>
      </w:tr>
      <w:tr w:rsidR="00A739AD" w:rsidRPr="00D97151" w14:paraId="3CABFFC4"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29111592" w14:textId="638867E0" w:rsidR="00A739AD" w:rsidRPr="001C2C54" w:rsidRDefault="00A739AD" w:rsidP="001978D4">
            <w:pPr>
              <w:spacing w:before="120" w:after="120"/>
              <w:rPr>
                <w:lang w:val="fr-CA"/>
              </w:rPr>
            </w:pPr>
            <w:r w:rsidRPr="001C2C54">
              <w:rPr>
                <w:lang w:val="fr-CA"/>
              </w:rPr>
              <w:t xml:space="preserve">Identification </w:t>
            </w:r>
            <w:r w:rsidR="001978D4" w:rsidRPr="001C2C54">
              <w:rPr>
                <w:lang w:val="fr-CA"/>
              </w:rPr>
              <w:t>des contrats</w:t>
            </w:r>
          </w:p>
        </w:tc>
        <w:tc>
          <w:tcPr>
            <w:tcW w:w="2553" w:type="dxa"/>
            <w:tcBorders>
              <w:top w:val="single" w:sz="12" w:space="0" w:color="9CC2E5" w:themeColor="accent1" w:themeTint="99"/>
              <w:left w:val="nil"/>
              <w:bottom w:val="single" w:sz="12" w:space="0" w:color="9CC2E5" w:themeColor="accent1" w:themeTint="99"/>
              <w:right w:val="nil"/>
            </w:tcBorders>
          </w:tcPr>
          <w:p w14:paraId="230DC707" w14:textId="235F5C1A" w:rsidR="00C7503A" w:rsidRPr="00473B58" w:rsidRDefault="00C7503A" w:rsidP="00C6186F">
            <w:pPr>
              <w:spacing w:before="120" w:after="120"/>
              <w:rPr>
                <w:lang w:val="fr-CA"/>
              </w:rPr>
            </w:pPr>
            <w:r w:rsidRPr="00473B58">
              <w:rPr>
                <w:lang w:val="fr-CA"/>
              </w:rPr>
              <w:t>IFRS</w:t>
            </w:r>
            <w:r w:rsidR="00A352F0" w:rsidRPr="00473B58">
              <w:rPr>
                <w:lang w:val="fr-CA"/>
              </w:rPr>
              <w:t> </w:t>
            </w:r>
            <w:r w:rsidRPr="00473B58">
              <w:rPr>
                <w:lang w:val="fr-CA"/>
              </w:rPr>
              <w:t xml:space="preserve">15.9 </w:t>
            </w:r>
          </w:p>
          <w:p w14:paraId="62990FE3" w14:textId="7669A63A" w:rsidR="00C7503A" w:rsidRPr="00473B58" w:rsidRDefault="00C7503A" w:rsidP="00C6186F">
            <w:pPr>
              <w:spacing w:before="120" w:after="120"/>
              <w:rPr>
                <w:lang w:val="fr-CA"/>
              </w:rPr>
            </w:pPr>
          </w:p>
          <w:p w14:paraId="0EBCC7B2" w14:textId="77777777" w:rsidR="00C7503A" w:rsidRPr="00473B58" w:rsidRDefault="00C7503A" w:rsidP="00C6186F">
            <w:pPr>
              <w:spacing w:before="120" w:after="120"/>
              <w:rPr>
                <w:lang w:val="fr-CA"/>
              </w:rPr>
            </w:pPr>
          </w:p>
        </w:tc>
        <w:tc>
          <w:tcPr>
            <w:tcW w:w="8791" w:type="dxa"/>
            <w:tcBorders>
              <w:top w:val="single" w:sz="12" w:space="0" w:color="9CC2E5" w:themeColor="accent1" w:themeTint="99"/>
              <w:left w:val="nil"/>
              <w:bottom w:val="single" w:sz="12" w:space="0" w:color="9CC2E5" w:themeColor="accent1" w:themeTint="99"/>
              <w:right w:val="nil"/>
            </w:tcBorders>
          </w:tcPr>
          <w:p w14:paraId="7B45B7E0" w14:textId="0A4BDC13" w:rsidR="00A739AD" w:rsidRPr="00473B58" w:rsidRDefault="00944A1D" w:rsidP="00091BB2">
            <w:pPr>
              <w:spacing w:before="120" w:after="120"/>
              <w:rPr>
                <w:lang w:val="fr-CA"/>
              </w:rPr>
            </w:pPr>
            <w:r w:rsidRPr="00473B58">
              <w:rPr>
                <w:lang w:val="fr-CA"/>
              </w:rPr>
              <w:t>Mettre en œuvre des procédures pour évaluer l’</w:t>
            </w:r>
            <w:r w:rsidR="00DA61E9" w:rsidRPr="00473B58">
              <w:rPr>
                <w:lang w:val="fr-CA"/>
              </w:rPr>
              <w:t xml:space="preserve">appréciation </w:t>
            </w:r>
            <w:r w:rsidRPr="00473B58">
              <w:rPr>
                <w:lang w:val="fr-CA"/>
              </w:rPr>
              <w:t xml:space="preserve">faite par la direction </w:t>
            </w:r>
            <w:r w:rsidR="00DA61E9" w:rsidRPr="00473B58">
              <w:rPr>
                <w:lang w:val="fr-CA"/>
              </w:rPr>
              <w:t xml:space="preserve">en vue de </w:t>
            </w:r>
            <w:r w:rsidRPr="00473B58">
              <w:rPr>
                <w:lang w:val="fr-CA"/>
              </w:rPr>
              <w:t>déterminer que chaque contrat sélectionné entre dans le champ d’application de l’</w:t>
            </w:r>
            <w:r w:rsidR="00A739AD" w:rsidRPr="00473B58">
              <w:rPr>
                <w:lang w:val="fr-CA"/>
              </w:rPr>
              <w:t>IFRS</w:t>
            </w:r>
            <w:r w:rsidR="00A352F0" w:rsidRPr="00473B58">
              <w:rPr>
                <w:lang w:val="fr-CA"/>
              </w:rPr>
              <w:t> </w:t>
            </w:r>
            <w:r w:rsidR="00A739AD" w:rsidRPr="00473B58">
              <w:rPr>
                <w:lang w:val="fr-CA"/>
              </w:rPr>
              <w:t>15.</w:t>
            </w:r>
            <w:r w:rsidR="00010538" w:rsidRPr="00473B58">
              <w:rPr>
                <w:lang w:val="fr-CA"/>
              </w:rPr>
              <w:t xml:space="preserve"> Il est primordial de déterminer l’existence des contrat</w:t>
            </w:r>
            <w:r w:rsidR="0007420A" w:rsidRPr="00473B58">
              <w:rPr>
                <w:lang w:val="fr-CA"/>
              </w:rPr>
              <w:t>s</w:t>
            </w:r>
            <w:r w:rsidR="00010538" w:rsidRPr="00473B58">
              <w:rPr>
                <w:lang w:val="fr-CA"/>
              </w:rPr>
              <w:t xml:space="preserve"> qui satisfont à toutes les conditions décrites au paragraphe</w:t>
            </w:r>
            <w:r w:rsidR="00A352F0" w:rsidRPr="00473B58">
              <w:rPr>
                <w:lang w:val="fr-CA"/>
              </w:rPr>
              <w:t> </w:t>
            </w:r>
            <w:r w:rsidR="00010538" w:rsidRPr="00473B58">
              <w:rPr>
                <w:lang w:val="fr-CA"/>
              </w:rPr>
              <w:t>9 de l’IFRS</w:t>
            </w:r>
            <w:r w:rsidR="00A352F0" w:rsidRPr="00473B58">
              <w:rPr>
                <w:lang w:val="fr-CA"/>
              </w:rPr>
              <w:t> </w:t>
            </w:r>
            <w:r w:rsidR="00A739AD" w:rsidRPr="00473B58">
              <w:rPr>
                <w:lang w:val="fr-CA"/>
              </w:rPr>
              <w:t>15 (</w:t>
            </w:r>
            <w:r w:rsidR="00010538" w:rsidRPr="00473B58">
              <w:rPr>
                <w:lang w:val="fr-CA"/>
              </w:rPr>
              <w:t>visées par les colonnes du tableau de test</w:t>
            </w:r>
            <w:r w:rsidR="00DA61E9" w:rsidRPr="00473B58">
              <w:rPr>
                <w:lang w:val="fr-CA"/>
              </w:rPr>
              <w:t xml:space="preserve">s </w:t>
            </w:r>
            <w:r w:rsidR="00DA61E9" w:rsidRPr="00091BB2">
              <w:rPr>
                <w:lang w:val="fr-CA"/>
              </w:rPr>
              <w:t>dans le modèle des résultats [</w:t>
            </w:r>
            <w:r w:rsidR="00091BB2">
              <w:rPr>
                <w:lang w:val="fr-CA"/>
              </w:rPr>
              <w:t>é</w:t>
            </w:r>
            <w:r w:rsidR="00010538" w:rsidRPr="00091BB2">
              <w:rPr>
                <w:lang w:val="fr-CA"/>
              </w:rPr>
              <w:t>tape</w:t>
            </w:r>
            <w:r w:rsidR="00A352F0" w:rsidRPr="00091BB2">
              <w:rPr>
                <w:lang w:val="fr-CA"/>
              </w:rPr>
              <w:t> </w:t>
            </w:r>
            <w:r w:rsidR="00012943" w:rsidRPr="00091BB2">
              <w:rPr>
                <w:lang w:val="fr-CA"/>
              </w:rPr>
              <w:t>1</w:t>
            </w:r>
            <w:r w:rsidR="00DA61E9" w:rsidRPr="00091BB2">
              <w:rPr>
                <w:lang w:val="fr-CA"/>
              </w:rPr>
              <w:t>]</w:t>
            </w:r>
            <w:r w:rsidR="00A739AD" w:rsidRPr="00473B58">
              <w:rPr>
                <w:lang w:val="fr-CA"/>
              </w:rPr>
              <w:t xml:space="preserve">) </w:t>
            </w:r>
            <w:r w:rsidR="00010538" w:rsidRPr="00473B58">
              <w:rPr>
                <w:lang w:val="fr-CA"/>
              </w:rPr>
              <w:t>pour pouvoir comptabiliser les produits conformément à l’IFRS </w:t>
            </w:r>
            <w:r w:rsidR="00A739AD" w:rsidRPr="00473B58">
              <w:rPr>
                <w:lang w:val="fr-CA"/>
              </w:rPr>
              <w:t>15.</w:t>
            </w:r>
          </w:p>
        </w:tc>
      </w:tr>
      <w:tr w:rsidR="00A739AD" w:rsidRPr="00D97151" w14:paraId="24E0284A"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2D7FD18E" w14:textId="107B2CFC" w:rsidR="00A739AD" w:rsidRPr="001C2C54" w:rsidRDefault="00010538" w:rsidP="00010538">
            <w:pPr>
              <w:spacing w:before="120" w:after="120"/>
              <w:rPr>
                <w:lang w:val="fr-CA"/>
              </w:rPr>
            </w:pPr>
            <w:r w:rsidRPr="001C2C54">
              <w:rPr>
                <w:lang w:val="fr-CA"/>
              </w:rPr>
              <w:t>Regroupement de contrats</w:t>
            </w:r>
          </w:p>
        </w:tc>
        <w:tc>
          <w:tcPr>
            <w:tcW w:w="2553" w:type="dxa"/>
            <w:tcBorders>
              <w:top w:val="single" w:sz="12" w:space="0" w:color="9CC2E5" w:themeColor="accent1" w:themeTint="99"/>
              <w:left w:val="nil"/>
              <w:bottom w:val="single" w:sz="12" w:space="0" w:color="9CC2E5" w:themeColor="accent1" w:themeTint="99"/>
              <w:right w:val="nil"/>
            </w:tcBorders>
          </w:tcPr>
          <w:p w14:paraId="1B96F5C7" w14:textId="5A0BDE69" w:rsidR="00C7503A" w:rsidRPr="00473B58" w:rsidRDefault="00C7503A" w:rsidP="00C6186F">
            <w:pPr>
              <w:spacing w:before="120" w:after="120"/>
              <w:rPr>
                <w:lang w:val="fr-CA"/>
              </w:rPr>
            </w:pPr>
            <w:r w:rsidRPr="00473B58">
              <w:rPr>
                <w:lang w:val="fr-CA"/>
              </w:rPr>
              <w:t>IFRS</w:t>
            </w:r>
            <w:r w:rsidR="00A352F0" w:rsidRPr="00473B58">
              <w:rPr>
                <w:lang w:val="fr-CA"/>
              </w:rPr>
              <w:t> </w:t>
            </w:r>
            <w:r w:rsidRPr="00473B58">
              <w:rPr>
                <w:lang w:val="fr-CA"/>
              </w:rPr>
              <w:t>15.17</w:t>
            </w:r>
          </w:p>
          <w:p w14:paraId="30EA436E" w14:textId="77777777" w:rsidR="00A739AD" w:rsidRPr="00473B58" w:rsidRDefault="00A739AD" w:rsidP="00C6186F">
            <w:pPr>
              <w:spacing w:before="120" w:after="120"/>
              <w:rPr>
                <w:lang w:val="fr-CA"/>
              </w:rPr>
            </w:pPr>
          </w:p>
        </w:tc>
        <w:tc>
          <w:tcPr>
            <w:tcW w:w="8791" w:type="dxa"/>
            <w:tcBorders>
              <w:top w:val="single" w:sz="12" w:space="0" w:color="9CC2E5" w:themeColor="accent1" w:themeTint="99"/>
              <w:left w:val="nil"/>
              <w:bottom w:val="single" w:sz="12" w:space="0" w:color="9CC2E5" w:themeColor="accent1" w:themeTint="99"/>
              <w:right w:val="nil"/>
            </w:tcBorders>
          </w:tcPr>
          <w:p w14:paraId="26299905" w14:textId="54CD2CBE" w:rsidR="00A739AD" w:rsidRPr="00473B58" w:rsidRDefault="00944A1D" w:rsidP="00DA61E9">
            <w:pPr>
              <w:spacing w:before="120" w:after="120"/>
              <w:rPr>
                <w:lang w:val="fr-CA"/>
              </w:rPr>
            </w:pPr>
            <w:r w:rsidRPr="00473B58">
              <w:rPr>
                <w:lang w:val="fr-CA"/>
              </w:rPr>
              <w:t xml:space="preserve">Mettre en œuvre des procédures pour déterminer si les contrats ont été </w:t>
            </w:r>
            <w:r w:rsidR="00721DE4" w:rsidRPr="00473B58">
              <w:rPr>
                <w:lang w:val="fr-CA"/>
              </w:rPr>
              <w:t>à juste titre considérés comme un seul et unique contrat aux fins de la comptabilisation des produits</w:t>
            </w:r>
            <w:r w:rsidR="00DA61E9" w:rsidRPr="00473B58">
              <w:rPr>
                <w:lang w:val="fr-CA"/>
              </w:rPr>
              <w:t xml:space="preserve"> ou comme des contrats distincts</w:t>
            </w:r>
            <w:r w:rsidR="00721DE4" w:rsidRPr="00473B58">
              <w:rPr>
                <w:lang w:val="fr-CA"/>
              </w:rPr>
              <w:t>. Le caractère approprié de cette détermination peut avoir une incidence sur l’identification appropriée des obligations de prestat</w:t>
            </w:r>
            <w:r w:rsidR="0007420A" w:rsidRPr="00473B58">
              <w:rPr>
                <w:lang w:val="fr-CA"/>
              </w:rPr>
              <w:t>ion</w:t>
            </w:r>
            <w:r w:rsidR="00721DE4" w:rsidRPr="00473B58">
              <w:rPr>
                <w:lang w:val="fr-CA"/>
              </w:rPr>
              <w:t xml:space="preserve"> et de la contrepartie qui se rattache à chaque obligation de prestation. </w:t>
            </w:r>
            <w:r w:rsidR="00A739AD" w:rsidRPr="00473B58">
              <w:rPr>
                <w:lang w:val="fr-CA"/>
              </w:rPr>
              <w:t xml:space="preserve"> </w:t>
            </w:r>
          </w:p>
        </w:tc>
      </w:tr>
      <w:tr w:rsidR="00A739AD" w:rsidRPr="00D97151" w14:paraId="34547AD1" w14:textId="77777777" w:rsidTr="00C100B5">
        <w:tc>
          <w:tcPr>
            <w:tcW w:w="2406" w:type="dxa"/>
            <w:tcBorders>
              <w:top w:val="single" w:sz="12" w:space="0" w:color="9CC2E5" w:themeColor="accent1" w:themeTint="99"/>
              <w:left w:val="nil"/>
              <w:bottom w:val="single" w:sz="12" w:space="0" w:color="9CC2E5" w:themeColor="accent1" w:themeTint="99"/>
              <w:right w:val="nil"/>
            </w:tcBorders>
          </w:tcPr>
          <w:p w14:paraId="46420E13" w14:textId="509A20B4" w:rsidR="00A739AD" w:rsidRPr="001C2C54" w:rsidRDefault="00010538" w:rsidP="00DA61E9">
            <w:pPr>
              <w:spacing w:before="120" w:after="120"/>
              <w:rPr>
                <w:lang w:val="fr-CA"/>
              </w:rPr>
            </w:pPr>
            <w:r w:rsidRPr="001C2C54">
              <w:rPr>
                <w:lang w:val="fr-CA"/>
              </w:rPr>
              <w:t>M</w:t>
            </w:r>
            <w:r w:rsidR="00A739AD" w:rsidRPr="001C2C54">
              <w:rPr>
                <w:lang w:val="fr-CA"/>
              </w:rPr>
              <w:t>odification</w:t>
            </w:r>
            <w:r w:rsidRPr="001C2C54">
              <w:rPr>
                <w:lang w:val="fr-CA"/>
              </w:rPr>
              <w:t xml:space="preserve"> de contrat</w:t>
            </w:r>
          </w:p>
        </w:tc>
        <w:tc>
          <w:tcPr>
            <w:tcW w:w="2553" w:type="dxa"/>
            <w:tcBorders>
              <w:top w:val="single" w:sz="12" w:space="0" w:color="9CC2E5" w:themeColor="accent1" w:themeTint="99"/>
              <w:left w:val="nil"/>
              <w:bottom w:val="single" w:sz="12" w:space="0" w:color="9CC2E5" w:themeColor="accent1" w:themeTint="99"/>
              <w:right w:val="nil"/>
            </w:tcBorders>
          </w:tcPr>
          <w:p w14:paraId="6F22C3A5" w14:textId="4CE41B0A" w:rsidR="00A739AD" w:rsidRPr="00473B58" w:rsidRDefault="00C7503A" w:rsidP="00C6186F">
            <w:pPr>
              <w:spacing w:before="120" w:after="120"/>
              <w:rPr>
                <w:lang w:val="fr-CA"/>
              </w:rPr>
            </w:pPr>
            <w:r w:rsidRPr="00473B58">
              <w:rPr>
                <w:lang w:val="fr-CA"/>
              </w:rPr>
              <w:t xml:space="preserve">IFRS 15.18 </w:t>
            </w:r>
            <w:r w:rsidR="00AD449B" w:rsidRPr="00473B58">
              <w:rPr>
                <w:lang w:val="fr-CA"/>
              </w:rPr>
              <w:t>à</w:t>
            </w:r>
            <w:r w:rsidRPr="00473B58">
              <w:rPr>
                <w:lang w:val="fr-CA"/>
              </w:rPr>
              <w:t xml:space="preserve"> 21</w:t>
            </w:r>
          </w:p>
          <w:p w14:paraId="23B87B7E" w14:textId="7AB4C9B6" w:rsidR="00C7503A" w:rsidRPr="00473B58" w:rsidRDefault="00C7503A" w:rsidP="00C6186F">
            <w:pPr>
              <w:spacing w:before="120" w:after="120"/>
              <w:rPr>
                <w:lang w:val="fr-CA"/>
              </w:rPr>
            </w:pPr>
          </w:p>
        </w:tc>
        <w:tc>
          <w:tcPr>
            <w:tcW w:w="8791" w:type="dxa"/>
            <w:tcBorders>
              <w:top w:val="single" w:sz="12" w:space="0" w:color="9CC2E5" w:themeColor="accent1" w:themeTint="99"/>
              <w:left w:val="nil"/>
              <w:bottom w:val="single" w:sz="12" w:space="0" w:color="9CC2E5" w:themeColor="accent1" w:themeTint="99"/>
              <w:right w:val="nil"/>
            </w:tcBorders>
          </w:tcPr>
          <w:p w14:paraId="77664FA3" w14:textId="3632FEDE" w:rsidR="00A739AD" w:rsidRPr="00473B58" w:rsidRDefault="00721DE4" w:rsidP="00C6186F">
            <w:pPr>
              <w:spacing w:before="120" w:after="120"/>
              <w:rPr>
                <w:lang w:val="fr-CA"/>
              </w:rPr>
            </w:pPr>
            <w:r w:rsidRPr="00473B58">
              <w:rPr>
                <w:lang w:val="fr-CA"/>
              </w:rPr>
              <w:t xml:space="preserve">Déterminer si la direction a </w:t>
            </w:r>
            <w:r w:rsidR="006B360A" w:rsidRPr="00473B58">
              <w:rPr>
                <w:lang w:val="fr-CA"/>
              </w:rPr>
              <w:t>tenu compte de manière appropriée de</w:t>
            </w:r>
            <w:r w:rsidRPr="00473B58">
              <w:rPr>
                <w:lang w:val="fr-CA"/>
              </w:rPr>
              <w:t xml:space="preserve"> l’incidence comptable de</w:t>
            </w:r>
            <w:r w:rsidR="006B360A" w:rsidRPr="00473B58">
              <w:rPr>
                <w:lang w:val="fr-CA"/>
              </w:rPr>
              <w:t>s</w:t>
            </w:r>
            <w:r w:rsidRPr="00473B58">
              <w:rPr>
                <w:lang w:val="fr-CA"/>
              </w:rPr>
              <w:t xml:space="preserve"> </w:t>
            </w:r>
            <w:r w:rsidRPr="00473B58">
              <w:rPr>
                <w:b/>
                <w:lang w:val="fr-CA"/>
              </w:rPr>
              <w:t xml:space="preserve">modifications </w:t>
            </w:r>
            <w:r w:rsidR="006B360A" w:rsidRPr="00473B58">
              <w:rPr>
                <w:b/>
                <w:lang w:val="fr-CA"/>
              </w:rPr>
              <w:t>de</w:t>
            </w:r>
            <w:r w:rsidRPr="00473B58">
              <w:rPr>
                <w:b/>
                <w:lang w:val="fr-CA"/>
              </w:rPr>
              <w:t xml:space="preserve"> contrat</w:t>
            </w:r>
            <w:r w:rsidR="006B360A" w:rsidRPr="00473B58">
              <w:rPr>
                <w:lang w:val="fr-CA"/>
              </w:rPr>
              <w:t xml:space="preserve">, le cas échéant. </w:t>
            </w:r>
            <w:r w:rsidRPr="00473B58">
              <w:rPr>
                <w:lang w:val="fr-CA"/>
              </w:rPr>
              <w:t xml:space="preserve">  </w:t>
            </w:r>
          </w:p>
          <w:p w14:paraId="2B0A0944" w14:textId="1B4679CE" w:rsidR="00A739AD" w:rsidRPr="00473B58" w:rsidRDefault="00A739AD" w:rsidP="00C6186F">
            <w:pPr>
              <w:spacing w:before="120" w:after="120"/>
              <w:rPr>
                <w:lang w:val="fr-CA"/>
              </w:rPr>
            </w:pPr>
            <w:r w:rsidRPr="00473B58">
              <w:rPr>
                <w:lang w:val="fr-CA"/>
              </w:rPr>
              <w:t>Document</w:t>
            </w:r>
            <w:r w:rsidR="00721DE4" w:rsidRPr="00473B58">
              <w:rPr>
                <w:lang w:val="fr-CA"/>
              </w:rPr>
              <w:t xml:space="preserve">er le détail des modifications de contrat </w:t>
            </w:r>
            <w:r w:rsidR="006B360A" w:rsidRPr="00473B58">
              <w:rPr>
                <w:lang w:val="fr-CA"/>
              </w:rPr>
              <w:t xml:space="preserve">sur </w:t>
            </w:r>
            <w:r w:rsidR="00721DE4" w:rsidRPr="00473B58">
              <w:rPr>
                <w:lang w:val="fr-CA"/>
              </w:rPr>
              <w:t xml:space="preserve">la </w:t>
            </w:r>
            <w:r w:rsidR="00721DE4" w:rsidRPr="00091BB2">
              <w:rPr>
                <w:lang w:val="fr-CA"/>
              </w:rPr>
              <w:t>même feuille de travail que le modèle des résultats de l’</w:t>
            </w:r>
            <w:r w:rsidR="00091BB2">
              <w:rPr>
                <w:lang w:val="fr-CA"/>
              </w:rPr>
              <w:t>é</w:t>
            </w:r>
            <w:r w:rsidR="00721DE4" w:rsidRPr="00091BB2">
              <w:rPr>
                <w:lang w:val="fr-CA"/>
              </w:rPr>
              <w:t>tape</w:t>
            </w:r>
            <w:r w:rsidR="00A352F0" w:rsidRPr="00091BB2">
              <w:rPr>
                <w:lang w:val="fr-CA"/>
              </w:rPr>
              <w:t> </w:t>
            </w:r>
            <w:r w:rsidR="00721DE4" w:rsidRPr="00091BB2">
              <w:rPr>
                <w:lang w:val="fr-CA"/>
              </w:rPr>
              <w:t>1</w:t>
            </w:r>
            <w:r w:rsidR="00721DE4" w:rsidRPr="001C2C54">
              <w:rPr>
                <w:lang w:val="fr-CA"/>
              </w:rPr>
              <w:t xml:space="preserve">, dans le tableau </w:t>
            </w:r>
            <w:r w:rsidR="006B360A" w:rsidRPr="00A40622">
              <w:rPr>
                <w:lang w:val="fr-CA"/>
              </w:rPr>
              <w:t>« </w:t>
            </w:r>
            <w:r w:rsidR="00721DE4" w:rsidRPr="00A40622">
              <w:rPr>
                <w:lang w:val="fr-CA"/>
              </w:rPr>
              <w:t>Tester les modifications de contrat (s’il y a lieu</w:t>
            </w:r>
            <w:r w:rsidR="006B360A" w:rsidRPr="00A40622">
              <w:rPr>
                <w:lang w:val="fr-CA"/>
              </w:rPr>
              <w:t>) »</w:t>
            </w:r>
            <w:r w:rsidR="00721DE4" w:rsidRPr="00A40622">
              <w:rPr>
                <w:lang w:val="fr-CA"/>
              </w:rPr>
              <w:t>, sous les procédures principales</w:t>
            </w:r>
            <w:r w:rsidR="00721DE4" w:rsidRPr="00513F3D">
              <w:rPr>
                <w:lang w:val="fr-CA"/>
              </w:rPr>
              <w:t>.</w:t>
            </w:r>
            <w:r w:rsidR="00721DE4" w:rsidRPr="00473B58">
              <w:rPr>
                <w:lang w:val="fr-CA"/>
              </w:rPr>
              <w:t xml:space="preserve"> Mettre en œuvre des procédures pour évaluer si la direction a comptabilisé comme il se doit la modification comme un contrat distinct ou comme une modification à un contrat existant</w:t>
            </w:r>
            <w:r w:rsidRPr="00473B58">
              <w:rPr>
                <w:lang w:val="fr-CA"/>
              </w:rPr>
              <w:t>.</w:t>
            </w:r>
          </w:p>
          <w:p w14:paraId="4693EF69" w14:textId="084E9A4F" w:rsidR="00A739AD" w:rsidRPr="00473B58" w:rsidRDefault="006F1FFF" w:rsidP="006B360A">
            <w:pPr>
              <w:spacing w:before="120" w:after="120"/>
              <w:rPr>
                <w:lang w:val="fr-CA"/>
              </w:rPr>
            </w:pPr>
            <w:r w:rsidRPr="00473B58">
              <w:rPr>
                <w:lang w:val="fr-CA"/>
              </w:rPr>
              <w:t>Il faut faire particulièrement attention à toute modification de contrat qui a été apportée avant l’entrée en vigueur de l’</w:t>
            </w:r>
            <w:r w:rsidR="00A739AD" w:rsidRPr="00473B58">
              <w:rPr>
                <w:lang w:val="fr-CA"/>
              </w:rPr>
              <w:t>IFRS</w:t>
            </w:r>
            <w:r w:rsidR="00A352F0" w:rsidRPr="00473B58">
              <w:rPr>
                <w:lang w:val="fr-CA"/>
              </w:rPr>
              <w:t> </w:t>
            </w:r>
            <w:r w:rsidR="00A739AD" w:rsidRPr="00473B58">
              <w:rPr>
                <w:lang w:val="fr-CA"/>
              </w:rPr>
              <w:t xml:space="preserve">15 </w:t>
            </w:r>
            <w:r w:rsidRPr="00473B58">
              <w:rPr>
                <w:lang w:val="fr-CA"/>
              </w:rPr>
              <w:t>et avant le début de la première période présentée dans les états financiers. Dans le cadre de la transition vers l’IFRS</w:t>
            </w:r>
            <w:r w:rsidR="00A352F0" w:rsidRPr="00473B58">
              <w:rPr>
                <w:lang w:val="fr-CA"/>
              </w:rPr>
              <w:t> </w:t>
            </w:r>
            <w:r w:rsidRPr="00473B58">
              <w:rPr>
                <w:lang w:val="fr-CA"/>
              </w:rPr>
              <w:t>15, une entité peut avoir choisi d’appliquer une mesure de simplification qui lui permet de ne pas retraiter rétrospectivement les produits générés par ce</w:t>
            </w:r>
            <w:r w:rsidR="006B360A" w:rsidRPr="00473B58">
              <w:rPr>
                <w:lang w:val="fr-CA"/>
              </w:rPr>
              <w:t xml:space="preserve"> type de</w:t>
            </w:r>
            <w:r w:rsidRPr="00473B58">
              <w:rPr>
                <w:lang w:val="fr-CA"/>
              </w:rPr>
              <w:t xml:space="preserve"> contrats. Dans ce cas de figure, l’entité tient compte de toutes les obligations de prestation et contreparties prévues dans le contrat </w:t>
            </w:r>
            <w:r w:rsidR="00EA50FF" w:rsidRPr="00473B58">
              <w:rPr>
                <w:lang w:val="fr-CA"/>
              </w:rPr>
              <w:t>qui existaient à la date de transition, détermine la mesure dans laquelle une obligation a été remplie et la portion qui reste à remplir</w:t>
            </w:r>
            <w:r w:rsidR="006B360A" w:rsidRPr="00473B58">
              <w:rPr>
                <w:lang w:val="fr-CA"/>
              </w:rPr>
              <w:t>,</w:t>
            </w:r>
            <w:r w:rsidR="00EA50FF" w:rsidRPr="00473B58">
              <w:rPr>
                <w:lang w:val="fr-CA"/>
              </w:rPr>
              <w:t xml:space="preserve"> et comptabilise l’effet cumulatif de l’application initiale de la norme comme un ajustement du solde d’ouverture des résultats non distribués. </w:t>
            </w:r>
          </w:p>
        </w:tc>
      </w:tr>
      <w:tr w:rsidR="00E11EF4" w:rsidRPr="00473B58" w14:paraId="05EAC92F"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3420E88D" w14:textId="3EAA4962" w:rsidR="00E11EF4" w:rsidRPr="00473B58" w:rsidRDefault="00AD449B" w:rsidP="00C6186F">
            <w:pPr>
              <w:spacing w:before="120" w:after="120"/>
              <w:rPr>
                <w:color w:val="2E74B5" w:themeColor="accent1" w:themeShade="BF"/>
                <w:lang w:val="fr-CA"/>
              </w:rPr>
            </w:pPr>
            <w:bookmarkStart w:id="10" w:name="_Results_Template_(Step_1"/>
            <w:bookmarkEnd w:id="10"/>
            <w:r w:rsidRPr="00A40622">
              <w:rPr>
                <w:b/>
                <w:color w:val="2E74B5" w:themeColor="accent1" w:themeShade="BF"/>
                <w:lang w:val="fr-CA"/>
              </w:rPr>
              <w:t>N</w:t>
            </w:r>
            <w:r w:rsidRPr="00A40622">
              <w:rPr>
                <w:b/>
                <w:color w:val="2E74B5" w:themeColor="accent1" w:themeShade="BF"/>
                <w:vertAlign w:val="superscript"/>
                <w:lang w:val="fr-CA"/>
              </w:rPr>
              <w:t>o</w:t>
            </w:r>
            <w:r w:rsidR="00A352F0" w:rsidRPr="00A40622">
              <w:rPr>
                <w:b/>
                <w:color w:val="2E74B5" w:themeColor="accent1" w:themeShade="BF"/>
                <w:lang w:val="fr-CA"/>
              </w:rPr>
              <w:t>/</w:t>
            </w:r>
            <w:r w:rsidRPr="00A40622">
              <w:rPr>
                <w:b/>
                <w:color w:val="2E74B5" w:themeColor="accent1" w:themeShade="BF"/>
                <w:lang w:val="fr-CA"/>
              </w:rPr>
              <w:t>titre de la procédure</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6D863E7D" w14:textId="59CCF87C" w:rsidR="00E11EF4" w:rsidRPr="00473B58" w:rsidRDefault="009C30B4" w:rsidP="00C6186F">
            <w:pPr>
              <w:spacing w:before="120" w:after="120"/>
              <w:rPr>
                <w:color w:val="2E74B5" w:themeColor="accent1" w:themeShade="BF"/>
                <w:lang w:val="fr-CA"/>
              </w:rPr>
            </w:pPr>
            <w:r w:rsidRPr="00473B58">
              <w:rPr>
                <w:b/>
                <w:color w:val="2E74B5" w:themeColor="accent1" w:themeShade="BF"/>
                <w:lang w:val="fr-CA"/>
              </w:rPr>
              <w:t xml:space="preserve">Paragraphes </w:t>
            </w:r>
            <w:r w:rsidR="006B360A"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791" w:type="dxa"/>
            <w:tcBorders>
              <w:top w:val="single" w:sz="12" w:space="0" w:color="2E74B5" w:themeColor="accent1" w:themeShade="BF"/>
              <w:left w:val="nil"/>
              <w:bottom w:val="single" w:sz="12" w:space="0" w:color="2E74B5" w:themeColor="accent1" w:themeShade="BF"/>
              <w:right w:val="nil"/>
            </w:tcBorders>
            <w:vAlign w:val="bottom"/>
          </w:tcPr>
          <w:p w14:paraId="5218365F" w14:textId="45088D2A" w:rsidR="00E11EF4" w:rsidRPr="00473B58" w:rsidRDefault="00AD449B" w:rsidP="00AD449B">
            <w:pPr>
              <w:spacing w:before="120" w:after="120"/>
              <w:rPr>
                <w:color w:val="2E74B5" w:themeColor="accent1" w:themeShade="BF"/>
                <w:lang w:val="fr-CA"/>
              </w:rPr>
            </w:pPr>
            <w:r w:rsidRPr="00473B58">
              <w:rPr>
                <w:b/>
                <w:color w:val="2E74B5" w:themeColor="accent1" w:themeShade="BF"/>
                <w:lang w:val="fr-CA"/>
              </w:rPr>
              <w:t xml:space="preserve">Directives </w:t>
            </w:r>
          </w:p>
        </w:tc>
      </w:tr>
      <w:tr w:rsidR="00E11EF4" w:rsidRPr="00D97151" w14:paraId="3E6BA2C1" w14:textId="77777777" w:rsidTr="00C100B5">
        <w:tc>
          <w:tcPr>
            <w:tcW w:w="2406" w:type="dxa"/>
            <w:tcBorders>
              <w:top w:val="single" w:sz="12" w:space="0" w:color="2E74B5" w:themeColor="accent1" w:themeShade="BF"/>
              <w:left w:val="nil"/>
              <w:bottom w:val="single" w:sz="12" w:space="0" w:color="9CC2E5" w:themeColor="accent1" w:themeTint="99"/>
              <w:right w:val="nil"/>
            </w:tcBorders>
          </w:tcPr>
          <w:p w14:paraId="1B34CE6B" w14:textId="276588D6" w:rsidR="00E11EF4" w:rsidRPr="00253DB4" w:rsidRDefault="00010538" w:rsidP="006B360A">
            <w:pPr>
              <w:spacing w:before="120" w:after="120"/>
              <w:rPr>
                <w:lang w:val="fr-CA"/>
              </w:rPr>
            </w:pPr>
            <w:r w:rsidRPr="00253DB4">
              <w:rPr>
                <w:lang w:val="fr-CA"/>
              </w:rPr>
              <w:t>Licence</w:t>
            </w:r>
          </w:p>
        </w:tc>
        <w:tc>
          <w:tcPr>
            <w:tcW w:w="2553" w:type="dxa"/>
            <w:tcBorders>
              <w:top w:val="single" w:sz="12" w:space="0" w:color="2E74B5" w:themeColor="accent1" w:themeShade="BF"/>
              <w:left w:val="nil"/>
              <w:bottom w:val="single" w:sz="12" w:space="0" w:color="9CC2E5" w:themeColor="accent1" w:themeTint="99"/>
              <w:right w:val="nil"/>
            </w:tcBorders>
          </w:tcPr>
          <w:p w14:paraId="1358B886" w14:textId="34381721" w:rsidR="00E11EF4" w:rsidRPr="00473B58" w:rsidRDefault="00E11EF4" w:rsidP="00C6186F">
            <w:pPr>
              <w:spacing w:before="120" w:after="120"/>
              <w:rPr>
                <w:lang w:val="fr-CA"/>
              </w:rPr>
            </w:pPr>
            <w:r w:rsidRPr="00473B58">
              <w:rPr>
                <w:lang w:val="fr-CA"/>
              </w:rPr>
              <w:t>IFRS</w:t>
            </w:r>
            <w:r w:rsidR="00A352F0" w:rsidRPr="00473B58">
              <w:rPr>
                <w:lang w:val="fr-CA"/>
              </w:rPr>
              <w:t> </w:t>
            </w:r>
            <w:r w:rsidRPr="00473B58">
              <w:rPr>
                <w:lang w:val="fr-CA"/>
              </w:rPr>
              <w:t>15.B52</w:t>
            </w:r>
          </w:p>
          <w:p w14:paraId="53DF9724" w14:textId="5552F735" w:rsidR="00E11EF4" w:rsidRPr="00473B58" w:rsidRDefault="00E11EF4" w:rsidP="00C6186F">
            <w:pPr>
              <w:spacing w:before="120" w:after="120"/>
              <w:rPr>
                <w:lang w:val="fr-CA"/>
              </w:rPr>
            </w:pPr>
          </w:p>
        </w:tc>
        <w:tc>
          <w:tcPr>
            <w:tcW w:w="8791" w:type="dxa"/>
            <w:tcBorders>
              <w:top w:val="single" w:sz="12" w:space="0" w:color="2E74B5" w:themeColor="accent1" w:themeShade="BF"/>
              <w:left w:val="nil"/>
              <w:bottom w:val="single" w:sz="12" w:space="0" w:color="9CC2E5" w:themeColor="accent1" w:themeTint="99"/>
              <w:right w:val="nil"/>
            </w:tcBorders>
          </w:tcPr>
          <w:p w14:paraId="43B629BA" w14:textId="07253EA3" w:rsidR="00E11EF4" w:rsidRPr="00473B58" w:rsidRDefault="00EA50FF" w:rsidP="00CC49A4">
            <w:pPr>
              <w:spacing w:before="120" w:after="120"/>
              <w:rPr>
                <w:lang w:val="fr-CA"/>
              </w:rPr>
            </w:pPr>
            <w:r w:rsidRPr="00473B58">
              <w:rPr>
                <w:lang w:val="fr-CA"/>
              </w:rPr>
              <w:t>L’</w:t>
            </w:r>
            <w:r w:rsidR="00E11EF4" w:rsidRPr="00473B58">
              <w:rPr>
                <w:lang w:val="fr-CA"/>
              </w:rPr>
              <w:t>IFRS</w:t>
            </w:r>
            <w:r w:rsidR="00A352F0" w:rsidRPr="00473B58">
              <w:rPr>
                <w:lang w:val="fr-CA"/>
              </w:rPr>
              <w:t> </w:t>
            </w:r>
            <w:r w:rsidR="00E11EF4" w:rsidRPr="00473B58">
              <w:rPr>
                <w:lang w:val="fr-CA"/>
              </w:rPr>
              <w:t xml:space="preserve">15 </w:t>
            </w:r>
            <w:r w:rsidRPr="00473B58">
              <w:rPr>
                <w:lang w:val="fr-CA"/>
              </w:rPr>
              <w:t>prévoit des obligations</w:t>
            </w:r>
            <w:r w:rsidR="00812C17" w:rsidRPr="00473B58">
              <w:rPr>
                <w:lang w:val="fr-CA"/>
              </w:rPr>
              <w:t xml:space="preserve"> </w:t>
            </w:r>
            <w:r w:rsidR="00CC49A4" w:rsidRPr="00473B58">
              <w:rPr>
                <w:lang w:val="fr-CA"/>
              </w:rPr>
              <w:t xml:space="preserve">précises </w:t>
            </w:r>
            <w:r w:rsidR="00812C17" w:rsidRPr="00473B58">
              <w:rPr>
                <w:lang w:val="fr-CA"/>
              </w:rPr>
              <w:t xml:space="preserve">en matière d’informations financières à fournir et des éléments à prendre en considération pour les contrats de licence. Lorsque le contrat établit une licence de propriété intellectuelle, par exemple </w:t>
            </w:r>
            <w:r w:rsidR="00CC49A4" w:rsidRPr="00473B58">
              <w:rPr>
                <w:lang w:val="fr-CA"/>
              </w:rPr>
              <w:t xml:space="preserve">pour </w:t>
            </w:r>
            <w:r w:rsidR="00812C17" w:rsidRPr="00473B58">
              <w:rPr>
                <w:lang w:val="fr-CA"/>
              </w:rPr>
              <w:t xml:space="preserve">un logiciel </w:t>
            </w:r>
            <w:r w:rsidR="00CC49A4" w:rsidRPr="00473B58">
              <w:rPr>
                <w:lang w:val="fr-CA"/>
              </w:rPr>
              <w:t>et</w:t>
            </w:r>
            <w:r w:rsidR="00812C17" w:rsidRPr="00473B58">
              <w:rPr>
                <w:lang w:val="fr-CA"/>
              </w:rPr>
              <w:t xml:space="preserve"> une technologie, il faut alors documenter les </w:t>
            </w:r>
            <w:r w:rsidR="00B55B42" w:rsidRPr="00473B58">
              <w:rPr>
                <w:lang w:val="fr-CA"/>
              </w:rPr>
              <w:t xml:space="preserve">principales dates liées à ces éléments. Lorsque le type de produit comprend des licences, les procédures prévoient un certain nombre de procédures précises qui doivent être mises en œuvre </w:t>
            </w:r>
            <w:r w:rsidR="00CC49A4" w:rsidRPr="00473B58">
              <w:rPr>
                <w:lang w:val="fr-CA"/>
              </w:rPr>
              <w:t xml:space="preserve">au cours des </w:t>
            </w:r>
            <w:r w:rsidR="00B55B42" w:rsidRPr="00473B58">
              <w:rPr>
                <w:lang w:val="fr-CA"/>
              </w:rPr>
              <w:t>cinq étapes.</w:t>
            </w:r>
          </w:p>
        </w:tc>
      </w:tr>
      <w:tr w:rsidR="00E11EF4" w:rsidRPr="00D97151" w14:paraId="3CFDACD3" w14:textId="77777777" w:rsidTr="00C100B5">
        <w:tc>
          <w:tcPr>
            <w:tcW w:w="2406" w:type="dxa"/>
            <w:tcBorders>
              <w:top w:val="single" w:sz="12" w:space="0" w:color="9CC2E5" w:themeColor="accent1" w:themeTint="99"/>
              <w:left w:val="nil"/>
              <w:bottom w:val="single" w:sz="12" w:space="0" w:color="2E74B5" w:themeColor="accent1" w:themeShade="BF"/>
              <w:right w:val="nil"/>
            </w:tcBorders>
          </w:tcPr>
          <w:p w14:paraId="424FAC51" w14:textId="05E18576" w:rsidR="00E11EF4" w:rsidRPr="00A40622" w:rsidRDefault="00010538" w:rsidP="00010538">
            <w:pPr>
              <w:spacing w:before="120" w:after="120"/>
              <w:rPr>
                <w:lang w:val="fr-CA"/>
              </w:rPr>
            </w:pPr>
            <w:r w:rsidRPr="00A40622">
              <w:rPr>
                <w:lang w:val="fr-CA"/>
              </w:rPr>
              <w:t xml:space="preserve">Entité agissant pour son propre compte ou comme mandataire </w:t>
            </w:r>
          </w:p>
        </w:tc>
        <w:tc>
          <w:tcPr>
            <w:tcW w:w="2553" w:type="dxa"/>
            <w:tcBorders>
              <w:top w:val="single" w:sz="12" w:space="0" w:color="9CC2E5" w:themeColor="accent1" w:themeTint="99"/>
              <w:left w:val="nil"/>
              <w:bottom w:val="single" w:sz="12" w:space="0" w:color="2E74B5" w:themeColor="accent1" w:themeShade="BF"/>
              <w:right w:val="nil"/>
            </w:tcBorders>
          </w:tcPr>
          <w:p w14:paraId="0BB9DDF3" w14:textId="271AE111" w:rsidR="00E11EF4" w:rsidRPr="00473B58" w:rsidRDefault="00E11EF4" w:rsidP="00C6186F">
            <w:pPr>
              <w:spacing w:before="120" w:after="120"/>
              <w:rPr>
                <w:lang w:val="fr-CA"/>
              </w:rPr>
            </w:pPr>
            <w:r w:rsidRPr="00473B58">
              <w:rPr>
                <w:lang w:val="fr-CA"/>
              </w:rPr>
              <w:t>IFRS 15</w:t>
            </w:r>
            <w:r w:rsidR="00A352F0" w:rsidRPr="00473B58">
              <w:rPr>
                <w:lang w:val="fr-CA"/>
              </w:rPr>
              <w:t> </w:t>
            </w:r>
            <w:r w:rsidRPr="00473B58">
              <w:rPr>
                <w:lang w:val="fr-CA"/>
              </w:rPr>
              <w:t xml:space="preserve">B34 </w:t>
            </w:r>
            <w:r w:rsidR="00AD449B" w:rsidRPr="00473B58">
              <w:rPr>
                <w:lang w:val="fr-CA"/>
              </w:rPr>
              <w:t>à</w:t>
            </w:r>
            <w:r w:rsidRPr="00473B58">
              <w:rPr>
                <w:lang w:val="fr-CA"/>
              </w:rPr>
              <w:t xml:space="preserve"> B38</w:t>
            </w:r>
          </w:p>
          <w:p w14:paraId="05926FFA" w14:textId="06C2AD3F" w:rsidR="00E11EF4" w:rsidRPr="00473B58" w:rsidRDefault="00E11EF4" w:rsidP="00C6186F">
            <w:pPr>
              <w:spacing w:before="120" w:after="120"/>
              <w:rPr>
                <w:lang w:val="fr-CA"/>
              </w:rPr>
            </w:pPr>
          </w:p>
        </w:tc>
        <w:tc>
          <w:tcPr>
            <w:tcW w:w="8791" w:type="dxa"/>
            <w:tcBorders>
              <w:top w:val="single" w:sz="12" w:space="0" w:color="9CC2E5" w:themeColor="accent1" w:themeTint="99"/>
              <w:left w:val="nil"/>
              <w:bottom w:val="single" w:sz="12" w:space="0" w:color="2E74B5" w:themeColor="accent1" w:themeShade="BF"/>
              <w:right w:val="nil"/>
            </w:tcBorders>
          </w:tcPr>
          <w:p w14:paraId="198307F7" w14:textId="0FE4050B" w:rsidR="00E11EF4" w:rsidRPr="00473B58" w:rsidRDefault="00356859" w:rsidP="00C6186F">
            <w:pPr>
              <w:spacing w:before="120" w:after="120"/>
              <w:rPr>
                <w:lang w:val="fr-CA"/>
              </w:rPr>
            </w:pPr>
            <w:r w:rsidRPr="00473B58">
              <w:rPr>
                <w:lang w:val="fr-CA"/>
              </w:rPr>
              <w:t xml:space="preserve">Si </w:t>
            </w:r>
            <w:r w:rsidR="00B55B42" w:rsidRPr="00473B58">
              <w:rPr>
                <w:lang w:val="fr-CA"/>
              </w:rPr>
              <w:t xml:space="preserve">un tiers intervient dans la fourniture de biens ou de services au client de l’entité, l’auditeur doit évaluer la manière dont l’entité a </w:t>
            </w:r>
            <w:r w:rsidR="00CC49A4" w:rsidRPr="00473B58">
              <w:rPr>
                <w:lang w:val="fr-CA"/>
              </w:rPr>
              <w:t xml:space="preserve">apprécié </w:t>
            </w:r>
            <w:r w:rsidR="00B55B42" w:rsidRPr="00473B58">
              <w:rPr>
                <w:lang w:val="fr-CA"/>
              </w:rPr>
              <w:t>les facteurs ou</w:t>
            </w:r>
            <w:r w:rsidRPr="00473B58">
              <w:rPr>
                <w:lang w:val="fr-CA"/>
              </w:rPr>
              <w:t xml:space="preserve"> les</w:t>
            </w:r>
            <w:r w:rsidR="00B55B42" w:rsidRPr="00473B58">
              <w:rPr>
                <w:lang w:val="fr-CA"/>
              </w:rPr>
              <w:t xml:space="preserve"> considérations pour identifier la nature de la promesse et </w:t>
            </w:r>
            <w:r w:rsidR="00CC49A4" w:rsidRPr="00473B58">
              <w:rPr>
                <w:lang w:val="fr-CA"/>
              </w:rPr>
              <w:t>l</w:t>
            </w:r>
            <w:r w:rsidR="00B55B42" w:rsidRPr="00473B58">
              <w:rPr>
                <w:lang w:val="fr-CA"/>
              </w:rPr>
              <w:t>es indicateurs</w:t>
            </w:r>
            <w:r w:rsidR="00E11EF4" w:rsidRPr="00473B58">
              <w:rPr>
                <w:lang w:val="fr-CA"/>
              </w:rPr>
              <w:t xml:space="preserve"> </w:t>
            </w:r>
            <w:r w:rsidR="00B55B42" w:rsidRPr="00473B58">
              <w:rPr>
                <w:lang w:val="fr-CA"/>
              </w:rPr>
              <w:t>que l’entité a le contrôle</w:t>
            </w:r>
            <w:r w:rsidR="00CC49A4" w:rsidRPr="00473B58">
              <w:rPr>
                <w:lang w:val="fr-CA"/>
              </w:rPr>
              <w:t xml:space="preserve">. L’auditeur </w:t>
            </w:r>
            <w:r w:rsidR="00B55B42" w:rsidRPr="00473B58">
              <w:rPr>
                <w:lang w:val="fr-CA"/>
              </w:rPr>
              <w:t xml:space="preserve">doit aussi déterminer si l’entité a agi pour </w:t>
            </w:r>
            <w:r w:rsidR="00E3411A" w:rsidRPr="00473B58">
              <w:rPr>
                <w:lang w:val="fr-CA"/>
              </w:rPr>
              <w:t>son propre compte ou comme mandataire dans le cadre du contrat</w:t>
            </w:r>
            <w:r w:rsidR="008054EC" w:rsidRPr="00473B58">
              <w:rPr>
                <w:lang w:val="fr-CA"/>
              </w:rPr>
              <w:t xml:space="preserve">. Ces facteurs ont une incidence considérable sur la manière dont l’entité devrait comptabiliser </w:t>
            </w:r>
            <w:r w:rsidR="00CC49A4" w:rsidRPr="00473B58">
              <w:rPr>
                <w:lang w:val="fr-CA"/>
              </w:rPr>
              <w:t>l</w:t>
            </w:r>
            <w:r w:rsidR="008054EC" w:rsidRPr="00473B58">
              <w:rPr>
                <w:lang w:val="fr-CA"/>
              </w:rPr>
              <w:t xml:space="preserve">es produits.  </w:t>
            </w:r>
            <w:r w:rsidR="00E11EF4" w:rsidRPr="00473B58">
              <w:rPr>
                <w:lang w:val="fr-CA"/>
              </w:rPr>
              <w:t xml:space="preserve"> </w:t>
            </w:r>
          </w:p>
          <w:p w14:paraId="52D54B32" w14:textId="69AB6E44" w:rsidR="00E11EF4" w:rsidRPr="00473B58" w:rsidRDefault="008054EC" w:rsidP="00C6186F">
            <w:pPr>
              <w:spacing w:before="120" w:after="120"/>
              <w:rPr>
                <w:lang w:val="fr-CA"/>
              </w:rPr>
            </w:pPr>
            <w:r w:rsidRPr="00473B58">
              <w:rPr>
                <w:lang w:val="fr-CA"/>
              </w:rPr>
              <w:t xml:space="preserve">Si l’entité agit pour son propre compte, elle comptabilise en produits des activités ordinaires le montant </w:t>
            </w:r>
            <w:r w:rsidR="00CC49A4" w:rsidRPr="00473B58">
              <w:rPr>
                <w:lang w:val="fr-CA"/>
              </w:rPr>
              <w:t>« </w:t>
            </w:r>
            <w:r w:rsidRPr="00473B58">
              <w:rPr>
                <w:lang w:val="fr-CA"/>
              </w:rPr>
              <w:t>brut</w:t>
            </w:r>
            <w:r w:rsidR="00CC49A4" w:rsidRPr="00473B58">
              <w:rPr>
                <w:lang w:val="fr-CA"/>
              </w:rPr>
              <w:t> »</w:t>
            </w:r>
            <w:r w:rsidRPr="00473B58">
              <w:rPr>
                <w:lang w:val="fr-CA"/>
              </w:rPr>
              <w:t xml:space="preserve"> de </w:t>
            </w:r>
            <w:r w:rsidR="00CC49A4" w:rsidRPr="00473B58">
              <w:rPr>
                <w:lang w:val="fr-CA"/>
              </w:rPr>
              <w:t xml:space="preserve">la </w:t>
            </w:r>
            <w:r w:rsidRPr="00473B58">
              <w:rPr>
                <w:lang w:val="fr-CA"/>
              </w:rPr>
              <w:t xml:space="preserve">contrepartie </w:t>
            </w:r>
            <w:r w:rsidR="00CC49A4" w:rsidRPr="00473B58">
              <w:rPr>
                <w:lang w:val="fr-CA"/>
              </w:rPr>
              <w:t xml:space="preserve">versée par le client </w:t>
            </w:r>
            <w:r w:rsidRPr="00473B58">
              <w:rPr>
                <w:lang w:val="fr-CA"/>
              </w:rPr>
              <w:t xml:space="preserve">en échange du bien ou du service spécifié fourni. L’entité comptabilise aussi une charge correspondante au titre des honoraires ou de la commission qu’elle doit payer à tout mandataire, en plus des </w:t>
            </w:r>
            <w:r w:rsidR="005C5399" w:rsidRPr="00473B58">
              <w:rPr>
                <w:lang w:val="fr-CA"/>
              </w:rPr>
              <w:t>coûts direct</w:t>
            </w:r>
            <w:r w:rsidR="0007420A" w:rsidRPr="00473B58">
              <w:rPr>
                <w:lang w:val="fr-CA"/>
              </w:rPr>
              <w:t>s</w:t>
            </w:r>
            <w:r w:rsidR="005C5399" w:rsidRPr="00473B58">
              <w:rPr>
                <w:lang w:val="fr-CA"/>
              </w:rPr>
              <w:t xml:space="preserve"> pour remplir le contrat.</w:t>
            </w:r>
          </w:p>
          <w:p w14:paraId="5DDE8769" w14:textId="515F2750" w:rsidR="00E11EF4" w:rsidRPr="00473B58" w:rsidRDefault="005C5399" w:rsidP="00CC49A4">
            <w:pPr>
              <w:spacing w:before="120" w:after="120"/>
              <w:rPr>
                <w:lang w:val="fr-CA"/>
              </w:rPr>
            </w:pPr>
            <w:r w:rsidRPr="00473B58">
              <w:rPr>
                <w:lang w:val="fr-CA"/>
              </w:rPr>
              <w:t>Une entité agit comme mandataire si elle n’a pas le contrôle du bien ou du service spécifié avant que ce bien ou ce service ne soit fourni au client. Si l’entité agit comme mandataire, elle comptabilise en produits des activités ordinaires le montant des honoraires ou de la commission qu’elle reçoit en échange des dispositions prises pour faciliter la fourniture des biens ou services spécifiés (montant «</w:t>
            </w:r>
            <w:r w:rsidR="00A352F0" w:rsidRPr="00473B58">
              <w:rPr>
                <w:lang w:val="fr-CA"/>
              </w:rPr>
              <w:t> </w:t>
            </w:r>
            <w:r w:rsidRPr="00473B58">
              <w:rPr>
                <w:lang w:val="fr-CA"/>
              </w:rPr>
              <w:t>net</w:t>
            </w:r>
            <w:r w:rsidR="00A352F0" w:rsidRPr="00473B58">
              <w:rPr>
                <w:lang w:val="fr-CA"/>
              </w:rPr>
              <w:t> </w:t>
            </w:r>
            <w:r w:rsidRPr="00473B58">
              <w:rPr>
                <w:lang w:val="fr-CA"/>
              </w:rPr>
              <w:t>» gagné)</w:t>
            </w:r>
            <w:r w:rsidR="00E11EF4" w:rsidRPr="00473B58">
              <w:rPr>
                <w:lang w:val="fr-CA"/>
              </w:rPr>
              <w:t xml:space="preserve">. </w:t>
            </w:r>
            <w:r w:rsidR="00E451C8" w:rsidRPr="00473B58">
              <w:rPr>
                <w:lang w:val="fr-CA"/>
              </w:rPr>
              <w:t>L’</w:t>
            </w:r>
            <w:r w:rsidRPr="00473B58">
              <w:rPr>
                <w:lang w:val="fr-CA"/>
              </w:rPr>
              <w:t xml:space="preserve">entité </w:t>
            </w:r>
            <w:r w:rsidR="00E451C8" w:rsidRPr="00473B58">
              <w:rPr>
                <w:lang w:val="fr-CA"/>
              </w:rPr>
              <w:t xml:space="preserve">comptabilise en produits </w:t>
            </w:r>
            <w:r w:rsidRPr="00473B58">
              <w:rPr>
                <w:lang w:val="fr-CA"/>
              </w:rPr>
              <w:t xml:space="preserve">le montant net de </w:t>
            </w:r>
            <w:r w:rsidR="00CC49A4" w:rsidRPr="00473B58">
              <w:rPr>
                <w:lang w:val="fr-CA"/>
              </w:rPr>
              <w:t xml:space="preserve">la </w:t>
            </w:r>
            <w:r w:rsidRPr="00473B58">
              <w:rPr>
                <w:lang w:val="fr-CA"/>
              </w:rPr>
              <w:t>contrepartie qu</w:t>
            </w:r>
            <w:r w:rsidR="00E451C8" w:rsidRPr="00473B58">
              <w:rPr>
                <w:lang w:val="fr-CA"/>
              </w:rPr>
              <w:t xml:space="preserve">’elle </w:t>
            </w:r>
            <w:r w:rsidRPr="00473B58">
              <w:rPr>
                <w:lang w:val="fr-CA"/>
              </w:rPr>
              <w:t>conserve après avoir payé au tiers la contrepartie reçue en échange des biens ou des services fourni</w:t>
            </w:r>
            <w:r w:rsidR="00CC49A4" w:rsidRPr="00473B58">
              <w:rPr>
                <w:lang w:val="fr-CA"/>
              </w:rPr>
              <w:t xml:space="preserve">s au client. </w:t>
            </w:r>
          </w:p>
        </w:tc>
      </w:tr>
    </w:tbl>
    <w:p w14:paraId="769254B1" w14:textId="77777777" w:rsidR="00E11EF4" w:rsidRPr="00473B58" w:rsidRDefault="00E11EF4" w:rsidP="00E11EF4">
      <w:pPr>
        <w:rPr>
          <w:lang w:val="fr-CA"/>
        </w:rPr>
      </w:pPr>
    </w:p>
    <w:p w14:paraId="7951C8C9" w14:textId="77777777" w:rsidR="00382E99" w:rsidRPr="00473B58" w:rsidRDefault="00382E99">
      <w:pPr>
        <w:rPr>
          <w:lang w:val="fr-CA"/>
        </w:rPr>
      </w:pPr>
      <w:r w:rsidRPr="00473B58">
        <w:rPr>
          <w:lang w:val="fr-CA"/>
        </w:rP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9C30B4" w:rsidRPr="00473B58" w14:paraId="1BC6E6BC" w14:textId="77777777" w:rsidTr="00382E99">
        <w:trPr>
          <w:trHeight w:val="132"/>
        </w:trPr>
        <w:tc>
          <w:tcPr>
            <w:tcW w:w="2607" w:type="dxa"/>
            <w:shd w:val="clear" w:color="auto" w:fill="2E74B5" w:themeFill="accent1" w:themeFillShade="BF"/>
          </w:tcPr>
          <w:p w14:paraId="215A326E" w14:textId="14658EE0" w:rsidR="009C30B4" w:rsidRPr="00473B58" w:rsidRDefault="00D97151" w:rsidP="009C30B4">
            <w:pPr>
              <w:jc w:val="center"/>
              <w:rPr>
                <w:color w:val="FFFFFF" w:themeColor="background1"/>
                <w:sz w:val="24"/>
                <w:szCs w:val="24"/>
                <w:lang w:val="fr-CA"/>
              </w:rPr>
            </w:pPr>
            <w:hyperlink w:anchor="_Results_Template_(Step"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1</w:t>
              </w:r>
            </w:hyperlink>
          </w:p>
        </w:tc>
        <w:tc>
          <w:tcPr>
            <w:tcW w:w="2607" w:type="dxa"/>
            <w:shd w:val="clear" w:color="auto" w:fill="C45911" w:themeFill="accent2" w:themeFillShade="BF"/>
          </w:tcPr>
          <w:p w14:paraId="1C4D7769" w14:textId="4ABA76F1" w:rsidR="009C30B4" w:rsidRPr="00473B58" w:rsidRDefault="00D97151" w:rsidP="009C30B4">
            <w:pPr>
              <w:jc w:val="center"/>
              <w:rPr>
                <w:color w:val="FFFFFF" w:themeColor="background1"/>
                <w:sz w:val="24"/>
                <w:szCs w:val="24"/>
                <w:lang w:val="fr-CA"/>
              </w:rPr>
            </w:pPr>
            <w:hyperlink w:anchor="_Results_Template_(Step_5"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2</w:t>
              </w:r>
            </w:hyperlink>
          </w:p>
        </w:tc>
        <w:tc>
          <w:tcPr>
            <w:tcW w:w="2607" w:type="dxa"/>
            <w:shd w:val="clear" w:color="auto" w:fill="2E74B5" w:themeFill="accent1" w:themeFillShade="BF"/>
          </w:tcPr>
          <w:p w14:paraId="62EABBA1" w14:textId="20BDC75F" w:rsidR="009C30B4" w:rsidRPr="00473B58" w:rsidRDefault="00D97151" w:rsidP="009C30B4">
            <w:pPr>
              <w:jc w:val="center"/>
              <w:rPr>
                <w:color w:val="FFFFFF" w:themeColor="background1"/>
                <w:sz w:val="24"/>
                <w:szCs w:val="24"/>
                <w:lang w:val="fr-CA"/>
              </w:rPr>
            </w:pPr>
            <w:hyperlink w:anchor="_Results_Template_(Step_2"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3</w:t>
              </w:r>
            </w:hyperlink>
          </w:p>
        </w:tc>
        <w:tc>
          <w:tcPr>
            <w:tcW w:w="2607" w:type="dxa"/>
            <w:shd w:val="clear" w:color="auto" w:fill="2E74B5" w:themeFill="accent1" w:themeFillShade="BF"/>
          </w:tcPr>
          <w:p w14:paraId="622CEA13" w14:textId="4121E263" w:rsidR="009C30B4" w:rsidRPr="00473B58" w:rsidRDefault="00D97151" w:rsidP="009C30B4">
            <w:pPr>
              <w:jc w:val="center"/>
              <w:rPr>
                <w:color w:val="FFFFFF" w:themeColor="background1"/>
                <w:sz w:val="24"/>
                <w:szCs w:val="24"/>
                <w:lang w:val="fr-CA"/>
              </w:rPr>
            </w:pPr>
            <w:hyperlink w:anchor="_Results_Template_(Step_3"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4</w:t>
              </w:r>
            </w:hyperlink>
          </w:p>
        </w:tc>
        <w:tc>
          <w:tcPr>
            <w:tcW w:w="2608" w:type="dxa"/>
            <w:shd w:val="clear" w:color="auto" w:fill="2E74B5" w:themeFill="accent1" w:themeFillShade="BF"/>
          </w:tcPr>
          <w:p w14:paraId="701CCBE4" w14:textId="5649AE44" w:rsidR="009C30B4" w:rsidRPr="00473B58" w:rsidRDefault="00D97151" w:rsidP="009C30B4">
            <w:pPr>
              <w:jc w:val="center"/>
              <w:rPr>
                <w:color w:val="FFFFFF" w:themeColor="background1"/>
                <w:sz w:val="24"/>
                <w:szCs w:val="24"/>
                <w:lang w:val="fr-CA"/>
              </w:rPr>
            </w:pPr>
            <w:hyperlink w:anchor="_Results_Template_(Step_4"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5</w:t>
              </w:r>
            </w:hyperlink>
          </w:p>
        </w:tc>
      </w:tr>
    </w:tbl>
    <w:p w14:paraId="768DD6C9" w14:textId="79BB9073" w:rsidR="00A739AD" w:rsidRPr="00473B58" w:rsidRDefault="009C30B4" w:rsidP="00A8759A">
      <w:pPr>
        <w:pStyle w:val="Heading1"/>
        <w:rPr>
          <w:lang w:val="fr-CA"/>
        </w:rPr>
      </w:pPr>
      <w:bookmarkStart w:id="11" w:name="_Results_Template_(Step_5"/>
      <w:bookmarkStart w:id="12" w:name="_Toc73001871"/>
      <w:bookmarkEnd w:id="11"/>
      <w:r w:rsidRPr="00091BB2">
        <w:rPr>
          <w:lang w:val="fr-CA"/>
        </w:rPr>
        <w:t>Modèle des résultats (</w:t>
      </w:r>
      <w:r w:rsidR="00091BB2">
        <w:rPr>
          <w:lang w:val="fr-CA"/>
        </w:rPr>
        <w:t>é</w:t>
      </w:r>
      <w:r w:rsidRPr="00091BB2">
        <w:rPr>
          <w:lang w:val="fr-CA"/>
        </w:rPr>
        <w:t>tape</w:t>
      </w:r>
      <w:r w:rsidR="00A352F0" w:rsidRPr="00091BB2">
        <w:rPr>
          <w:lang w:val="fr-CA"/>
        </w:rPr>
        <w:t> </w:t>
      </w:r>
      <w:r w:rsidR="002E6B87" w:rsidRPr="00091BB2">
        <w:rPr>
          <w:lang w:val="fr-CA"/>
        </w:rPr>
        <w:t>2)</w:t>
      </w:r>
      <w:r w:rsidR="002E6B87" w:rsidRPr="00473B58">
        <w:rPr>
          <w:lang w:val="fr-CA"/>
        </w:rPr>
        <w:t xml:space="preserve"> </w:t>
      </w:r>
      <w:r w:rsidR="00A352F0" w:rsidRPr="00473B58">
        <w:rPr>
          <w:lang w:val="fr-CA"/>
        </w:rPr>
        <w:t>—</w:t>
      </w:r>
      <w:r w:rsidR="002E6B87" w:rsidRPr="00473B58">
        <w:rPr>
          <w:lang w:val="fr-CA"/>
        </w:rPr>
        <w:t xml:space="preserve"> Identif</w:t>
      </w:r>
      <w:r w:rsidR="00E451C8" w:rsidRPr="00473B58">
        <w:rPr>
          <w:lang w:val="fr-CA"/>
        </w:rPr>
        <w:t xml:space="preserve">ier les obligations de prestation </w:t>
      </w:r>
      <w:r w:rsidR="002D031B" w:rsidRPr="00473B58">
        <w:rPr>
          <w:lang w:val="fr-CA"/>
        </w:rPr>
        <w:t>du</w:t>
      </w:r>
      <w:r w:rsidR="00E451C8" w:rsidRPr="00473B58">
        <w:rPr>
          <w:lang w:val="fr-CA"/>
        </w:rPr>
        <w:t xml:space="preserve"> contrat</w:t>
      </w:r>
      <w:bookmarkEnd w:id="12"/>
      <w:r w:rsidR="00E451C8" w:rsidRPr="00473B58">
        <w:rPr>
          <w:lang w:val="fr-CA"/>
        </w:rPr>
        <w:t xml:space="preserve"> </w:t>
      </w:r>
    </w:p>
    <w:tbl>
      <w:tblPr>
        <w:tblStyle w:val="TableGrid"/>
        <w:tblW w:w="0" w:type="auto"/>
        <w:tblLook w:val="04A0" w:firstRow="1" w:lastRow="0" w:firstColumn="1" w:lastColumn="0" w:noHBand="0" w:noVBand="1"/>
      </w:tblPr>
      <w:tblGrid>
        <w:gridCol w:w="12930"/>
      </w:tblGrid>
      <w:tr w:rsidR="008D57BA" w:rsidRPr="00D97151" w14:paraId="0F267C21" w14:textId="77777777" w:rsidTr="00C100B5">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764D470" w14:textId="357D828D" w:rsidR="008D57BA" w:rsidRPr="00473B58" w:rsidRDefault="008D57BA" w:rsidP="00600311">
            <w:pPr>
              <w:spacing w:before="120"/>
              <w:rPr>
                <w:color w:val="2E74B5" w:themeColor="accent1" w:themeShade="BF"/>
                <w:lang w:val="fr-CA"/>
              </w:rPr>
            </w:pPr>
            <w:r w:rsidRPr="00473B58">
              <w:rPr>
                <w:b/>
                <w:color w:val="2E74B5" w:themeColor="accent1" w:themeShade="BF"/>
                <w:lang w:val="fr-CA"/>
              </w:rPr>
              <w:t>R</w:t>
            </w:r>
            <w:r w:rsidR="00E451C8" w:rsidRPr="00473B58">
              <w:rPr>
                <w:b/>
                <w:color w:val="2E74B5" w:themeColor="accent1" w:themeShade="BF"/>
                <w:lang w:val="fr-CA"/>
              </w:rPr>
              <w:t>appel</w:t>
            </w:r>
            <w:r w:rsidR="00A352F0" w:rsidRPr="00473B58">
              <w:rPr>
                <w:b/>
                <w:color w:val="2E74B5" w:themeColor="accent1" w:themeShade="BF"/>
                <w:lang w:val="fr-CA"/>
              </w:rPr>
              <w:t> </w:t>
            </w:r>
            <w:r w:rsidRPr="00473B58">
              <w:rPr>
                <w:b/>
                <w:color w:val="2E74B5" w:themeColor="accent1" w:themeShade="BF"/>
                <w:lang w:val="fr-CA"/>
              </w:rPr>
              <w:t xml:space="preserve">: </w:t>
            </w:r>
          </w:p>
          <w:p w14:paraId="5E53B07D" w14:textId="24E71E40" w:rsidR="00E451C8" w:rsidRPr="00473B58" w:rsidRDefault="00A8116D" w:rsidP="00E451C8">
            <w:pPr>
              <w:spacing w:line="480" w:lineRule="auto"/>
              <w:rPr>
                <w:lang w:val="fr-CA"/>
              </w:rPr>
            </w:pPr>
            <w:bookmarkStart w:id="13" w:name="lt_pId136"/>
            <w:r w:rsidRPr="00473B58">
              <w:rPr>
                <w:lang w:val="fr-CA"/>
              </w:rPr>
              <w:t>Une obligation de prestation se définit comme une p</w:t>
            </w:r>
            <w:r w:rsidR="00E451C8" w:rsidRPr="00473B58">
              <w:rPr>
                <w:lang w:val="fr-CA"/>
              </w:rPr>
              <w:t>romesse contenue dans un contrat conclu avec un client qui prévoit</w:t>
            </w:r>
            <w:r w:rsidRPr="00473B58">
              <w:rPr>
                <w:lang w:val="fr-CA"/>
              </w:rPr>
              <w:t xml:space="preserve"> la fourniture à celui-ci</w:t>
            </w:r>
            <w:r w:rsidR="00A352F0" w:rsidRPr="00473B58">
              <w:rPr>
                <w:lang w:val="fr-CA"/>
              </w:rPr>
              <w:t> </w:t>
            </w:r>
            <w:r w:rsidR="00E451C8" w:rsidRPr="00473B58">
              <w:rPr>
                <w:lang w:val="fr-CA"/>
              </w:rPr>
              <w:t>:</w:t>
            </w:r>
            <w:bookmarkEnd w:id="13"/>
          </w:p>
          <w:p w14:paraId="4BA6A624" w14:textId="26B77484" w:rsidR="00E451C8" w:rsidRPr="00473B58" w:rsidRDefault="00A8116D" w:rsidP="00E451C8">
            <w:pPr>
              <w:pStyle w:val="ListParagraph"/>
              <w:numPr>
                <w:ilvl w:val="0"/>
                <w:numId w:val="31"/>
              </w:numPr>
              <w:spacing w:line="480" w:lineRule="auto"/>
              <w:rPr>
                <w:lang w:val="fr-CA"/>
              </w:rPr>
            </w:pPr>
            <w:bookmarkStart w:id="14" w:name="lt_pId137"/>
            <w:r w:rsidRPr="00473B58">
              <w:rPr>
                <w:lang w:val="fr-CA"/>
              </w:rPr>
              <w:t>d’</w:t>
            </w:r>
            <w:r w:rsidR="00E451C8" w:rsidRPr="00473B58">
              <w:rPr>
                <w:lang w:val="fr-CA"/>
              </w:rPr>
              <w:t>un bien ou</w:t>
            </w:r>
            <w:r w:rsidRPr="00473B58">
              <w:rPr>
                <w:lang w:val="fr-CA"/>
              </w:rPr>
              <w:t xml:space="preserve"> d’</w:t>
            </w:r>
            <w:r w:rsidR="00E451C8" w:rsidRPr="00473B58">
              <w:rPr>
                <w:lang w:val="fr-CA"/>
              </w:rPr>
              <w:t>un service (ou un groupe de biens ou services) distinct;</w:t>
            </w:r>
            <w:bookmarkEnd w:id="14"/>
          </w:p>
          <w:p w14:paraId="5340A126" w14:textId="6D39D49F" w:rsidR="00E451C8" w:rsidRPr="00473B58" w:rsidRDefault="00A8116D" w:rsidP="00E451C8">
            <w:pPr>
              <w:pStyle w:val="ListParagraph"/>
              <w:numPr>
                <w:ilvl w:val="0"/>
                <w:numId w:val="31"/>
              </w:numPr>
              <w:spacing w:line="480" w:lineRule="auto"/>
              <w:rPr>
                <w:lang w:val="fr-CA"/>
              </w:rPr>
            </w:pPr>
            <w:bookmarkStart w:id="15" w:name="lt_pId138"/>
            <w:r w:rsidRPr="00473B58">
              <w:rPr>
                <w:lang w:val="fr-CA"/>
              </w:rPr>
              <w:t xml:space="preserve">d’une </w:t>
            </w:r>
            <w:r w:rsidR="00E451C8" w:rsidRPr="00473B58">
              <w:rPr>
                <w:lang w:val="fr-CA"/>
              </w:rPr>
              <w:t>série de biens ou de services distincts qui sont essentiellement les mêmes et qui sont fournis au client au même rythme.</w:t>
            </w:r>
            <w:bookmarkEnd w:id="15"/>
          </w:p>
          <w:p w14:paraId="7173021F" w14:textId="23B83E62" w:rsidR="00E451C8" w:rsidRPr="00473B58" w:rsidRDefault="00E451C8" w:rsidP="00E451C8">
            <w:pPr>
              <w:rPr>
                <w:b/>
                <w:color w:val="2E74B5" w:themeColor="accent1" w:themeShade="BF"/>
                <w:lang w:val="fr-CA"/>
              </w:rPr>
            </w:pPr>
            <w:bookmarkStart w:id="16" w:name="lt_pId139"/>
            <w:r w:rsidRPr="00473B58">
              <w:rPr>
                <w:b/>
                <w:color w:val="2E74B5" w:themeColor="accent1" w:themeShade="BF"/>
                <w:lang w:val="fr-CA"/>
              </w:rPr>
              <w:t xml:space="preserve">Note – Pour chaque </w:t>
            </w:r>
            <w:r w:rsidR="00A8116D" w:rsidRPr="00473B58">
              <w:rPr>
                <w:b/>
                <w:color w:val="2E74B5" w:themeColor="accent1" w:themeShade="BF"/>
                <w:lang w:val="fr-CA"/>
              </w:rPr>
              <w:t xml:space="preserve">obligation de prestation/opération </w:t>
            </w:r>
            <w:r w:rsidRPr="00473B58">
              <w:rPr>
                <w:b/>
                <w:color w:val="2E74B5" w:themeColor="accent1" w:themeShade="BF"/>
                <w:lang w:val="fr-CA"/>
              </w:rPr>
              <w:t xml:space="preserve">sélectionnée pour </w:t>
            </w:r>
            <w:r w:rsidR="00A8116D" w:rsidRPr="00473B58">
              <w:rPr>
                <w:b/>
                <w:color w:val="2E74B5" w:themeColor="accent1" w:themeShade="BF"/>
                <w:lang w:val="fr-CA"/>
              </w:rPr>
              <w:t xml:space="preserve">être </w:t>
            </w:r>
            <w:r w:rsidRPr="00473B58">
              <w:rPr>
                <w:b/>
                <w:color w:val="2E74B5" w:themeColor="accent1" w:themeShade="BF"/>
                <w:lang w:val="fr-CA"/>
              </w:rPr>
              <w:t>test</w:t>
            </w:r>
            <w:r w:rsidR="00A8116D" w:rsidRPr="00473B58">
              <w:rPr>
                <w:b/>
                <w:color w:val="2E74B5" w:themeColor="accent1" w:themeShade="BF"/>
                <w:lang w:val="fr-CA"/>
              </w:rPr>
              <w:t>ée</w:t>
            </w:r>
            <w:r w:rsidRPr="00473B58">
              <w:rPr>
                <w:b/>
                <w:color w:val="2E74B5" w:themeColor="accent1" w:themeShade="BF"/>
                <w:lang w:val="fr-CA"/>
              </w:rPr>
              <w:t xml:space="preserve"> à </w:t>
            </w:r>
            <w:r w:rsidRPr="00A40622">
              <w:rPr>
                <w:b/>
                <w:color w:val="2E74B5" w:themeColor="accent1" w:themeShade="BF"/>
                <w:lang w:val="fr-CA"/>
              </w:rPr>
              <w:t>l’onglet «</w:t>
            </w:r>
            <w:r w:rsidR="00A352F0" w:rsidRPr="00A40622">
              <w:rPr>
                <w:b/>
                <w:color w:val="2E74B5" w:themeColor="accent1" w:themeShade="BF"/>
                <w:lang w:val="fr-CA"/>
              </w:rPr>
              <w:t xml:space="preserve"> </w:t>
            </w:r>
            <w:r w:rsidR="006A64AC">
              <w:rPr>
                <w:b/>
                <w:color w:val="2E74B5" w:themeColor="accent1" w:themeShade="BF"/>
                <w:lang w:val="fr-CA"/>
              </w:rPr>
              <w:t>Sélection de l’échantillon</w:t>
            </w:r>
            <w:r w:rsidR="00A352F0" w:rsidRPr="00A40622">
              <w:rPr>
                <w:b/>
                <w:color w:val="2E74B5" w:themeColor="accent1" w:themeShade="BF"/>
                <w:lang w:val="fr-CA"/>
              </w:rPr>
              <w:t xml:space="preserve"> </w:t>
            </w:r>
            <w:r w:rsidRPr="00A40622">
              <w:rPr>
                <w:b/>
                <w:color w:val="2E74B5" w:themeColor="accent1" w:themeShade="BF"/>
                <w:lang w:val="fr-CA"/>
              </w:rPr>
              <w:t>»,</w:t>
            </w:r>
            <w:r w:rsidRPr="00473B58">
              <w:rPr>
                <w:b/>
                <w:color w:val="2E74B5" w:themeColor="accent1" w:themeShade="BF"/>
                <w:lang w:val="fr-CA"/>
              </w:rPr>
              <w:t xml:space="preserve"> </w:t>
            </w:r>
            <w:r w:rsidR="00A8116D" w:rsidRPr="00473B58">
              <w:rPr>
                <w:b/>
                <w:color w:val="2E74B5" w:themeColor="accent1" w:themeShade="BF"/>
                <w:lang w:val="fr-CA"/>
              </w:rPr>
              <w:t xml:space="preserve">l’auditeur doit </w:t>
            </w:r>
            <w:r w:rsidRPr="00473B58">
              <w:rPr>
                <w:b/>
                <w:color w:val="2E74B5" w:themeColor="accent1" w:themeShade="BF"/>
                <w:lang w:val="fr-CA"/>
              </w:rPr>
              <w:t>exécuter les procédures ci-dessous.</w:t>
            </w:r>
            <w:bookmarkEnd w:id="16"/>
            <w:r w:rsidRPr="00473B58">
              <w:rPr>
                <w:b/>
                <w:color w:val="2E74B5" w:themeColor="accent1" w:themeShade="BF"/>
                <w:lang w:val="fr-CA"/>
              </w:rPr>
              <w:t xml:space="preserve"> </w:t>
            </w:r>
            <w:bookmarkStart w:id="17" w:name="lt_pId140"/>
            <w:r w:rsidR="00A8116D" w:rsidRPr="00473B58">
              <w:rPr>
                <w:b/>
                <w:color w:val="2E74B5" w:themeColor="accent1" w:themeShade="BF"/>
                <w:lang w:val="fr-CA"/>
              </w:rPr>
              <w:t xml:space="preserve">(Voir la </w:t>
            </w:r>
            <w:r w:rsidRPr="00473B58">
              <w:rPr>
                <w:b/>
                <w:color w:val="2E74B5" w:themeColor="accent1" w:themeShade="BF"/>
                <w:lang w:val="fr-CA"/>
              </w:rPr>
              <w:t xml:space="preserve">FAQ </w:t>
            </w:r>
            <w:r w:rsidR="00A8116D" w:rsidRPr="00473B58">
              <w:rPr>
                <w:b/>
                <w:color w:val="2E74B5" w:themeColor="accent1" w:themeShade="BF"/>
                <w:lang w:val="fr-CA"/>
              </w:rPr>
              <w:t>n</w:t>
            </w:r>
            <w:r w:rsidR="00A8116D" w:rsidRPr="00473B58">
              <w:rPr>
                <w:b/>
                <w:color w:val="2E74B5" w:themeColor="accent1" w:themeShade="BF"/>
                <w:vertAlign w:val="superscript"/>
                <w:lang w:val="fr-CA"/>
              </w:rPr>
              <w:t>o</w:t>
            </w:r>
            <w:r w:rsidR="00A352F0" w:rsidRPr="00473B58">
              <w:rPr>
                <w:b/>
                <w:color w:val="2E74B5" w:themeColor="accent1" w:themeShade="BF"/>
                <w:lang w:val="fr-CA"/>
              </w:rPr>
              <w:t> </w:t>
            </w:r>
            <w:r w:rsidR="00A8116D" w:rsidRPr="00473B58">
              <w:rPr>
                <w:b/>
                <w:color w:val="2E74B5" w:themeColor="accent1" w:themeShade="BF"/>
                <w:lang w:val="fr-CA"/>
              </w:rPr>
              <w:t>1 à la fin du document pour obtenir des informations supplémentaires sur l</w:t>
            </w:r>
            <w:r w:rsidR="00BF5923" w:rsidRPr="00473B58">
              <w:rPr>
                <w:b/>
                <w:color w:val="2E74B5" w:themeColor="accent1" w:themeShade="BF"/>
                <w:lang w:val="fr-CA"/>
              </w:rPr>
              <w:t>’</w:t>
            </w:r>
            <w:r w:rsidR="00A8116D" w:rsidRPr="00473B58">
              <w:rPr>
                <w:b/>
                <w:color w:val="2E74B5" w:themeColor="accent1" w:themeShade="BF"/>
                <w:lang w:val="fr-CA"/>
              </w:rPr>
              <w:t>unité d’échantillonnage</w:t>
            </w:r>
            <w:r w:rsidRPr="00473B58">
              <w:rPr>
                <w:b/>
                <w:color w:val="2E74B5" w:themeColor="accent1" w:themeShade="BF"/>
                <w:lang w:val="fr-CA"/>
              </w:rPr>
              <w:t>.)</w:t>
            </w:r>
            <w:bookmarkEnd w:id="17"/>
          </w:p>
          <w:p w14:paraId="4F65CAEB" w14:textId="77777777" w:rsidR="008D57BA" w:rsidRPr="00473B58" w:rsidRDefault="008D57BA" w:rsidP="008D57BA">
            <w:pPr>
              <w:rPr>
                <w:lang w:val="fr-CA"/>
              </w:rPr>
            </w:pPr>
          </w:p>
        </w:tc>
      </w:tr>
    </w:tbl>
    <w:p w14:paraId="0DBBDF37" w14:textId="77777777" w:rsidR="008D57BA" w:rsidRPr="00473B58" w:rsidRDefault="008D57BA" w:rsidP="008D57BA">
      <w:pPr>
        <w:rPr>
          <w:lang w:val="fr-CA"/>
        </w:rPr>
      </w:pPr>
    </w:p>
    <w:p w14:paraId="7BD87E68" w14:textId="77777777" w:rsidR="00382E99" w:rsidRPr="00473B58" w:rsidRDefault="00382E99">
      <w:pPr>
        <w:rPr>
          <w:lang w:val="fr-CA"/>
        </w:rPr>
      </w:pPr>
      <w:r w:rsidRPr="00473B58">
        <w:rPr>
          <w:lang w:val="fr-CA"/>
        </w:rPr>
        <w:br w:type="page"/>
      </w:r>
    </w:p>
    <w:tbl>
      <w:tblPr>
        <w:tblStyle w:val="TableGrid"/>
        <w:tblW w:w="13887" w:type="dxa"/>
        <w:tblLayout w:type="fixed"/>
        <w:tblLook w:val="04A0" w:firstRow="1" w:lastRow="0" w:firstColumn="1" w:lastColumn="0" w:noHBand="0" w:noVBand="1"/>
      </w:tblPr>
      <w:tblGrid>
        <w:gridCol w:w="2410"/>
        <w:gridCol w:w="2552"/>
        <w:gridCol w:w="8925"/>
      </w:tblGrid>
      <w:tr w:rsidR="009C30B4" w:rsidRPr="00473B58" w14:paraId="641666EB" w14:textId="77777777" w:rsidTr="00A8759A">
        <w:tc>
          <w:tcPr>
            <w:tcW w:w="2410" w:type="dxa"/>
            <w:tcBorders>
              <w:top w:val="single" w:sz="12" w:space="0" w:color="2E74B5" w:themeColor="accent1" w:themeShade="BF"/>
              <w:left w:val="nil"/>
              <w:bottom w:val="single" w:sz="12" w:space="0" w:color="2E74B5" w:themeColor="accent1" w:themeShade="BF"/>
              <w:right w:val="nil"/>
            </w:tcBorders>
            <w:vAlign w:val="bottom"/>
          </w:tcPr>
          <w:p w14:paraId="267C64BD" w14:textId="5846C8C6" w:rsidR="009C30B4" w:rsidRPr="00473B58" w:rsidRDefault="009C30B4" w:rsidP="009C30B4">
            <w:pPr>
              <w:spacing w:before="120" w:after="120"/>
              <w:rPr>
                <w:b/>
                <w:color w:val="2E74B5" w:themeColor="accent1" w:themeShade="BF"/>
                <w:lang w:val="fr-CA"/>
              </w:rPr>
            </w:pPr>
            <w:r w:rsidRPr="00627016">
              <w:rPr>
                <w:b/>
                <w:color w:val="2E74B5" w:themeColor="accent1" w:themeShade="BF"/>
                <w:lang w:val="fr-CA"/>
              </w:rPr>
              <w:t>N</w:t>
            </w:r>
            <w:r w:rsidRPr="00627016">
              <w:rPr>
                <w:b/>
                <w:color w:val="2E74B5" w:themeColor="accent1" w:themeShade="BF"/>
                <w:vertAlign w:val="superscript"/>
                <w:lang w:val="fr-CA"/>
              </w:rPr>
              <w:t>o</w:t>
            </w:r>
            <w:r w:rsidRPr="00627016">
              <w:rPr>
                <w:b/>
                <w:color w:val="2E74B5" w:themeColor="accent1" w:themeShade="BF"/>
                <w:lang w:val="fr-CA"/>
              </w:rPr>
              <w:t xml:space="preserve"> / titre de la procédure</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0D317B55" w14:textId="05490306" w:rsidR="009C30B4" w:rsidRPr="00473B58" w:rsidRDefault="009C30B4" w:rsidP="009C30B4">
            <w:pPr>
              <w:spacing w:before="120" w:after="120"/>
              <w:rPr>
                <w:b/>
                <w:color w:val="2E74B5" w:themeColor="accent1" w:themeShade="BF"/>
                <w:lang w:val="fr-CA"/>
              </w:rPr>
            </w:pPr>
            <w:r w:rsidRPr="00473B58">
              <w:rPr>
                <w:b/>
                <w:color w:val="2E74B5" w:themeColor="accent1" w:themeShade="BF"/>
                <w:lang w:val="fr-CA"/>
              </w:rPr>
              <w:t xml:space="preserve">Paragraphes </w:t>
            </w:r>
            <w:r w:rsidR="00CC49A4"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925" w:type="dxa"/>
            <w:tcBorders>
              <w:top w:val="single" w:sz="12" w:space="0" w:color="2E74B5" w:themeColor="accent1" w:themeShade="BF"/>
              <w:left w:val="nil"/>
              <w:bottom w:val="single" w:sz="12" w:space="0" w:color="2E74B5" w:themeColor="accent1" w:themeShade="BF"/>
              <w:right w:val="nil"/>
            </w:tcBorders>
            <w:vAlign w:val="bottom"/>
          </w:tcPr>
          <w:p w14:paraId="3E552919" w14:textId="60836B5C" w:rsidR="009C30B4" w:rsidRPr="00473B58" w:rsidRDefault="009C30B4" w:rsidP="009C30B4">
            <w:pPr>
              <w:spacing w:before="120" w:after="120"/>
              <w:rPr>
                <w:b/>
                <w:color w:val="2E74B5" w:themeColor="accent1" w:themeShade="BF"/>
                <w:lang w:val="fr-CA"/>
              </w:rPr>
            </w:pPr>
            <w:r w:rsidRPr="00473B58">
              <w:rPr>
                <w:b/>
                <w:color w:val="2E74B5" w:themeColor="accent1" w:themeShade="BF"/>
                <w:lang w:val="fr-CA"/>
              </w:rPr>
              <w:t xml:space="preserve">Directives </w:t>
            </w:r>
          </w:p>
        </w:tc>
      </w:tr>
      <w:tr w:rsidR="002E6B87" w:rsidRPr="00D97151" w14:paraId="1A0EA4E0" w14:textId="77777777" w:rsidTr="00380440">
        <w:tc>
          <w:tcPr>
            <w:tcW w:w="2410" w:type="dxa"/>
            <w:tcBorders>
              <w:top w:val="single" w:sz="12" w:space="0" w:color="2E74B5" w:themeColor="accent1" w:themeShade="BF"/>
              <w:left w:val="nil"/>
              <w:bottom w:val="single" w:sz="12" w:space="0" w:color="9CC2E5"/>
              <w:right w:val="nil"/>
            </w:tcBorders>
          </w:tcPr>
          <w:p w14:paraId="4A77201C" w14:textId="77E9B08B" w:rsidR="002E6B87" w:rsidRPr="00627016" w:rsidRDefault="002E6B87" w:rsidP="00513F3D">
            <w:pPr>
              <w:spacing w:before="120" w:after="120"/>
              <w:rPr>
                <w:lang w:val="fr-CA"/>
              </w:rPr>
            </w:pPr>
            <w:r w:rsidRPr="00627016">
              <w:rPr>
                <w:lang w:val="fr-CA"/>
              </w:rPr>
              <w:t xml:space="preserve">Documentation </w:t>
            </w:r>
            <w:r w:rsidR="00E451C8" w:rsidRPr="00C07A1D">
              <w:rPr>
                <w:lang w:val="fr-CA"/>
              </w:rPr>
              <w:t>de</w:t>
            </w:r>
            <w:r w:rsidR="00513F3D">
              <w:rPr>
                <w:lang w:val="fr-CA"/>
              </w:rPr>
              <w:t>s</w:t>
            </w:r>
            <w:r w:rsidR="00627016" w:rsidRPr="00091BB2">
              <w:rPr>
                <w:lang w:val="fr-CA"/>
              </w:rPr>
              <w:t xml:space="preserve"> sélection</w:t>
            </w:r>
            <w:r w:rsidR="00513F3D">
              <w:rPr>
                <w:lang w:val="fr-CA"/>
              </w:rPr>
              <w:t>s</w:t>
            </w:r>
          </w:p>
        </w:tc>
        <w:tc>
          <w:tcPr>
            <w:tcW w:w="2552" w:type="dxa"/>
            <w:tcBorders>
              <w:top w:val="single" w:sz="12" w:space="0" w:color="2E74B5" w:themeColor="accent1" w:themeShade="BF"/>
              <w:left w:val="nil"/>
              <w:bottom w:val="single" w:sz="12" w:space="0" w:color="9CC2E5"/>
              <w:right w:val="nil"/>
            </w:tcBorders>
          </w:tcPr>
          <w:p w14:paraId="5717AABC" w14:textId="09DFE8E3" w:rsidR="002E6B87" w:rsidRPr="00473B58" w:rsidRDefault="002E6B87" w:rsidP="00382E99">
            <w:pPr>
              <w:spacing w:before="120" w:after="120"/>
              <w:rPr>
                <w:lang w:val="fr-CA"/>
              </w:rPr>
            </w:pPr>
            <w:r w:rsidRPr="00473B58">
              <w:rPr>
                <w:lang w:val="fr-CA"/>
              </w:rPr>
              <w:t>IFRS</w:t>
            </w:r>
            <w:r w:rsidR="00A352F0" w:rsidRPr="00473B58">
              <w:rPr>
                <w:lang w:val="fr-CA"/>
              </w:rPr>
              <w:t> </w:t>
            </w:r>
            <w:r w:rsidRPr="00473B58">
              <w:rPr>
                <w:lang w:val="fr-CA"/>
              </w:rPr>
              <w:t xml:space="preserve">15.22 </w:t>
            </w:r>
          </w:p>
          <w:p w14:paraId="41FDE2F6" w14:textId="2205E403" w:rsidR="002E6B87" w:rsidRPr="00473B58" w:rsidRDefault="002E6B87" w:rsidP="00382E99">
            <w:pPr>
              <w:spacing w:before="120" w:after="120"/>
              <w:rPr>
                <w:lang w:val="fr-CA"/>
              </w:rPr>
            </w:pPr>
          </w:p>
        </w:tc>
        <w:tc>
          <w:tcPr>
            <w:tcW w:w="8925" w:type="dxa"/>
            <w:tcBorders>
              <w:top w:val="single" w:sz="12" w:space="0" w:color="2E74B5" w:themeColor="accent1" w:themeShade="BF"/>
              <w:left w:val="nil"/>
              <w:bottom w:val="single" w:sz="12" w:space="0" w:color="9CC2E5"/>
              <w:right w:val="nil"/>
            </w:tcBorders>
          </w:tcPr>
          <w:p w14:paraId="43F8CA17" w14:textId="5D05C2DD" w:rsidR="002E6B87" w:rsidRPr="00473B58" w:rsidRDefault="002E6B87" w:rsidP="00382E99">
            <w:pPr>
              <w:spacing w:before="120" w:after="120"/>
              <w:rPr>
                <w:lang w:val="fr-CA"/>
              </w:rPr>
            </w:pPr>
            <w:r w:rsidRPr="006A64AC">
              <w:rPr>
                <w:b/>
                <w:lang w:val="fr-CA"/>
              </w:rPr>
              <w:t>Document</w:t>
            </w:r>
            <w:r w:rsidR="00802681" w:rsidRPr="006A64AC">
              <w:rPr>
                <w:b/>
                <w:lang w:val="fr-CA"/>
              </w:rPr>
              <w:t xml:space="preserve">er </w:t>
            </w:r>
            <w:r w:rsidR="00E451C8" w:rsidRPr="006A64AC">
              <w:rPr>
                <w:b/>
                <w:lang w:val="fr-CA"/>
              </w:rPr>
              <w:t>le détail</w:t>
            </w:r>
            <w:r w:rsidR="00E451C8" w:rsidRPr="00473B58">
              <w:rPr>
                <w:lang w:val="fr-CA"/>
              </w:rPr>
              <w:t xml:space="preserve"> de</w:t>
            </w:r>
            <w:r w:rsidR="00CC49A4" w:rsidRPr="00473B58">
              <w:rPr>
                <w:lang w:val="fr-CA"/>
              </w:rPr>
              <w:t>s éléments de</w:t>
            </w:r>
            <w:r w:rsidR="00E451C8" w:rsidRPr="00473B58">
              <w:rPr>
                <w:lang w:val="fr-CA"/>
              </w:rPr>
              <w:t xml:space="preserve"> l’échantillon retenu</w:t>
            </w:r>
            <w:r w:rsidRPr="00473B58">
              <w:rPr>
                <w:lang w:val="fr-CA"/>
              </w:rPr>
              <w:t>.</w:t>
            </w:r>
          </w:p>
          <w:p w14:paraId="3A6D9C36" w14:textId="143731E5" w:rsidR="002E6B87" w:rsidRPr="00473B58" w:rsidRDefault="00802681" w:rsidP="00802681">
            <w:pPr>
              <w:spacing w:before="120" w:after="120"/>
              <w:rPr>
                <w:lang w:val="fr-CA"/>
              </w:rPr>
            </w:pPr>
            <w:r w:rsidRPr="00473B58">
              <w:rPr>
                <w:lang w:val="fr-CA"/>
              </w:rPr>
              <w:t>Certaines informations documentées à l’étape</w:t>
            </w:r>
            <w:r w:rsidR="00A352F0" w:rsidRPr="00473B58">
              <w:rPr>
                <w:lang w:val="fr-CA"/>
              </w:rPr>
              <w:t> </w:t>
            </w:r>
            <w:r w:rsidR="002E6B87" w:rsidRPr="00473B58">
              <w:rPr>
                <w:lang w:val="fr-CA"/>
              </w:rPr>
              <w:t xml:space="preserve">1 </w:t>
            </w:r>
            <w:r w:rsidRPr="00473B58">
              <w:rPr>
                <w:lang w:val="fr-CA"/>
              </w:rPr>
              <w:t xml:space="preserve">sont répétées ici, mais l’auditeur doit aussi décrire la </w:t>
            </w:r>
            <w:r w:rsidR="002E6B87" w:rsidRPr="00473B58">
              <w:rPr>
                <w:lang w:val="fr-CA"/>
              </w:rPr>
              <w:t xml:space="preserve">nature </w:t>
            </w:r>
            <w:r w:rsidRPr="00473B58">
              <w:rPr>
                <w:lang w:val="fr-CA"/>
              </w:rPr>
              <w:t>des obligations de prestation sous-jacentes.</w:t>
            </w:r>
          </w:p>
        </w:tc>
      </w:tr>
      <w:tr w:rsidR="002E6B87" w:rsidRPr="00D97151" w14:paraId="33CC764A" w14:textId="77777777" w:rsidTr="00380440">
        <w:tc>
          <w:tcPr>
            <w:tcW w:w="2410" w:type="dxa"/>
            <w:tcBorders>
              <w:top w:val="single" w:sz="12" w:space="0" w:color="9CC2E5"/>
              <w:left w:val="nil"/>
              <w:bottom w:val="single" w:sz="12" w:space="0" w:color="9CC2E5"/>
              <w:right w:val="nil"/>
            </w:tcBorders>
          </w:tcPr>
          <w:p w14:paraId="3ED7F65F" w14:textId="64805C27" w:rsidR="002E6B87" w:rsidRPr="00C07A1D" w:rsidRDefault="00E451C8" w:rsidP="00C319CE">
            <w:pPr>
              <w:spacing w:before="120" w:after="120"/>
              <w:rPr>
                <w:lang w:val="fr-CA"/>
              </w:rPr>
            </w:pPr>
            <w:r w:rsidRPr="00C07A1D">
              <w:rPr>
                <w:lang w:val="fr-CA"/>
              </w:rPr>
              <w:t xml:space="preserve">Biens </w:t>
            </w:r>
            <w:r w:rsidR="00C319CE" w:rsidRPr="00C07A1D">
              <w:rPr>
                <w:lang w:val="fr-CA"/>
              </w:rPr>
              <w:t>ou</w:t>
            </w:r>
            <w:r w:rsidRPr="00C07A1D">
              <w:rPr>
                <w:lang w:val="fr-CA"/>
              </w:rPr>
              <w:t xml:space="preserve"> services d</w:t>
            </w:r>
            <w:r w:rsidR="002E6B87" w:rsidRPr="00C07A1D">
              <w:rPr>
                <w:lang w:val="fr-CA"/>
              </w:rPr>
              <w:t>istinct</w:t>
            </w:r>
            <w:r w:rsidRPr="00C07A1D">
              <w:rPr>
                <w:lang w:val="fr-CA"/>
              </w:rPr>
              <w:t>s</w:t>
            </w:r>
            <w:r w:rsidR="002E6B87" w:rsidRPr="00C07A1D">
              <w:rPr>
                <w:lang w:val="fr-CA"/>
              </w:rPr>
              <w:t xml:space="preserve"> </w:t>
            </w:r>
          </w:p>
        </w:tc>
        <w:tc>
          <w:tcPr>
            <w:tcW w:w="2552" w:type="dxa"/>
            <w:tcBorders>
              <w:top w:val="single" w:sz="12" w:space="0" w:color="9CC2E5"/>
              <w:left w:val="nil"/>
              <w:bottom w:val="single" w:sz="12" w:space="0" w:color="9CC2E5"/>
              <w:right w:val="nil"/>
            </w:tcBorders>
          </w:tcPr>
          <w:p w14:paraId="7E1381E9" w14:textId="215E8886" w:rsidR="002E6B87" w:rsidRPr="00473B58" w:rsidRDefault="002E6B87" w:rsidP="00382E99">
            <w:pPr>
              <w:spacing w:before="120" w:after="120"/>
              <w:rPr>
                <w:lang w:val="fr-CA"/>
              </w:rPr>
            </w:pPr>
            <w:r w:rsidRPr="00473B58">
              <w:rPr>
                <w:lang w:val="fr-CA"/>
              </w:rPr>
              <w:t xml:space="preserve">IFRS 15.26 </w:t>
            </w:r>
            <w:r w:rsidR="00E451C8" w:rsidRPr="00473B58">
              <w:rPr>
                <w:lang w:val="fr-CA"/>
              </w:rPr>
              <w:t>à</w:t>
            </w:r>
            <w:r w:rsidRPr="00473B58">
              <w:rPr>
                <w:lang w:val="fr-CA"/>
              </w:rPr>
              <w:t xml:space="preserve"> 30</w:t>
            </w:r>
          </w:p>
          <w:p w14:paraId="4D6BBAF5" w14:textId="570904D4" w:rsidR="002E6B87" w:rsidRPr="00473B58" w:rsidRDefault="002E6B87" w:rsidP="00382E99">
            <w:pPr>
              <w:spacing w:before="120" w:after="120"/>
              <w:rPr>
                <w:lang w:val="fr-CA"/>
              </w:rPr>
            </w:pPr>
          </w:p>
        </w:tc>
        <w:tc>
          <w:tcPr>
            <w:tcW w:w="8925" w:type="dxa"/>
            <w:tcBorders>
              <w:top w:val="single" w:sz="12" w:space="0" w:color="9CC2E5"/>
              <w:left w:val="nil"/>
              <w:bottom w:val="single" w:sz="12" w:space="0" w:color="9CC2E5"/>
              <w:right w:val="nil"/>
            </w:tcBorders>
          </w:tcPr>
          <w:p w14:paraId="38F037D3" w14:textId="5DD06953" w:rsidR="002E6B87" w:rsidRPr="00473B58" w:rsidRDefault="00802681" w:rsidP="00382E99">
            <w:pPr>
              <w:spacing w:before="120" w:after="120" w:line="276" w:lineRule="auto"/>
              <w:rPr>
                <w:lang w:val="fr-CA"/>
              </w:rPr>
            </w:pPr>
            <w:r w:rsidRPr="00473B58">
              <w:rPr>
                <w:lang w:val="fr-CA"/>
              </w:rPr>
              <w:t>Évaluer l’</w:t>
            </w:r>
            <w:r w:rsidR="0025092A" w:rsidRPr="00473B58">
              <w:rPr>
                <w:lang w:val="fr-CA"/>
              </w:rPr>
              <w:t xml:space="preserve">appréciation </w:t>
            </w:r>
            <w:r w:rsidRPr="00473B58">
              <w:rPr>
                <w:lang w:val="fr-CA"/>
              </w:rPr>
              <w:t>faite par la direction pour déterminer</w:t>
            </w:r>
            <w:r w:rsidR="00C319CE" w:rsidRPr="00473B58">
              <w:rPr>
                <w:lang w:val="fr-CA"/>
              </w:rPr>
              <w:t xml:space="preserve"> si les biens ou services sont distincts pour chaque élément de l’échantillon prélevé pour les tests. Une ou plusieurs obligations de prestation peuvent avoir été identifiées pour chaque contrat.  </w:t>
            </w:r>
            <w:r w:rsidRPr="00473B58">
              <w:rPr>
                <w:lang w:val="fr-CA"/>
              </w:rPr>
              <w:t xml:space="preserve"> </w:t>
            </w:r>
          </w:p>
          <w:p w14:paraId="4307C1B5" w14:textId="77777777" w:rsidR="00E451C8" w:rsidRPr="00473B58" w:rsidRDefault="00E451C8" w:rsidP="00E451C8">
            <w:pPr>
              <w:spacing w:before="120" w:after="120" w:line="276" w:lineRule="auto"/>
              <w:rPr>
                <w:lang w:val="fr-CA"/>
              </w:rPr>
            </w:pPr>
            <w:bookmarkStart w:id="18" w:name="lt_pId152"/>
            <w:r w:rsidRPr="00473B58">
              <w:rPr>
                <w:lang w:val="fr-CA"/>
              </w:rPr>
              <w:t>Un bien ou un service promis à un client est distinct dès lors que les deux conditions ci-dessous sont remplies :</w:t>
            </w:r>
            <w:bookmarkEnd w:id="18"/>
          </w:p>
          <w:p w14:paraId="1B9F03DD" w14:textId="0E8CF00B" w:rsidR="00E451C8" w:rsidRPr="00473B58" w:rsidRDefault="00E451C8" w:rsidP="00E451C8">
            <w:pPr>
              <w:pStyle w:val="ListParagraph"/>
              <w:numPr>
                <w:ilvl w:val="0"/>
                <w:numId w:val="11"/>
              </w:numPr>
              <w:spacing w:before="120" w:after="120" w:line="276" w:lineRule="auto"/>
              <w:rPr>
                <w:lang w:val="fr-CA"/>
              </w:rPr>
            </w:pPr>
            <w:bookmarkStart w:id="19" w:name="lt_pId153"/>
            <w:r w:rsidRPr="00473B58">
              <w:rPr>
                <w:lang w:val="fr-CA"/>
              </w:rPr>
              <w:t>le client peut tirer parti du bien ou du service pris isolément ou en le combinant avec d</w:t>
            </w:r>
            <w:r w:rsidR="00FF10CF" w:rsidRPr="00473B58">
              <w:rPr>
                <w:lang w:val="fr-CA"/>
              </w:rPr>
              <w:t>’</w:t>
            </w:r>
            <w:r w:rsidRPr="00473B58">
              <w:rPr>
                <w:lang w:val="fr-CA"/>
              </w:rPr>
              <w:t>autres ressources aisément disponibles (c</w:t>
            </w:r>
            <w:r w:rsidR="00473B58" w:rsidRPr="00473B58">
              <w:rPr>
                <w:lang w:val="fr-CA"/>
              </w:rPr>
              <w:t>.</w:t>
            </w:r>
            <w:r w:rsidRPr="00473B58">
              <w:rPr>
                <w:lang w:val="fr-CA"/>
              </w:rPr>
              <w:t>-à-d</w:t>
            </w:r>
            <w:r w:rsidR="000C61A9" w:rsidRPr="00473B58">
              <w:rPr>
                <w:lang w:val="fr-CA"/>
              </w:rPr>
              <w:t>.</w:t>
            </w:r>
            <w:r w:rsidRPr="00473B58">
              <w:rPr>
                <w:lang w:val="fr-CA"/>
              </w:rPr>
              <w:t xml:space="preserve"> que le bien ou le service peut exister de façon distincte);</w:t>
            </w:r>
            <w:bookmarkEnd w:id="19"/>
          </w:p>
          <w:p w14:paraId="3E63F739" w14:textId="4FE19922" w:rsidR="00E451C8" w:rsidRPr="00473B58" w:rsidRDefault="00E451C8" w:rsidP="00E451C8">
            <w:pPr>
              <w:pStyle w:val="ListParagraph"/>
              <w:numPr>
                <w:ilvl w:val="0"/>
                <w:numId w:val="11"/>
              </w:numPr>
              <w:spacing w:before="120" w:after="120" w:line="276" w:lineRule="auto"/>
              <w:rPr>
                <w:lang w:val="fr-CA"/>
              </w:rPr>
            </w:pPr>
            <w:bookmarkStart w:id="20" w:name="lt_pId154"/>
            <w:r w:rsidRPr="00473B58">
              <w:rPr>
                <w:lang w:val="fr-CA"/>
              </w:rPr>
              <w:t>la promesse de l</w:t>
            </w:r>
            <w:r w:rsidR="00FF10CF" w:rsidRPr="00473B58">
              <w:rPr>
                <w:lang w:val="fr-CA"/>
              </w:rPr>
              <w:t>’</w:t>
            </w:r>
            <w:r w:rsidRPr="00473B58">
              <w:rPr>
                <w:lang w:val="fr-CA"/>
              </w:rPr>
              <w:t>entité de fournir le bien ou le service au client peut être identifiée séparément des autres promesses contenues dans le contrat (c</w:t>
            </w:r>
            <w:r w:rsidR="00473B58" w:rsidRPr="00473B58">
              <w:rPr>
                <w:lang w:val="fr-CA"/>
              </w:rPr>
              <w:t>.</w:t>
            </w:r>
            <w:r w:rsidRPr="00473B58">
              <w:rPr>
                <w:lang w:val="fr-CA"/>
              </w:rPr>
              <w:t>-à-d</w:t>
            </w:r>
            <w:r w:rsidR="000C61A9" w:rsidRPr="00473B58">
              <w:rPr>
                <w:lang w:val="fr-CA"/>
              </w:rPr>
              <w:t>.</w:t>
            </w:r>
            <w:r w:rsidRPr="00473B58">
              <w:rPr>
                <w:lang w:val="fr-CA"/>
              </w:rPr>
              <w:t xml:space="preserve"> que la promesse de fournir le bien ou service est distincte </w:t>
            </w:r>
            <w:r w:rsidR="000C61A9" w:rsidRPr="00473B58">
              <w:rPr>
                <w:lang w:val="fr-CA"/>
              </w:rPr>
              <w:t>dans le contexte</w:t>
            </w:r>
            <w:r w:rsidRPr="00473B58">
              <w:rPr>
                <w:lang w:val="fr-CA"/>
              </w:rPr>
              <w:t xml:space="preserve"> du contrat).</w:t>
            </w:r>
            <w:bookmarkEnd w:id="20"/>
          </w:p>
          <w:p w14:paraId="12326EAC" w14:textId="4D99B84E" w:rsidR="002E6B87" w:rsidRPr="00473B58" w:rsidRDefault="00C319CE" w:rsidP="00C319CE">
            <w:pPr>
              <w:spacing w:before="120" w:after="120" w:line="276" w:lineRule="auto"/>
              <w:rPr>
                <w:lang w:val="fr-CA"/>
              </w:rPr>
            </w:pPr>
            <w:r w:rsidRPr="00473B58">
              <w:rPr>
                <w:lang w:val="fr-CA"/>
              </w:rPr>
              <w:t>Les biens et services qui ne sont pas distincts sont regroupés avec d’autres biens ou services promis dans le contrat jusqu’à obtenir un groupe de biens ou de services distincts. Le groupe de biens ou de services, dans ce cas de figure, constitue une seul</w:t>
            </w:r>
            <w:r w:rsidR="0007420A" w:rsidRPr="00473B58">
              <w:rPr>
                <w:lang w:val="fr-CA"/>
              </w:rPr>
              <w:t>e</w:t>
            </w:r>
            <w:r w:rsidRPr="00473B58">
              <w:rPr>
                <w:lang w:val="fr-CA"/>
              </w:rPr>
              <w:t xml:space="preserve"> et même obligation de prestation. </w:t>
            </w:r>
          </w:p>
        </w:tc>
      </w:tr>
      <w:tr w:rsidR="002E6B87" w:rsidRPr="00D97151" w14:paraId="17F01018" w14:textId="77777777" w:rsidTr="00380440">
        <w:tc>
          <w:tcPr>
            <w:tcW w:w="2410" w:type="dxa"/>
            <w:tcBorders>
              <w:top w:val="single" w:sz="12" w:space="0" w:color="9CC2E5"/>
              <w:left w:val="nil"/>
              <w:bottom w:val="single" w:sz="12" w:space="0" w:color="9CC2E5"/>
              <w:right w:val="nil"/>
            </w:tcBorders>
          </w:tcPr>
          <w:p w14:paraId="45E2D01C" w14:textId="6C7CF9A0" w:rsidR="002E6B87" w:rsidRPr="00253DB4" w:rsidRDefault="00C319CE" w:rsidP="00C319CE">
            <w:pPr>
              <w:spacing w:before="120" w:after="120"/>
              <w:rPr>
                <w:lang w:val="fr-CA"/>
              </w:rPr>
            </w:pPr>
            <w:r w:rsidRPr="00253DB4">
              <w:rPr>
                <w:lang w:val="fr-CA"/>
              </w:rPr>
              <w:t xml:space="preserve">Autres obligations de prestation </w:t>
            </w:r>
          </w:p>
        </w:tc>
        <w:tc>
          <w:tcPr>
            <w:tcW w:w="2552" w:type="dxa"/>
            <w:tcBorders>
              <w:top w:val="single" w:sz="12" w:space="0" w:color="9CC2E5"/>
              <w:left w:val="nil"/>
              <w:bottom w:val="single" w:sz="12" w:space="0" w:color="9CC2E5"/>
              <w:right w:val="nil"/>
            </w:tcBorders>
          </w:tcPr>
          <w:p w14:paraId="29568E7D" w14:textId="75CBDE2F" w:rsidR="002E6B87" w:rsidRPr="00473B58" w:rsidRDefault="002E6B87" w:rsidP="00382E99">
            <w:pPr>
              <w:spacing w:before="120" w:after="120"/>
              <w:rPr>
                <w:lang w:val="fr-CA"/>
              </w:rPr>
            </w:pPr>
            <w:r w:rsidRPr="00473B58">
              <w:rPr>
                <w:lang w:val="fr-CA"/>
              </w:rPr>
              <w:t xml:space="preserve">IFRS 15.22 </w:t>
            </w:r>
            <w:r w:rsidR="00C319CE" w:rsidRPr="00473B58">
              <w:rPr>
                <w:lang w:val="fr-CA"/>
              </w:rPr>
              <w:t xml:space="preserve">à </w:t>
            </w:r>
            <w:r w:rsidRPr="00473B58">
              <w:rPr>
                <w:lang w:val="fr-CA"/>
              </w:rPr>
              <w:t>30</w:t>
            </w:r>
          </w:p>
          <w:p w14:paraId="78A51824" w14:textId="100B2CA2" w:rsidR="002E6B87" w:rsidRPr="00473B58" w:rsidRDefault="002E6B87" w:rsidP="00382E99">
            <w:pPr>
              <w:spacing w:before="120" w:after="120"/>
              <w:rPr>
                <w:lang w:val="fr-CA"/>
              </w:rPr>
            </w:pPr>
          </w:p>
        </w:tc>
        <w:tc>
          <w:tcPr>
            <w:tcW w:w="8925" w:type="dxa"/>
            <w:tcBorders>
              <w:top w:val="single" w:sz="12" w:space="0" w:color="9CC2E5"/>
              <w:left w:val="nil"/>
              <w:bottom w:val="single" w:sz="12" w:space="0" w:color="9CC2E5"/>
              <w:right w:val="nil"/>
            </w:tcBorders>
          </w:tcPr>
          <w:p w14:paraId="709C08E6" w14:textId="09CDBAF3" w:rsidR="00394DC7" w:rsidRPr="00473B58" w:rsidRDefault="00394DC7" w:rsidP="00382E99">
            <w:pPr>
              <w:spacing w:before="120" w:after="120"/>
              <w:rPr>
                <w:lang w:val="fr-CA"/>
              </w:rPr>
            </w:pPr>
            <w:r w:rsidRPr="00473B58">
              <w:rPr>
                <w:lang w:val="fr-CA"/>
              </w:rPr>
              <w:t>D</w:t>
            </w:r>
            <w:r w:rsidR="000B1A36" w:rsidRPr="00473B58">
              <w:rPr>
                <w:lang w:val="fr-CA"/>
              </w:rPr>
              <w:t>éterminer si le contrat contient toute autre obligation de prestation.</w:t>
            </w:r>
          </w:p>
          <w:p w14:paraId="2D0E4815" w14:textId="7FA10341" w:rsidR="002E6B87" w:rsidRPr="00473B58" w:rsidRDefault="000B1A36" w:rsidP="000B1A36">
            <w:pPr>
              <w:spacing w:before="120" w:after="120"/>
              <w:rPr>
                <w:lang w:val="fr-CA"/>
              </w:rPr>
            </w:pPr>
            <w:r w:rsidRPr="00473B58">
              <w:rPr>
                <w:lang w:val="fr-CA"/>
              </w:rPr>
              <w:t xml:space="preserve">Si l’auditeur relève des promesses supplémentaires, il doit déterminer si l’entité a traité ces autres promesses comme une obligation de prestation distincte ou si elle les a regroupées avec d’autres obligations et si un tel traitement est correct. </w:t>
            </w:r>
            <w:r w:rsidR="00394DC7" w:rsidRPr="00473B58">
              <w:rPr>
                <w:lang w:val="fr-CA"/>
              </w:rPr>
              <w:t xml:space="preserve"> </w:t>
            </w:r>
          </w:p>
        </w:tc>
      </w:tr>
    </w:tbl>
    <w:p w14:paraId="2C9042E6" w14:textId="77777777" w:rsidR="00A739AD" w:rsidRPr="00473B58" w:rsidRDefault="00A739AD" w:rsidP="00A739AD">
      <w:pPr>
        <w:rPr>
          <w:lang w:val="fr-CA"/>
        </w:rPr>
      </w:pPr>
    </w:p>
    <w:p w14:paraId="3733E96A" w14:textId="77777777" w:rsidR="00380440" w:rsidRPr="00473B58" w:rsidRDefault="00380440" w:rsidP="00A739AD">
      <w:pPr>
        <w:rPr>
          <w:lang w:val="fr-CA"/>
        </w:rPr>
      </w:pPr>
    </w:p>
    <w:tbl>
      <w:tblPr>
        <w:tblStyle w:val="TableGrid"/>
        <w:tblW w:w="0" w:type="auto"/>
        <w:tblInd w:w="5" w:type="dxa"/>
        <w:tblLayout w:type="fixed"/>
        <w:tblLook w:val="04A0" w:firstRow="1" w:lastRow="0" w:firstColumn="1" w:lastColumn="0" w:noHBand="0" w:noVBand="1"/>
      </w:tblPr>
      <w:tblGrid>
        <w:gridCol w:w="2405"/>
        <w:gridCol w:w="2552"/>
        <w:gridCol w:w="7993"/>
      </w:tblGrid>
      <w:tr w:rsidR="009C30B4" w:rsidRPr="00473B58" w14:paraId="72BA9E1E" w14:textId="77777777" w:rsidTr="00A8759A">
        <w:tc>
          <w:tcPr>
            <w:tcW w:w="2405" w:type="dxa"/>
            <w:tcBorders>
              <w:top w:val="single" w:sz="12" w:space="0" w:color="2E74B5" w:themeColor="accent1" w:themeShade="BF"/>
              <w:left w:val="nil"/>
              <w:bottom w:val="single" w:sz="12" w:space="0" w:color="2E74B5" w:themeColor="accent1" w:themeShade="BF"/>
              <w:right w:val="nil"/>
            </w:tcBorders>
            <w:vAlign w:val="bottom"/>
          </w:tcPr>
          <w:p w14:paraId="2F144D7A" w14:textId="6BF32365" w:rsidR="009C30B4" w:rsidRPr="00C07A1D" w:rsidRDefault="009C30B4" w:rsidP="009C30B4">
            <w:pPr>
              <w:spacing w:before="120" w:after="120"/>
              <w:rPr>
                <w:color w:val="2E74B5" w:themeColor="accent1" w:themeShade="BF"/>
                <w:lang w:val="fr-CA"/>
              </w:rPr>
            </w:pPr>
            <w:r w:rsidRPr="00C07A1D">
              <w:rPr>
                <w:b/>
                <w:color w:val="2E74B5" w:themeColor="accent1" w:themeShade="BF"/>
                <w:lang w:val="fr-CA"/>
              </w:rPr>
              <w:t>N</w:t>
            </w:r>
            <w:r w:rsidRPr="00C07A1D">
              <w:rPr>
                <w:b/>
                <w:color w:val="2E74B5" w:themeColor="accent1" w:themeShade="BF"/>
                <w:vertAlign w:val="superscript"/>
                <w:lang w:val="fr-CA"/>
              </w:rPr>
              <w:t>o</w:t>
            </w:r>
            <w:r w:rsidR="00A352F0" w:rsidRPr="00C07A1D">
              <w:rPr>
                <w:b/>
                <w:color w:val="2E74B5" w:themeColor="accent1" w:themeShade="BF"/>
                <w:lang w:val="fr-CA"/>
              </w:rPr>
              <w:t>/</w:t>
            </w:r>
            <w:r w:rsidRPr="00C07A1D">
              <w:rPr>
                <w:b/>
                <w:color w:val="2E74B5" w:themeColor="accent1" w:themeShade="BF"/>
                <w:lang w:val="fr-CA"/>
              </w:rPr>
              <w:t>titre de la procédure</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38ED0F79" w14:textId="4A72D90D" w:rsidR="009C30B4" w:rsidRPr="00473B58" w:rsidRDefault="009C30B4" w:rsidP="009C30B4">
            <w:pPr>
              <w:spacing w:before="120" w:after="120"/>
              <w:rPr>
                <w:color w:val="2E74B5" w:themeColor="accent1" w:themeShade="BF"/>
                <w:lang w:val="fr-CA"/>
              </w:rPr>
            </w:pPr>
            <w:r w:rsidRPr="00473B58">
              <w:rPr>
                <w:b/>
                <w:color w:val="2E74B5" w:themeColor="accent1" w:themeShade="BF"/>
                <w:lang w:val="fr-CA"/>
              </w:rPr>
              <w:t xml:space="preserve">Paragraphes </w:t>
            </w:r>
            <w:r w:rsidR="0025092A"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7993" w:type="dxa"/>
            <w:tcBorders>
              <w:top w:val="single" w:sz="12" w:space="0" w:color="2E74B5" w:themeColor="accent1" w:themeShade="BF"/>
              <w:left w:val="nil"/>
              <w:bottom w:val="single" w:sz="12" w:space="0" w:color="2E74B5" w:themeColor="accent1" w:themeShade="BF"/>
              <w:right w:val="nil"/>
            </w:tcBorders>
            <w:vAlign w:val="bottom"/>
          </w:tcPr>
          <w:p w14:paraId="797759BD" w14:textId="46541C27" w:rsidR="009C30B4" w:rsidRPr="00473B58" w:rsidRDefault="009C30B4" w:rsidP="009C30B4">
            <w:pPr>
              <w:spacing w:before="120" w:after="120"/>
              <w:rPr>
                <w:color w:val="2E74B5" w:themeColor="accent1" w:themeShade="BF"/>
                <w:lang w:val="fr-CA"/>
              </w:rPr>
            </w:pPr>
            <w:r w:rsidRPr="00473B58">
              <w:rPr>
                <w:b/>
                <w:color w:val="2E74B5" w:themeColor="accent1" w:themeShade="BF"/>
                <w:lang w:val="fr-CA"/>
              </w:rPr>
              <w:t xml:space="preserve">Directives </w:t>
            </w:r>
          </w:p>
        </w:tc>
      </w:tr>
      <w:tr w:rsidR="00380440" w:rsidRPr="00D97151" w14:paraId="1A49811F" w14:textId="77777777" w:rsidTr="00380440">
        <w:tc>
          <w:tcPr>
            <w:tcW w:w="2405" w:type="dxa"/>
            <w:tcBorders>
              <w:top w:val="single" w:sz="12" w:space="0" w:color="2E74B5" w:themeColor="accent1" w:themeShade="BF"/>
              <w:left w:val="nil"/>
              <w:bottom w:val="single" w:sz="12" w:space="0" w:color="9CC2E5" w:themeColor="accent1" w:themeTint="99"/>
              <w:right w:val="nil"/>
            </w:tcBorders>
          </w:tcPr>
          <w:p w14:paraId="7C50EBD7" w14:textId="39BDAF20" w:rsidR="00380440" w:rsidRPr="00C07A1D" w:rsidRDefault="00E451C8" w:rsidP="00E451C8">
            <w:pPr>
              <w:spacing w:before="120" w:after="120"/>
              <w:rPr>
                <w:lang w:val="fr-CA"/>
              </w:rPr>
            </w:pPr>
            <w:r w:rsidRPr="00C07A1D">
              <w:rPr>
                <w:lang w:val="fr-CA"/>
              </w:rPr>
              <w:t>Activités de livraison et de manutention</w:t>
            </w:r>
          </w:p>
        </w:tc>
        <w:tc>
          <w:tcPr>
            <w:tcW w:w="2552" w:type="dxa"/>
            <w:tcBorders>
              <w:top w:val="single" w:sz="12" w:space="0" w:color="2E74B5" w:themeColor="accent1" w:themeShade="BF"/>
              <w:left w:val="nil"/>
              <w:bottom w:val="single" w:sz="12" w:space="0" w:color="9CC2E5" w:themeColor="accent1" w:themeTint="99"/>
              <w:right w:val="nil"/>
            </w:tcBorders>
          </w:tcPr>
          <w:p w14:paraId="01CC1A7D" w14:textId="58C8964A" w:rsidR="00380440" w:rsidRPr="00473B58" w:rsidRDefault="00380440" w:rsidP="00382E99">
            <w:pPr>
              <w:spacing w:before="120" w:after="120"/>
              <w:rPr>
                <w:lang w:val="fr-CA"/>
              </w:rPr>
            </w:pPr>
            <w:r w:rsidRPr="00473B58">
              <w:rPr>
                <w:lang w:val="fr-CA"/>
              </w:rPr>
              <w:t>IFRS 15.95</w:t>
            </w:r>
            <w:r w:rsidR="000B1A36" w:rsidRPr="00473B58">
              <w:rPr>
                <w:lang w:val="fr-CA"/>
              </w:rPr>
              <w:t xml:space="preserve"> à </w:t>
            </w:r>
            <w:r w:rsidRPr="00473B58">
              <w:rPr>
                <w:lang w:val="fr-CA"/>
              </w:rPr>
              <w:t>98</w:t>
            </w:r>
          </w:p>
          <w:p w14:paraId="0E20E9E1" w14:textId="23E4636C" w:rsidR="00380440" w:rsidRPr="00473B58" w:rsidRDefault="00380440" w:rsidP="00382E99">
            <w:pPr>
              <w:spacing w:before="120" w:after="120"/>
              <w:rPr>
                <w:lang w:val="fr-CA"/>
              </w:rPr>
            </w:pPr>
            <w:r w:rsidRPr="00473B58">
              <w:rPr>
                <w:lang w:val="fr-CA"/>
              </w:rPr>
              <w:t>IFRS</w:t>
            </w:r>
            <w:r w:rsidR="00A352F0" w:rsidRPr="00473B58">
              <w:rPr>
                <w:lang w:val="fr-CA"/>
              </w:rPr>
              <w:t> </w:t>
            </w:r>
            <w:r w:rsidRPr="00473B58">
              <w:rPr>
                <w:lang w:val="fr-CA"/>
              </w:rPr>
              <w:t>15.B34</w:t>
            </w:r>
            <w:r w:rsidR="000B1A36" w:rsidRPr="00473B58">
              <w:rPr>
                <w:lang w:val="fr-CA"/>
              </w:rPr>
              <w:t xml:space="preserve"> à </w:t>
            </w:r>
            <w:r w:rsidRPr="00473B58">
              <w:rPr>
                <w:lang w:val="fr-CA"/>
              </w:rPr>
              <w:t>B38</w:t>
            </w:r>
          </w:p>
          <w:p w14:paraId="47749C8D" w14:textId="66F6376C" w:rsidR="00380440" w:rsidRPr="00473B58" w:rsidRDefault="00380440" w:rsidP="00382E99">
            <w:pPr>
              <w:spacing w:before="120" w:after="120"/>
              <w:rPr>
                <w:lang w:val="fr-CA"/>
              </w:rPr>
            </w:pPr>
          </w:p>
        </w:tc>
        <w:tc>
          <w:tcPr>
            <w:tcW w:w="7993" w:type="dxa"/>
            <w:tcBorders>
              <w:top w:val="single" w:sz="12" w:space="0" w:color="2E74B5" w:themeColor="accent1" w:themeShade="BF"/>
              <w:left w:val="nil"/>
              <w:bottom w:val="single" w:sz="12" w:space="0" w:color="9CC2E5" w:themeColor="accent1" w:themeTint="99"/>
              <w:right w:val="nil"/>
            </w:tcBorders>
          </w:tcPr>
          <w:p w14:paraId="5AD408A9" w14:textId="6A3FB33E" w:rsidR="00380440" w:rsidRPr="00473B58" w:rsidRDefault="000B1A36" w:rsidP="00382E99">
            <w:pPr>
              <w:spacing w:before="120" w:after="120"/>
              <w:rPr>
                <w:lang w:val="fr-CA"/>
              </w:rPr>
            </w:pPr>
            <w:r w:rsidRPr="00473B58">
              <w:rPr>
                <w:lang w:val="fr-CA"/>
              </w:rPr>
              <w:t xml:space="preserve">Si le contrat prévoit </w:t>
            </w:r>
            <w:r w:rsidR="004D0A40" w:rsidRPr="00473B58">
              <w:rPr>
                <w:lang w:val="fr-CA"/>
              </w:rPr>
              <w:t xml:space="preserve">la </w:t>
            </w:r>
            <w:r w:rsidR="004D0A40" w:rsidRPr="006A64AC">
              <w:rPr>
                <w:b/>
                <w:lang w:val="fr-CA"/>
              </w:rPr>
              <w:t>livraison/</w:t>
            </w:r>
            <w:r w:rsidR="0045777D" w:rsidRPr="006A64AC">
              <w:rPr>
                <w:b/>
                <w:lang w:val="fr-CA"/>
              </w:rPr>
              <w:t>manutention</w:t>
            </w:r>
            <w:r w:rsidR="0045777D" w:rsidRPr="00473B58">
              <w:rPr>
                <w:lang w:val="fr-CA"/>
              </w:rPr>
              <w:t xml:space="preserve"> de biens</w:t>
            </w:r>
            <w:r w:rsidR="009D3E65">
              <w:rPr>
                <w:lang w:val="fr-CA"/>
              </w:rPr>
              <w:t xml:space="preserve"> à un client</w:t>
            </w:r>
            <w:r w:rsidR="00380440" w:rsidRPr="00473B58">
              <w:rPr>
                <w:lang w:val="fr-CA"/>
              </w:rPr>
              <w:t xml:space="preserve">, </w:t>
            </w:r>
            <w:r w:rsidR="0045777D" w:rsidRPr="00473B58">
              <w:rPr>
                <w:lang w:val="fr-CA"/>
              </w:rPr>
              <w:t xml:space="preserve">l’auditeur doit </w:t>
            </w:r>
            <w:r w:rsidR="002D031B" w:rsidRPr="00473B58">
              <w:rPr>
                <w:lang w:val="fr-CA"/>
              </w:rPr>
              <w:t xml:space="preserve">apprécier </w:t>
            </w:r>
            <w:r w:rsidR="0045777D" w:rsidRPr="00473B58">
              <w:rPr>
                <w:lang w:val="fr-CA"/>
              </w:rPr>
              <w:t xml:space="preserve">l’évaluation faite par la direction pour déterminer si les activités de livraison/manutention ont eu lieu avant </w:t>
            </w:r>
            <w:r w:rsidR="004D0A40" w:rsidRPr="00473B58">
              <w:rPr>
                <w:lang w:val="fr-CA"/>
              </w:rPr>
              <w:t>ou après le transfert du contrôle des biens au c</w:t>
            </w:r>
            <w:r w:rsidR="0045777D" w:rsidRPr="00473B58">
              <w:rPr>
                <w:lang w:val="fr-CA"/>
              </w:rPr>
              <w:t>lient</w:t>
            </w:r>
            <w:r w:rsidR="004D0A40" w:rsidRPr="00473B58">
              <w:rPr>
                <w:lang w:val="fr-CA"/>
              </w:rPr>
              <w:t>.</w:t>
            </w:r>
            <w:r w:rsidR="0045777D" w:rsidRPr="00473B58">
              <w:rPr>
                <w:lang w:val="fr-CA"/>
              </w:rPr>
              <w:t xml:space="preserve"> </w:t>
            </w:r>
          </w:p>
          <w:p w14:paraId="135D2DBD" w14:textId="426E77E5" w:rsidR="00380440" w:rsidRPr="00473B58" w:rsidRDefault="0045777D" w:rsidP="00382E99">
            <w:pPr>
              <w:pStyle w:val="ListParagraph"/>
              <w:numPr>
                <w:ilvl w:val="0"/>
                <w:numId w:val="12"/>
              </w:numPr>
              <w:spacing w:before="120" w:after="120"/>
              <w:rPr>
                <w:lang w:val="fr-CA"/>
              </w:rPr>
            </w:pPr>
            <w:r w:rsidRPr="00473B58">
              <w:rPr>
                <w:lang w:val="fr-CA"/>
              </w:rPr>
              <w:t>Si la livraison est effectuée avant le transfert du contrôle, les frais connexes font partie des activités de vente des stocks de l’entité. L’entité devra comptabiliser ses frais en conséquence.</w:t>
            </w:r>
          </w:p>
          <w:p w14:paraId="5FA6BA64" w14:textId="1CBC7D9A" w:rsidR="00380440" w:rsidRPr="00473B58" w:rsidRDefault="0045777D" w:rsidP="00026230">
            <w:pPr>
              <w:pStyle w:val="ListParagraph"/>
              <w:numPr>
                <w:ilvl w:val="0"/>
                <w:numId w:val="12"/>
              </w:numPr>
              <w:spacing w:before="120" w:after="120"/>
              <w:rPr>
                <w:lang w:val="fr-CA"/>
              </w:rPr>
            </w:pPr>
            <w:r w:rsidRPr="00473B58">
              <w:rPr>
                <w:lang w:val="fr-CA"/>
              </w:rPr>
              <w:t xml:space="preserve">Si la livraison est effectuée après le transfert du contrôle, l’entité doit alors déterminer s’il s’agit d’un service qui est distinct de la vente des biens. Dans la plupart des cas, la livraison </w:t>
            </w:r>
            <w:r w:rsidR="004D0A40" w:rsidRPr="00473B58">
              <w:rPr>
                <w:lang w:val="fr-CA"/>
              </w:rPr>
              <w:t xml:space="preserve">serait </w:t>
            </w:r>
            <w:r w:rsidRPr="00473B58">
              <w:rPr>
                <w:lang w:val="fr-CA"/>
              </w:rPr>
              <w:t>une promesse de service distincte faite au client (c</w:t>
            </w:r>
            <w:r w:rsidR="00473B58" w:rsidRPr="00473B58">
              <w:rPr>
                <w:lang w:val="fr-CA"/>
              </w:rPr>
              <w:t>.</w:t>
            </w:r>
            <w:r w:rsidRPr="00473B58">
              <w:rPr>
                <w:lang w:val="fr-CA"/>
              </w:rPr>
              <w:t>-à-d</w:t>
            </w:r>
            <w:r w:rsidR="00026230" w:rsidRPr="00473B58">
              <w:rPr>
                <w:lang w:val="fr-CA"/>
              </w:rPr>
              <w:t>.</w:t>
            </w:r>
            <w:r w:rsidRPr="00473B58">
              <w:rPr>
                <w:lang w:val="fr-CA"/>
              </w:rPr>
              <w:t xml:space="preserve"> une obligation de prestation distincte). Si un tiers intervient dans la livraison et la manutention des biens, l’entité devra aussi déterminer si elle agit pour son propre compte ou à titre de mandataire dans la prestation des services de livraison et de manutention. </w:t>
            </w:r>
          </w:p>
        </w:tc>
      </w:tr>
      <w:tr w:rsidR="00380440" w:rsidRPr="00D97151" w14:paraId="6143CCAD" w14:textId="77777777" w:rsidTr="00380440">
        <w:tc>
          <w:tcPr>
            <w:tcW w:w="2405" w:type="dxa"/>
            <w:tcBorders>
              <w:top w:val="single" w:sz="12" w:space="0" w:color="9CC2E5" w:themeColor="accent1" w:themeTint="99"/>
              <w:left w:val="nil"/>
              <w:bottom w:val="single" w:sz="12" w:space="0" w:color="2E74B5" w:themeColor="accent1" w:themeShade="BF"/>
              <w:right w:val="nil"/>
            </w:tcBorders>
          </w:tcPr>
          <w:p w14:paraId="10EB403B" w14:textId="0029DEC7" w:rsidR="00380440" w:rsidRPr="00C07A1D" w:rsidRDefault="00380440" w:rsidP="00E451C8">
            <w:pPr>
              <w:spacing w:before="120" w:after="120"/>
              <w:rPr>
                <w:lang w:val="fr-CA"/>
              </w:rPr>
            </w:pPr>
            <w:r w:rsidRPr="00C07A1D">
              <w:rPr>
                <w:lang w:val="fr-CA"/>
              </w:rPr>
              <w:t>Licen</w:t>
            </w:r>
            <w:r w:rsidR="00E451C8" w:rsidRPr="00C07A1D">
              <w:rPr>
                <w:lang w:val="fr-CA"/>
              </w:rPr>
              <w:t>c</w:t>
            </w:r>
            <w:r w:rsidRPr="00C07A1D">
              <w:rPr>
                <w:lang w:val="fr-CA"/>
              </w:rPr>
              <w:t>es</w:t>
            </w:r>
          </w:p>
        </w:tc>
        <w:tc>
          <w:tcPr>
            <w:tcW w:w="2552" w:type="dxa"/>
            <w:tcBorders>
              <w:top w:val="single" w:sz="12" w:space="0" w:color="9CC2E5" w:themeColor="accent1" w:themeTint="99"/>
              <w:left w:val="nil"/>
              <w:bottom w:val="single" w:sz="12" w:space="0" w:color="2E74B5" w:themeColor="accent1" w:themeShade="BF"/>
              <w:right w:val="nil"/>
            </w:tcBorders>
          </w:tcPr>
          <w:p w14:paraId="7683F813" w14:textId="4D98DAD5" w:rsidR="00380440" w:rsidRPr="00473B58" w:rsidRDefault="00380440" w:rsidP="00382E99">
            <w:pPr>
              <w:spacing w:before="120" w:after="120"/>
              <w:rPr>
                <w:lang w:val="fr-CA"/>
              </w:rPr>
            </w:pPr>
            <w:r w:rsidRPr="00473B58">
              <w:rPr>
                <w:lang w:val="fr-CA"/>
              </w:rPr>
              <w:t>IFRS</w:t>
            </w:r>
            <w:r w:rsidR="00A352F0" w:rsidRPr="00473B58">
              <w:rPr>
                <w:lang w:val="fr-CA"/>
              </w:rPr>
              <w:t> </w:t>
            </w:r>
            <w:r w:rsidRPr="00473B58">
              <w:rPr>
                <w:lang w:val="fr-CA"/>
              </w:rPr>
              <w:t>15.B52</w:t>
            </w:r>
            <w:r w:rsidR="00E451C8" w:rsidRPr="00473B58">
              <w:rPr>
                <w:lang w:val="fr-CA"/>
              </w:rPr>
              <w:t xml:space="preserve"> à</w:t>
            </w:r>
            <w:r w:rsidRPr="00473B58">
              <w:rPr>
                <w:lang w:val="fr-CA"/>
              </w:rPr>
              <w:t xml:space="preserve"> </w:t>
            </w:r>
            <w:r w:rsidR="00BF5923" w:rsidRPr="00473B58">
              <w:rPr>
                <w:lang w:val="fr-CA"/>
              </w:rPr>
              <w:t>B</w:t>
            </w:r>
            <w:r w:rsidRPr="00473B58">
              <w:rPr>
                <w:lang w:val="fr-CA"/>
              </w:rPr>
              <w:t xml:space="preserve">56 </w:t>
            </w:r>
          </w:p>
          <w:p w14:paraId="2C0BD33A" w14:textId="0EB92592" w:rsidR="00380440" w:rsidRPr="00473B58" w:rsidRDefault="00380440" w:rsidP="00382E99">
            <w:pPr>
              <w:spacing w:before="120" w:after="120"/>
              <w:rPr>
                <w:lang w:val="fr-CA"/>
              </w:rPr>
            </w:pPr>
          </w:p>
        </w:tc>
        <w:tc>
          <w:tcPr>
            <w:tcW w:w="7993" w:type="dxa"/>
            <w:tcBorders>
              <w:top w:val="single" w:sz="12" w:space="0" w:color="9CC2E5" w:themeColor="accent1" w:themeTint="99"/>
              <w:left w:val="nil"/>
              <w:bottom w:val="single" w:sz="12" w:space="0" w:color="2E74B5" w:themeColor="accent1" w:themeShade="BF"/>
              <w:right w:val="nil"/>
            </w:tcBorders>
          </w:tcPr>
          <w:p w14:paraId="4B88241B" w14:textId="27E869F4" w:rsidR="00380440" w:rsidRPr="00473B58" w:rsidRDefault="00DE6729" w:rsidP="00382E99">
            <w:pPr>
              <w:spacing w:before="120" w:after="120"/>
              <w:rPr>
                <w:lang w:val="fr-CA"/>
              </w:rPr>
            </w:pPr>
            <w:r w:rsidRPr="00473B58">
              <w:rPr>
                <w:lang w:val="fr-CA"/>
              </w:rPr>
              <w:t>Si des licences ont été relevées à l’Étape</w:t>
            </w:r>
            <w:r w:rsidR="00A352F0" w:rsidRPr="00473B58">
              <w:rPr>
                <w:lang w:val="fr-CA"/>
              </w:rPr>
              <w:t> </w:t>
            </w:r>
            <w:r w:rsidR="00380440" w:rsidRPr="00473B58">
              <w:rPr>
                <w:lang w:val="fr-CA"/>
              </w:rPr>
              <w:t xml:space="preserve">1, </w:t>
            </w:r>
            <w:r w:rsidRPr="00473B58">
              <w:rPr>
                <w:lang w:val="fr-CA"/>
              </w:rPr>
              <w:t>l’auditeur met en œuvre les procédures du deuxième tableau de l’Étape</w:t>
            </w:r>
            <w:r w:rsidR="00A352F0" w:rsidRPr="00473B58">
              <w:rPr>
                <w:lang w:val="fr-CA"/>
              </w:rPr>
              <w:t> </w:t>
            </w:r>
            <w:r w:rsidR="00380440" w:rsidRPr="00473B58">
              <w:rPr>
                <w:lang w:val="fr-CA"/>
              </w:rPr>
              <w:t xml:space="preserve">2 </w:t>
            </w:r>
            <w:r w:rsidRPr="00473B58">
              <w:rPr>
                <w:lang w:val="fr-CA"/>
              </w:rPr>
              <w:t>afin d’évaluer les obligations de prestation qui en découlent.</w:t>
            </w:r>
          </w:p>
          <w:p w14:paraId="5CB32FF6" w14:textId="2D521D0E" w:rsidR="00380440" w:rsidRPr="00473B58" w:rsidRDefault="00DE6729" w:rsidP="00384EFF">
            <w:pPr>
              <w:spacing w:before="120" w:after="120"/>
              <w:rPr>
                <w:lang w:val="fr-CA"/>
              </w:rPr>
            </w:pPr>
            <w:r w:rsidRPr="00473B58">
              <w:rPr>
                <w:lang w:val="fr-CA"/>
              </w:rPr>
              <w:t xml:space="preserve">Il faut </w:t>
            </w:r>
            <w:r w:rsidRPr="00473B58">
              <w:rPr>
                <w:b/>
                <w:lang w:val="fr-CA"/>
              </w:rPr>
              <w:t>documenter le détail</w:t>
            </w:r>
            <w:r w:rsidRPr="00473B58">
              <w:rPr>
                <w:lang w:val="fr-CA"/>
              </w:rPr>
              <w:t xml:space="preserve"> de l’échantillon</w:t>
            </w:r>
            <w:r w:rsidR="00384EFF" w:rsidRPr="00473B58">
              <w:rPr>
                <w:lang w:val="fr-CA"/>
              </w:rPr>
              <w:t xml:space="preserve"> </w:t>
            </w:r>
            <w:r w:rsidRPr="00473B58">
              <w:rPr>
                <w:lang w:val="fr-CA"/>
              </w:rPr>
              <w:t>de licence</w:t>
            </w:r>
            <w:r w:rsidR="00384EFF" w:rsidRPr="00473B58">
              <w:rPr>
                <w:lang w:val="fr-CA"/>
              </w:rPr>
              <w:t>s</w:t>
            </w:r>
            <w:r w:rsidRPr="00473B58">
              <w:rPr>
                <w:lang w:val="fr-CA"/>
              </w:rPr>
              <w:t xml:space="preserve"> prélevé dans le deuxième tableau. Lorsque les licences sont vendues avec d’</w:t>
            </w:r>
            <w:r w:rsidR="00001587" w:rsidRPr="00473B58">
              <w:rPr>
                <w:lang w:val="fr-CA"/>
              </w:rPr>
              <w:t xml:space="preserve">autres actifs corporels </w:t>
            </w:r>
            <w:r w:rsidRPr="00473B58">
              <w:rPr>
                <w:lang w:val="fr-CA"/>
              </w:rPr>
              <w:t>ou services</w:t>
            </w:r>
            <w:r w:rsidR="00001587" w:rsidRPr="00473B58">
              <w:rPr>
                <w:lang w:val="fr-CA"/>
              </w:rPr>
              <w:t xml:space="preserve"> non liés à une licence, les procédures mises en œuvre doivent comporter une évaluation de la détermination faite par la direction, à savoir si les licences constituent ou non une obligation de prestation distincte. Ce test doit aussi permettre de déterminer si la </w:t>
            </w:r>
            <w:r w:rsidR="00380440" w:rsidRPr="00473B58">
              <w:rPr>
                <w:lang w:val="fr-CA"/>
              </w:rPr>
              <w:t>licen</w:t>
            </w:r>
            <w:r w:rsidR="00001587" w:rsidRPr="00473B58">
              <w:rPr>
                <w:lang w:val="fr-CA"/>
              </w:rPr>
              <w:t>c</w:t>
            </w:r>
            <w:r w:rsidR="00380440" w:rsidRPr="00473B58">
              <w:rPr>
                <w:lang w:val="fr-CA"/>
              </w:rPr>
              <w:t xml:space="preserve">e </w:t>
            </w:r>
            <w:r w:rsidR="00001587" w:rsidRPr="00473B58">
              <w:rPr>
                <w:lang w:val="fr-CA"/>
              </w:rPr>
              <w:t>accorde un droit d’accès à la propriété intellectuelle ou un droit d’utilisation de la propriété intellectuelle et aussi si des restrictions imposées par l’entité doivent être prises en compte. Si la licence ne constitue pas une obligation de prestation distincte, les procédures doivent comprendre une évaluation de la détermination faite par la direction à savoir si l’obligation de prestation groupée est remplie à un moment précis ou progressivement</w:t>
            </w:r>
            <w:r w:rsidR="00380440" w:rsidRPr="00473B58">
              <w:rPr>
                <w:lang w:val="fr-CA"/>
              </w:rPr>
              <w:t>.</w:t>
            </w:r>
          </w:p>
        </w:tc>
      </w:tr>
    </w:tbl>
    <w:p w14:paraId="16D716E2" w14:textId="77777777" w:rsidR="00380440" w:rsidRPr="00473B58" w:rsidRDefault="00380440" w:rsidP="00A739AD">
      <w:pPr>
        <w:rPr>
          <w:lang w:val="fr-CA"/>
        </w:rPr>
      </w:pPr>
    </w:p>
    <w:p w14:paraId="4BE0C302" w14:textId="77777777" w:rsidR="00382E99" w:rsidRPr="00473B58" w:rsidRDefault="00382E99">
      <w:pPr>
        <w:rPr>
          <w:lang w:val="fr-CA"/>
        </w:rPr>
      </w:pPr>
      <w:r w:rsidRPr="00473B58">
        <w:rPr>
          <w:lang w:val="fr-CA"/>
        </w:rPr>
        <w:br w:type="page"/>
      </w:r>
    </w:p>
    <w:tbl>
      <w:tblPr>
        <w:tblStyle w:val="TableGrid"/>
        <w:tblW w:w="12895" w:type="dxa"/>
        <w:tblLook w:val="04A0" w:firstRow="1" w:lastRow="0" w:firstColumn="1" w:lastColumn="0" w:noHBand="0" w:noVBand="1"/>
      </w:tblPr>
      <w:tblGrid>
        <w:gridCol w:w="2579"/>
        <w:gridCol w:w="2579"/>
        <w:gridCol w:w="2579"/>
        <w:gridCol w:w="2579"/>
        <w:gridCol w:w="2579"/>
      </w:tblGrid>
      <w:tr w:rsidR="009C30B4" w:rsidRPr="00473B58" w14:paraId="53972CED" w14:textId="77777777" w:rsidTr="00382E99">
        <w:trPr>
          <w:trHeight w:val="132"/>
        </w:trPr>
        <w:tc>
          <w:tcPr>
            <w:tcW w:w="2579" w:type="dxa"/>
            <w:shd w:val="clear" w:color="auto" w:fill="2E74B5" w:themeFill="accent1" w:themeFillShade="BF"/>
          </w:tcPr>
          <w:p w14:paraId="7DD93C7C" w14:textId="10F9D3F3" w:rsidR="009C30B4" w:rsidRPr="00473B58" w:rsidRDefault="00D97151" w:rsidP="009C30B4">
            <w:pPr>
              <w:jc w:val="center"/>
              <w:rPr>
                <w:color w:val="FFFFFF" w:themeColor="background1"/>
                <w:sz w:val="24"/>
                <w:szCs w:val="24"/>
                <w:lang w:val="fr-CA"/>
              </w:rPr>
            </w:pPr>
            <w:hyperlink w:anchor="_Results_Template_(Step"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1</w:t>
              </w:r>
            </w:hyperlink>
          </w:p>
        </w:tc>
        <w:tc>
          <w:tcPr>
            <w:tcW w:w="2579" w:type="dxa"/>
            <w:shd w:val="clear" w:color="auto" w:fill="2E74B5" w:themeFill="accent1" w:themeFillShade="BF"/>
          </w:tcPr>
          <w:p w14:paraId="11F24F1F" w14:textId="78932DE7" w:rsidR="009C30B4" w:rsidRPr="00473B58" w:rsidRDefault="00D97151" w:rsidP="009C30B4">
            <w:pPr>
              <w:jc w:val="center"/>
              <w:rPr>
                <w:color w:val="FFFFFF" w:themeColor="background1"/>
                <w:sz w:val="24"/>
                <w:szCs w:val="24"/>
                <w:lang w:val="fr-CA"/>
              </w:rPr>
            </w:pPr>
            <w:hyperlink w:anchor="_Results_Template_(Step_5"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2</w:t>
              </w:r>
            </w:hyperlink>
          </w:p>
        </w:tc>
        <w:tc>
          <w:tcPr>
            <w:tcW w:w="2579" w:type="dxa"/>
            <w:shd w:val="clear" w:color="auto" w:fill="C45911" w:themeFill="accent2" w:themeFillShade="BF"/>
          </w:tcPr>
          <w:p w14:paraId="17D2054C" w14:textId="72404186" w:rsidR="009C30B4" w:rsidRPr="00473B58" w:rsidRDefault="00D97151" w:rsidP="009C30B4">
            <w:pPr>
              <w:jc w:val="center"/>
              <w:rPr>
                <w:color w:val="FFFFFF" w:themeColor="background1"/>
                <w:sz w:val="24"/>
                <w:szCs w:val="24"/>
                <w:lang w:val="fr-CA"/>
              </w:rPr>
            </w:pPr>
            <w:hyperlink w:anchor="_Results_Template_(Step_2"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3</w:t>
              </w:r>
            </w:hyperlink>
          </w:p>
        </w:tc>
        <w:tc>
          <w:tcPr>
            <w:tcW w:w="2579" w:type="dxa"/>
            <w:shd w:val="clear" w:color="auto" w:fill="2E74B5" w:themeFill="accent1" w:themeFillShade="BF"/>
          </w:tcPr>
          <w:p w14:paraId="6F21EE74" w14:textId="02F418EB" w:rsidR="009C30B4" w:rsidRPr="00473B58" w:rsidRDefault="00D97151" w:rsidP="009C30B4">
            <w:pPr>
              <w:jc w:val="center"/>
              <w:rPr>
                <w:color w:val="FFFFFF" w:themeColor="background1"/>
                <w:sz w:val="24"/>
                <w:szCs w:val="24"/>
                <w:lang w:val="fr-CA"/>
              </w:rPr>
            </w:pPr>
            <w:hyperlink w:anchor="_Results_Template_(Step_3"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4</w:t>
              </w:r>
            </w:hyperlink>
          </w:p>
        </w:tc>
        <w:tc>
          <w:tcPr>
            <w:tcW w:w="2579" w:type="dxa"/>
            <w:shd w:val="clear" w:color="auto" w:fill="2E74B5" w:themeFill="accent1" w:themeFillShade="BF"/>
          </w:tcPr>
          <w:p w14:paraId="03C5BAAD" w14:textId="07CFCF16" w:rsidR="009C30B4" w:rsidRPr="00473B58" w:rsidRDefault="00D97151" w:rsidP="009C30B4">
            <w:pPr>
              <w:jc w:val="center"/>
              <w:rPr>
                <w:color w:val="FFFFFF" w:themeColor="background1"/>
                <w:sz w:val="24"/>
                <w:szCs w:val="24"/>
                <w:lang w:val="fr-CA"/>
              </w:rPr>
            </w:pPr>
            <w:hyperlink w:anchor="_Results_Template_(Step_4"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5</w:t>
              </w:r>
            </w:hyperlink>
          </w:p>
        </w:tc>
      </w:tr>
    </w:tbl>
    <w:p w14:paraId="35633B83" w14:textId="62D5426D" w:rsidR="00A739AD" w:rsidRPr="00091BB2" w:rsidRDefault="009C30B4" w:rsidP="00A8759A">
      <w:pPr>
        <w:pStyle w:val="Heading1"/>
        <w:rPr>
          <w:lang w:val="fr-CA"/>
        </w:rPr>
      </w:pPr>
      <w:bookmarkStart w:id="21" w:name="_Results_Template_(Step_2"/>
      <w:bookmarkStart w:id="22" w:name="_Toc73001872"/>
      <w:bookmarkEnd w:id="21"/>
      <w:r w:rsidRPr="00091BB2">
        <w:rPr>
          <w:lang w:val="fr-CA"/>
        </w:rPr>
        <w:t>Modèle des résultats (</w:t>
      </w:r>
      <w:r w:rsidR="00091BB2">
        <w:rPr>
          <w:lang w:val="fr-CA"/>
        </w:rPr>
        <w:t>é</w:t>
      </w:r>
      <w:r w:rsidRPr="00091BB2">
        <w:rPr>
          <w:lang w:val="fr-CA"/>
        </w:rPr>
        <w:t>tape</w:t>
      </w:r>
      <w:r w:rsidR="00A352F0" w:rsidRPr="00091BB2">
        <w:rPr>
          <w:lang w:val="fr-CA"/>
        </w:rPr>
        <w:t> </w:t>
      </w:r>
      <w:r w:rsidR="00135187" w:rsidRPr="00091BB2">
        <w:rPr>
          <w:lang w:val="fr-CA"/>
        </w:rPr>
        <w:t xml:space="preserve">3) </w:t>
      </w:r>
      <w:r w:rsidR="00A352F0" w:rsidRPr="00513F3D">
        <w:rPr>
          <w:lang w:val="fr-CA"/>
        </w:rPr>
        <w:t>—</w:t>
      </w:r>
      <w:r w:rsidR="00135187" w:rsidRPr="00513F3D">
        <w:rPr>
          <w:lang w:val="fr-CA"/>
        </w:rPr>
        <w:t xml:space="preserve"> D</w:t>
      </w:r>
      <w:r w:rsidR="00E451C8" w:rsidRPr="00513F3D">
        <w:rPr>
          <w:lang w:val="fr-CA"/>
        </w:rPr>
        <w:t>é</w:t>
      </w:r>
      <w:r w:rsidR="00135187" w:rsidRPr="00513F3D">
        <w:rPr>
          <w:lang w:val="fr-CA"/>
        </w:rPr>
        <w:t>termine</w:t>
      </w:r>
      <w:r w:rsidR="00E451C8" w:rsidRPr="00513F3D">
        <w:rPr>
          <w:lang w:val="fr-CA"/>
        </w:rPr>
        <w:t xml:space="preserve">r le prix de </w:t>
      </w:r>
      <w:r w:rsidR="00001587" w:rsidRPr="00513F3D">
        <w:rPr>
          <w:lang w:val="fr-CA"/>
        </w:rPr>
        <w:t>transaction</w:t>
      </w:r>
      <w:bookmarkEnd w:id="22"/>
      <w:r w:rsidR="00135187" w:rsidRPr="00513F3D">
        <w:rPr>
          <w:lang w:val="fr-CA"/>
        </w:rPr>
        <w:t xml:space="preserve"> </w:t>
      </w:r>
    </w:p>
    <w:tbl>
      <w:tblPr>
        <w:tblStyle w:val="TableGrid"/>
        <w:tblW w:w="13026" w:type="dxa"/>
        <w:tblLook w:val="04A0" w:firstRow="1" w:lastRow="0" w:firstColumn="1" w:lastColumn="0" w:noHBand="0" w:noVBand="1"/>
      </w:tblPr>
      <w:tblGrid>
        <w:gridCol w:w="13026"/>
      </w:tblGrid>
      <w:tr w:rsidR="00380440" w:rsidRPr="00D97151" w14:paraId="255C01FE" w14:textId="77777777" w:rsidTr="0019727C">
        <w:tc>
          <w:tcPr>
            <w:tcW w:w="13026"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2413D3" w14:textId="58249AC4" w:rsidR="00380440" w:rsidRPr="00473B58" w:rsidRDefault="00380440" w:rsidP="00600311">
            <w:pPr>
              <w:spacing w:before="120"/>
              <w:rPr>
                <w:b/>
                <w:color w:val="2E74B5" w:themeColor="accent1" w:themeShade="BF"/>
                <w:lang w:val="fr-CA"/>
              </w:rPr>
            </w:pPr>
            <w:r w:rsidRPr="00473B58">
              <w:rPr>
                <w:b/>
                <w:color w:val="2E74B5" w:themeColor="accent1" w:themeShade="BF"/>
                <w:lang w:val="fr-CA"/>
              </w:rPr>
              <w:t>R</w:t>
            </w:r>
            <w:r w:rsidR="00E451C8" w:rsidRPr="00473B58">
              <w:rPr>
                <w:b/>
                <w:color w:val="2E74B5" w:themeColor="accent1" w:themeShade="BF"/>
                <w:lang w:val="fr-CA"/>
              </w:rPr>
              <w:t>appel</w:t>
            </w:r>
          </w:p>
          <w:p w14:paraId="05C83F93" w14:textId="3FE549B5" w:rsidR="00E451C8" w:rsidRPr="00473B58" w:rsidRDefault="00E451C8" w:rsidP="00E451C8">
            <w:pPr>
              <w:spacing w:before="120" w:line="276" w:lineRule="auto"/>
              <w:rPr>
                <w:lang w:val="fr-CA"/>
              </w:rPr>
            </w:pPr>
            <w:bookmarkStart w:id="23" w:name="lt_pId187"/>
            <w:r w:rsidRPr="00473B58">
              <w:rPr>
                <w:lang w:val="fr-CA"/>
              </w:rPr>
              <w:t>Le prix de transaction est le montant de contrepartie auquel l</w:t>
            </w:r>
            <w:r w:rsidR="00FF10CF" w:rsidRPr="00473B58">
              <w:rPr>
                <w:lang w:val="fr-CA"/>
              </w:rPr>
              <w:t>’</w:t>
            </w:r>
            <w:r w:rsidRPr="00473B58">
              <w:rPr>
                <w:lang w:val="fr-CA"/>
              </w:rPr>
              <w:t>entité s</w:t>
            </w:r>
            <w:r w:rsidR="00FF10CF" w:rsidRPr="00473B58">
              <w:rPr>
                <w:lang w:val="fr-CA"/>
              </w:rPr>
              <w:t>’</w:t>
            </w:r>
            <w:r w:rsidRPr="00473B58">
              <w:rPr>
                <w:lang w:val="fr-CA"/>
              </w:rPr>
              <w:t>attend à avoir droit en échange de la fourniture de biens ou de services promis à un client, à l</w:t>
            </w:r>
            <w:r w:rsidR="00FF10CF" w:rsidRPr="00473B58">
              <w:rPr>
                <w:lang w:val="fr-CA"/>
              </w:rPr>
              <w:t>’</w:t>
            </w:r>
            <w:r w:rsidRPr="00473B58">
              <w:rPr>
                <w:lang w:val="fr-CA"/>
              </w:rPr>
              <w:t>exclusion des sommes perçues pour le compte de tiers.</w:t>
            </w:r>
            <w:bookmarkEnd w:id="23"/>
            <w:r w:rsidRPr="00473B58">
              <w:rPr>
                <w:lang w:val="fr-CA"/>
              </w:rPr>
              <w:t xml:space="preserve"> </w:t>
            </w:r>
            <w:bookmarkStart w:id="24" w:name="lt_pId188"/>
            <w:r w:rsidRPr="00473B58">
              <w:rPr>
                <w:lang w:val="fr-CA"/>
              </w:rPr>
              <w:t>Lorsqu’elle détermine le prix de transaction, l’entité tient compte de l’effet de tous les éléments suivants</w:t>
            </w:r>
            <w:r w:rsidR="00A352F0" w:rsidRPr="00473B58">
              <w:rPr>
                <w:lang w:val="fr-CA"/>
              </w:rPr>
              <w:t> </w:t>
            </w:r>
            <w:r w:rsidRPr="00473B58">
              <w:rPr>
                <w:lang w:val="fr-CA"/>
              </w:rPr>
              <w:t>:</w:t>
            </w:r>
            <w:bookmarkEnd w:id="24"/>
          </w:p>
          <w:p w14:paraId="6E3BAA77" w14:textId="3BC30AF9" w:rsidR="00E451C8" w:rsidRPr="00473B58" w:rsidRDefault="00D90841" w:rsidP="00E451C8">
            <w:pPr>
              <w:spacing w:before="120" w:line="360" w:lineRule="auto"/>
              <w:rPr>
                <w:lang w:val="fr-CA"/>
              </w:rPr>
            </w:pPr>
            <w:bookmarkStart w:id="25" w:name="lt_pId189"/>
            <w:r w:rsidRPr="00473B58">
              <w:rPr>
                <w:lang w:val="fr-CA"/>
              </w:rPr>
              <w:t xml:space="preserve">a. </w:t>
            </w:r>
            <w:bookmarkStart w:id="26" w:name="lt_pId190"/>
            <w:bookmarkEnd w:id="25"/>
            <w:r w:rsidRPr="00473B58">
              <w:rPr>
                <w:lang w:val="fr-CA"/>
              </w:rPr>
              <w:t>c</w:t>
            </w:r>
            <w:r w:rsidR="00E451C8" w:rsidRPr="00473B58">
              <w:rPr>
                <w:lang w:val="fr-CA"/>
              </w:rPr>
              <w:t>ontrepartie variable</w:t>
            </w:r>
            <w:r w:rsidRPr="00473B58">
              <w:rPr>
                <w:lang w:val="fr-CA"/>
              </w:rPr>
              <w:t>;</w:t>
            </w:r>
            <w:r w:rsidR="00E451C8" w:rsidRPr="00473B58">
              <w:rPr>
                <w:lang w:val="fr-CA"/>
              </w:rPr>
              <w:t xml:space="preserve"> </w:t>
            </w:r>
            <w:bookmarkEnd w:id="26"/>
          </w:p>
          <w:p w14:paraId="020793AE" w14:textId="4488CA0C" w:rsidR="00E451C8" w:rsidRPr="00473B58" w:rsidRDefault="00E451C8" w:rsidP="00E451C8">
            <w:pPr>
              <w:spacing w:line="360" w:lineRule="auto"/>
              <w:rPr>
                <w:lang w:val="fr-CA"/>
              </w:rPr>
            </w:pPr>
            <w:bookmarkStart w:id="27" w:name="lt_pId191"/>
            <w:r w:rsidRPr="00473B58">
              <w:rPr>
                <w:lang w:val="fr-CA"/>
              </w:rPr>
              <w:t>b.</w:t>
            </w:r>
            <w:bookmarkEnd w:id="27"/>
            <w:r w:rsidRPr="00473B58">
              <w:rPr>
                <w:lang w:val="fr-CA"/>
              </w:rPr>
              <w:t xml:space="preserve"> </w:t>
            </w:r>
            <w:bookmarkStart w:id="28" w:name="lt_pId192"/>
            <w:r w:rsidRPr="00473B58">
              <w:rPr>
                <w:lang w:val="fr-CA"/>
              </w:rPr>
              <w:t>limitation des estimations de contrepartie variable;</w:t>
            </w:r>
            <w:bookmarkEnd w:id="28"/>
          </w:p>
          <w:p w14:paraId="77B93986" w14:textId="105F35C1" w:rsidR="00E451C8" w:rsidRPr="00473B58" w:rsidRDefault="00E451C8" w:rsidP="00E451C8">
            <w:pPr>
              <w:spacing w:line="360" w:lineRule="auto"/>
              <w:rPr>
                <w:lang w:val="fr-CA"/>
              </w:rPr>
            </w:pPr>
            <w:bookmarkStart w:id="29" w:name="lt_pId193"/>
            <w:r w:rsidRPr="00473B58">
              <w:rPr>
                <w:lang w:val="fr-CA"/>
              </w:rPr>
              <w:t>c</w:t>
            </w:r>
            <w:r w:rsidR="00D90841" w:rsidRPr="00473B58">
              <w:rPr>
                <w:lang w:val="fr-CA"/>
              </w:rPr>
              <w:t>.</w:t>
            </w:r>
            <w:bookmarkEnd w:id="29"/>
            <w:r w:rsidRPr="00473B58">
              <w:rPr>
                <w:lang w:val="fr-CA"/>
              </w:rPr>
              <w:t xml:space="preserve"> </w:t>
            </w:r>
            <w:bookmarkStart w:id="30" w:name="lt_pId194"/>
            <w:r w:rsidRPr="00473B58">
              <w:rPr>
                <w:lang w:val="fr-CA"/>
              </w:rPr>
              <w:t>existence d’une composante financement importante dans le contrat;</w:t>
            </w:r>
            <w:bookmarkEnd w:id="30"/>
          </w:p>
          <w:p w14:paraId="17E0B62E" w14:textId="77777777" w:rsidR="00E451C8" w:rsidRPr="00473B58" w:rsidRDefault="00E451C8" w:rsidP="00E451C8">
            <w:pPr>
              <w:spacing w:line="360" w:lineRule="auto"/>
              <w:rPr>
                <w:lang w:val="fr-CA"/>
              </w:rPr>
            </w:pPr>
            <w:bookmarkStart w:id="31" w:name="lt_pId195"/>
            <w:r w:rsidRPr="00473B58">
              <w:rPr>
                <w:lang w:val="fr-CA"/>
              </w:rPr>
              <w:t>d.</w:t>
            </w:r>
            <w:bookmarkEnd w:id="31"/>
            <w:r w:rsidRPr="00473B58">
              <w:rPr>
                <w:lang w:val="fr-CA"/>
              </w:rPr>
              <w:t xml:space="preserve"> </w:t>
            </w:r>
            <w:bookmarkStart w:id="32" w:name="lt_pId196"/>
            <w:r w:rsidRPr="00473B58">
              <w:rPr>
                <w:lang w:val="fr-CA"/>
              </w:rPr>
              <w:t>contrepartie autre qu’en trésorerie;</w:t>
            </w:r>
            <w:bookmarkEnd w:id="32"/>
          </w:p>
          <w:p w14:paraId="22B9CDDE" w14:textId="0B2F9F91" w:rsidR="00E451C8" w:rsidRPr="00473B58" w:rsidRDefault="00E451C8" w:rsidP="00E451C8">
            <w:pPr>
              <w:spacing w:line="360" w:lineRule="auto"/>
              <w:rPr>
                <w:lang w:val="fr-CA"/>
              </w:rPr>
            </w:pPr>
            <w:bookmarkStart w:id="33" w:name="lt_pId197"/>
            <w:r w:rsidRPr="00473B58">
              <w:rPr>
                <w:lang w:val="fr-CA"/>
              </w:rPr>
              <w:t>e.</w:t>
            </w:r>
            <w:bookmarkEnd w:id="33"/>
            <w:r w:rsidRPr="00473B58">
              <w:rPr>
                <w:lang w:val="fr-CA"/>
              </w:rPr>
              <w:t xml:space="preserve"> </w:t>
            </w:r>
            <w:bookmarkStart w:id="34" w:name="lt_pId198"/>
            <w:r w:rsidRPr="00473B58">
              <w:rPr>
                <w:lang w:val="fr-CA"/>
              </w:rPr>
              <w:t xml:space="preserve">contrepartie payable au client. </w:t>
            </w:r>
            <w:bookmarkEnd w:id="34"/>
          </w:p>
          <w:p w14:paraId="4D1B783E" w14:textId="77777777" w:rsidR="00E451C8" w:rsidRPr="00473B58" w:rsidRDefault="00E451C8" w:rsidP="00E451C8">
            <w:pPr>
              <w:rPr>
                <w:lang w:val="fr-CA"/>
              </w:rPr>
            </w:pPr>
          </w:p>
          <w:p w14:paraId="31E0BE03" w14:textId="7A1C7603" w:rsidR="00E451C8" w:rsidRPr="00473B58" w:rsidRDefault="00E451C8" w:rsidP="00E451C8">
            <w:pPr>
              <w:rPr>
                <w:b/>
                <w:color w:val="2E74B5" w:themeColor="accent1" w:themeShade="BF"/>
                <w:lang w:val="fr-CA"/>
              </w:rPr>
            </w:pPr>
            <w:bookmarkStart w:id="35" w:name="lt_pId199"/>
            <w:r w:rsidRPr="00473B58">
              <w:rPr>
                <w:b/>
                <w:color w:val="2E74B5" w:themeColor="accent1" w:themeShade="BF"/>
                <w:lang w:val="fr-CA"/>
              </w:rPr>
              <w:t xml:space="preserve">Note – </w:t>
            </w:r>
            <w:r w:rsidR="0053156F" w:rsidRPr="00473B58">
              <w:rPr>
                <w:b/>
                <w:color w:val="2E74B5" w:themeColor="accent1" w:themeShade="BF"/>
                <w:lang w:val="fr-CA"/>
              </w:rPr>
              <w:t>Pour chaque obligation de prestation/opération sélectionnée pour être testée à l’onglet «</w:t>
            </w:r>
            <w:r w:rsidR="00A352F0" w:rsidRPr="00473B58">
              <w:rPr>
                <w:b/>
                <w:color w:val="2E74B5" w:themeColor="accent1" w:themeShade="BF"/>
                <w:lang w:val="fr-CA"/>
              </w:rPr>
              <w:t xml:space="preserve"> </w:t>
            </w:r>
            <w:r w:rsidR="00091BB2">
              <w:rPr>
                <w:b/>
                <w:color w:val="2E74B5" w:themeColor="accent1" w:themeShade="BF"/>
                <w:lang w:val="fr-CA"/>
              </w:rPr>
              <w:t>Sélection de l’échantillon</w:t>
            </w:r>
            <w:r w:rsidR="00A352F0" w:rsidRPr="00473B58">
              <w:rPr>
                <w:b/>
                <w:color w:val="2E74B5" w:themeColor="accent1" w:themeShade="BF"/>
                <w:lang w:val="fr-CA"/>
              </w:rPr>
              <w:t xml:space="preserve"> </w:t>
            </w:r>
            <w:r w:rsidR="0053156F" w:rsidRPr="00473B58">
              <w:rPr>
                <w:b/>
                <w:color w:val="2E74B5" w:themeColor="accent1" w:themeShade="BF"/>
                <w:lang w:val="fr-CA"/>
              </w:rPr>
              <w:t>», l’auditeur doit exécuter les procédures ci-dessous</w:t>
            </w:r>
            <w:r w:rsidRPr="00473B58">
              <w:rPr>
                <w:b/>
                <w:color w:val="2E74B5" w:themeColor="accent1" w:themeShade="BF"/>
                <w:lang w:val="fr-CA"/>
              </w:rPr>
              <w:t>.</w:t>
            </w:r>
            <w:bookmarkEnd w:id="35"/>
          </w:p>
          <w:p w14:paraId="4A59F704" w14:textId="3CB3EFBE" w:rsidR="00380440" w:rsidRPr="00473B58" w:rsidRDefault="00380440" w:rsidP="00380440">
            <w:pPr>
              <w:rPr>
                <w:b/>
                <w:color w:val="2E74B5" w:themeColor="accent1" w:themeShade="BF"/>
                <w:lang w:val="fr-CA"/>
              </w:rPr>
            </w:pPr>
          </w:p>
          <w:p w14:paraId="040DED7A" w14:textId="77777777" w:rsidR="00380440" w:rsidRPr="00473B58" w:rsidRDefault="00380440" w:rsidP="00135187">
            <w:pPr>
              <w:rPr>
                <w:b/>
                <w:color w:val="C45911" w:themeColor="accent2" w:themeShade="BF"/>
                <w:lang w:val="fr-CA"/>
              </w:rPr>
            </w:pPr>
          </w:p>
        </w:tc>
      </w:tr>
    </w:tbl>
    <w:p w14:paraId="2F6A6948" w14:textId="77777777" w:rsidR="00380440" w:rsidRPr="00D97151" w:rsidRDefault="00380440" w:rsidP="00135187">
      <w:pPr>
        <w:rPr>
          <w:b/>
          <w:lang w:val="fr-CA"/>
        </w:rPr>
      </w:pPr>
    </w:p>
    <w:p w14:paraId="18A30C0A" w14:textId="77777777" w:rsidR="00382E99" w:rsidRPr="00473B58" w:rsidRDefault="00382E99">
      <w:pPr>
        <w:rPr>
          <w:lang w:val="fr-CA"/>
        </w:rPr>
      </w:pPr>
      <w:r w:rsidRPr="00473B58">
        <w:rPr>
          <w:lang w:val="fr-CA"/>
        </w:rPr>
        <w:br w:type="page"/>
      </w:r>
    </w:p>
    <w:tbl>
      <w:tblPr>
        <w:tblStyle w:val="TableGrid"/>
        <w:tblW w:w="13183" w:type="dxa"/>
        <w:tblLayout w:type="fixed"/>
        <w:tblLook w:val="04A0" w:firstRow="1" w:lastRow="0" w:firstColumn="1" w:lastColumn="0" w:noHBand="0" w:noVBand="1"/>
      </w:tblPr>
      <w:tblGrid>
        <w:gridCol w:w="2406"/>
        <w:gridCol w:w="2553"/>
        <w:gridCol w:w="8224"/>
      </w:tblGrid>
      <w:tr w:rsidR="009C30B4" w:rsidRPr="00473B58" w14:paraId="1B5555FF" w14:textId="77777777" w:rsidTr="00DD6D5A">
        <w:tc>
          <w:tcPr>
            <w:tcW w:w="2406" w:type="dxa"/>
            <w:tcBorders>
              <w:top w:val="single" w:sz="12" w:space="0" w:color="2E74B5" w:themeColor="accent1" w:themeShade="BF"/>
              <w:left w:val="nil"/>
              <w:bottom w:val="single" w:sz="12" w:space="0" w:color="2E74B5" w:themeColor="accent1" w:themeShade="BF"/>
              <w:right w:val="nil"/>
            </w:tcBorders>
            <w:vAlign w:val="bottom"/>
          </w:tcPr>
          <w:p w14:paraId="237490B1" w14:textId="2D190F1B" w:rsidR="009C30B4" w:rsidRPr="00513F3D" w:rsidRDefault="009C30B4" w:rsidP="009C30B4">
            <w:pPr>
              <w:spacing w:before="120" w:after="120"/>
              <w:rPr>
                <w:b/>
                <w:color w:val="2E74B5" w:themeColor="accent1" w:themeShade="BF"/>
                <w:lang w:val="fr-CA"/>
              </w:rPr>
            </w:pPr>
            <w:r w:rsidRPr="00513F3D">
              <w:rPr>
                <w:b/>
                <w:color w:val="2E74B5" w:themeColor="accent1" w:themeShade="BF"/>
                <w:lang w:val="fr-CA"/>
              </w:rPr>
              <w:t>N</w:t>
            </w:r>
            <w:r w:rsidRPr="00513F3D">
              <w:rPr>
                <w:b/>
                <w:color w:val="2E74B5" w:themeColor="accent1" w:themeShade="BF"/>
                <w:vertAlign w:val="superscript"/>
                <w:lang w:val="fr-CA"/>
              </w:rPr>
              <w:t>o</w:t>
            </w:r>
            <w:r w:rsidRPr="00513F3D">
              <w:rPr>
                <w:b/>
                <w:color w:val="2E74B5" w:themeColor="accent1" w:themeShade="BF"/>
                <w:lang w:val="fr-CA"/>
              </w:rPr>
              <w:t xml:space="preserve"> / titre de la procédure</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49DF892D" w14:textId="67581A2C" w:rsidR="009C30B4" w:rsidRPr="00473B58" w:rsidRDefault="009C30B4" w:rsidP="00E2446F">
            <w:pPr>
              <w:spacing w:before="120" w:after="120"/>
              <w:rPr>
                <w:b/>
                <w:color w:val="2E74B5" w:themeColor="accent1" w:themeShade="BF"/>
                <w:lang w:val="fr-CA"/>
              </w:rPr>
            </w:pPr>
            <w:r w:rsidRPr="00473B58">
              <w:rPr>
                <w:b/>
                <w:color w:val="2E74B5" w:themeColor="accent1" w:themeShade="BF"/>
                <w:lang w:val="fr-CA"/>
              </w:rPr>
              <w:t>Paragraphes</w:t>
            </w:r>
            <w:r w:rsidR="00E2446F" w:rsidRPr="00473B58">
              <w:rPr>
                <w:b/>
                <w:color w:val="2E74B5" w:themeColor="accent1" w:themeShade="BF"/>
                <w:lang w:val="fr-CA"/>
              </w:rPr>
              <w:t xml:space="preserve"> 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224" w:type="dxa"/>
            <w:tcBorders>
              <w:top w:val="single" w:sz="12" w:space="0" w:color="2E74B5" w:themeColor="accent1" w:themeShade="BF"/>
              <w:left w:val="nil"/>
              <w:bottom w:val="single" w:sz="12" w:space="0" w:color="2E74B5" w:themeColor="accent1" w:themeShade="BF"/>
              <w:right w:val="nil"/>
            </w:tcBorders>
            <w:vAlign w:val="bottom"/>
          </w:tcPr>
          <w:p w14:paraId="1F9E6A00" w14:textId="4D795D21" w:rsidR="009C30B4" w:rsidRPr="00473B58" w:rsidRDefault="009C30B4" w:rsidP="009C30B4">
            <w:pPr>
              <w:spacing w:before="120" w:after="120"/>
              <w:rPr>
                <w:b/>
                <w:color w:val="2E74B5" w:themeColor="accent1" w:themeShade="BF"/>
                <w:lang w:val="fr-CA"/>
              </w:rPr>
            </w:pPr>
            <w:r w:rsidRPr="00473B58">
              <w:rPr>
                <w:b/>
                <w:color w:val="2E74B5" w:themeColor="accent1" w:themeShade="BF"/>
                <w:lang w:val="fr-CA"/>
              </w:rPr>
              <w:t xml:space="preserve">Directives </w:t>
            </w:r>
          </w:p>
        </w:tc>
      </w:tr>
      <w:tr w:rsidR="00135187" w:rsidRPr="00D97151" w14:paraId="4ED33C16" w14:textId="77777777" w:rsidTr="00DD6D5A">
        <w:tc>
          <w:tcPr>
            <w:tcW w:w="2406" w:type="dxa"/>
            <w:tcBorders>
              <w:top w:val="single" w:sz="12" w:space="0" w:color="2E74B5" w:themeColor="accent1" w:themeShade="BF"/>
              <w:left w:val="nil"/>
              <w:bottom w:val="single" w:sz="12" w:space="0" w:color="9CC2E5" w:themeColor="accent1" w:themeTint="99"/>
              <w:right w:val="nil"/>
            </w:tcBorders>
          </w:tcPr>
          <w:p w14:paraId="33D0E2DE" w14:textId="67A6A949" w:rsidR="00135187" w:rsidRPr="00513F3D" w:rsidRDefault="00135187" w:rsidP="00513F3D">
            <w:pPr>
              <w:spacing w:before="120" w:after="120"/>
              <w:rPr>
                <w:lang w:val="fr-CA"/>
              </w:rPr>
            </w:pPr>
            <w:r w:rsidRPr="00513F3D">
              <w:rPr>
                <w:lang w:val="fr-CA"/>
              </w:rPr>
              <w:t xml:space="preserve">Documentation </w:t>
            </w:r>
            <w:r w:rsidR="0053156F" w:rsidRPr="00513F3D">
              <w:rPr>
                <w:lang w:val="fr-CA"/>
              </w:rPr>
              <w:t xml:space="preserve">des </w:t>
            </w:r>
            <w:r w:rsidR="00513F3D">
              <w:rPr>
                <w:lang w:val="fr-CA"/>
              </w:rPr>
              <w:t>sélections</w:t>
            </w:r>
          </w:p>
        </w:tc>
        <w:tc>
          <w:tcPr>
            <w:tcW w:w="2553" w:type="dxa"/>
            <w:tcBorders>
              <w:top w:val="single" w:sz="12" w:space="0" w:color="2E74B5" w:themeColor="accent1" w:themeShade="BF"/>
              <w:left w:val="nil"/>
              <w:bottom w:val="single" w:sz="12" w:space="0" w:color="9CC2E5" w:themeColor="accent1" w:themeTint="99"/>
              <w:right w:val="nil"/>
            </w:tcBorders>
          </w:tcPr>
          <w:p w14:paraId="6F9C2035" w14:textId="77777777" w:rsidR="00135187" w:rsidRPr="00473B58" w:rsidRDefault="00135187" w:rsidP="00382E99">
            <w:pPr>
              <w:spacing w:before="120" w:after="120"/>
              <w:rPr>
                <w:lang w:val="fr-CA"/>
              </w:rPr>
            </w:pPr>
          </w:p>
        </w:tc>
        <w:tc>
          <w:tcPr>
            <w:tcW w:w="8224" w:type="dxa"/>
            <w:tcBorders>
              <w:top w:val="single" w:sz="12" w:space="0" w:color="2E74B5" w:themeColor="accent1" w:themeShade="BF"/>
              <w:left w:val="nil"/>
              <w:bottom w:val="single" w:sz="12" w:space="0" w:color="9CC2E5" w:themeColor="accent1" w:themeTint="99"/>
              <w:right w:val="nil"/>
            </w:tcBorders>
          </w:tcPr>
          <w:p w14:paraId="538C8EFC" w14:textId="536119BC" w:rsidR="00135187" w:rsidRPr="00473B58" w:rsidRDefault="0053156F" w:rsidP="00382E99">
            <w:pPr>
              <w:spacing w:before="120" w:after="120"/>
              <w:rPr>
                <w:lang w:val="fr-CA"/>
              </w:rPr>
            </w:pPr>
            <w:r w:rsidRPr="006A64AC">
              <w:rPr>
                <w:b/>
                <w:lang w:val="fr-CA"/>
              </w:rPr>
              <w:t>Documenter le détail</w:t>
            </w:r>
            <w:r w:rsidRPr="00473B58">
              <w:rPr>
                <w:lang w:val="fr-CA"/>
              </w:rPr>
              <w:t xml:space="preserve"> de</w:t>
            </w:r>
            <w:r w:rsidR="00206EF1" w:rsidRPr="00473B58">
              <w:rPr>
                <w:lang w:val="fr-CA"/>
              </w:rPr>
              <w:t>s éléments de</w:t>
            </w:r>
            <w:r w:rsidRPr="00473B58">
              <w:rPr>
                <w:lang w:val="fr-CA"/>
              </w:rPr>
              <w:t xml:space="preserve"> l’échantillon retenu</w:t>
            </w:r>
            <w:r w:rsidR="00135187" w:rsidRPr="00473B58">
              <w:rPr>
                <w:lang w:val="fr-CA"/>
              </w:rPr>
              <w:t>.</w:t>
            </w:r>
          </w:p>
          <w:p w14:paraId="52562B98" w14:textId="04EAE086" w:rsidR="00135187" w:rsidRPr="00473B58" w:rsidRDefault="0053156F" w:rsidP="00E2446F">
            <w:pPr>
              <w:spacing w:before="120" w:after="120"/>
              <w:rPr>
                <w:lang w:val="fr-CA"/>
              </w:rPr>
            </w:pPr>
            <w:r w:rsidRPr="00473B58">
              <w:rPr>
                <w:lang w:val="fr-CA"/>
              </w:rPr>
              <w:t xml:space="preserve">Lorsque l’unité d’échantillonnage correspond au contrat, et que le contrat contient plusieurs obligations de prestation, l’auditeur doit </w:t>
            </w:r>
            <w:r w:rsidR="00E2446F" w:rsidRPr="00473B58">
              <w:rPr>
                <w:lang w:val="fr-CA"/>
              </w:rPr>
              <w:t xml:space="preserve">effectuer les tests prévus à cette étape pour </w:t>
            </w:r>
            <w:r w:rsidRPr="00473B58">
              <w:rPr>
                <w:lang w:val="fr-CA"/>
              </w:rPr>
              <w:t xml:space="preserve">chaque obligation de prestation </w:t>
            </w:r>
            <w:r w:rsidR="004B437B" w:rsidRPr="00473B58">
              <w:rPr>
                <w:lang w:val="fr-CA"/>
              </w:rPr>
              <w:t xml:space="preserve">(voir la colonne </w:t>
            </w:r>
            <w:r w:rsidR="00135187" w:rsidRPr="00473B58">
              <w:rPr>
                <w:lang w:val="fr-CA"/>
              </w:rPr>
              <w:t>E</w:t>
            </w:r>
            <w:r w:rsidR="004B437B" w:rsidRPr="00473B58">
              <w:rPr>
                <w:lang w:val="fr-CA"/>
              </w:rPr>
              <w:t xml:space="preserve"> </w:t>
            </w:r>
            <w:r w:rsidR="00E2446F" w:rsidRPr="00473B58">
              <w:rPr>
                <w:lang w:val="fr-CA"/>
              </w:rPr>
              <w:t xml:space="preserve">du </w:t>
            </w:r>
            <w:r w:rsidR="004B437B" w:rsidRPr="00CF7699">
              <w:rPr>
                <w:lang w:val="fr-CA"/>
              </w:rPr>
              <w:t>tableau de tests</w:t>
            </w:r>
            <w:r w:rsidR="00135187" w:rsidRPr="00473B58">
              <w:rPr>
                <w:lang w:val="fr-CA"/>
              </w:rPr>
              <w:t>).</w:t>
            </w:r>
          </w:p>
        </w:tc>
      </w:tr>
      <w:tr w:rsidR="00135187" w:rsidRPr="00D97151" w14:paraId="0BA50D77" w14:textId="77777777" w:rsidTr="00DD6D5A">
        <w:tc>
          <w:tcPr>
            <w:tcW w:w="2406" w:type="dxa"/>
            <w:tcBorders>
              <w:top w:val="single" w:sz="12" w:space="0" w:color="9CC2E5" w:themeColor="accent1" w:themeTint="99"/>
              <w:left w:val="nil"/>
              <w:bottom w:val="single" w:sz="12" w:space="0" w:color="9CC2E5" w:themeColor="accent1" w:themeTint="99"/>
              <w:right w:val="nil"/>
            </w:tcBorders>
          </w:tcPr>
          <w:p w14:paraId="18B4F7FA" w14:textId="2D17922C" w:rsidR="00135187" w:rsidRPr="009A508C" w:rsidRDefault="0053156F" w:rsidP="007C50D3">
            <w:pPr>
              <w:spacing w:before="120" w:after="120"/>
              <w:rPr>
                <w:lang w:val="fr-CA"/>
              </w:rPr>
            </w:pPr>
            <w:r w:rsidRPr="009A508C">
              <w:rPr>
                <w:lang w:val="fr-CA"/>
              </w:rPr>
              <w:t xml:space="preserve">Contrepartie </w:t>
            </w:r>
            <w:r w:rsidR="007C50D3" w:rsidRPr="009A508C">
              <w:rPr>
                <w:lang w:val="fr-CA"/>
              </w:rPr>
              <w:t>fixe</w:t>
            </w:r>
          </w:p>
        </w:tc>
        <w:tc>
          <w:tcPr>
            <w:tcW w:w="2553" w:type="dxa"/>
            <w:tcBorders>
              <w:top w:val="single" w:sz="12" w:space="0" w:color="9CC2E5" w:themeColor="accent1" w:themeTint="99"/>
              <w:left w:val="nil"/>
              <w:bottom w:val="single" w:sz="12" w:space="0" w:color="9CC2E5" w:themeColor="accent1" w:themeTint="99"/>
              <w:right w:val="nil"/>
            </w:tcBorders>
          </w:tcPr>
          <w:p w14:paraId="7199FF71" w14:textId="3FE92AA3" w:rsidR="00135187" w:rsidRPr="00473B58" w:rsidRDefault="00135187" w:rsidP="00382E99">
            <w:pPr>
              <w:spacing w:before="120" w:after="120"/>
              <w:rPr>
                <w:lang w:val="fr-CA"/>
              </w:rPr>
            </w:pPr>
            <w:r w:rsidRPr="00473B58">
              <w:rPr>
                <w:lang w:val="fr-CA"/>
              </w:rPr>
              <w:t>IFRS</w:t>
            </w:r>
            <w:r w:rsidR="00A352F0" w:rsidRPr="00473B58">
              <w:rPr>
                <w:lang w:val="fr-CA"/>
              </w:rPr>
              <w:t> </w:t>
            </w:r>
            <w:r w:rsidRPr="00473B58">
              <w:rPr>
                <w:lang w:val="fr-CA"/>
              </w:rPr>
              <w:t>15.47</w:t>
            </w:r>
          </w:p>
        </w:tc>
        <w:tc>
          <w:tcPr>
            <w:tcW w:w="8224" w:type="dxa"/>
            <w:tcBorders>
              <w:top w:val="single" w:sz="12" w:space="0" w:color="9CC2E5" w:themeColor="accent1" w:themeTint="99"/>
              <w:left w:val="nil"/>
              <w:bottom w:val="single" w:sz="12" w:space="0" w:color="9CC2E5" w:themeColor="accent1" w:themeTint="99"/>
              <w:right w:val="nil"/>
            </w:tcBorders>
          </w:tcPr>
          <w:p w14:paraId="3BE99926" w14:textId="62DE6D02" w:rsidR="00135187" w:rsidRPr="00473B58" w:rsidRDefault="004B437B" w:rsidP="007C50D3">
            <w:pPr>
              <w:spacing w:before="120" w:after="120"/>
              <w:rPr>
                <w:lang w:val="fr-CA"/>
              </w:rPr>
            </w:pPr>
            <w:r w:rsidRPr="00473B58">
              <w:rPr>
                <w:lang w:val="fr-CA"/>
              </w:rPr>
              <w:t>Si la contrepartie, selon le contrat, e</w:t>
            </w:r>
            <w:r w:rsidR="0053156F" w:rsidRPr="00473B58">
              <w:rPr>
                <w:lang w:val="fr-CA"/>
              </w:rPr>
              <w:t xml:space="preserve">st </w:t>
            </w:r>
            <w:r w:rsidR="007C50D3" w:rsidRPr="00473B58">
              <w:rPr>
                <w:b/>
                <w:lang w:val="fr-CA"/>
              </w:rPr>
              <w:t>fixe</w:t>
            </w:r>
            <w:r w:rsidR="00135187" w:rsidRPr="00473B58">
              <w:rPr>
                <w:lang w:val="fr-CA"/>
              </w:rPr>
              <w:t xml:space="preserve">, </w:t>
            </w:r>
            <w:r w:rsidRPr="00473B58">
              <w:rPr>
                <w:lang w:val="fr-CA"/>
              </w:rPr>
              <w:t xml:space="preserve">l’auditeur doit alors documenter de l’information détaillée à ce sujet pour chacune des obligations de prestations du contrat. </w:t>
            </w:r>
          </w:p>
        </w:tc>
      </w:tr>
      <w:tr w:rsidR="00135187" w:rsidRPr="00D97151" w14:paraId="6B62F955" w14:textId="77777777" w:rsidTr="00DD6D5A">
        <w:tc>
          <w:tcPr>
            <w:tcW w:w="2406" w:type="dxa"/>
            <w:tcBorders>
              <w:top w:val="single" w:sz="12" w:space="0" w:color="9CC2E5" w:themeColor="accent1" w:themeTint="99"/>
              <w:left w:val="nil"/>
              <w:bottom w:val="single" w:sz="12" w:space="0" w:color="9CC2E5" w:themeColor="accent1" w:themeTint="99"/>
              <w:right w:val="nil"/>
            </w:tcBorders>
          </w:tcPr>
          <w:p w14:paraId="56024CB8" w14:textId="5BDC7A4A" w:rsidR="00135187" w:rsidRPr="009A508C" w:rsidRDefault="0053156F" w:rsidP="0053156F">
            <w:pPr>
              <w:spacing w:before="120" w:after="120"/>
              <w:rPr>
                <w:lang w:val="fr-CA"/>
              </w:rPr>
            </w:pPr>
            <w:r w:rsidRPr="009A508C">
              <w:rPr>
                <w:lang w:val="fr-CA"/>
              </w:rPr>
              <w:t xml:space="preserve">Contrepartie variable </w:t>
            </w:r>
          </w:p>
        </w:tc>
        <w:tc>
          <w:tcPr>
            <w:tcW w:w="2553" w:type="dxa"/>
            <w:tcBorders>
              <w:top w:val="single" w:sz="12" w:space="0" w:color="9CC2E5" w:themeColor="accent1" w:themeTint="99"/>
              <w:left w:val="nil"/>
              <w:bottom w:val="single" w:sz="12" w:space="0" w:color="9CC2E5" w:themeColor="accent1" w:themeTint="99"/>
              <w:right w:val="nil"/>
            </w:tcBorders>
          </w:tcPr>
          <w:p w14:paraId="31461B6B" w14:textId="25B6DDB2" w:rsidR="00135187" w:rsidRPr="00473B58" w:rsidRDefault="00135187" w:rsidP="00382E99">
            <w:pPr>
              <w:spacing w:before="120" w:after="120"/>
              <w:rPr>
                <w:lang w:val="fr-CA"/>
              </w:rPr>
            </w:pPr>
            <w:r w:rsidRPr="00473B58">
              <w:rPr>
                <w:lang w:val="fr-CA"/>
              </w:rPr>
              <w:t>IFRS 15.50</w:t>
            </w:r>
            <w:r w:rsidR="0053156F" w:rsidRPr="00473B58">
              <w:rPr>
                <w:lang w:val="fr-CA"/>
              </w:rPr>
              <w:t xml:space="preserve"> à</w:t>
            </w:r>
            <w:r w:rsidRPr="00473B58">
              <w:rPr>
                <w:lang w:val="fr-CA"/>
              </w:rPr>
              <w:t xml:space="preserve"> 59</w:t>
            </w:r>
          </w:p>
          <w:p w14:paraId="699692EA" w14:textId="2CE2329C" w:rsidR="00135187" w:rsidRPr="00473B58" w:rsidRDefault="00135187" w:rsidP="00382E99">
            <w:pPr>
              <w:spacing w:before="120" w:after="120"/>
              <w:rPr>
                <w:lang w:val="fr-CA"/>
              </w:rPr>
            </w:pPr>
          </w:p>
        </w:tc>
        <w:tc>
          <w:tcPr>
            <w:tcW w:w="8224" w:type="dxa"/>
            <w:tcBorders>
              <w:top w:val="single" w:sz="12" w:space="0" w:color="9CC2E5" w:themeColor="accent1" w:themeTint="99"/>
              <w:left w:val="nil"/>
              <w:bottom w:val="single" w:sz="12" w:space="0" w:color="9CC2E5" w:themeColor="accent1" w:themeTint="99"/>
              <w:right w:val="nil"/>
            </w:tcBorders>
          </w:tcPr>
          <w:p w14:paraId="508EF9F1" w14:textId="3C394E7B" w:rsidR="00135187" w:rsidRPr="00473B58" w:rsidRDefault="004B437B" w:rsidP="00382E99">
            <w:pPr>
              <w:spacing w:before="120" w:after="120"/>
              <w:rPr>
                <w:lang w:val="fr-CA"/>
              </w:rPr>
            </w:pPr>
            <w:r w:rsidRPr="00473B58">
              <w:rPr>
                <w:lang w:val="fr-CA"/>
              </w:rPr>
              <w:t xml:space="preserve">Si la contrepartie, selon le contrat, est </w:t>
            </w:r>
            <w:r w:rsidRPr="00473B58">
              <w:rPr>
                <w:b/>
                <w:lang w:val="fr-CA"/>
              </w:rPr>
              <w:t>v</w:t>
            </w:r>
            <w:r w:rsidR="00135187" w:rsidRPr="00473B58">
              <w:rPr>
                <w:b/>
                <w:lang w:val="fr-CA"/>
              </w:rPr>
              <w:t>ariable</w:t>
            </w:r>
            <w:r w:rsidR="00135187" w:rsidRPr="00473B58">
              <w:rPr>
                <w:lang w:val="fr-CA"/>
              </w:rPr>
              <w:t xml:space="preserve">, </w:t>
            </w:r>
            <w:r w:rsidRPr="00473B58">
              <w:rPr>
                <w:lang w:val="fr-CA"/>
              </w:rPr>
              <w:t>l’auditeur doit alors document</w:t>
            </w:r>
            <w:r w:rsidR="0007420A" w:rsidRPr="00473B58">
              <w:rPr>
                <w:lang w:val="fr-CA"/>
              </w:rPr>
              <w:t>er</w:t>
            </w:r>
            <w:r w:rsidRPr="00473B58">
              <w:rPr>
                <w:lang w:val="fr-CA"/>
              </w:rPr>
              <w:t xml:space="preserve"> le détail de la nature de la contrepartie variable pour chaque obligation de prestation. Si </w:t>
            </w:r>
            <w:r w:rsidR="00710762" w:rsidRPr="00473B58">
              <w:rPr>
                <w:lang w:val="fr-CA"/>
              </w:rPr>
              <w:t xml:space="preserve">le caractère variable de la contrepartie </w:t>
            </w:r>
            <w:r w:rsidRPr="00473B58">
              <w:rPr>
                <w:lang w:val="fr-CA"/>
              </w:rPr>
              <w:t xml:space="preserve">n’est pas </w:t>
            </w:r>
            <w:r w:rsidR="00710762" w:rsidRPr="00473B58">
              <w:rPr>
                <w:lang w:val="fr-CA"/>
              </w:rPr>
              <w:t xml:space="preserve">clairement stipulé </w:t>
            </w:r>
            <w:r w:rsidRPr="00473B58">
              <w:rPr>
                <w:lang w:val="fr-CA"/>
              </w:rPr>
              <w:t xml:space="preserve">dans le contrat, l’entité devrait alors estimer le montant de la contrepartie variable. L’auditeur doit par ailleurs </w:t>
            </w:r>
            <w:r w:rsidR="00060897" w:rsidRPr="00473B58">
              <w:rPr>
                <w:lang w:val="fr-CA"/>
              </w:rPr>
              <w:t xml:space="preserve">examiner </w:t>
            </w:r>
            <w:r w:rsidR="00710762" w:rsidRPr="00473B58">
              <w:rPr>
                <w:lang w:val="fr-CA"/>
              </w:rPr>
              <w:t xml:space="preserve">s’il existe une quelconque indication que les pratiques commerciales de l’entité pourraient amener le client à être fondé </w:t>
            </w:r>
            <w:r w:rsidR="0007420A" w:rsidRPr="00473B58">
              <w:rPr>
                <w:lang w:val="fr-CA"/>
              </w:rPr>
              <w:t xml:space="preserve">à </w:t>
            </w:r>
            <w:r w:rsidR="00710762" w:rsidRPr="00473B58">
              <w:rPr>
                <w:lang w:val="fr-CA"/>
              </w:rPr>
              <w:t>s’attendre à ce que l’entité accepte un montant de contrepartie inférieur au montant stipulé dans le contrat (contrepartie variable implicite).</w:t>
            </w:r>
          </w:p>
          <w:p w14:paraId="6BA8E75F" w14:textId="00B5D6DD" w:rsidR="0019727C" w:rsidRPr="00473B58" w:rsidRDefault="00710762" w:rsidP="00382E99">
            <w:pPr>
              <w:spacing w:before="120" w:after="120"/>
              <w:rPr>
                <w:lang w:val="fr-CA"/>
              </w:rPr>
            </w:pPr>
            <w:r w:rsidRPr="00473B58">
              <w:rPr>
                <w:lang w:val="fr-CA"/>
              </w:rPr>
              <w:t xml:space="preserve">Il faut savoir que si un contrat comprend une contrepartie variable, les procédures supplémentaires </w:t>
            </w:r>
            <w:r w:rsidR="00E2446F" w:rsidRPr="00473B58">
              <w:rPr>
                <w:lang w:val="fr-CA"/>
              </w:rPr>
              <w:t xml:space="preserve">pour </w:t>
            </w:r>
            <w:r w:rsidRPr="00473B58">
              <w:rPr>
                <w:lang w:val="fr-CA"/>
              </w:rPr>
              <w:t>l’Étape</w:t>
            </w:r>
            <w:r w:rsidR="00A352F0" w:rsidRPr="00473B58">
              <w:rPr>
                <w:lang w:val="fr-CA"/>
              </w:rPr>
              <w:t> </w:t>
            </w:r>
            <w:r w:rsidRPr="00473B58">
              <w:rPr>
                <w:lang w:val="fr-CA"/>
              </w:rPr>
              <w:t>3 sont pertinentes.</w:t>
            </w:r>
            <w:r w:rsidR="003831E5" w:rsidRPr="00473B58">
              <w:rPr>
                <w:lang w:val="fr-CA"/>
              </w:rPr>
              <w:t xml:space="preserve"> Il faut notamment vérifier que les procédures pertinentes pour tester la contrepartie variable sont ajoutées, par exemple :</w:t>
            </w:r>
          </w:p>
          <w:p w14:paraId="49C10A91" w14:textId="7FB93367" w:rsidR="0019727C" w:rsidRPr="004A0669" w:rsidRDefault="0019727C" w:rsidP="00382E99">
            <w:pPr>
              <w:pStyle w:val="ListParagraph"/>
              <w:numPr>
                <w:ilvl w:val="0"/>
                <w:numId w:val="12"/>
              </w:numPr>
              <w:spacing w:before="120" w:after="120"/>
              <w:rPr>
                <w:lang w:val="fr-CA"/>
              </w:rPr>
            </w:pPr>
            <w:r w:rsidRPr="004A0669">
              <w:rPr>
                <w:lang w:val="fr-CA"/>
              </w:rPr>
              <w:t>Test</w:t>
            </w:r>
            <w:r w:rsidR="003831E5" w:rsidRPr="004A0669">
              <w:rPr>
                <w:lang w:val="fr-CA"/>
              </w:rPr>
              <w:t xml:space="preserve">er les passifs </w:t>
            </w:r>
            <w:r w:rsidR="00E2446F" w:rsidRPr="004A0669">
              <w:rPr>
                <w:lang w:val="fr-CA"/>
              </w:rPr>
              <w:t>sur contrat</w:t>
            </w:r>
            <w:r w:rsidR="003831E5" w:rsidRPr="004A0669">
              <w:rPr>
                <w:lang w:val="fr-CA"/>
              </w:rPr>
              <w:t xml:space="preserve"> </w:t>
            </w:r>
            <w:r w:rsidR="00E2446F" w:rsidRPr="004A0669">
              <w:rPr>
                <w:lang w:val="fr-CA"/>
              </w:rPr>
              <w:t>– Soldes de la contrepartie variable (p. ex. remise</w:t>
            </w:r>
            <w:r w:rsidR="004A0669">
              <w:rPr>
                <w:lang w:val="fr-CA"/>
              </w:rPr>
              <w:t>s</w:t>
            </w:r>
            <w:r w:rsidR="00E2446F" w:rsidRPr="004A0669">
              <w:rPr>
                <w:lang w:val="fr-CA"/>
              </w:rPr>
              <w:t>, rabais, droit de retour</w:t>
            </w:r>
            <w:r w:rsidRPr="004A0669">
              <w:rPr>
                <w:lang w:val="fr-CA"/>
              </w:rPr>
              <w:t>)</w:t>
            </w:r>
            <w:r w:rsidR="008F3C38" w:rsidRPr="004A0669">
              <w:rPr>
                <w:lang w:val="fr-CA"/>
              </w:rPr>
              <w:t xml:space="preserve"> </w:t>
            </w:r>
            <w:r w:rsidR="004A0669">
              <w:rPr>
                <w:lang w:val="fr-CA"/>
              </w:rPr>
              <w:t xml:space="preserve"> (NCA 540)</w:t>
            </w:r>
          </w:p>
          <w:p w14:paraId="585BA8B4" w14:textId="3FADC52B" w:rsidR="0019727C" w:rsidRPr="004A0669" w:rsidRDefault="00135187" w:rsidP="00A05D6E">
            <w:pPr>
              <w:pStyle w:val="ListParagraph"/>
              <w:numPr>
                <w:ilvl w:val="0"/>
                <w:numId w:val="12"/>
              </w:numPr>
              <w:spacing w:before="120" w:after="120"/>
              <w:rPr>
                <w:lang w:val="fr-CA"/>
              </w:rPr>
            </w:pPr>
            <w:r w:rsidRPr="004A0669">
              <w:rPr>
                <w:lang w:val="fr-CA"/>
              </w:rPr>
              <w:t>Test</w:t>
            </w:r>
            <w:r w:rsidR="003831E5" w:rsidRPr="004A0669">
              <w:rPr>
                <w:lang w:val="fr-CA"/>
              </w:rPr>
              <w:t>e</w:t>
            </w:r>
            <w:r w:rsidR="00E2446F" w:rsidRPr="004A0669">
              <w:rPr>
                <w:lang w:val="fr-CA"/>
              </w:rPr>
              <w:t>r</w:t>
            </w:r>
            <w:r w:rsidR="003831E5" w:rsidRPr="004A0669">
              <w:rPr>
                <w:lang w:val="fr-CA"/>
              </w:rPr>
              <w:t xml:space="preserve"> les </w:t>
            </w:r>
            <w:r w:rsidR="00A05D6E" w:rsidRPr="00A05D6E">
              <w:rPr>
                <w:lang w:val="fr-CA"/>
              </w:rPr>
              <w:t>opérations génératrices de produits provenant de redevances (NCA 540)</w:t>
            </w:r>
          </w:p>
          <w:p w14:paraId="31C7C107" w14:textId="1DD0701C" w:rsidR="0019727C" w:rsidRPr="004A0669" w:rsidRDefault="00135187" w:rsidP="00382E99">
            <w:pPr>
              <w:pStyle w:val="ListParagraph"/>
              <w:numPr>
                <w:ilvl w:val="0"/>
                <w:numId w:val="12"/>
              </w:numPr>
              <w:spacing w:before="120" w:after="120"/>
              <w:rPr>
                <w:lang w:val="fr-CA"/>
              </w:rPr>
            </w:pPr>
            <w:r w:rsidRPr="004A0669">
              <w:rPr>
                <w:lang w:val="fr-CA"/>
              </w:rPr>
              <w:t>Test</w:t>
            </w:r>
            <w:r w:rsidR="003831E5" w:rsidRPr="004A0669">
              <w:rPr>
                <w:lang w:val="fr-CA"/>
              </w:rPr>
              <w:t>e</w:t>
            </w:r>
            <w:r w:rsidR="00E2446F" w:rsidRPr="004A0669">
              <w:rPr>
                <w:lang w:val="fr-CA"/>
              </w:rPr>
              <w:t>r</w:t>
            </w:r>
            <w:r w:rsidR="003831E5" w:rsidRPr="004A0669">
              <w:rPr>
                <w:lang w:val="fr-CA"/>
              </w:rPr>
              <w:t xml:space="preserve"> les </w:t>
            </w:r>
            <w:r w:rsidR="00E2446F" w:rsidRPr="004A0669">
              <w:rPr>
                <w:lang w:val="fr-CA"/>
              </w:rPr>
              <w:t>escomptes sur ventes</w:t>
            </w:r>
          </w:p>
          <w:p w14:paraId="18F4335B" w14:textId="1001ED94" w:rsidR="00135187" w:rsidRPr="00473B58" w:rsidRDefault="00135187" w:rsidP="003831E5">
            <w:pPr>
              <w:pStyle w:val="ListParagraph"/>
              <w:numPr>
                <w:ilvl w:val="0"/>
                <w:numId w:val="12"/>
              </w:numPr>
              <w:spacing w:before="120" w:after="120"/>
              <w:rPr>
                <w:lang w:val="fr-CA"/>
              </w:rPr>
            </w:pPr>
            <w:r w:rsidRPr="004A0669">
              <w:rPr>
                <w:lang w:val="fr-CA"/>
              </w:rPr>
              <w:t>Test</w:t>
            </w:r>
            <w:r w:rsidR="003831E5" w:rsidRPr="004A0669">
              <w:rPr>
                <w:lang w:val="fr-CA"/>
              </w:rPr>
              <w:t>er les retours</w:t>
            </w:r>
            <w:r w:rsidR="008F3C38" w:rsidRPr="004A0669">
              <w:rPr>
                <w:lang w:val="fr-CA"/>
              </w:rPr>
              <w:t xml:space="preserve"> sur ventes</w:t>
            </w:r>
          </w:p>
        </w:tc>
      </w:tr>
      <w:tr w:rsidR="00135187" w:rsidRPr="00D97151" w14:paraId="3D924F71" w14:textId="77777777" w:rsidTr="00DD6D5A">
        <w:tc>
          <w:tcPr>
            <w:tcW w:w="2406" w:type="dxa"/>
            <w:tcBorders>
              <w:top w:val="single" w:sz="12" w:space="0" w:color="9CC2E5" w:themeColor="accent1" w:themeTint="99"/>
              <w:left w:val="nil"/>
              <w:bottom w:val="nil"/>
              <w:right w:val="nil"/>
            </w:tcBorders>
          </w:tcPr>
          <w:p w14:paraId="38E7F83B" w14:textId="1511D64C" w:rsidR="00135187" w:rsidRPr="003F170B" w:rsidRDefault="0053156F" w:rsidP="003F170B">
            <w:pPr>
              <w:spacing w:before="120" w:after="120"/>
              <w:rPr>
                <w:lang w:val="fr-CA"/>
              </w:rPr>
            </w:pPr>
            <w:r w:rsidRPr="003F170B">
              <w:rPr>
                <w:lang w:val="fr-CA"/>
              </w:rPr>
              <w:t>Limitation</w:t>
            </w:r>
            <w:r w:rsidR="003F170B" w:rsidRPr="00253DB4">
              <w:rPr>
                <w:lang w:val="fr-CA"/>
              </w:rPr>
              <w:t>s</w:t>
            </w:r>
            <w:r w:rsidRPr="00AE594E">
              <w:rPr>
                <w:lang w:val="fr-CA"/>
              </w:rPr>
              <w:t xml:space="preserve"> </w:t>
            </w:r>
            <w:r w:rsidR="003F170B" w:rsidRPr="00253DB4">
              <w:rPr>
                <w:lang w:val="fr-CA"/>
              </w:rPr>
              <w:t>relatives à la</w:t>
            </w:r>
            <w:r w:rsidRPr="003F170B">
              <w:rPr>
                <w:lang w:val="fr-CA"/>
              </w:rPr>
              <w:t xml:space="preserve"> contrepartie variable </w:t>
            </w:r>
          </w:p>
        </w:tc>
        <w:tc>
          <w:tcPr>
            <w:tcW w:w="2553" w:type="dxa"/>
            <w:tcBorders>
              <w:top w:val="single" w:sz="12" w:space="0" w:color="9CC2E5" w:themeColor="accent1" w:themeTint="99"/>
              <w:left w:val="nil"/>
              <w:bottom w:val="nil"/>
              <w:right w:val="nil"/>
            </w:tcBorders>
          </w:tcPr>
          <w:p w14:paraId="362ABA5D" w14:textId="527EABD2" w:rsidR="009E72E5" w:rsidRPr="00473B58" w:rsidRDefault="009E72E5" w:rsidP="00382E99">
            <w:pPr>
              <w:spacing w:before="120" w:after="120"/>
              <w:rPr>
                <w:lang w:val="fr-CA"/>
              </w:rPr>
            </w:pPr>
            <w:r w:rsidRPr="00473B58">
              <w:rPr>
                <w:lang w:val="fr-CA"/>
              </w:rPr>
              <w:t xml:space="preserve">IFRS 15.56 </w:t>
            </w:r>
            <w:r w:rsidR="0053156F" w:rsidRPr="00473B58">
              <w:rPr>
                <w:lang w:val="fr-CA"/>
              </w:rPr>
              <w:t>à</w:t>
            </w:r>
            <w:r w:rsidRPr="00473B58">
              <w:rPr>
                <w:lang w:val="fr-CA"/>
              </w:rPr>
              <w:t xml:space="preserve"> 58</w:t>
            </w:r>
          </w:p>
          <w:p w14:paraId="463ABECE" w14:textId="4F906089" w:rsidR="00135187" w:rsidRPr="00473B58" w:rsidRDefault="00135187" w:rsidP="00382E99">
            <w:pPr>
              <w:spacing w:before="120" w:after="120"/>
              <w:rPr>
                <w:lang w:val="fr-CA"/>
              </w:rPr>
            </w:pPr>
          </w:p>
        </w:tc>
        <w:tc>
          <w:tcPr>
            <w:tcW w:w="8224" w:type="dxa"/>
            <w:tcBorders>
              <w:top w:val="single" w:sz="12" w:space="0" w:color="9CC2E5" w:themeColor="accent1" w:themeTint="99"/>
              <w:left w:val="nil"/>
              <w:bottom w:val="nil"/>
              <w:right w:val="nil"/>
            </w:tcBorders>
          </w:tcPr>
          <w:p w14:paraId="56B6CAE3" w14:textId="0FC879C5" w:rsidR="00135187" w:rsidRPr="00473B58" w:rsidRDefault="007C50D3" w:rsidP="00AA29D7">
            <w:pPr>
              <w:spacing w:before="120" w:after="120"/>
              <w:rPr>
                <w:lang w:val="fr-CA"/>
              </w:rPr>
            </w:pPr>
            <w:r w:rsidRPr="00473B58">
              <w:rPr>
                <w:lang w:val="fr-CA"/>
              </w:rPr>
              <w:t xml:space="preserve">Lorsqu’une contrepartie variable est identifiée, l’auditeur doit déterminer si la direction a </w:t>
            </w:r>
            <w:r w:rsidR="00AA29D7" w:rsidRPr="00473B58">
              <w:rPr>
                <w:lang w:val="fr-CA"/>
              </w:rPr>
              <w:t>envisagé la possibilité que le dénouement ultérieur de l</w:t>
            </w:r>
            <w:r w:rsidR="00F16DCF" w:rsidRPr="00473B58">
              <w:rPr>
                <w:lang w:val="fr-CA"/>
              </w:rPr>
              <w:t>’</w:t>
            </w:r>
            <w:r w:rsidR="00AA29D7" w:rsidRPr="00473B58">
              <w:rPr>
                <w:lang w:val="fr-CA"/>
              </w:rPr>
              <w:t>incertitude relative à la contrepartie variable ne donne pas lieu à un ajustement à la baisse important du montant cumulatif des produits des activités ordinaires comptabilisé. Po</w:t>
            </w:r>
            <w:r w:rsidRPr="00473B58">
              <w:rPr>
                <w:lang w:val="fr-CA"/>
              </w:rPr>
              <w:t>ur ce faire, la direction doit apprécier à la fois de la probabilité et l</w:t>
            </w:r>
            <w:r w:rsidR="00FF10CF" w:rsidRPr="00473B58">
              <w:rPr>
                <w:lang w:val="fr-CA"/>
              </w:rPr>
              <w:t>’</w:t>
            </w:r>
            <w:r w:rsidRPr="00473B58">
              <w:rPr>
                <w:lang w:val="fr-CA"/>
              </w:rPr>
              <w:t>ampleur de l</w:t>
            </w:r>
            <w:r w:rsidR="00FF10CF" w:rsidRPr="00473B58">
              <w:rPr>
                <w:lang w:val="fr-CA"/>
              </w:rPr>
              <w:t>’</w:t>
            </w:r>
            <w:r w:rsidRPr="00473B58">
              <w:rPr>
                <w:lang w:val="fr-CA"/>
              </w:rPr>
              <w:t>ajustement possible à la baisse des produits des activités ordinaires</w:t>
            </w:r>
            <w:r w:rsidR="009E72E5" w:rsidRPr="00473B58">
              <w:rPr>
                <w:lang w:val="fr-CA"/>
              </w:rPr>
              <w:t>.</w:t>
            </w:r>
          </w:p>
        </w:tc>
      </w:tr>
      <w:tr w:rsidR="009C30B4" w:rsidRPr="00473B58" w14:paraId="69EFDDBC" w14:textId="77777777" w:rsidTr="00A8759A">
        <w:tc>
          <w:tcPr>
            <w:tcW w:w="2406" w:type="dxa"/>
            <w:tcBorders>
              <w:top w:val="single" w:sz="12" w:space="0" w:color="2E74B5" w:themeColor="accent1" w:themeShade="BF"/>
              <w:left w:val="nil"/>
              <w:bottom w:val="single" w:sz="12" w:space="0" w:color="2E74B5" w:themeColor="accent1" w:themeShade="BF"/>
              <w:right w:val="nil"/>
            </w:tcBorders>
            <w:vAlign w:val="bottom"/>
          </w:tcPr>
          <w:p w14:paraId="20C48528" w14:textId="7E681802" w:rsidR="009C30B4" w:rsidRPr="00AE594E" w:rsidRDefault="009C30B4" w:rsidP="009C30B4">
            <w:pPr>
              <w:spacing w:before="120" w:after="120"/>
              <w:rPr>
                <w:color w:val="2E74B5" w:themeColor="accent1" w:themeShade="BF"/>
                <w:lang w:val="fr-CA"/>
              </w:rPr>
            </w:pPr>
            <w:r w:rsidRPr="00AE594E">
              <w:rPr>
                <w:b/>
                <w:color w:val="2E74B5" w:themeColor="accent1" w:themeShade="BF"/>
                <w:lang w:val="fr-CA"/>
              </w:rPr>
              <w:t>N</w:t>
            </w:r>
            <w:r w:rsidRPr="00AE594E">
              <w:rPr>
                <w:b/>
                <w:color w:val="2E74B5" w:themeColor="accent1" w:themeShade="BF"/>
                <w:vertAlign w:val="superscript"/>
                <w:lang w:val="fr-CA"/>
              </w:rPr>
              <w:t>o</w:t>
            </w:r>
            <w:r w:rsidR="00A352F0" w:rsidRPr="00AE594E">
              <w:rPr>
                <w:b/>
                <w:color w:val="2E74B5" w:themeColor="accent1" w:themeShade="BF"/>
                <w:lang w:val="fr-CA"/>
              </w:rPr>
              <w:t>/</w:t>
            </w:r>
            <w:r w:rsidRPr="00AE594E">
              <w:rPr>
                <w:b/>
                <w:color w:val="2E74B5" w:themeColor="accent1" w:themeShade="BF"/>
                <w:lang w:val="fr-CA"/>
              </w:rPr>
              <w:t>titre de la procédure</w:t>
            </w:r>
          </w:p>
        </w:tc>
        <w:tc>
          <w:tcPr>
            <w:tcW w:w="2553" w:type="dxa"/>
            <w:tcBorders>
              <w:top w:val="single" w:sz="12" w:space="0" w:color="2E74B5" w:themeColor="accent1" w:themeShade="BF"/>
              <w:left w:val="nil"/>
              <w:bottom w:val="single" w:sz="12" w:space="0" w:color="2E74B5" w:themeColor="accent1" w:themeShade="BF"/>
              <w:right w:val="nil"/>
            </w:tcBorders>
            <w:vAlign w:val="bottom"/>
          </w:tcPr>
          <w:p w14:paraId="2E350B83" w14:textId="3221DD37" w:rsidR="009C30B4" w:rsidRPr="00473B58" w:rsidRDefault="009C30B4" w:rsidP="00AA29D7">
            <w:pPr>
              <w:spacing w:before="120" w:after="120"/>
              <w:rPr>
                <w:color w:val="2E74B5" w:themeColor="accent1" w:themeShade="BF"/>
                <w:lang w:val="fr-CA"/>
              </w:rPr>
            </w:pPr>
            <w:r w:rsidRPr="00473B58">
              <w:rPr>
                <w:b/>
                <w:color w:val="2E74B5" w:themeColor="accent1" w:themeShade="BF"/>
                <w:lang w:val="fr-CA"/>
              </w:rPr>
              <w:t xml:space="preserve">Paragraphes </w:t>
            </w:r>
            <w:r w:rsidR="00AA29D7"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224" w:type="dxa"/>
            <w:tcBorders>
              <w:top w:val="single" w:sz="12" w:space="0" w:color="2E74B5" w:themeColor="accent1" w:themeShade="BF"/>
              <w:left w:val="nil"/>
              <w:bottom w:val="single" w:sz="12" w:space="0" w:color="2E74B5" w:themeColor="accent1" w:themeShade="BF"/>
              <w:right w:val="nil"/>
            </w:tcBorders>
            <w:vAlign w:val="bottom"/>
          </w:tcPr>
          <w:p w14:paraId="44075FB8" w14:textId="7A6DE23E" w:rsidR="009C30B4" w:rsidRPr="00473B58" w:rsidRDefault="009C30B4" w:rsidP="009C30B4">
            <w:pPr>
              <w:spacing w:before="120" w:after="120"/>
              <w:rPr>
                <w:color w:val="2E74B5" w:themeColor="accent1" w:themeShade="BF"/>
                <w:lang w:val="fr-CA"/>
              </w:rPr>
            </w:pPr>
            <w:r w:rsidRPr="00473B58">
              <w:rPr>
                <w:b/>
                <w:color w:val="2E74B5" w:themeColor="accent1" w:themeShade="BF"/>
                <w:lang w:val="fr-CA"/>
              </w:rPr>
              <w:t xml:space="preserve">Directives </w:t>
            </w:r>
          </w:p>
        </w:tc>
      </w:tr>
      <w:tr w:rsidR="00DE18DF" w:rsidRPr="00D97151" w14:paraId="66E6C097" w14:textId="77777777" w:rsidTr="00D1500C">
        <w:trPr>
          <w:trHeight w:val="3249"/>
        </w:trPr>
        <w:tc>
          <w:tcPr>
            <w:tcW w:w="2406" w:type="dxa"/>
            <w:tcBorders>
              <w:top w:val="single" w:sz="12" w:space="0" w:color="2E74B5" w:themeColor="accent1" w:themeShade="BF"/>
              <w:left w:val="nil"/>
              <w:bottom w:val="single" w:sz="12" w:space="0" w:color="9CC2E5" w:themeColor="accent1" w:themeTint="99"/>
              <w:right w:val="nil"/>
            </w:tcBorders>
          </w:tcPr>
          <w:p w14:paraId="321A6D2F" w14:textId="6856E8B7" w:rsidR="00DE18DF" w:rsidRPr="00DF282F" w:rsidRDefault="008F3C38" w:rsidP="00AE594E">
            <w:pPr>
              <w:spacing w:before="120" w:after="120"/>
              <w:rPr>
                <w:lang w:val="fr-CA"/>
              </w:rPr>
            </w:pPr>
            <w:r w:rsidRPr="00AE594E">
              <w:rPr>
                <w:lang w:val="fr-CA"/>
              </w:rPr>
              <w:t>Appréciation de l’existence</w:t>
            </w:r>
            <w:r w:rsidRPr="00DF282F">
              <w:rPr>
                <w:lang w:val="fr-CA"/>
              </w:rPr>
              <w:t xml:space="preserve"> </w:t>
            </w:r>
            <w:r w:rsidR="007C50D3" w:rsidRPr="00DF282F">
              <w:rPr>
                <w:lang w:val="fr-CA"/>
              </w:rPr>
              <w:t>d’une composante</w:t>
            </w:r>
            <w:r w:rsidR="00AE594E" w:rsidRPr="00DF282F">
              <w:rPr>
                <w:lang w:val="fr-CA"/>
              </w:rPr>
              <w:t xml:space="preserve"> de</w:t>
            </w:r>
            <w:r w:rsidR="007C50D3" w:rsidRPr="00AE594E">
              <w:rPr>
                <w:lang w:val="fr-CA"/>
              </w:rPr>
              <w:t xml:space="preserve"> financement importante </w:t>
            </w:r>
            <w:r w:rsidR="007C50D3" w:rsidRPr="00DF282F">
              <w:rPr>
                <w:lang w:val="fr-CA"/>
              </w:rPr>
              <w:t xml:space="preserve"> </w:t>
            </w:r>
          </w:p>
        </w:tc>
        <w:tc>
          <w:tcPr>
            <w:tcW w:w="2553" w:type="dxa"/>
            <w:tcBorders>
              <w:top w:val="single" w:sz="12" w:space="0" w:color="2E74B5" w:themeColor="accent1" w:themeShade="BF"/>
              <w:left w:val="nil"/>
              <w:bottom w:val="single" w:sz="12" w:space="0" w:color="9CC2E5" w:themeColor="accent1" w:themeTint="99"/>
              <w:right w:val="nil"/>
            </w:tcBorders>
          </w:tcPr>
          <w:p w14:paraId="2E7FA1D8" w14:textId="6E389BFE" w:rsidR="00DE18DF" w:rsidRPr="00473B58" w:rsidRDefault="00DE18DF" w:rsidP="00382E99">
            <w:pPr>
              <w:spacing w:before="120" w:after="120"/>
              <w:rPr>
                <w:lang w:val="fr-CA"/>
              </w:rPr>
            </w:pPr>
            <w:r w:rsidRPr="00473B58">
              <w:rPr>
                <w:lang w:val="fr-CA"/>
              </w:rPr>
              <w:t>I</w:t>
            </w:r>
            <w:r w:rsidR="007C50D3" w:rsidRPr="00473B58">
              <w:rPr>
                <w:lang w:val="fr-CA"/>
              </w:rPr>
              <w:t>FRS 15.60 à</w:t>
            </w:r>
            <w:r w:rsidRPr="00473B58">
              <w:rPr>
                <w:lang w:val="fr-CA"/>
              </w:rPr>
              <w:t xml:space="preserve"> 63</w:t>
            </w:r>
          </w:p>
          <w:p w14:paraId="3ADB6F87" w14:textId="353792A7" w:rsidR="00DE18DF" w:rsidRPr="00473B58" w:rsidRDefault="00DE18DF" w:rsidP="00382E99">
            <w:pPr>
              <w:spacing w:before="120" w:after="120"/>
              <w:rPr>
                <w:lang w:val="fr-CA"/>
              </w:rPr>
            </w:pPr>
          </w:p>
        </w:tc>
        <w:tc>
          <w:tcPr>
            <w:tcW w:w="8224" w:type="dxa"/>
            <w:tcBorders>
              <w:top w:val="single" w:sz="12" w:space="0" w:color="2E74B5" w:themeColor="accent1" w:themeShade="BF"/>
              <w:left w:val="nil"/>
              <w:bottom w:val="single" w:sz="12" w:space="0" w:color="9CC2E5" w:themeColor="accent1" w:themeTint="99"/>
              <w:right w:val="nil"/>
            </w:tcBorders>
          </w:tcPr>
          <w:p w14:paraId="09D7B9D6" w14:textId="692A9CC7" w:rsidR="00DE18DF" w:rsidRPr="00473B58" w:rsidRDefault="00E76A6D" w:rsidP="00382E99">
            <w:pPr>
              <w:spacing w:before="120" w:after="120"/>
              <w:rPr>
                <w:lang w:val="fr-CA"/>
              </w:rPr>
            </w:pPr>
            <w:r w:rsidRPr="00473B58">
              <w:rPr>
                <w:lang w:val="fr-CA"/>
              </w:rPr>
              <w:t xml:space="preserve">Les </w:t>
            </w:r>
            <w:r w:rsidR="00DE18DF" w:rsidRPr="00473B58">
              <w:rPr>
                <w:lang w:val="fr-CA"/>
              </w:rPr>
              <w:t>proc</w:t>
            </w:r>
            <w:r w:rsidRPr="00473B58">
              <w:rPr>
                <w:lang w:val="fr-CA"/>
              </w:rPr>
              <w:t>é</w:t>
            </w:r>
            <w:r w:rsidR="00DE18DF" w:rsidRPr="00473B58">
              <w:rPr>
                <w:lang w:val="fr-CA"/>
              </w:rPr>
              <w:t xml:space="preserve">dures </w:t>
            </w:r>
            <w:r w:rsidR="002D031B" w:rsidRPr="00473B58">
              <w:rPr>
                <w:lang w:val="fr-CA"/>
              </w:rPr>
              <w:t>visent à vérifier s’il existe une «</w:t>
            </w:r>
            <w:r w:rsidR="00A352F0" w:rsidRPr="00473B58">
              <w:rPr>
                <w:lang w:val="fr-CA"/>
              </w:rPr>
              <w:t> </w:t>
            </w:r>
            <w:r w:rsidR="00DE18DF" w:rsidRPr="00473B58">
              <w:rPr>
                <w:b/>
                <w:lang w:val="fr-CA"/>
              </w:rPr>
              <w:t>co</w:t>
            </w:r>
            <w:r w:rsidRPr="00473B58">
              <w:rPr>
                <w:b/>
                <w:lang w:val="fr-CA"/>
              </w:rPr>
              <w:t xml:space="preserve">mposante </w:t>
            </w:r>
            <w:r w:rsidR="00CF7699">
              <w:rPr>
                <w:b/>
                <w:lang w:val="fr-CA"/>
              </w:rPr>
              <w:t xml:space="preserve">de </w:t>
            </w:r>
            <w:r w:rsidRPr="00473B58">
              <w:rPr>
                <w:b/>
                <w:lang w:val="fr-CA"/>
              </w:rPr>
              <w:t>financement importante</w:t>
            </w:r>
            <w:r w:rsidR="00A352F0" w:rsidRPr="00473B58">
              <w:rPr>
                <w:lang w:val="fr-CA"/>
              </w:rPr>
              <w:t> </w:t>
            </w:r>
            <w:r w:rsidR="002D031B" w:rsidRPr="00473B58">
              <w:rPr>
                <w:lang w:val="fr-CA"/>
              </w:rPr>
              <w:t xml:space="preserve">» dans le contrat et si, de ce fait, il </w:t>
            </w:r>
            <w:r w:rsidR="000D5A1E" w:rsidRPr="00473B58">
              <w:rPr>
                <w:lang w:val="fr-CA"/>
              </w:rPr>
              <w:t xml:space="preserve">aurait fallu </w:t>
            </w:r>
            <w:r w:rsidR="002D031B" w:rsidRPr="00473B58">
              <w:rPr>
                <w:lang w:val="fr-CA"/>
              </w:rPr>
              <w:t>ajuster le pri</w:t>
            </w:r>
            <w:r w:rsidR="000D5A1E" w:rsidRPr="00473B58">
              <w:rPr>
                <w:lang w:val="fr-CA"/>
              </w:rPr>
              <w:t>x de transaction en conséquence. L’auditeur doit aussi tester l’ajustement apporté, le cas échéant. La question de savoir si une composante financement est importante ou non d</w:t>
            </w:r>
            <w:r w:rsidR="006B69DF">
              <w:rPr>
                <w:lang w:val="fr-CA"/>
              </w:rPr>
              <w:t>evrait</w:t>
            </w:r>
            <w:r w:rsidR="000D5A1E" w:rsidRPr="00473B58">
              <w:rPr>
                <w:lang w:val="fr-CA"/>
              </w:rPr>
              <w:t xml:space="preserve"> se poser au niveau du contrat. Il n’est pas nécessaire de déterminer l’incidence</w:t>
            </w:r>
            <w:r w:rsidR="0034617D" w:rsidRPr="00473B58">
              <w:rPr>
                <w:lang w:val="fr-CA"/>
              </w:rPr>
              <w:t xml:space="preserve"> sur les états financiers de tous les contrats pris </w:t>
            </w:r>
            <w:r w:rsidR="00AA29D7" w:rsidRPr="00473B58">
              <w:rPr>
                <w:lang w:val="fr-CA"/>
              </w:rPr>
              <w:t xml:space="preserve">dans leur </w:t>
            </w:r>
            <w:r w:rsidR="0034617D" w:rsidRPr="00473B58">
              <w:rPr>
                <w:lang w:val="fr-CA"/>
              </w:rPr>
              <w:t xml:space="preserve">ensemble. </w:t>
            </w:r>
            <w:r w:rsidR="000D5A1E" w:rsidRPr="00473B58">
              <w:rPr>
                <w:lang w:val="fr-CA"/>
              </w:rPr>
              <w:t xml:space="preserve">  </w:t>
            </w:r>
            <w:r w:rsidR="00DE18DF" w:rsidRPr="00473B58">
              <w:rPr>
                <w:lang w:val="fr-CA"/>
              </w:rPr>
              <w:t xml:space="preserve"> </w:t>
            </w:r>
          </w:p>
          <w:p w14:paraId="3400FD97" w14:textId="63957E47" w:rsidR="00DE18DF" w:rsidRPr="00473B58" w:rsidRDefault="0034617D" w:rsidP="00382E99">
            <w:pPr>
              <w:spacing w:before="120" w:after="120"/>
              <w:rPr>
                <w:lang w:val="fr-CA"/>
              </w:rPr>
            </w:pPr>
            <w:r w:rsidRPr="00473B58">
              <w:rPr>
                <w:lang w:val="fr-CA"/>
              </w:rPr>
              <w:t>Lorsqu’elle d</w:t>
            </w:r>
            <w:r w:rsidR="00A53441" w:rsidRPr="00473B58">
              <w:rPr>
                <w:lang w:val="fr-CA"/>
              </w:rPr>
              <w:t>é</w:t>
            </w:r>
            <w:r w:rsidRPr="00473B58">
              <w:rPr>
                <w:lang w:val="fr-CA"/>
              </w:rPr>
              <w:t>termine le prix de transaction, l’entité doit ajuster l</w:t>
            </w:r>
            <w:r w:rsidR="008F3C38" w:rsidRPr="00473B58">
              <w:rPr>
                <w:lang w:val="fr-CA"/>
              </w:rPr>
              <w:t xml:space="preserve">e montant de la contrepartie promis pour tenir compte des effets de la valeur temps de l’argent si le calendrier des paiements convenu par les parties au contrat </w:t>
            </w:r>
            <w:r w:rsidRPr="00473B58">
              <w:rPr>
                <w:lang w:val="fr-CA"/>
              </w:rPr>
              <w:t xml:space="preserve">(explicitement ou implicitement) </w:t>
            </w:r>
            <w:r w:rsidR="008F3C38" w:rsidRPr="00473B58">
              <w:rPr>
                <w:lang w:val="fr-CA"/>
              </w:rPr>
              <w:t>procure au client ou à l’entité un avantage important relatif au financement de la fourniture des biens ou des services au client.</w:t>
            </w:r>
          </w:p>
          <w:p w14:paraId="0F526483" w14:textId="21220B8D" w:rsidR="00DE18DF" w:rsidRPr="00473B58" w:rsidRDefault="0034617D" w:rsidP="00AA29D7">
            <w:pPr>
              <w:spacing w:before="120" w:after="120"/>
              <w:rPr>
                <w:lang w:val="fr-CA"/>
              </w:rPr>
            </w:pPr>
            <w:r w:rsidRPr="00473B58">
              <w:rPr>
                <w:lang w:val="fr-CA"/>
              </w:rPr>
              <w:t>Il faut savoir que la colonne «</w:t>
            </w:r>
            <w:r w:rsidR="00A352F0" w:rsidRPr="00473B58">
              <w:rPr>
                <w:lang w:val="fr-CA"/>
              </w:rPr>
              <w:t> </w:t>
            </w:r>
            <w:r w:rsidRPr="00473B58">
              <w:rPr>
                <w:lang w:val="fr-CA"/>
              </w:rPr>
              <w:t>AE</w:t>
            </w:r>
            <w:r w:rsidR="00A352F0" w:rsidRPr="00473B58">
              <w:rPr>
                <w:lang w:val="fr-CA"/>
              </w:rPr>
              <w:t> </w:t>
            </w:r>
            <w:r w:rsidRPr="00473B58">
              <w:rPr>
                <w:lang w:val="fr-CA"/>
              </w:rPr>
              <w:t xml:space="preserve">» </w:t>
            </w:r>
            <w:r w:rsidRPr="00DF282F">
              <w:rPr>
                <w:lang w:val="fr-CA"/>
              </w:rPr>
              <w:t>du tableau de tests porte</w:t>
            </w:r>
            <w:r w:rsidRPr="00473B58">
              <w:rPr>
                <w:lang w:val="fr-CA"/>
              </w:rPr>
              <w:t xml:space="preserve"> sur une </w:t>
            </w:r>
            <w:r w:rsidRPr="00473B58">
              <w:rPr>
                <w:b/>
                <w:lang w:val="fr-CA"/>
              </w:rPr>
              <w:t>mesure de simplification</w:t>
            </w:r>
            <w:r w:rsidRPr="00473B58">
              <w:rPr>
                <w:lang w:val="fr-CA"/>
              </w:rPr>
              <w:t xml:space="preserve"> qui permet à l’entité de ne pas ajuster le prix de transaction si</w:t>
            </w:r>
            <w:r w:rsidR="00877C6E" w:rsidRPr="00473B58">
              <w:rPr>
                <w:lang w:val="fr-CA"/>
              </w:rPr>
              <w:t xml:space="preserve"> l</w:t>
            </w:r>
            <w:r w:rsidR="00FF10CF" w:rsidRPr="00473B58">
              <w:rPr>
                <w:lang w:val="fr-CA"/>
              </w:rPr>
              <w:t>’</w:t>
            </w:r>
            <w:r w:rsidR="00877C6E" w:rsidRPr="00473B58">
              <w:rPr>
                <w:lang w:val="fr-CA"/>
              </w:rPr>
              <w:t>intervalle entre le moment où elle fournira un bien ou un service promis au client et le moment où le client paiera ce bien ou ce service n</w:t>
            </w:r>
            <w:r w:rsidR="00FF10CF" w:rsidRPr="00473B58">
              <w:rPr>
                <w:lang w:val="fr-CA"/>
              </w:rPr>
              <w:t>’</w:t>
            </w:r>
            <w:r w:rsidR="00877C6E" w:rsidRPr="00473B58">
              <w:rPr>
                <w:lang w:val="fr-CA"/>
              </w:rPr>
              <w:t>exc</w:t>
            </w:r>
            <w:r w:rsidR="00AA29D7" w:rsidRPr="00473B58">
              <w:rPr>
                <w:lang w:val="fr-CA"/>
              </w:rPr>
              <w:t>édera p</w:t>
            </w:r>
            <w:r w:rsidR="00877C6E" w:rsidRPr="00473B58">
              <w:rPr>
                <w:lang w:val="fr-CA"/>
              </w:rPr>
              <w:t>as un an.</w:t>
            </w:r>
          </w:p>
        </w:tc>
      </w:tr>
      <w:tr w:rsidR="00DE18DF" w:rsidRPr="00D97151" w14:paraId="54925671" w14:textId="77777777" w:rsidTr="00DE18DF">
        <w:tc>
          <w:tcPr>
            <w:tcW w:w="2406" w:type="dxa"/>
            <w:tcBorders>
              <w:top w:val="single" w:sz="12" w:space="0" w:color="9CC2E5" w:themeColor="accent1" w:themeTint="99"/>
              <w:left w:val="nil"/>
              <w:bottom w:val="single" w:sz="12" w:space="0" w:color="9CC2E5" w:themeColor="accent1" w:themeTint="99"/>
              <w:right w:val="nil"/>
            </w:tcBorders>
          </w:tcPr>
          <w:p w14:paraId="3D775A3D" w14:textId="1302EF3F" w:rsidR="00DE18DF" w:rsidRPr="00DF282F" w:rsidRDefault="00586822" w:rsidP="002D031B">
            <w:pPr>
              <w:spacing w:before="120" w:after="120"/>
              <w:rPr>
                <w:lang w:val="fr-CA"/>
              </w:rPr>
            </w:pPr>
            <w:r w:rsidRPr="00DF282F">
              <w:rPr>
                <w:lang w:val="fr-CA"/>
              </w:rPr>
              <w:t xml:space="preserve">Contrepartie </w:t>
            </w:r>
            <w:r w:rsidR="002D031B" w:rsidRPr="00DF282F">
              <w:rPr>
                <w:lang w:val="fr-CA"/>
              </w:rPr>
              <w:t xml:space="preserve">fixe ou variable </w:t>
            </w:r>
            <w:r w:rsidR="004918D2" w:rsidRPr="00DF282F">
              <w:rPr>
                <w:lang w:val="fr-CA"/>
              </w:rPr>
              <w:t xml:space="preserve">autre qu’en trésorerie </w:t>
            </w:r>
          </w:p>
        </w:tc>
        <w:tc>
          <w:tcPr>
            <w:tcW w:w="2553" w:type="dxa"/>
            <w:tcBorders>
              <w:top w:val="single" w:sz="12" w:space="0" w:color="9CC2E5" w:themeColor="accent1" w:themeTint="99"/>
              <w:left w:val="nil"/>
              <w:bottom w:val="single" w:sz="12" w:space="0" w:color="9CC2E5" w:themeColor="accent1" w:themeTint="99"/>
              <w:right w:val="nil"/>
            </w:tcBorders>
          </w:tcPr>
          <w:p w14:paraId="146916F7" w14:textId="661D176D" w:rsidR="00DE18DF" w:rsidRPr="00473B58" w:rsidRDefault="00DE18DF" w:rsidP="00382E99">
            <w:pPr>
              <w:spacing w:before="120" w:after="120"/>
              <w:rPr>
                <w:lang w:val="fr-CA"/>
              </w:rPr>
            </w:pPr>
            <w:r w:rsidRPr="00473B58">
              <w:rPr>
                <w:lang w:val="fr-CA"/>
              </w:rPr>
              <w:t>IFRS 15.66</w:t>
            </w:r>
            <w:r w:rsidR="004918D2" w:rsidRPr="00473B58">
              <w:rPr>
                <w:lang w:val="fr-CA"/>
              </w:rPr>
              <w:t xml:space="preserve"> à </w:t>
            </w:r>
            <w:r w:rsidRPr="00473B58">
              <w:rPr>
                <w:lang w:val="fr-CA"/>
              </w:rPr>
              <w:t>69</w:t>
            </w:r>
          </w:p>
          <w:p w14:paraId="26CDB9E4" w14:textId="77777777" w:rsidR="00DE18DF" w:rsidRPr="00473B58" w:rsidRDefault="00DE18DF" w:rsidP="00382E99">
            <w:pPr>
              <w:spacing w:before="120" w:after="120"/>
              <w:rPr>
                <w:lang w:val="fr-CA"/>
              </w:rPr>
            </w:pPr>
          </w:p>
        </w:tc>
        <w:tc>
          <w:tcPr>
            <w:tcW w:w="8224" w:type="dxa"/>
            <w:tcBorders>
              <w:top w:val="single" w:sz="12" w:space="0" w:color="9CC2E5" w:themeColor="accent1" w:themeTint="99"/>
              <w:left w:val="nil"/>
              <w:bottom w:val="single" w:sz="12" w:space="0" w:color="9CC2E5" w:themeColor="accent1" w:themeTint="99"/>
              <w:right w:val="nil"/>
            </w:tcBorders>
          </w:tcPr>
          <w:p w14:paraId="3D61309A" w14:textId="64CC4774" w:rsidR="00DE18DF" w:rsidRPr="00473B58" w:rsidRDefault="00877C6E" w:rsidP="00877C6E">
            <w:pPr>
              <w:spacing w:before="120" w:after="120"/>
              <w:rPr>
                <w:lang w:val="fr-CA"/>
              </w:rPr>
            </w:pPr>
            <w:r w:rsidRPr="00473B58">
              <w:rPr>
                <w:lang w:val="fr-CA"/>
              </w:rPr>
              <w:t xml:space="preserve">Si une </w:t>
            </w:r>
            <w:r w:rsidRPr="00473B58">
              <w:rPr>
                <w:b/>
                <w:lang w:val="fr-CA"/>
              </w:rPr>
              <w:t>contrepartie autre qu’en trésorerie</w:t>
            </w:r>
            <w:r w:rsidRPr="00473B58">
              <w:rPr>
                <w:lang w:val="fr-CA"/>
              </w:rPr>
              <w:t xml:space="preserve"> (</w:t>
            </w:r>
            <w:r w:rsidRPr="00473B58">
              <w:rPr>
                <w:b/>
                <w:lang w:val="fr-CA"/>
              </w:rPr>
              <w:t>fixe</w:t>
            </w:r>
            <w:r w:rsidRPr="00473B58">
              <w:rPr>
                <w:lang w:val="fr-CA"/>
              </w:rPr>
              <w:t xml:space="preserve"> ou </w:t>
            </w:r>
            <w:r w:rsidRPr="00473B58">
              <w:rPr>
                <w:b/>
                <w:lang w:val="fr-CA"/>
              </w:rPr>
              <w:t>variable</w:t>
            </w:r>
            <w:r w:rsidRPr="00473B58">
              <w:rPr>
                <w:lang w:val="fr-CA"/>
              </w:rPr>
              <w:t>) est identifiée dans le contrat,</w:t>
            </w:r>
            <w:r w:rsidRPr="00473B58">
              <w:rPr>
                <w:b/>
                <w:lang w:val="fr-CA"/>
              </w:rPr>
              <w:t xml:space="preserve"> </w:t>
            </w:r>
            <w:r w:rsidRPr="00473B58">
              <w:rPr>
                <w:lang w:val="fr-CA"/>
              </w:rPr>
              <w:t>l’entité doit alors évaluer cette contrepartie à la juste valeur et l’auditeur doit tester cette évaluation en juste valeur. Il peut envisager d’avoir recours à un spécialiste ou à un expert de son choix s’il s’agit d’une évaluation à la juste valeur significative.</w:t>
            </w:r>
          </w:p>
        </w:tc>
      </w:tr>
      <w:tr w:rsidR="00DE18DF" w:rsidRPr="00D97151" w14:paraId="7B9C4CC8" w14:textId="77777777" w:rsidTr="00DE18DF">
        <w:tc>
          <w:tcPr>
            <w:tcW w:w="2406" w:type="dxa"/>
            <w:tcBorders>
              <w:top w:val="single" w:sz="12" w:space="0" w:color="9CC2E5" w:themeColor="accent1" w:themeTint="99"/>
              <w:left w:val="nil"/>
              <w:bottom w:val="single" w:sz="12" w:space="0" w:color="9CC2E5" w:themeColor="accent1" w:themeTint="99"/>
              <w:right w:val="nil"/>
            </w:tcBorders>
          </w:tcPr>
          <w:p w14:paraId="0D0B065E" w14:textId="1EDC50F5" w:rsidR="00DE18DF" w:rsidRPr="0067477A" w:rsidRDefault="00DE18DF" w:rsidP="00C777BE">
            <w:pPr>
              <w:spacing w:before="120" w:after="120"/>
              <w:rPr>
                <w:lang w:val="fr-CA"/>
              </w:rPr>
            </w:pPr>
            <w:r w:rsidRPr="0067477A">
              <w:rPr>
                <w:lang w:val="fr-CA"/>
              </w:rPr>
              <w:t>Con</w:t>
            </w:r>
            <w:r w:rsidR="00C777BE" w:rsidRPr="0067477A">
              <w:rPr>
                <w:lang w:val="fr-CA"/>
              </w:rPr>
              <w:t xml:space="preserve">trepartie </w:t>
            </w:r>
            <w:r w:rsidRPr="0067477A">
              <w:rPr>
                <w:lang w:val="fr-CA"/>
              </w:rPr>
              <w:t>payable</w:t>
            </w:r>
          </w:p>
        </w:tc>
        <w:tc>
          <w:tcPr>
            <w:tcW w:w="2553" w:type="dxa"/>
            <w:tcBorders>
              <w:top w:val="single" w:sz="12" w:space="0" w:color="9CC2E5" w:themeColor="accent1" w:themeTint="99"/>
              <w:left w:val="nil"/>
              <w:bottom w:val="single" w:sz="12" w:space="0" w:color="9CC2E5" w:themeColor="accent1" w:themeTint="99"/>
              <w:right w:val="nil"/>
            </w:tcBorders>
          </w:tcPr>
          <w:p w14:paraId="2C9233C7" w14:textId="0BCA00B3" w:rsidR="00DE18DF" w:rsidRPr="00473B58" w:rsidRDefault="00AA29D7" w:rsidP="00382E99">
            <w:pPr>
              <w:spacing w:before="120" w:after="120"/>
              <w:rPr>
                <w:lang w:val="fr-CA"/>
              </w:rPr>
            </w:pPr>
            <w:r w:rsidRPr="00473B58">
              <w:rPr>
                <w:lang w:val="fr-CA"/>
              </w:rPr>
              <w:t>IFRS 15.70 à</w:t>
            </w:r>
            <w:r w:rsidR="00DE18DF" w:rsidRPr="00473B58">
              <w:rPr>
                <w:lang w:val="fr-CA"/>
              </w:rPr>
              <w:t xml:space="preserve"> 72</w:t>
            </w:r>
          </w:p>
          <w:p w14:paraId="7B000B67" w14:textId="733D9BA1" w:rsidR="00DE18DF" w:rsidRPr="00473B58" w:rsidRDefault="00DE18DF" w:rsidP="00382E99">
            <w:pPr>
              <w:spacing w:before="120" w:after="120"/>
              <w:rPr>
                <w:lang w:val="fr-CA"/>
              </w:rPr>
            </w:pPr>
          </w:p>
        </w:tc>
        <w:tc>
          <w:tcPr>
            <w:tcW w:w="8224" w:type="dxa"/>
            <w:tcBorders>
              <w:top w:val="single" w:sz="12" w:space="0" w:color="9CC2E5" w:themeColor="accent1" w:themeTint="99"/>
              <w:left w:val="nil"/>
              <w:bottom w:val="single" w:sz="12" w:space="0" w:color="9CC2E5" w:themeColor="accent1" w:themeTint="99"/>
              <w:right w:val="nil"/>
            </w:tcBorders>
          </w:tcPr>
          <w:p w14:paraId="1C3105BE" w14:textId="22CD7881" w:rsidR="00DE18DF" w:rsidRPr="00473B58" w:rsidRDefault="00877C6E" w:rsidP="00382E99">
            <w:pPr>
              <w:spacing w:before="120" w:after="120"/>
              <w:rPr>
                <w:lang w:val="fr-CA"/>
              </w:rPr>
            </w:pPr>
            <w:r w:rsidRPr="00473B58">
              <w:rPr>
                <w:lang w:val="fr-CA"/>
              </w:rPr>
              <w:t xml:space="preserve">Si l’entité paie une contrepartie au client (p. ex. sommes en espèces, </w:t>
            </w:r>
            <w:r w:rsidR="005705CE" w:rsidRPr="00473B58">
              <w:rPr>
                <w:lang w:val="fr-CA"/>
              </w:rPr>
              <w:t>notes de crédit</w:t>
            </w:r>
            <w:r w:rsidRPr="00473B58">
              <w:rPr>
                <w:lang w:val="fr-CA"/>
              </w:rPr>
              <w:t>)</w:t>
            </w:r>
            <w:r w:rsidR="005705CE" w:rsidRPr="00473B58">
              <w:rPr>
                <w:lang w:val="fr-CA"/>
              </w:rPr>
              <w:t xml:space="preserve">, cette contrepartie doit </w:t>
            </w:r>
            <w:r w:rsidR="00A53441" w:rsidRPr="00473B58">
              <w:rPr>
                <w:lang w:val="fr-CA"/>
              </w:rPr>
              <w:t>être traitée</w:t>
            </w:r>
            <w:r w:rsidR="005705CE" w:rsidRPr="00473B58">
              <w:rPr>
                <w:lang w:val="fr-CA"/>
              </w:rPr>
              <w:t xml:space="preserve"> comme une réduction du prix de transaction, sauf si le paiement au client est effectué en échange d</w:t>
            </w:r>
            <w:r w:rsidR="00AA29D7" w:rsidRPr="00473B58">
              <w:rPr>
                <w:lang w:val="fr-CA"/>
              </w:rPr>
              <w:t>e</w:t>
            </w:r>
            <w:r w:rsidR="005705CE" w:rsidRPr="00473B58">
              <w:rPr>
                <w:lang w:val="fr-CA"/>
              </w:rPr>
              <w:t xml:space="preserve"> bien</w:t>
            </w:r>
            <w:r w:rsidR="00AA29D7" w:rsidRPr="00473B58">
              <w:rPr>
                <w:lang w:val="fr-CA"/>
              </w:rPr>
              <w:t>s</w:t>
            </w:r>
            <w:r w:rsidR="005705CE" w:rsidRPr="00473B58">
              <w:rPr>
                <w:lang w:val="fr-CA"/>
              </w:rPr>
              <w:t xml:space="preserve"> ou d</w:t>
            </w:r>
            <w:r w:rsidR="00AA29D7" w:rsidRPr="00473B58">
              <w:rPr>
                <w:lang w:val="fr-CA"/>
              </w:rPr>
              <w:t>e</w:t>
            </w:r>
            <w:r w:rsidR="005705CE" w:rsidRPr="00473B58">
              <w:rPr>
                <w:lang w:val="fr-CA"/>
              </w:rPr>
              <w:t xml:space="preserve"> service</w:t>
            </w:r>
            <w:r w:rsidR="00AA29D7" w:rsidRPr="00473B58">
              <w:rPr>
                <w:lang w:val="fr-CA"/>
              </w:rPr>
              <w:t>s</w:t>
            </w:r>
            <w:r w:rsidR="005705CE" w:rsidRPr="00473B58">
              <w:rPr>
                <w:lang w:val="fr-CA"/>
              </w:rPr>
              <w:t xml:space="preserve"> fourni</w:t>
            </w:r>
            <w:r w:rsidR="00F16DCF" w:rsidRPr="00473B58">
              <w:rPr>
                <w:lang w:val="fr-CA"/>
              </w:rPr>
              <w:t>s</w:t>
            </w:r>
            <w:r w:rsidR="005705CE" w:rsidRPr="00473B58">
              <w:rPr>
                <w:lang w:val="fr-CA"/>
              </w:rPr>
              <w:t xml:space="preserve"> à l</w:t>
            </w:r>
            <w:r w:rsidR="00FF10CF" w:rsidRPr="00473B58">
              <w:rPr>
                <w:lang w:val="fr-CA"/>
              </w:rPr>
              <w:t>’</w:t>
            </w:r>
            <w:r w:rsidR="005705CE" w:rsidRPr="00473B58">
              <w:rPr>
                <w:lang w:val="fr-CA"/>
              </w:rPr>
              <w:t xml:space="preserve">entité et que le montant </w:t>
            </w:r>
            <w:r w:rsidR="00AA29D7" w:rsidRPr="00473B58">
              <w:rPr>
                <w:lang w:val="fr-CA"/>
              </w:rPr>
              <w:t xml:space="preserve">payé pour ces biens </w:t>
            </w:r>
            <w:r w:rsidR="006B69DF">
              <w:rPr>
                <w:lang w:val="fr-CA"/>
              </w:rPr>
              <w:t>ou</w:t>
            </w:r>
            <w:r w:rsidR="00AA29D7" w:rsidRPr="00473B58">
              <w:rPr>
                <w:lang w:val="fr-CA"/>
              </w:rPr>
              <w:t xml:space="preserve"> services n’excède pas leur</w:t>
            </w:r>
            <w:r w:rsidR="005705CE" w:rsidRPr="00473B58">
              <w:rPr>
                <w:lang w:val="fr-CA"/>
              </w:rPr>
              <w:t xml:space="preserve"> valeur de marché.</w:t>
            </w:r>
          </w:p>
          <w:p w14:paraId="4BC264A8" w14:textId="791A5DEE" w:rsidR="00DE18DF" w:rsidRPr="00473B58" w:rsidRDefault="008F3C38" w:rsidP="009E1E90">
            <w:pPr>
              <w:spacing w:before="120" w:after="120"/>
              <w:rPr>
                <w:lang w:val="fr-CA"/>
              </w:rPr>
            </w:pPr>
            <w:r w:rsidRPr="00473B58">
              <w:rPr>
                <w:lang w:val="fr-CA"/>
              </w:rPr>
              <w:t xml:space="preserve">Si la contrepartie payable comprend un montant variable, </w:t>
            </w:r>
            <w:r w:rsidR="005705CE" w:rsidRPr="00473B58">
              <w:rPr>
                <w:lang w:val="fr-CA"/>
              </w:rPr>
              <w:t>l’auditeur doit d</w:t>
            </w:r>
            <w:r w:rsidR="00A53441" w:rsidRPr="00473B58">
              <w:rPr>
                <w:lang w:val="fr-CA"/>
              </w:rPr>
              <w:t>é</w:t>
            </w:r>
            <w:r w:rsidR="005705CE" w:rsidRPr="00473B58">
              <w:rPr>
                <w:lang w:val="fr-CA"/>
              </w:rPr>
              <w:t xml:space="preserve">terminer si </w:t>
            </w:r>
            <w:r w:rsidRPr="00473B58">
              <w:rPr>
                <w:lang w:val="fr-CA"/>
              </w:rPr>
              <w:t>l</w:t>
            </w:r>
            <w:r w:rsidR="00FF10CF" w:rsidRPr="00473B58">
              <w:rPr>
                <w:lang w:val="fr-CA"/>
              </w:rPr>
              <w:t>’</w:t>
            </w:r>
            <w:r w:rsidRPr="00473B58">
              <w:rPr>
                <w:lang w:val="fr-CA"/>
              </w:rPr>
              <w:t xml:space="preserve">entité </w:t>
            </w:r>
            <w:r w:rsidR="005705CE" w:rsidRPr="00473B58">
              <w:rPr>
                <w:lang w:val="fr-CA"/>
              </w:rPr>
              <w:t>a</w:t>
            </w:r>
            <w:r w:rsidRPr="00473B58">
              <w:rPr>
                <w:lang w:val="fr-CA"/>
              </w:rPr>
              <w:t xml:space="preserve"> estim</w:t>
            </w:r>
            <w:r w:rsidR="005705CE" w:rsidRPr="00473B58">
              <w:rPr>
                <w:lang w:val="fr-CA"/>
              </w:rPr>
              <w:t>é</w:t>
            </w:r>
            <w:r w:rsidRPr="00473B58">
              <w:rPr>
                <w:lang w:val="fr-CA"/>
              </w:rPr>
              <w:t xml:space="preserve"> le prix de transaction (y compris </w:t>
            </w:r>
            <w:r w:rsidR="005705CE" w:rsidRPr="00473B58">
              <w:rPr>
                <w:lang w:val="fr-CA"/>
              </w:rPr>
              <w:t xml:space="preserve">si elle a </w:t>
            </w:r>
            <w:r w:rsidRPr="00473B58">
              <w:rPr>
                <w:lang w:val="fr-CA"/>
              </w:rPr>
              <w:t>appréci</w:t>
            </w:r>
            <w:r w:rsidR="005705CE" w:rsidRPr="00473B58">
              <w:rPr>
                <w:lang w:val="fr-CA"/>
              </w:rPr>
              <w:t>é</w:t>
            </w:r>
            <w:r w:rsidRPr="00473B58">
              <w:rPr>
                <w:lang w:val="fr-CA"/>
              </w:rPr>
              <w:t xml:space="preserve"> </w:t>
            </w:r>
            <w:r w:rsidR="009E1E90" w:rsidRPr="00473B58">
              <w:rPr>
                <w:lang w:val="fr-CA"/>
              </w:rPr>
              <w:t>qu’</w:t>
            </w:r>
            <w:r w:rsidRPr="00473B58">
              <w:rPr>
                <w:lang w:val="fr-CA"/>
              </w:rPr>
              <w:t>une limitation s</w:t>
            </w:r>
            <w:r w:rsidR="00FF10CF" w:rsidRPr="00473B58">
              <w:rPr>
                <w:lang w:val="fr-CA"/>
              </w:rPr>
              <w:t>’</w:t>
            </w:r>
            <w:r w:rsidRPr="00473B58">
              <w:rPr>
                <w:lang w:val="fr-CA"/>
              </w:rPr>
              <w:t>applique à l</w:t>
            </w:r>
            <w:r w:rsidR="00FF10CF" w:rsidRPr="00473B58">
              <w:rPr>
                <w:lang w:val="fr-CA"/>
              </w:rPr>
              <w:t>’</w:t>
            </w:r>
            <w:r w:rsidRPr="00473B58">
              <w:rPr>
                <w:lang w:val="fr-CA"/>
              </w:rPr>
              <w:t>estimation de la contrepartie variable</w:t>
            </w:r>
            <w:r w:rsidR="005705CE" w:rsidRPr="00473B58">
              <w:rPr>
                <w:lang w:val="fr-CA"/>
              </w:rPr>
              <w:t xml:space="preserve">), conformément aux exigences applicables aux contreparties variables. </w:t>
            </w:r>
          </w:p>
        </w:tc>
      </w:tr>
    </w:tbl>
    <w:p w14:paraId="69A37522" w14:textId="4B454874" w:rsidR="00715176" w:rsidRPr="00473B58" w:rsidRDefault="00715176">
      <w:pPr>
        <w:rPr>
          <w:lang w:val="fr-CA"/>
        </w:rPr>
      </w:pPr>
    </w:p>
    <w:tbl>
      <w:tblPr>
        <w:tblStyle w:val="TableGrid"/>
        <w:tblW w:w="0" w:type="auto"/>
        <w:tblInd w:w="5" w:type="dxa"/>
        <w:tblLayout w:type="fixed"/>
        <w:tblLook w:val="04A0" w:firstRow="1" w:lastRow="0" w:firstColumn="1" w:lastColumn="0" w:noHBand="0" w:noVBand="1"/>
      </w:tblPr>
      <w:tblGrid>
        <w:gridCol w:w="2405"/>
        <w:gridCol w:w="2552"/>
        <w:gridCol w:w="7993"/>
      </w:tblGrid>
      <w:tr w:rsidR="00C777BE" w:rsidRPr="00473B58" w14:paraId="5B66E0D0" w14:textId="77777777" w:rsidTr="00A8759A">
        <w:tc>
          <w:tcPr>
            <w:tcW w:w="2405" w:type="dxa"/>
            <w:tcBorders>
              <w:top w:val="single" w:sz="12" w:space="0" w:color="2E74B5" w:themeColor="accent1" w:themeShade="BF"/>
              <w:left w:val="nil"/>
              <w:bottom w:val="single" w:sz="12" w:space="0" w:color="2E74B5" w:themeColor="accent1" w:themeShade="BF"/>
              <w:right w:val="nil"/>
            </w:tcBorders>
            <w:vAlign w:val="bottom"/>
          </w:tcPr>
          <w:p w14:paraId="315BC505" w14:textId="12466E2D" w:rsidR="00C777BE" w:rsidRPr="00CF7699" w:rsidRDefault="00C777BE" w:rsidP="00C777BE">
            <w:pPr>
              <w:spacing w:before="120" w:after="120"/>
              <w:rPr>
                <w:color w:val="2E74B5" w:themeColor="accent1" w:themeShade="BF"/>
                <w:lang w:val="fr-CA"/>
              </w:rPr>
            </w:pPr>
            <w:r w:rsidRPr="00CF7699">
              <w:rPr>
                <w:b/>
                <w:color w:val="2E74B5" w:themeColor="accent1" w:themeShade="BF"/>
                <w:lang w:val="fr-CA"/>
              </w:rPr>
              <w:t>N</w:t>
            </w:r>
            <w:r w:rsidRPr="00CF7699">
              <w:rPr>
                <w:b/>
                <w:color w:val="2E74B5" w:themeColor="accent1" w:themeShade="BF"/>
                <w:vertAlign w:val="superscript"/>
                <w:lang w:val="fr-CA"/>
              </w:rPr>
              <w:t>o</w:t>
            </w:r>
            <w:r w:rsidRPr="00CF7699">
              <w:rPr>
                <w:b/>
                <w:color w:val="2E74B5" w:themeColor="accent1" w:themeShade="BF"/>
                <w:lang w:val="fr-CA"/>
              </w:rPr>
              <w:t xml:space="preserve"> / titre de la procédure</w:t>
            </w:r>
          </w:p>
        </w:tc>
        <w:tc>
          <w:tcPr>
            <w:tcW w:w="2552" w:type="dxa"/>
            <w:tcBorders>
              <w:top w:val="single" w:sz="12" w:space="0" w:color="2E74B5" w:themeColor="accent1" w:themeShade="BF"/>
              <w:left w:val="nil"/>
              <w:bottom w:val="single" w:sz="12" w:space="0" w:color="2E74B5" w:themeColor="accent1" w:themeShade="BF"/>
              <w:right w:val="nil"/>
            </w:tcBorders>
            <w:vAlign w:val="bottom"/>
          </w:tcPr>
          <w:p w14:paraId="28A214B4" w14:textId="44FACBA4" w:rsidR="00C777BE" w:rsidRPr="00473B58" w:rsidRDefault="00C777BE" w:rsidP="00AA29D7">
            <w:pPr>
              <w:spacing w:before="120" w:after="120"/>
              <w:rPr>
                <w:color w:val="2E74B5" w:themeColor="accent1" w:themeShade="BF"/>
                <w:lang w:val="fr-CA"/>
              </w:rPr>
            </w:pPr>
            <w:r w:rsidRPr="00473B58">
              <w:rPr>
                <w:b/>
                <w:color w:val="2E74B5" w:themeColor="accent1" w:themeShade="BF"/>
                <w:lang w:val="fr-CA"/>
              </w:rPr>
              <w:t>Paragraphes</w:t>
            </w:r>
            <w:r w:rsidR="00AA29D7" w:rsidRPr="00473B58">
              <w:rPr>
                <w:b/>
                <w:color w:val="2E74B5" w:themeColor="accent1" w:themeShade="BF"/>
                <w:lang w:val="fr-CA"/>
              </w:rPr>
              <w:t xml:space="preserve"> 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7993" w:type="dxa"/>
            <w:tcBorders>
              <w:top w:val="single" w:sz="12" w:space="0" w:color="2E74B5" w:themeColor="accent1" w:themeShade="BF"/>
              <w:left w:val="nil"/>
              <w:bottom w:val="single" w:sz="12" w:space="0" w:color="2E74B5" w:themeColor="accent1" w:themeShade="BF"/>
              <w:right w:val="nil"/>
            </w:tcBorders>
            <w:vAlign w:val="bottom"/>
          </w:tcPr>
          <w:p w14:paraId="6D010698" w14:textId="3548C19E" w:rsidR="00C777BE" w:rsidRPr="00473B58" w:rsidRDefault="00C777BE" w:rsidP="00C777BE">
            <w:pPr>
              <w:spacing w:before="120" w:after="120"/>
              <w:rPr>
                <w:color w:val="2E74B5" w:themeColor="accent1" w:themeShade="BF"/>
                <w:lang w:val="fr-CA"/>
              </w:rPr>
            </w:pPr>
            <w:r w:rsidRPr="00473B58">
              <w:rPr>
                <w:b/>
                <w:color w:val="2E74B5" w:themeColor="accent1" w:themeShade="BF"/>
                <w:lang w:val="fr-CA"/>
              </w:rPr>
              <w:t xml:space="preserve">Directives </w:t>
            </w:r>
          </w:p>
        </w:tc>
      </w:tr>
      <w:tr w:rsidR="00DE18DF" w:rsidRPr="00D97151" w14:paraId="10D9C566" w14:textId="77777777" w:rsidTr="00C23ED2">
        <w:trPr>
          <w:trHeight w:val="1547"/>
        </w:trPr>
        <w:tc>
          <w:tcPr>
            <w:tcW w:w="2405" w:type="dxa"/>
            <w:tcBorders>
              <w:top w:val="single" w:sz="12" w:space="0" w:color="2E74B5" w:themeColor="accent1" w:themeShade="BF"/>
              <w:left w:val="nil"/>
              <w:bottom w:val="single" w:sz="12" w:space="0" w:color="9CC2E5"/>
              <w:right w:val="nil"/>
            </w:tcBorders>
          </w:tcPr>
          <w:p w14:paraId="14CB8579" w14:textId="45508A56" w:rsidR="00DE18DF" w:rsidRPr="00CF7699" w:rsidRDefault="00CF7699" w:rsidP="00CF7699">
            <w:pPr>
              <w:spacing w:before="120" w:after="120"/>
              <w:rPr>
                <w:lang w:val="fr-CA"/>
              </w:rPr>
            </w:pPr>
            <w:r w:rsidRPr="00253DB4">
              <w:rPr>
                <w:lang w:val="fr-CA"/>
              </w:rPr>
              <w:t>Montants</w:t>
            </w:r>
            <w:r w:rsidR="00C777BE" w:rsidRPr="00CF7699">
              <w:rPr>
                <w:lang w:val="fr-CA"/>
              </w:rPr>
              <w:t xml:space="preserve"> perçus pour le compte de tiers </w:t>
            </w:r>
          </w:p>
        </w:tc>
        <w:tc>
          <w:tcPr>
            <w:tcW w:w="2552" w:type="dxa"/>
            <w:tcBorders>
              <w:top w:val="single" w:sz="12" w:space="0" w:color="2E74B5" w:themeColor="accent1" w:themeShade="BF"/>
              <w:left w:val="nil"/>
              <w:bottom w:val="single" w:sz="12" w:space="0" w:color="9CC2E5"/>
              <w:right w:val="nil"/>
            </w:tcBorders>
          </w:tcPr>
          <w:p w14:paraId="5CABFD6C" w14:textId="25DED6EE" w:rsidR="00DE18DF" w:rsidRPr="00473B58" w:rsidRDefault="00DE18DF" w:rsidP="00600311">
            <w:pPr>
              <w:spacing w:before="120" w:after="120"/>
              <w:rPr>
                <w:lang w:val="fr-CA"/>
              </w:rPr>
            </w:pPr>
            <w:r w:rsidRPr="00473B58">
              <w:rPr>
                <w:lang w:val="fr-CA"/>
              </w:rPr>
              <w:t xml:space="preserve">IFRS 15.47 </w:t>
            </w:r>
            <w:r w:rsidR="00C777BE" w:rsidRPr="00473B58">
              <w:rPr>
                <w:lang w:val="fr-CA"/>
              </w:rPr>
              <w:t xml:space="preserve">à </w:t>
            </w:r>
            <w:r w:rsidRPr="00473B58">
              <w:rPr>
                <w:lang w:val="fr-CA"/>
              </w:rPr>
              <w:t>49</w:t>
            </w:r>
          </w:p>
          <w:p w14:paraId="0F1B72A2" w14:textId="2B0974D0" w:rsidR="009946AF" w:rsidRPr="00473B58" w:rsidRDefault="009946AF" w:rsidP="00600311">
            <w:pPr>
              <w:spacing w:before="120" w:after="120"/>
              <w:rPr>
                <w:lang w:val="fr-CA"/>
              </w:rPr>
            </w:pPr>
          </w:p>
          <w:p w14:paraId="24D31FBD" w14:textId="77777777" w:rsidR="00DE18DF" w:rsidRPr="00473B58" w:rsidRDefault="00DE18DF" w:rsidP="00600311">
            <w:pPr>
              <w:spacing w:before="120" w:after="120"/>
              <w:jc w:val="right"/>
              <w:rPr>
                <w:lang w:val="fr-CA"/>
              </w:rPr>
            </w:pPr>
          </w:p>
        </w:tc>
        <w:tc>
          <w:tcPr>
            <w:tcW w:w="7993" w:type="dxa"/>
            <w:tcBorders>
              <w:top w:val="single" w:sz="12" w:space="0" w:color="2E74B5" w:themeColor="accent1" w:themeShade="BF"/>
              <w:left w:val="nil"/>
              <w:bottom w:val="single" w:sz="12" w:space="0" w:color="9CC2E5"/>
              <w:right w:val="nil"/>
            </w:tcBorders>
          </w:tcPr>
          <w:p w14:paraId="5BF63EF3" w14:textId="17DC6C11" w:rsidR="00DE18DF" w:rsidRPr="00473B58" w:rsidRDefault="00CB0D4F" w:rsidP="00CF7699">
            <w:pPr>
              <w:spacing w:before="120" w:after="120"/>
              <w:rPr>
                <w:lang w:val="fr-CA"/>
              </w:rPr>
            </w:pPr>
            <w:r w:rsidRPr="00473B58">
              <w:rPr>
                <w:lang w:val="fr-CA"/>
              </w:rPr>
              <w:t xml:space="preserve">Lorsque l’entité agit comme mandataire pour une tierce partie, l’auditeur doit vérifier que les </w:t>
            </w:r>
            <w:r w:rsidR="00CF7699">
              <w:rPr>
                <w:b/>
                <w:lang w:val="fr-CA"/>
              </w:rPr>
              <w:t>montants</w:t>
            </w:r>
            <w:r w:rsidR="00C777BE" w:rsidRPr="00473B58">
              <w:rPr>
                <w:b/>
                <w:lang w:val="fr-CA"/>
              </w:rPr>
              <w:t xml:space="preserve"> perçus pour le compte de tiers</w:t>
            </w:r>
            <w:r w:rsidR="00DE18DF" w:rsidRPr="00473B58">
              <w:rPr>
                <w:b/>
                <w:lang w:val="fr-CA"/>
              </w:rPr>
              <w:t xml:space="preserve"> </w:t>
            </w:r>
            <w:r w:rsidR="00C777BE" w:rsidRPr="00473B58">
              <w:rPr>
                <w:lang w:val="fr-CA"/>
              </w:rPr>
              <w:t>sont exclues du prix de tr</w:t>
            </w:r>
            <w:r w:rsidR="00DE18DF" w:rsidRPr="00473B58">
              <w:rPr>
                <w:lang w:val="fr-CA"/>
              </w:rPr>
              <w:t xml:space="preserve">ansaction. </w:t>
            </w:r>
            <w:r w:rsidRPr="00473B58">
              <w:rPr>
                <w:lang w:val="fr-CA"/>
              </w:rPr>
              <w:t>Un exemple courant de ce type de situation est la perception des taxes de vente par l’entité auprès d’un clie</w:t>
            </w:r>
            <w:r w:rsidR="00AA29D7" w:rsidRPr="00473B58">
              <w:rPr>
                <w:lang w:val="fr-CA"/>
              </w:rPr>
              <w:t>nt pour le compte d’une administration fiscale</w:t>
            </w:r>
            <w:r w:rsidRPr="00473B58">
              <w:rPr>
                <w:lang w:val="fr-CA"/>
              </w:rPr>
              <w:t xml:space="preserve">. </w:t>
            </w:r>
          </w:p>
        </w:tc>
      </w:tr>
      <w:tr w:rsidR="00DE18DF" w:rsidRPr="00D97151" w14:paraId="555175B6" w14:textId="77777777" w:rsidTr="009946AF">
        <w:tc>
          <w:tcPr>
            <w:tcW w:w="2405" w:type="dxa"/>
            <w:tcBorders>
              <w:top w:val="single" w:sz="12" w:space="0" w:color="9CC2E5"/>
              <w:left w:val="nil"/>
              <w:bottom w:val="single" w:sz="12" w:space="0" w:color="2E74B5" w:themeColor="accent1" w:themeShade="BF"/>
              <w:right w:val="nil"/>
            </w:tcBorders>
          </w:tcPr>
          <w:p w14:paraId="039F62F3" w14:textId="565AE995" w:rsidR="00DE18DF" w:rsidRPr="00CF7699" w:rsidRDefault="00CF7699" w:rsidP="00CF7699">
            <w:pPr>
              <w:spacing w:before="120" w:after="120"/>
              <w:rPr>
                <w:lang w:val="fr-CA"/>
              </w:rPr>
            </w:pPr>
            <w:r w:rsidRPr="00253DB4">
              <w:rPr>
                <w:lang w:val="fr-CA"/>
              </w:rPr>
              <w:t>Contrepartie totale</w:t>
            </w:r>
            <w:r w:rsidR="00C777BE" w:rsidRPr="00CF7699">
              <w:rPr>
                <w:lang w:val="fr-CA"/>
              </w:rPr>
              <w:t xml:space="preserve"> </w:t>
            </w:r>
          </w:p>
        </w:tc>
        <w:tc>
          <w:tcPr>
            <w:tcW w:w="2552" w:type="dxa"/>
            <w:tcBorders>
              <w:top w:val="single" w:sz="12" w:space="0" w:color="9CC2E5"/>
              <w:left w:val="nil"/>
              <w:bottom w:val="single" w:sz="12" w:space="0" w:color="2E74B5" w:themeColor="accent1" w:themeShade="BF"/>
              <w:right w:val="nil"/>
            </w:tcBorders>
          </w:tcPr>
          <w:p w14:paraId="14A3A3AD" w14:textId="77777777" w:rsidR="00DE18DF" w:rsidRPr="00473B58" w:rsidRDefault="00DE18DF" w:rsidP="00600311">
            <w:pPr>
              <w:spacing w:before="120" w:after="120"/>
              <w:rPr>
                <w:lang w:val="fr-CA"/>
              </w:rPr>
            </w:pPr>
          </w:p>
        </w:tc>
        <w:tc>
          <w:tcPr>
            <w:tcW w:w="7993" w:type="dxa"/>
            <w:tcBorders>
              <w:top w:val="single" w:sz="12" w:space="0" w:color="9CC2E5"/>
              <w:left w:val="nil"/>
              <w:bottom w:val="single" w:sz="12" w:space="0" w:color="2E74B5" w:themeColor="accent1" w:themeShade="BF"/>
              <w:right w:val="nil"/>
            </w:tcBorders>
          </w:tcPr>
          <w:p w14:paraId="64CADB71" w14:textId="78BFEF10" w:rsidR="00DE18DF" w:rsidRPr="00473B58" w:rsidRDefault="00CB0D4F" w:rsidP="00AB26B8">
            <w:pPr>
              <w:spacing w:before="120" w:after="120"/>
              <w:rPr>
                <w:lang w:val="fr-CA"/>
              </w:rPr>
            </w:pPr>
            <w:r w:rsidRPr="00473B58">
              <w:rPr>
                <w:lang w:val="fr-CA"/>
              </w:rPr>
              <w:t xml:space="preserve">Après avoir examiné les résultats des procédures </w:t>
            </w:r>
            <w:r w:rsidR="00AB26B8" w:rsidRPr="00473B58">
              <w:rPr>
                <w:lang w:val="fr-CA"/>
              </w:rPr>
              <w:t xml:space="preserve">précédentes à </w:t>
            </w:r>
            <w:r w:rsidRPr="00473B58">
              <w:rPr>
                <w:lang w:val="fr-CA"/>
              </w:rPr>
              <w:t>l’Étape</w:t>
            </w:r>
            <w:r w:rsidR="00A352F0" w:rsidRPr="00473B58">
              <w:rPr>
                <w:lang w:val="fr-CA"/>
              </w:rPr>
              <w:t> </w:t>
            </w:r>
            <w:r w:rsidRPr="00473B58">
              <w:rPr>
                <w:lang w:val="fr-CA"/>
              </w:rPr>
              <w:t xml:space="preserve">3, l’auditeur </w:t>
            </w:r>
            <w:r w:rsidRPr="006A64AC">
              <w:rPr>
                <w:b/>
                <w:lang w:val="fr-CA"/>
              </w:rPr>
              <w:t>recalcule</w:t>
            </w:r>
            <w:r w:rsidRPr="00473B58">
              <w:rPr>
                <w:lang w:val="fr-CA"/>
              </w:rPr>
              <w:t xml:space="preserve"> le montant total de la contrepartie </w:t>
            </w:r>
            <w:r w:rsidR="00AA29D7" w:rsidRPr="00473B58">
              <w:rPr>
                <w:lang w:val="fr-CA"/>
              </w:rPr>
              <w:t>d</w:t>
            </w:r>
            <w:r w:rsidR="00AB26B8" w:rsidRPr="00473B58">
              <w:rPr>
                <w:lang w:val="fr-CA"/>
              </w:rPr>
              <w:t>û</w:t>
            </w:r>
            <w:r w:rsidRPr="00473B58">
              <w:rPr>
                <w:lang w:val="fr-CA"/>
              </w:rPr>
              <w:t xml:space="preserve"> aux termes du contrat pour chaque obligation de prestation sélectionnée en vue d’être testée.</w:t>
            </w:r>
          </w:p>
        </w:tc>
      </w:tr>
    </w:tbl>
    <w:p w14:paraId="027AD752" w14:textId="77777777" w:rsidR="00DE18DF" w:rsidRPr="00473B58" w:rsidRDefault="00DE18DF">
      <w:pPr>
        <w:rPr>
          <w:lang w:val="fr-CA"/>
        </w:rPr>
      </w:pPr>
    </w:p>
    <w:p w14:paraId="495C0658" w14:textId="77777777" w:rsidR="00D97151" w:rsidRDefault="00D97151">
      <w:r>
        <w:br w:type="page"/>
      </w:r>
    </w:p>
    <w:tbl>
      <w:tblPr>
        <w:tblStyle w:val="TableGrid"/>
        <w:tblW w:w="0" w:type="auto"/>
        <w:tblLook w:val="04A0" w:firstRow="1" w:lastRow="0" w:firstColumn="1" w:lastColumn="0" w:noHBand="0" w:noVBand="1"/>
      </w:tblPr>
      <w:tblGrid>
        <w:gridCol w:w="2579"/>
        <w:gridCol w:w="2579"/>
        <w:gridCol w:w="2579"/>
        <w:gridCol w:w="2579"/>
        <w:gridCol w:w="2579"/>
      </w:tblGrid>
      <w:tr w:rsidR="009C30B4" w:rsidRPr="00473B58" w14:paraId="5E6813D2" w14:textId="77777777" w:rsidTr="005975FE">
        <w:trPr>
          <w:trHeight w:val="132"/>
        </w:trPr>
        <w:tc>
          <w:tcPr>
            <w:tcW w:w="2579" w:type="dxa"/>
            <w:shd w:val="clear" w:color="auto" w:fill="2E74B5" w:themeFill="accent1" w:themeFillShade="BF"/>
          </w:tcPr>
          <w:p w14:paraId="4451D12E" w14:textId="79944D07" w:rsidR="009C30B4" w:rsidRPr="00473B58" w:rsidRDefault="00D97151" w:rsidP="009C30B4">
            <w:pPr>
              <w:jc w:val="center"/>
              <w:rPr>
                <w:b/>
                <w:color w:val="FFFFFF" w:themeColor="background1"/>
                <w:lang w:val="fr-CA"/>
              </w:rPr>
            </w:pPr>
            <w:hyperlink w:anchor="_Results_Template_(Step"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1</w:t>
              </w:r>
            </w:hyperlink>
          </w:p>
        </w:tc>
        <w:tc>
          <w:tcPr>
            <w:tcW w:w="2579" w:type="dxa"/>
            <w:shd w:val="clear" w:color="auto" w:fill="2E74B5" w:themeFill="accent1" w:themeFillShade="BF"/>
          </w:tcPr>
          <w:p w14:paraId="11D2ACFA" w14:textId="4DFA4D2A" w:rsidR="009C30B4" w:rsidRPr="00473B58" w:rsidRDefault="00D97151" w:rsidP="009C30B4">
            <w:pPr>
              <w:jc w:val="center"/>
              <w:rPr>
                <w:b/>
                <w:color w:val="FFFFFF" w:themeColor="background1"/>
                <w:lang w:val="fr-CA"/>
              </w:rPr>
            </w:pPr>
            <w:hyperlink w:anchor="_Results_Template_(Step_5"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2</w:t>
              </w:r>
            </w:hyperlink>
          </w:p>
        </w:tc>
        <w:tc>
          <w:tcPr>
            <w:tcW w:w="2579" w:type="dxa"/>
            <w:shd w:val="clear" w:color="auto" w:fill="2E74B5" w:themeFill="accent1" w:themeFillShade="BF"/>
          </w:tcPr>
          <w:p w14:paraId="5A42AF70" w14:textId="400AB4F2" w:rsidR="009C30B4" w:rsidRPr="00473B58" w:rsidRDefault="00D97151" w:rsidP="009C30B4">
            <w:pPr>
              <w:jc w:val="center"/>
              <w:rPr>
                <w:b/>
                <w:color w:val="FFFFFF" w:themeColor="background1"/>
                <w:lang w:val="fr-CA"/>
              </w:rPr>
            </w:pPr>
            <w:hyperlink w:anchor="_Results_Template_(Step_2"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3</w:t>
              </w:r>
            </w:hyperlink>
          </w:p>
        </w:tc>
        <w:tc>
          <w:tcPr>
            <w:tcW w:w="2579" w:type="dxa"/>
            <w:shd w:val="clear" w:color="auto" w:fill="C45911" w:themeFill="accent2" w:themeFillShade="BF"/>
          </w:tcPr>
          <w:p w14:paraId="4B513381" w14:textId="3EA3BCED" w:rsidR="009C30B4" w:rsidRPr="00473B58" w:rsidRDefault="00D97151" w:rsidP="009C30B4">
            <w:pPr>
              <w:jc w:val="center"/>
              <w:rPr>
                <w:b/>
                <w:color w:val="FFFFFF" w:themeColor="background1"/>
                <w:lang w:val="fr-CA"/>
              </w:rPr>
            </w:pPr>
            <w:hyperlink w:anchor="_Results_Template_(Step_3"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4</w:t>
              </w:r>
            </w:hyperlink>
          </w:p>
        </w:tc>
        <w:tc>
          <w:tcPr>
            <w:tcW w:w="2579" w:type="dxa"/>
            <w:shd w:val="clear" w:color="auto" w:fill="2E74B5" w:themeFill="accent1" w:themeFillShade="BF"/>
          </w:tcPr>
          <w:p w14:paraId="0531B136" w14:textId="7FF09694" w:rsidR="009C30B4" w:rsidRPr="00473B58" w:rsidRDefault="00D97151" w:rsidP="009C30B4">
            <w:pPr>
              <w:jc w:val="center"/>
              <w:rPr>
                <w:b/>
                <w:color w:val="FFFFFF" w:themeColor="background1"/>
                <w:lang w:val="fr-CA"/>
              </w:rPr>
            </w:pPr>
            <w:hyperlink w:anchor="_Results_Template_(Step_4"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5</w:t>
              </w:r>
            </w:hyperlink>
          </w:p>
        </w:tc>
      </w:tr>
    </w:tbl>
    <w:p w14:paraId="4174F64B" w14:textId="76433544" w:rsidR="00A739AD" w:rsidRPr="00091BB2" w:rsidRDefault="009C30B4" w:rsidP="00A8759A">
      <w:pPr>
        <w:pStyle w:val="Heading1"/>
        <w:rPr>
          <w:lang w:val="fr-CA"/>
        </w:rPr>
      </w:pPr>
      <w:bookmarkStart w:id="36" w:name="_Results_Template_(Step_3"/>
      <w:bookmarkStart w:id="37" w:name="_Toc73001873"/>
      <w:bookmarkEnd w:id="36"/>
      <w:r w:rsidRPr="00091BB2">
        <w:rPr>
          <w:lang w:val="fr-CA"/>
        </w:rPr>
        <w:t>Modèle des résultats (</w:t>
      </w:r>
      <w:r w:rsidR="00091BB2">
        <w:rPr>
          <w:lang w:val="fr-CA"/>
        </w:rPr>
        <w:t>é</w:t>
      </w:r>
      <w:r w:rsidRPr="00091BB2">
        <w:rPr>
          <w:lang w:val="fr-CA"/>
        </w:rPr>
        <w:t>tape</w:t>
      </w:r>
      <w:r w:rsidR="00A352F0" w:rsidRPr="00091BB2">
        <w:rPr>
          <w:lang w:val="fr-CA"/>
        </w:rPr>
        <w:t> </w:t>
      </w:r>
      <w:r w:rsidR="004926B5" w:rsidRPr="00091BB2">
        <w:rPr>
          <w:lang w:val="fr-CA"/>
        </w:rPr>
        <w:t xml:space="preserve">4) </w:t>
      </w:r>
      <w:r w:rsidR="00A352F0" w:rsidRPr="00FF703B">
        <w:rPr>
          <w:lang w:val="fr-CA"/>
        </w:rPr>
        <w:t>—</w:t>
      </w:r>
      <w:r w:rsidR="008F3C38" w:rsidRPr="00FF703B">
        <w:rPr>
          <w:lang w:val="fr-CA"/>
        </w:rPr>
        <w:t xml:space="preserve"> Répartir le prix de t</w:t>
      </w:r>
      <w:r w:rsidR="004926B5" w:rsidRPr="00FF703B">
        <w:rPr>
          <w:lang w:val="fr-CA"/>
        </w:rPr>
        <w:t>ransaction</w:t>
      </w:r>
      <w:r w:rsidR="008F3C38" w:rsidRPr="00FF703B">
        <w:rPr>
          <w:lang w:val="fr-CA"/>
        </w:rPr>
        <w:t xml:space="preserve"> entre les obligations de prestation</w:t>
      </w:r>
      <w:bookmarkEnd w:id="37"/>
      <w:r w:rsidR="004926B5" w:rsidRPr="00BE0235">
        <w:rPr>
          <w:lang w:val="fr-CA"/>
        </w:rPr>
        <w:t xml:space="preserve"> </w:t>
      </w:r>
    </w:p>
    <w:tbl>
      <w:tblPr>
        <w:tblStyle w:val="TableGrid"/>
        <w:tblW w:w="0" w:type="auto"/>
        <w:tblLook w:val="04A0" w:firstRow="1" w:lastRow="0" w:firstColumn="1" w:lastColumn="0" w:noHBand="0" w:noVBand="1"/>
      </w:tblPr>
      <w:tblGrid>
        <w:gridCol w:w="12930"/>
      </w:tblGrid>
      <w:tr w:rsidR="00D1500C" w:rsidRPr="00D97151" w14:paraId="22BF5E18" w14:textId="77777777" w:rsidTr="00D1500C">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DCC792D" w14:textId="6E8099C0" w:rsidR="00D1500C" w:rsidRPr="00473B58" w:rsidRDefault="00D1500C" w:rsidP="00600311">
            <w:pPr>
              <w:spacing w:before="120"/>
              <w:rPr>
                <w:b/>
                <w:bCs/>
                <w:color w:val="2E74B5" w:themeColor="accent1" w:themeShade="BF"/>
                <w:lang w:val="fr-CA"/>
              </w:rPr>
            </w:pPr>
            <w:r w:rsidRPr="00473B58">
              <w:rPr>
                <w:b/>
                <w:bCs/>
                <w:color w:val="2E74B5" w:themeColor="accent1" w:themeShade="BF"/>
                <w:lang w:val="fr-CA"/>
              </w:rPr>
              <w:t>R</w:t>
            </w:r>
            <w:r w:rsidR="008F3C38" w:rsidRPr="00473B58">
              <w:rPr>
                <w:b/>
                <w:bCs/>
                <w:color w:val="2E74B5" w:themeColor="accent1" w:themeShade="BF"/>
                <w:lang w:val="fr-CA"/>
              </w:rPr>
              <w:t xml:space="preserve">appel </w:t>
            </w:r>
          </w:p>
          <w:p w14:paraId="5E288451" w14:textId="67E0721F" w:rsidR="00D1500C" w:rsidRPr="00473B58" w:rsidRDefault="00953AAA" w:rsidP="00600311">
            <w:pPr>
              <w:spacing w:before="120" w:line="276" w:lineRule="auto"/>
              <w:rPr>
                <w:lang w:val="fr-CA"/>
              </w:rPr>
            </w:pPr>
            <w:r w:rsidRPr="00473B58">
              <w:rPr>
                <w:lang w:val="fr-CA"/>
              </w:rPr>
              <w:t xml:space="preserve">La répartition du prix de transaction vise à permettre à l’entité de répartir le prix de transaction entre chaque obligation de prestation distincte (ou bien ou service distinct) </w:t>
            </w:r>
            <w:r w:rsidR="008F3C38" w:rsidRPr="00473B58">
              <w:rPr>
                <w:lang w:val="fr-CA"/>
              </w:rPr>
              <w:t xml:space="preserve">en y affectant un montant qui reflète le montant de contrepartie auquel </w:t>
            </w:r>
            <w:r w:rsidRPr="00473B58">
              <w:rPr>
                <w:lang w:val="fr-CA"/>
              </w:rPr>
              <w:t xml:space="preserve">elle </w:t>
            </w:r>
            <w:r w:rsidR="008F3C38" w:rsidRPr="00473B58">
              <w:rPr>
                <w:lang w:val="fr-CA"/>
              </w:rPr>
              <w:t xml:space="preserve">s’attend à avoir droit en échange de la fourniture des biens ou des services promis au client. </w:t>
            </w:r>
          </w:p>
          <w:p w14:paraId="7E2FF606" w14:textId="77777777" w:rsidR="00D1500C" w:rsidRPr="00473B58" w:rsidRDefault="00D1500C" w:rsidP="00D1500C">
            <w:pPr>
              <w:rPr>
                <w:lang w:val="fr-CA"/>
              </w:rPr>
            </w:pPr>
          </w:p>
          <w:p w14:paraId="25B819B8" w14:textId="0C7753A5" w:rsidR="00D1500C" w:rsidRPr="00473B58" w:rsidRDefault="008F3C38" w:rsidP="00091BB2">
            <w:pPr>
              <w:rPr>
                <w:lang w:val="fr-CA"/>
              </w:rPr>
            </w:pPr>
            <w:r w:rsidRPr="00473B58">
              <w:rPr>
                <w:b/>
                <w:color w:val="2E74B5" w:themeColor="accent1" w:themeShade="BF"/>
                <w:lang w:val="fr-CA"/>
              </w:rPr>
              <w:t xml:space="preserve">Note – Pour chaque obligation de prestation/opération sélectionnée pour être testée à </w:t>
            </w:r>
            <w:r w:rsidRPr="00091BB2">
              <w:rPr>
                <w:b/>
                <w:color w:val="2E74B5" w:themeColor="accent1" w:themeShade="BF"/>
                <w:lang w:val="fr-CA"/>
              </w:rPr>
              <w:t>l’onglet «</w:t>
            </w:r>
            <w:r w:rsidR="00A352F0" w:rsidRPr="00091BB2">
              <w:rPr>
                <w:b/>
                <w:color w:val="2E74B5" w:themeColor="accent1" w:themeShade="BF"/>
                <w:lang w:val="fr-CA"/>
              </w:rPr>
              <w:t xml:space="preserve"> </w:t>
            </w:r>
            <w:r w:rsidR="00091BB2">
              <w:rPr>
                <w:b/>
                <w:color w:val="2E74B5" w:themeColor="accent1" w:themeShade="BF"/>
                <w:lang w:val="fr-CA"/>
              </w:rPr>
              <w:t>Sélection de l’échantillon</w:t>
            </w:r>
            <w:r w:rsidR="00A352F0" w:rsidRPr="00091BB2">
              <w:rPr>
                <w:b/>
                <w:color w:val="2E74B5" w:themeColor="accent1" w:themeShade="BF"/>
                <w:lang w:val="fr-CA"/>
              </w:rPr>
              <w:t xml:space="preserve"> </w:t>
            </w:r>
            <w:r w:rsidRPr="00091BB2">
              <w:rPr>
                <w:b/>
                <w:color w:val="2E74B5" w:themeColor="accent1" w:themeShade="BF"/>
                <w:lang w:val="fr-CA"/>
              </w:rPr>
              <w:t>»,</w:t>
            </w:r>
            <w:r w:rsidRPr="00473B58">
              <w:rPr>
                <w:b/>
                <w:color w:val="2E74B5" w:themeColor="accent1" w:themeShade="BF"/>
                <w:lang w:val="fr-CA"/>
              </w:rPr>
              <w:t xml:space="preserve"> l’auditeur doit exécuter les procédures ci-dessous</w:t>
            </w:r>
            <w:r w:rsidRPr="00473B58">
              <w:rPr>
                <w:lang w:val="fr-CA"/>
              </w:rPr>
              <w:t>.</w:t>
            </w:r>
          </w:p>
        </w:tc>
      </w:tr>
    </w:tbl>
    <w:p w14:paraId="3F1984D2" w14:textId="77777777" w:rsidR="003F1943" w:rsidRPr="00473B58" w:rsidRDefault="003F1943" w:rsidP="003F1943">
      <w:pPr>
        <w:rPr>
          <w:lang w:val="fr-CA"/>
        </w:rPr>
      </w:pPr>
    </w:p>
    <w:p w14:paraId="560A41D5" w14:textId="77777777" w:rsidR="00D97151" w:rsidRDefault="00D97151">
      <w:r>
        <w:br w:type="page"/>
      </w: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552"/>
        <w:gridCol w:w="8079"/>
      </w:tblGrid>
      <w:tr w:rsidR="00C777BE" w:rsidRPr="00473B58" w14:paraId="0C9D0C79" w14:textId="77777777" w:rsidTr="00A8759A">
        <w:tc>
          <w:tcPr>
            <w:tcW w:w="2405" w:type="dxa"/>
            <w:tcBorders>
              <w:top w:val="single" w:sz="12" w:space="0" w:color="2E74B5" w:themeColor="accent1" w:themeShade="BF"/>
              <w:bottom w:val="single" w:sz="12" w:space="0" w:color="2E74B5" w:themeColor="accent1" w:themeShade="BF"/>
            </w:tcBorders>
            <w:vAlign w:val="bottom"/>
          </w:tcPr>
          <w:p w14:paraId="0FE96B4D" w14:textId="6A6C4119" w:rsidR="00C777BE" w:rsidRPr="00FF703B" w:rsidRDefault="00C777BE" w:rsidP="00C777BE">
            <w:pPr>
              <w:spacing w:before="120" w:after="120"/>
              <w:rPr>
                <w:b/>
                <w:color w:val="2E74B5" w:themeColor="accent1" w:themeShade="BF"/>
                <w:lang w:val="fr-CA"/>
              </w:rPr>
            </w:pPr>
            <w:r w:rsidRPr="00FF703B">
              <w:rPr>
                <w:b/>
                <w:color w:val="2E74B5" w:themeColor="accent1" w:themeShade="BF"/>
                <w:lang w:val="fr-CA"/>
              </w:rPr>
              <w:t>N</w:t>
            </w:r>
            <w:r w:rsidRPr="00FF703B">
              <w:rPr>
                <w:b/>
                <w:color w:val="2E74B5" w:themeColor="accent1" w:themeShade="BF"/>
                <w:vertAlign w:val="superscript"/>
                <w:lang w:val="fr-CA"/>
              </w:rPr>
              <w:t>o</w:t>
            </w:r>
            <w:r w:rsidR="00A352F0" w:rsidRPr="00FF703B">
              <w:rPr>
                <w:b/>
                <w:color w:val="2E74B5" w:themeColor="accent1" w:themeShade="BF"/>
                <w:lang w:val="fr-CA"/>
              </w:rPr>
              <w:t>/</w:t>
            </w:r>
            <w:r w:rsidRPr="00FF703B">
              <w:rPr>
                <w:b/>
                <w:color w:val="2E74B5" w:themeColor="accent1" w:themeShade="BF"/>
                <w:lang w:val="fr-CA"/>
              </w:rPr>
              <w:t>titre de la procédure</w:t>
            </w:r>
          </w:p>
        </w:tc>
        <w:tc>
          <w:tcPr>
            <w:tcW w:w="2552" w:type="dxa"/>
            <w:tcBorders>
              <w:top w:val="single" w:sz="12" w:space="0" w:color="2E74B5" w:themeColor="accent1" w:themeShade="BF"/>
              <w:bottom w:val="single" w:sz="12" w:space="0" w:color="2E74B5" w:themeColor="accent1" w:themeShade="BF"/>
            </w:tcBorders>
            <w:vAlign w:val="bottom"/>
          </w:tcPr>
          <w:p w14:paraId="08C62478" w14:textId="3EEA8921" w:rsidR="00C777BE" w:rsidRPr="00473B58" w:rsidRDefault="00C777BE" w:rsidP="00C777BE">
            <w:pPr>
              <w:spacing w:before="120" w:after="120"/>
              <w:rPr>
                <w:b/>
                <w:color w:val="2E74B5" w:themeColor="accent1" w:themeShade="BF"/>
                <w:lang w:val="fr-CA"/>
              </w:rPr>
            </w:pPr>
            <w:r w:rsidRPr="00473B58">
              <w:rPr>
                <w:b/>
                <w:color w:val="2E74B5" w:themeColor="accent1" w:themeShade="BF"/>
                <w:lang w:val="fr-CA"/>
              </w:rPr>
              <w:t xml:space="preserve">Paragraphes </w:t>
            </w:r>
            <w:r w:rsidR="00AA29D7"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079" w:type="dxa"/>
            <w:tcBorders>
              <w:top w:val="single" w:sz="12" w:space="0" w:color="2E74B5" w:themeColor="accent1" w:themeShade="BF"/>
              <w:bottom w:val="single" w:sz="12" w:space="0" w:color="2E74B5" w:themeColor="accent1" w:themeShade="BF"/>
            </w:tcBorders>
            <w:vAlign w:val="bottom"/>
          </w:tcPr>
          <w:p w14:paraId="3471CB9D" w14:textId="327F12BF" w:rsidR="00C777BE" w:rsidRPr="00473B58" w:rsidRDefault="00C777BE" w:rsidP="00C777BE">
            <w:pPr>
              <w:spacing w:before="120" w:after="120"/>
              <w:rPr>
                <w:b/>
                <w:color w:val="2E74B5" w:themeColor="accent1" w:themeShade="BF"/>
                <w:lang w:val="fr-CA"/>
              </w:rPr>
            </w:pPr>
            <w:r w:rsidRPr="00473B58">
              <w:rPr>
                <w:b/>
                <w:color w:val="2E74B5" w:themeColor="accent1" w:themeShade="BF"/>
                <w:lang w:val="fr-CA"/>
              </w:rPr>
              <w:t xml:space="preserve">Directives </w:t>
            </w:r>
          </w:p>
        </w:tc>
      </w:tr>
      <w:tr w:rsidR="001A636A" w:rsidRPr="00D97151" w14:paraId="210B5D86" w14:textId="77777777" w:rsidTr="00D778D5">
        <w:tc>
          <w:tcPr>
            <w:tcW w:w="2405" w:type="dxa"/>
            <w:tcBorders>
              <w:top w:val="single" w:sz="12" w:space="0" w:color="2E74B5" w:themeColor="accent1" w:themeShade="BF"/>
              <w:bottom w:val="single" w:sz="12" w:space="0" w:color="9CC2E5" w:themeColor="accent1" w:themeTint="99"/>
            </w:tcBorders>
          </w:tcPr>
          <w:p w14:paraId="7FF4278A" w14:textId="736766D8" w:rsidR="001A636A" w:rsidRPr="00FF703B" w:rsidRDefault="001A636A" w:rsidP="008F3C38">
            <w:pPr>
              <w:spacing w:before="120" w:after="120"/>
              <w:rPr>
                <w:lang w:val="fr-CA"/>
              </w:rPr>
            </w:pPr>
            <w:r w:rsidRPr="00FF703B">
              <w:rPr>
                <w:lang w:val="fr-CA"/>
              </w:rPr>
              <w:t>G</w:t>
            </w:r>
            <w:r w:rsidR="008F3C38" w:rsidRPr="00FF703B">
              <w:rPr>
                <w:lang w:val="fr-CA"/>
              </w:rPr>
              <w:t>énéralités</w:t>
            </w:r>
          </w:p>
        </w:tc>
        <w:tc>
          <w:tcPr>
            <w:tcW w:w="2552" w:type="dxa"/>
            <w:tcBorders>
              <w:top w:val="single" w:sz="12" w:space="0" w:color="2E74B5" w:themeColor="accent1" w:themeShade="BF"/>
              <w:bottom w:val="single" w:sz="12" w:space="0" w:color="9CC2E5" w:themeColor="accent1" w:themeTint="99"/>
            </w:tcBorders>
          </w:tcPr>
          <w:p w14:paraId="549DD211" w14:textId="1F249BA0" w:rsidR="001A636A" w:rsidRPr="00473B58" w:rsidRDefault="001A636A" w:rsidP="005975FE">
            <w:pPr>
              <w:spacing w:before="120" w:after="120"/>
              <w:rPr>
                <w:lang w:val="fr-CA"/>
              </w:rPr>
            </w:pPr>
            <w:r w:rsidRPr="00473B58">
              <w:rPr>
                <w:lang w:val="fr-CA"/>
              </w:rPr>
              <w:t>IFRS</w:t>
            </w:r>
            <w:r w:rsidR="00A352F0" w:rsidRPr="00473B58">
              <w:rPr>
                <w:lang w:val="fr-CA"/>
              </w:rPr>
              <w:t> </w:t>
            </w:r>
            <w:r w:rsidRPr="00473B58">
              <w:rPr>
                <w:lang w:val="fr-CA"/>
              </w:rPr>
              <w:t>15.22</w:t>
            </w:r>
          </w:p>
          <w:p w14:paraId="5BBA4FBE" w14:textId="47A3C2BF" w:rsidR="001A636A" w:rsidRPr="00473B58" w:rsidRDefault="001A636A" w:rsidP="005975FE">
            <w:pPr>
              <w:spacing w:before="120" w:after="120"/>
              <w:rPr>
                <w:lang w:val="fr-CA"/>
              </w:rPr>
            </w:pPr>
          </w:p>
        </w:tc>
        <w:tc>
          <w:tcPr>
            <w:tcW w:w="8079" w:type="dxa"/>
            <w:tcBorders>
              <w:top w:val="single" w:sz="12" w:space="0" w:color="2E74B5" w:themeColor="accent1" w:themeShade="BF"/>
              <w:bottom w:val="single" w:sz="12" w:space="0" w:color="9CC2E5" w:themeColor="accent1" w:themeTint="99"/>
            </w:tcBorders>
          </w:tcPr>
          <w:p w14:paraId="15921A65" w14:textId="08136CE1" w:rsidR="001A636A" w:rsidRPr="00473B58" w:rsidRDefault="00953AAA" w:rsidP="00F650DF">
            <w:pPr>
              <w:autoSpaceDE w:val="0"/>
              <w:autoSpaceDN w:val="0"/>
              <w:adjustRightInd w:val="0"/>
              <w:spacing w:before="120" w:after="120"/>
              <w:rPr>
                <w:rFonts w:cstheme="minorHAnsi"/>
                <w:lang w:val="fr-CA"/>
              </w:rPr>
            </w:pPr>
            <w:r w:rsidRPr="00473B58">
              <w:rPr>
                <w:rFonts w:cstheme="minorHAnsi"/>
                <w:lang w:val="fr-CA"/>
              </w:rPr>
              <w:t>Si aucun des contrats sélectionnés ne contient plus qu’une obligation de prestation (selon les résultats des tests effectués à l’Étape</w:t>
            </w:r>
            <w:r w:rsidR="00A352F0" w:rsidRPr="00473B58">
              <w:rPr>
                <w:rFonts w:cstheme="minorHAnsi"/>
                <w:lang w:val="fr-CA"/>
              </w:rPr>
              <w:t> </w:t>
            </w:r>
            <w:r w:rsidRPr="00473B58">
              <w:rPr>
                <w:rFonts w:cstheme="minorHAnsi"/>
                <w:lang w:val="fr-CA"/>
              </w:rPr>
              <w:t>2), l’entité n</w:t>
            </w:r>
            <w:r w:rsidR="005765C9" w:rsidRPr="00473B58">
              <w:rPr>
                <w:rFonts w:cstheme="minorHAnsi"/>
                <w:lang w:val="fr-CA"/>
              </w:rPr>
              <w:t xml:space="preserve">’a pas à répartir le prix de transaction et </w:t>
            </w:r>
            <w:r w:rsidR="00F650DF" w:rsidRPr="00473B58">
              <w:rPr>
                <w:rFonts w:cstheme="minorHAnsi"/>
                <w:lang w:val="fr-CA"/>
              </w:rPr>
              <w:t xml:space="preserve">il n’est pas nécessaire de réaliser </w:t>
            </w:r>
            <w:r w:rsidR="005765C9" w:rsidRPr="00473B58">
              <w:rPr>
                <w:rFonts w:cstheme="minorHAnsi"/>
                <w:lang w:val="fr-CA"/>
              </w:rPr>
              <w:t>l’Étape</w:t>
            </w:r>
            <w:r w:rsidR="00A352F0" w:rsidRPr="00473B58">
              <w:rPr>
                <w:rFonts w:cstheme="minorHAnsi"/>
                <w:lang w:val="fr-CA"/>
              </w:rPr>
              <w:t> </w:t>
            </w:r>
            <w:r w:rsidR="005765C9" w:rsidRPr="00473B58">
              <w:rPr>
                <w:rFonts w:cstheme="minorHAnsi"/>
                <w:lang w:val="fr-CA"/>
              </w:rPr>
              <w:t>4</w:t>
            </w:r>
            <w:r w:rsidR="001A636A" w:rsidRPr="00473B58">
              <w:rPr>
                <w:rFonts w:cstheme="minorHAnsi"/>
                <w:lang w:val="fr-CA"/>
              </w:rPr>
              <w:t>.</w:t>
            </w:r>
          </w:p>
        </w:tc>
      </w:tr>
      <w:tr w:rsidR="001A636A" w:rsidRPr="00D97151" w14:paraId="5900F077" w14:textId="77777777" w:rsidTr="00D778D5">
        <w:tc>
          <w:tcPr>
            <w:tcW w:w="2405" w:type="dxa"/>
            <w:tcBorders>
              <w:top w:val="single" w:sz="12" w:space="0" w:color="9CC2E5" w:themeColor="accent1" w:themeTint="99"/>
              <w:bottom w:val="single" w:sz="12" w:space="0" w:color="9CC2E5" w:themeColor="accent1" w:themeTint="99"/>
            </w:tcBorders>
          </w:tcPr>
          <w:p w14:paraId="0F70D87A" w14:textId="58D08B20" w:rsidR="001A636A" w:rsidRPr="00FF703B" w:rsidRDefault="001A636A" w:rsidP="00FF703B">
            <w:pPr>
              <w:spacing w:before="120" w:after="120"/>
              <w:rPr>
                <w:b/>
                <w:lang w:val="fr-CA"/>
              </w:rPr>
            </w:pPr>
            <w:r w:rsidRPr="00FF703B">
              <w:rPr>
                <w:lang w:val="fr-CA"/>
              </w:rPr>
              <w:t>Documentation</w:t>
            </w:r>
            <w:r w:rsidR="005975FE" w:rsidRPr="00FF703B">
              <w:rPr>
                <w:lang w:val="fr-CA"/>
              </w:rPr>
              <w:t xml:space="preserve"> </w:t>
            </w:r>
            <w:r w:rsidR="008F3C38" w:rsidRPr="00FF703B">
              <w:rPr>
                <w:lang w:val="fr-CA"/>
              </w:rPr>
              <w:t xml:space="preserve">des </w:t>
            </w:r>
            <w:r w:rsidR="00FF703B" w:rsidRPr="00C97581">
              <w:rPr>
                <w:lang w:val="fr-CA"/>
              </w:rPr>
              <w:t>sélections</w:t>
            </w:r>
          </w:p>
        </w:tc>
        <w:tc>
          <w:tcPr>
            <w:tcW w:w="2552" w:type="dxa"/>
            <w:tcBorders>
              <w:top w:val="single" w:sz="12" w:space="0" w:color="9CC2E5" w:themeColor="accent1" w:themeTint="99"/>
              <w:bottom w:val="single" w:sz="12" w:space="0" w:color="9CC2E5" w:themeColor="accent1" w:themeTint="99"/>
            </w:tcBorders>
          </w:tcPr>
          <w:p w14:paraId="772D863A" w14:textId="77777777" w:rsidR="001A636A" w:rsidRPr="00473B58" w:rsidRDefault="001A636A" w:rsidP="005975FE">
            <w:pPr>
              <w:spacing w:before="120" w:after="120"/>
              <w:rPr>
                <w:b/>
                <w:lang w:val="fr-CA"/>
              </w:rPr>
            </w:pPr>
          </w:p>
        </w:tc>
        <w:tc>
          <w:tcPr>
            <w:tcW w:w="8079" w:type="dxa"/>
            <w:tcBorders>
              <w:top w:val="single" w:sz="12" w:space="0" w:color="9CC2E5" w:themeColor="accent1" w:themeTint="99"/>
              <w:bottom w:val="single" w:sz="12" w:space="0" w:color="9CC2E5" w:themeColor="accent1" w:themeTint="99"/>
            </w:tcBorders>
          </w:tcPr>
          <w:p w14:paraId="28834AF8" w14:textId="6D74361E" w:rsidR="001A636A" w:rsidRPr="00473B58" w:rsidRDefault="00202779" w:rsidP="005975FE">
            <w:pPr>
              <w:spacing w:before="120" w:after="120"/>
              <w:rPr>
                <w:lang w:val="fr-CA"/>
              </w:rPr>
            </w:pPr>
            <w:r w:rsidRPr="00473B58">
              <w:rPr>
                <w:b/>
                <w:lang w:val="fr-CA"/>
              </w:rPr>
              <w:t>Documenter le détail</w:t>
            </w:r>
            <w:r w:rsidRPr="00473B58">
              <w:rPr>
                <w:lang w:val="fr-CA"/>
              </w:rPr>
              <w:t xml:space="preserve"> de</w:t>
            </w:r>
            <w:r w:rsidR="00F15004" w:rsidRPr="00473B58">
              <w:rPr>
                <w:lang w:val="fr-CA"/>
              </w:rPr>
              <w:t>s éléments de</w:t>
            </w:r>
            <w:r w:rsidRPr="00473B58">
              <w:rPr>
                <w:lang w:val="fr-CA"/>
              </w:rPr>
              <w:t xml:space="preserve"> l’échantillon retenu</w:t>
            </w:r>
            <w:r w:rsidR="001A636A" w:rsidRPr="00473B58">
              <w:rPr>
                <w:lang w:val="fr-CA"/>
              </w:rPr>
              <w:t>.</w:t>
            </w:r>
          </w:p>
          <w:p w14:paraId="4FDFD526" w14:textId="31173ED0" w:rsidR="001A636A" w:rsidRPr="00473B58" w:rsidRDefault="00A10082" w:rsidP="00F15004">
            <w:pPr>
              <w:spacing w:before="120" w:after="120"/>
              <w:rPr>
                <w:lang w:val="fr-CA"/>
              </w:rPr>
            </w:pPr>
            <w:r w:rsidRPr="00473B58">
              <w:rPr>
                <w:lang w:val="fr-CA"/>
              </w:rPr>
              <w:t xml:space="preserve">Les </w:t>
            </w:r>
            <w:r w:rsidR="00F15004" w:rsidRPr="00473B58">
              <w:rPr>
                <w:lang w:val="fr-CA"/>
              </w:rPr>
              <w:t xml:space="preserve">informations </w:t>
            </w:r>
            <w:r w:rsidRPr="00473B58">
              <w:rPr>
                <w:lang w:val="fr-CA"/>
              </w:rPr>
              <w:t xml:space="preserve">documentées </w:t>
            </w:r>
            <w:r w:rsidR="00F15004" w:rsidRPr="00473B58">
              <w:rPr>
                <w:lang w:val="fr-CA"/>
              </w:rPr>
              <w:t xml:space="preserve">aux </w:t>
            </w:r>
            <w:r w:rsidRPr="00473B58">
              <w:rPr>
                <w:lang w:val="fr-CA"/>
              </w:rPr>
              <w:t>étapes</w:t>
            </w:r>
            <w:r w:rsidR="00A352F0" w:rsidRPr="00473B58">
              <w:rPr>
                <w:lang w:val="fr-CA"/>
              </w:rPr>
              <w:t> </w:t>
            </w:r>
            <w:r w:rsidRPr="00473B58">
              <w:rPr>
                <w:lang w:val="fr-CA"/>
              </w:rPr>
              <w:t>1 à 3 peuvent être répétées ici</w:t>
            </w:r>
            <w:r w:rsidR="00F15004" w:rsidRPr="00473B58">
              <w:rPr>
                <w:lang w:val="fr-CA"/>
              </w:rPr>
              <w:t xml:space="preserve">, </w:t>
            </w:r>
            <w:r w:rsidRPr="00473B58">
              <w:rPr>
                <w:lang w:val="fr-CA"/>
              </w:rPr>
              <w:t>et le prix de vente établi et la contrepartie répartie</w:t>
            </w:r>
            <w:r w:rsidR="00F15004" w:rsidRPr="00473B58">
              <w:rPr>
                <w:lang w:val="fr-CA"/>
              </w:rPr>
              <w:t xml:space="preserve">, selon </w:t>
            </w:r>
            <w:r w:rsidR="00F650DF" w:rsidRPr="00473B58">
              <w:rPr>
                <w:lang w:val="fr-CA"/>
              </w:rPr>
              <w:t>la liste détaillée des produits de l’entité</w:t>
            </w:r>
            <w:r w:rsidR="00F15004" w:rsidRPr="00473B58">
              <w:rPr>
                <w:lang w:val="fr-CA"/>
              </w:rPr>
              <w:t xml:space="preserve">, </w:t>
            </w:r>
            <w:r w:rsidR="00F650DF" w:rsidRPr="00473B58">
              <w:rPr>
                <w:lang w:val="fr-CA"/>
              </w:rPr>
              <w:t>devrai</w:t>
            </w:r>
            <w:r w:rsidR="00F16DCF" w:rsidRPr="00473B58">
              <w:rPr>
                <w:lang w:val="fr-CA"/>
              </w:rPr>
              <w:t>en</w:t>
            </w:r>
            <w:r w:rsidR="00F650DF" w:rsidRPr="00473B58">
              <w:rPr>
                <w:lang w:val="fr-CA"/>
              </w:rPr>
              <w:t>t être consigné</w:t>
            </w:r>
            <w:r w:rsidR="00F15004" w:rsidRPr="00473B58">
              <w:rPr>
                <w:lang w:val="fr-CA"/>
              </w:rPr>
              <w:t>s</w:t>
            </w:r>
            <w:r w:rsidR="00F650DF" w:rsidRPr="00473B58">
              <w:rPr>
                <w:lang w:val="fr-CA"/>
              </w:rPr>
              <w:t xml:space="preserve"> en dossier.  </w:t>
            </w:r>
          </w:p>
        </w:tc>
      </w:tr>
      <w:tr w:rsidR="001A636A" w:rsidRPr="00D97151" w14:paraId="38B4957D" w14:textId="77777777" w:rsidTr="00D778D5">
        <w:tc>
          <w:tcPr>
            <w:tcW w:w="2405" w:type="dxa"/>
            <w:tcBorders>
              <w:top w:val="single" w:sz="12" w:space="0" w:color="9CC2E5" w:themeColor="accent1" w:themeTint="99"/>
              <w:bottom w:val="single" w:sz="12" w:space="0" w:color="9CC2E5" w:themeColor="accent1" w:themeTint="99"/>
            </w:tcBorders>
          </w:tcPr>
          <w:p w14:paraId="5A76CC39" w14:textId="45AE73EA" w:rsidR="001A636A" w:rsidRPr="00253DB4" w:rsidRDefault="00F650DF" w:rsidP="00F650DF">
            <w:pPr>
              <w:spacing w:before="120" w:after="120"/>
              <w:rPr>
                <w:b/>
                <w:lang w:val="fr-CA"/>
              </w:rPr>
            </w:pPr>
            <w:r w:rsidRPr="00253DB4">
              <w:rPr>
                <w:lang w:val="fr-CA"/>
              </w:rPr>
              <w:t>Obligation de prestation n’entrant pas dans le champ d’application de l’</w:t>
            </w:r>
            <w:r w:rsidR="001A636A" w:rsidRPr="00253DB4">
              <w:rPr>
                <w:lang w:val="fr-CA"/>
              </w:rPr>
              <w:t>IFRS</w:t>
            </w:r>
            <w:r w:rsidR="00A352F0" w:rsidRPr="00253DB4">
              <w:rPr>
                <w:lang w:val="fr-CA"/>
              </w:rPr>
              <w:t> </w:t>
            </w:r>
            <w:r w:rsidR="001A636A" w:rsidRPr="00253DB4">
              <w:rPr>
                <w:lang w:val="fr-CA"/>
              </w:rPr>
              <w:t>15</w:t>
            </w:r>
          </w:p>
        </w:tc>
        <w:tc>
          <w:tcPr>
            <w:tcW w:w="2552" w:type="dxa"/>
            <w:tcBorders>
              <w:top w:val="single" w:sz="12" w:space="0" w:color="9CC2E5" w:themeColor="accent1" w:themeTint="99"/>
              <w:bottom w:val="single" w:sz="12" w:space="0" w:color="9CC2E5" w:themeColor="accent1" w:themeTint="99"/>
            </w:tcBorders>
          </w:tcPr>
          <w:p w14:paraId="1A8589FD" w14:textId="65C3686B" w:rsidR="001A636A" w:rsidRPr="00473B58" w:rsidRDefault="001A636A" w:rsidP="005975FE">
            <w:pPr>
              <w:autoSpaceDE w:val="0"/>
              <w:autoSpaceDN w:val="0"/>
              <w:adjustRightInd w:val="0"/>
              <w:spacing w:before="120" w:after="120"/>
              <w:rPr>
                <w:rFonts w:cstheme="minorHAnsi"/>
                <w:lang w:val="fr-CA"/>
              </w:rPr>
            </w:pPr>
            <w:r w:rsidRPr="00473B58">
              <w:rPr>
                <w:rFonts w:cstheme="minorHAnsi"/>
                <w:lang w:val="fr-CA"/>
              </w:rPr>
              <w:t>IFRS</w:t>
            </w:r>
            <w:r w:rsidR="00A352F0" w:rsidRPr="00473B58">
              <w:rPr>
                <w:rFonts w:cstheme="minorHAnsi"/>
                <w:lang w:val="fr-CA"/>
              </w:rPr>
              <w:t> </w:t>
            </w:r>
            <w:r w:rsidRPr="00473B58">
              <w:rPr>
                <w:rFonts w:cstheme="minorHAnsi"/>
                <w:lang w:val="fr-CA"/>
              </w:rPr>
              <w:t>15.5</w:t>
            </w:r>
          </w:p>
          <w:p w14:paraId="23A9F505" w14:textId="043D5181" w:rsidR="001A636A" w:rsidRPr="00473B58" w:rsidRDefault="001A636A" w:rsidP="005975FE">
            <w:pPr>
              <w:spacing w:before="120" w:after="120"/>
              <w:rPr>
                <w:lang w:val="fr-CA"/>
              </w:rPr>
            </w:pPr>
          </w:p>
        </w:tc>
        <w:tc>
          <w:tcPr>
            <w:tcW w:w="8079" w:type="dxa"/>
            <w:tcBorders>
              <w:top w:val="single" w:sz="12" w:space="0" w:color="9CC2E5" w:themeColor="accent1" w:themeTint="99"/>
              <w:bottom w:val="single" w:sz="12" w:space="0" w:color="9CC2E5" w:themeColor="accent1" w:themeTint="99"/>
            </w:tcBorders>
          </w:tcPr>
          <w:p w14:paraId="4A2997E2" w14:textId="00CE5523" w:rsidR="001A636A" w:rsidRPr="00473B58" w:rsidRDefault="00F650DF" w:rsidP="00F650DF">
            <w:pPr>
              <w:spacing w:before="120" w:after="120"/>
              <w:rPr>
                <w:lang w:val="fr-CA"/>
              </w:rPr>
            </w:pPr>
            <w:r w:rsidRPr="00473B58">
              <w:rPr>
                <w:lang w:val="fr-CA"/>
              </w:rPr>
              <w:t xml:space="preserve">Déterminer si l’évaluation faite par la direction pour déterminer si l’obligation de prestation testée </w:t>
            </w:r>
            <w:r w:rsidRPr="00473B58">
              <w:rPr>
                <w:b/>
                <w:lang w:val="fr-CA"/>
              </w:rPr>
              <w:t xml:space="preserve">entre dans le champ d’application </w:t>
            </w:r>
            <w:r w:rsidRPr="006A64AC">
              <w:rPr>
                <w:lang w:val="fr-CA"/>
              </w:rPr>
              <w:t>de l’IFRS</w:t>
            </w:r>
            <w:r w:rsidR="00A352F0" w:rsidRPr="006A64AC">
              <w:rPr>
                <w:lang w:val="fr-CA"/>
              </w:rPr>
              <w:t> </w:t>
            </w:r>
            <w:r w:rsidR="001A636A" w:rsidRPr="006A64AC">
              <w:rPr>
                <w:lang w:val="fr-CA"/>
              </w:rPr>
              <w:t>15</w:t>
            </w:r>
            <w:r w:rsidR="001A636A" w:rsidRPr="00C1621B">
              <w:rPr>
                <w:lang w:val="fr-CA"/>
              </w:rPr>
              <w:t xml:space="preserve"> </w:t>
            </w:r>
            <w:r w:rsidR="001A636A" w:rsidRPr="00473B58">
              <w:rPr>
                <w:lang w:val="fr-CA"/>
              </w:rPr>
              <w:t>o</w:t>
            </w:r>
            <w:r w:rsidRPr="00473B58">
              <w:rPr>
                <w:lang w:val="fr-CA"/>
              </w:rPr>
              <w:t>u d’une autre norme</w:t>
            </w:r>
            <w:r w:rsidR="001A636A" w:rsidRPr="00473B58">
              <w:rPr>
                <w:lang w:val="fr-CA"/>
              </w:rPr>
              <w:t>.</w:t>
            </w:r>
          </w:p>
        </w:tc>
      </w:tr>
      <w:tr w:rsidR="001A636A" w:rsidRPr="00D97151" w14:paraId="5A188F5C" w14:textId="77777777" w:rsidTr="00D778D5">
        <w:tc>
          <w:tcPr>
            <w:tcW w:w="2405" w:type="dxa"/>
            <w:tcBorders>
              <w:top w:val="single" w:sz="12" w:space="0" w:color="9CC2E5" w:themeColor="accent1" w:themeTint="99"/>
              <w:bottom w:val="single" w:sz="12" w:space="0" w:color="9CC2E5" w:themeColor="accent1" w:themeTint="99"/>
            </w:tcBorders>
          </w:tcPr>
          <w:p w14:paraId="62DBEE00" w14:textId="474AB88E" w:rsidR="001A636A" w:rsidRPr="005E648B" w:rsidRDefault="006D2CEA" w:rsidP="006D2CEA">
            <w:pPr>
              <w:spacing w:before="120" w:after="120"/>
              <w:rPr>
                <w:b/>
                <w:lang w:val="fr-CA"/>
              </w:rPr>
            </w:pPr>
            <w:r w:rsidRPr="005E648B">
              <w:rPr>
                <w:lang w:val="fr-CA"/>
              </w:rPr>
              <w:t xml:space="preserve">Éléments </w:t>
            </w:r>
            <w:r w:rsidR="00F650DF" w:rsidRPr="005E648B">
              <w:rPr>
                <w:lang w:val="fr-CA"/>
              </w:rPr>
              <w:t>o</w:t>
            </w:r>
            <w:r w:rsidR="001A636A" w:rsidRPr="005E648B">
              <w:rPr>
                <w:lang w:val="fr-CA"/>
              </w:rPr>
              <w:t>bservable</w:t>
            </w:r>
            <w:r w:rsidR="00F650DF" w:rsidRPr="005E648B">
              <w:rPr>
                <w:lang w:val="fr-CA"/>
              </w:rPr>
              <w:t xml:space="preserve">s du prix de vente spécifique </w:t>
            </w:r>
            <w:r w:rsidR="005975FE" w:rsidRPr="005E648B">
              <w:rPr>
                <w:lang w:val="fr-CA"/>
              </w:rPr>
              <w:t xml:space="preserve"> </w:t>
            </w:r>
          </w:p>
        </w:tc>
        <w:tc>
          <w:tcPr>
            <w:tcW w:w="2552" w:type="dxa"/>
            <w:tcBorders>
              <w:top w:val="single" w:sz="12" w:space="0" w:color="9CC2E5" w:themeColor="accent1" w:themeTint="99"/>
              <w:bottom w:val="single" w:sz="12" w:space="0" w:color="9CC2E5" w:themeColor="accent1" w:themeTint="99"/>
            </w:tcBorders>
          </w:tcPr>
          <w:p w14:paraId="2A46553C" w14:textId="1A543674" w:rsidR="001A636A" w:rsidRPr="00473B58" w:rsidRDefault="00F650DF" w:rsidP="005975FE">
            <w:pPr>
              <w:spacing w:before="120" w:after="120"/>
              <w:rPr>
                <w:lang w:val="fr-CA"/>
              </w:rPr>
            </w:pPr>
            <w:r w:rsidRPr="00473B58">
              <w:rPr>
                <w:lang w:val="fr-CA"/>
              </w:rPr>
              <w:t>IFRS 15.76 à</w:t>
            </w:r>
            <w:r w:rsidR="001A636A" w:rsidRPr="00473B58">
              <w:rPr>
                <w:lang w:val="fr-CA"/>
              </w:rPr>
              <w:t xml:space="preserve"> 83</w:t>
            </w:r>
          </w:p>
          <w:p w14:paraId="3831BFD0" w14:textId="41623F4F" w:rsidR="001A636A" w:rsidRPr="00473B58" w:rsidRDefault="001A636A" w:rsidP="005975FE">
            <w:pPr>
              <w:spacing w:before="120" w:after="120"/>
              <w:rPr>
                <w:b/>
                <w:lang w:val="fr-CA"/>
              </w:rPr>
            </w:pPr>
          </w:p>
        </w:tc>
        <w:tc>
          <w:tcPr>
            <w:tcW w:w="8079" w:type="dxa"/>
            <w:tcBorders>
              <w:top w:val="single" w:sz="12" w:space="0" w:color="9CC2E5" w:themeColor="accent1" w:themeTint="99"/>
              <w:bottom w:val="single" w:sz="12" w:space="0" w:color="9CC2E5" w:themeColor="accent1" w:themeTint="99"/>
            </w:tcBorders>
          </w:tcPr>
          <w:p w14:paraId="0753B05E" w14:textId="5D7A12FF" w:rsidR="00D778D5" w:rsidRPr="00473B58" w:rsidRDefault="00F650DF" w:rsidP="005975FE">
            <w:pPr>
              <w:spacing w:before="120" w:after="120"/>
              <w:rPr>
                <w:lang w:val="fr-CA"/>
              </w:rPr>
            </w:pPr>
            <w:r w:rsidRPr="00473B58">
              <w:rPr>
                <w:lang w:val="fr-CA"/>
              </w:rPr>
              <w:t xml:space="preserve">Évaluer l’identification faite par la direction des </w:t>
            </w:r>
            <w:r w:rsidRPr="00473B58">
              <w:rPr>
                <w:b/>
                <w:lang w:val="fr-CA"/>
              </w:rPr>
              <w:t>prix de vente spécifiques</w:t>
            </w:r>
            <w:r w:rsidRPr="00473B58">
              <w:rPr>
                <w:lang w:val="fr-CA"/>
              </w:rPr>
              <w:t xml:space="preserve"> pour chaque obligation de prestation qui doit être testée</w:t>
            </w:r>
            <w:r w:rsidR="001A636A" w:rsidRPr="00473B58">
              <w:rPr>
                <w:lang w:val="fr-CA"/>
              </w:rPr>
              <w:t>.</w:t>
            </w:r>
          </w:p>
          <w:p w14:paraId="1262D9C3" w14:textId="1C80A9BA" w:rsidR="008F3C38" w:rsidRPr="00473B58" w:rsidRDefault="008F3C38" w:rsidP="008F3C38">
            <w:pPr>
              <w:spacing w:before="120" w:after="120"/>
              <w:rPr>
                <w:lang w:val="fr-CA"/>
              </w:rPr>
            </w:pPr>
            <w:bookmarkStart w:id="38" w:name="lt_pId275"/>
            <w:r w:rsidRPr="007575B4">
              <w:rPr>
                <w:lang w:val="fr-CA"/>
              </w:rPr>
              <w:t>Le prix de vente spécifique</w:t>
            </w:r>
            <w:r w:rsidRPr="00473B58">
              <w:rPr>
                <w:lang w:val="fr-CA"/>
              </w:rPr>
              <w:t xml:space="preserve"> est le prix auquel une entité vendrait séparément à un client un bien ou un service promis.</w:t>
            </w:r>
            <w:bookmarkEnd w:id="38"/>
            <w:r w:rsidRPr="00473B58">
              <w:rPr>
                <w:lang w:val="fr-CA"/>
              </w:rPr>
              <w:t xml:space="preserve"> </w:t>
            </w:r>
            <w:bookmarkStart w:id="39" w:name="lt_pId276"/>
            <w:r w:rsidRPr="00473B58">
              <w:rPr>
                <w:lang w:val="fr-CA"/>
              </w:rPr>
              <w:t>La meilleure indication du prix de vente spécifique est le prix observable d</w:t>
            </w:r>
            <w:r w:rsidR="00FF10CF" w:rsidRPr="00473B58">
              <w:rPr>
                <w:lang w:val="fr-CA"/>
              </w:rPr>
              <w:t>’</w:t>
            </w:r>
            <w:r w:rsidRPr="00473B58">
              <w:rPr>
                <w:lang w:val="fr-CA"/>
              </w:rPr>
              <w:t>un bien ou d</w:t>
            </w:r>
            <w:r w:rsidR="00FF10CF" w:rsidRPr="00473B58">
              <w:rPr>
                <w:lang w:val="fr-CA"/>
              </w:rPr>
              <w:t>’</w:t>
            </w:r>
            <w:r w:rsidRPr="00473B58">
              <w:rPr>
                <w:lang w:val="fr-CA"/>
              </w:rPr>
              <w:t>un service lorsque l</w:t>
            </w:r>
            <w:r w:rsidR="00FF10CF" w:rsidRPr="00473B58">
              <w:rPr>
                <w:lang w:val="fr-CA"/>
              </w:rPr>
              <w:t>’</w:t>
            </w:r>
            <w:r w:rsidRPr="00473B58">
              <w:rPr>
                <w:lang w:val="fr-CA"/>
              </w:rPr>
              <w:t>entité vend ce bien ou ce service séparément dans des circonstances et à des clients similaires.</w:t>
            </w:r>
            <w:bookmarkEnd w:id="39"/>
            <w:r w:rsidRPr="00473B58">
              <w:rPr>
                <w:lang w:val="fr-CA"/>
              </w:rPr>
              <w:t xml:space="preserve"> </w:t>
            </w:r>
            <w:bookmarkStart w:id="40" w:name="lt_pId277"/>
            <w:r w:rsidRPr="00473B58">
              <w:rPr>
                <w:lang w:val="fr-CA"/>
              </w:rPr>
              <w:t>Le prix contractuel ou le prix de catalogue d</w:t>
            </w:r>
            <w:r w:rsidR="00FF10CF" w:rsidRPr="00473B58">
              <w:rPr>
                <w:lang w:val="fr-CA"/>
              </w:rPr>
              <w:t>’</w:t>
            </w:r>
            <w:r w:rsidRPr="00473B58">
              <w:rPr>
                <w:lang w:val="fr-CA"/>
              </w:rPr>
              <w:t>un bien ou d</w:t>
            </w:r>
            <w:r w:rsidR="00FF10CF" w:rsidRPr="00473B58">
              <w:rPr>
                <w:lang w:val="fr-CA"/>
              </w:rPr>
              <w:t>’</w:t>
            </w:r>
            <w:r w:rsidRPr="00473B58">
              <w:rPr>
                <w:lang w:val="fr-CA"/>
              </w:rPr>
              <w:t>un service peut être son prix de vente spécifique (mais on ne doit pas présumer qu</w:t>
            </w:r>
            <w:r w:rsidR="00FF10CF" w:rsidRPr="00473B58">
              <w:rPr>
                <w:lang w:val="fr-CA"/>
              </w:rPr>
              <w:t>’</w:t>
            </w:r>
            <w:r w:rsidRPr="00473B58">
              <w:rPr>
                <w:lang w:val="fr-CA"/>
              </w:rPr>
              <w:t>il l</w:t>
            </w:r>
            <w:r w:rsidR="00FF10CF" w:rsidRPr="00473B58">
              <w:rPr>
                <w:lang w:val="fr-CA"/>
              </w:rPr>
              <w:t>’</w:t>
            </w:r>
            <w:r w:rsidRPr="00473B58">
              <w:rPr>
                <w:lang w:val="fr-CA"/>
              </w:rPr>
              <w:t>est).</w:t>
            </w:r>
            <w:bookmarkEnd w:id="40"/>
          </w:p>
          <w:p w14:paraId="5AFA944F" w14:textId="3DCE50BF" w:rsidR="001A636A" w:rsidRPr="00473B58" w:rsidRDefault="008F3C38" w:rsidP="00F15004">
            <w:pPr>
              <w:spacing w:before="120" w:after="120"/>
              <w:rPr>
                <w:b/>
                <w:lang w:val="fr-CA"/>
              </w:rPr>
            </w:pPr>
            <w:r w:rsidRPr="00473B58">
              <w:rPr>
                <w:lang w:val="fr-CA"/>
              </w:rPr>
              <w:t>Si le prix de vente spécifique ne peut être observé directement, l</w:t>
            </w:r>
            <w:r w:rsidR="00FF10CF" w:rsidRPr="00473B58">
              <w:rPr>
                <w:lang w:val="fr-CA"/>
              </w:rPr>
              <w:t>’</w:t>
            </w:r>
            <w:r w:rsidRPr="00473B58">
              <w:rPr>
                <w:lang w:val="fr-CA"/>
              </w:rPr>
              <w:t>entité doit l</w:t>
            </w:r>
            <w:r w:rsidR="00FF10CF" w:rsidRPr="00473B58">
              <w:rPr>
                <w:lang w:val="fr-CA"/>
              </w:rPr>
              <w:t>’</w:t>
            </w:r>
            <w:r w:rsidRPr="00473B58">
              <w:rPr>
                <w:lang w:val="fr-CA"/>
              </w:rPr>
              <w:t>estimer</w:t>
            </w:r>
            <w:r w:rsidR="00F650DF" w:rsidRPr="00473B58">
              <w:rPr>
                <w:lang w:val="fr-CA"/>
              </w:rPr>
              <w:t xml:space="preserve">. L’auditeur doit ajouter </w:t>
            </w:r>
            <w:r w:rsidR="00F15004" w:rsidRPr="00473B58">
              <w:rPr>
                <w:lang w:val="fr-CA"/>
              </w:rPr>
              <w:t xml:space="preserve">dans le dossier d’audit </w:t>
            </w:r>
            <w:r w:rsidR="00F650DF" w:rsidRPr="00473B58">
              <w:rPr>
                <w:lang w:val="fr-CA"/>
              </w:rPr>
              <w:t>la proc</w:t>
            </w:r>
            <w:r w:rsidR="00A53441" w:rsidRPr="00473B58">
              <w:rPr>
                <w:lang w:val="fr-CA"/>
              </w:rPr>
              <w:t>é</w:t>
            </w:r>
            <w:r w:rsidR="00F650DF" w:rsidRPr="00473B58">
              <w:rPr>
                <w:lang w:val="fr-CA"/>
              </w:rPr>
              <w:t>dure distincte «</w:t>
            </w:r>
            <w:r w:rsidR="00A352F0" w:rsidRPr="00473B58">
              <w:rPr>
                <w:lang w:val="fr-CA"/>
              </w:rPr>
              <w:t> </w:t>
            </w:r>
            <w:r w:rsidR="00F650DF" w:rsidRPr="00473B58">
              <w:rPr>
                <w:lang w:val="fr-CA"/>
              </w:rPr>
              <w:t>Tester le prix de vente spécifique</w:t>
            </w:r>
            <w:r w:rsidR="007575B4">
              <w:rPr>
                <w:lang w:val="fr-CA"/>
              </w:rPr>
              <w:t xml:space="preserve"> (NCA 540)</w:t>
            </w:r>
            <w:r w:rsidR="00A352F0" w:rsidRPr="00473B58">
              <w:rPr>
                <w:lang w:val="fr-CA"/>
              </w:rPr>
              <w:t> </w:t>
            </w:r>
            <w:r w:rsidR="00F650DF" w:rsidRPr="00473B58">
              <w:rPr>
                <w:lang w:val="fr-CA"/>
              </w:rPr>
              <w:t>» du programme «</w:t>
            </w:r>
            <w:r w:rsidR="00A352F0" w:rsidRPr="00473B58">
              <w:rPr>
                <w:lang w:val="fr-CA"/>
              </w:rPr>
              <w:t> </w:t>
            </w:r>
            <w:r w:rsidR="00F650DF" w:rsidRPr="00473B58">
              <w:rPr>
                <w:lang w:val="fr-CA"/>
              </w:rPr>
              <w:t xml:space="preserve">Produits </w:t>
            </w:r>
            <w:r w:rsidR="00F15004" w:rsidRPr="00473B58">
              <w:rPr>
                <w:lang w:val="fr-CA"/>
              </w:rPr>
              <w:t xml:space="preserve">des activités ordinaires </w:t>
            </w:r>
            <w:r w:rsidR="00F650DF" w:rsidRPr="00473B58">
              <w:rPr>
                <w:lang w:val="fr-CA"/>
              </w:rPr>
              <w:t>tirés de contrats avec des clients</w:t>
            </w:r>
            <w:r w:rsidR="00A352F0" w:rsidRPr="00473B58">
              <w:rPr>
                <w:lang w:val="fr-CA"/>
              </w:rPr>
              <w:t> </w:t>
            </w:r>
            <w:r w:rsidR="00F650DF" w:rsidRPr="00473B58">
              <w:rPr>
                <w:lang w:val="fr-CA"/>
              </w:rPr>
              <w:t>» dans le classeur «</w:t>
            </w:r>
            <w:r w:rsidR="00A352F0" w:rsidRPr="00473B58">
              <w:rPr>
                <w:lang w:val="fr-CA"/>
              </w:rPr>
              <w:t> </w:t>
            </w:r>
            <w:r w:rsidR="00F650DF" w:rsidRPr="00473B58">
              <w:rPr>
                <w:lang w:val="fr-CA"/>
              </w:rPr>
              <w:t xml:space="preserve">IFRS – </w:t>
            </w:r>
            <w:r w:rsidR="00F15004" w:rsidRPr="00473B58">
              <w:rPr>
                <w:lang w:val="fr-CA"/>
              </w:rPr>
              <w:t xml:space="preserve">Tests </w:t>
            </w:r>
            <w:r w:rsidR="00F650DF" w:rsidRPr="00473B58">
              <w:rPr>
                <w:lang w:val="fr-CA"/>
              </w:rPr>
              <w:t>de corroboration</w:t>
            </w:r>
            <w:r w:rsidR="00A352F0" w:rsidRPr="00473B58">
              <w:rPr>
                <w:lang w:val="fr-CA"/>
              </w:rPr>
              <w:t> </w:t>
            </w:r>
            <w:r w:rsidR="00F650DF" w:rsidRPr="00473B58">
              <w:rPr>
                <w:lang w:val="fr-CA"/>
              </w:rPr>
              <w:t xml:space="preserve">» et documenter les résultats de ses tests. </w:t>
            </w:r>
          </w:p>
        </w:tc>
      </w:tr>
    </w:tbl>
    <w:p w14:paraId="4A672765" w14:textId="0C6A7974" w:rsidR="00D97151" w:rsidRPr="00D97151" w:rsidRDefault="00D97151" w:rsidP="003F1943">
      <w:pPr>
        <w:rPr>
          <w:b/>
          <w:lang w:val="fr-CA"/>
        </w:rPr>
      </w:pPr>
    </w:p>
    <w:p w14:paraId="6BC20C0A" w14:textId="77777777" w:rsidR="00D97151" w:rsidRDefault="00D97151">
      <w:pPr>
        <w:rPr>
          <w:b/>
          <w:color w:val="C45911" w:themeColor="accent2" w:themeShade="BF"/>
          <w:lang w:val="fr-CA"/>
        </w:rPr>
      </w:pPr>
      <w:r>
        <w:rPr>
          <w:b/>
          <w:color w:val="C45911" w:themeColor="accent2" w:themeShade="BF"/>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552"/>
        <w:gridCol w:w="7993"/>
      </w:tblGrid>
      <w:tr w:rsidR="00C777BE" w:rsidRPr="00473B58" w14:paraId="6120CF07" w14:textId="77777777" w:rsidTr="00A8759A">
        <w:tc>
          <w:tcPr>
            <w:tcW w:w="2405" w:type="dxa"/>
            <w:tcBorders>
              <w:top w:val="single" w:sz="12" w:space="0" w:color="2E74B5" w:themeColor="accent1" w:themeShade="BF"/>
              <w:bottom w:val="single" w:sz="12" w:space="0" w:color="2E74B5" w:themeColor="accent1" w:themeShade="BF"/>
            </w:tcBorders>
            <w:vAlign w:val="bottom"/>
          </w:tcPr>
          <w:p w14:paraId="400CFFF0" w14:textId="02FC943C" w:rsidR="00C777BE" w:rsidRPr="00EF7B74" w:rsidRDefault="00C777BE" w:rsidP="00C777BE">
            <w:pPr>
              <w:spacing w:before="120" w:after="120"/>
              <w:rPr>
                <w:b/>
                <w:color w:val="2E74B5" w:themeColor="accent1" w:themeShade="BF"/>
                <w:lang w:val="fr-CA"/>
              </w:rPr>
            </w:pPr>
            <w:r w:rsidRPr="00EF7B74">
              <w:rPr>
                <w:b/>
                <w:color w:val="2E74B5" w:themeColor="accent1" w:themeShade="BF"/>
                <w:lang w:val="fr-CA"/>
              </w:rPr>
              <w:t>N</w:t>
            </w:r>
            <w:r w:rsidRPr="00EF7B74">
              <w:rPr>
                <w:b/>
                <w:color w:val="2E74B5" w:themeColor="accent1" w:themeShade="BF"/>
                <w:vertAlign w:val="superscript"/>
                <w:lang w:val="fr-CA"/>
              </w:rPr>
              <w:t>o</w:t>
            </w:r>
            <w:r w:rsidR="00A352F0" w:rsidRPr="00EF7B74">
              <w:rPr>
                <w:b/>
                <w:color w:val="2E74B5" w:themeColor="accent1" w:themeShade="BF"/>
                <w:lang w:val="fr-CA"/>
              </w:rPr>
              <w:t>/</w:t>
            </w:r>
            <w:r w:rsidRPr="00EF7B74">
              <w:rPr>
                <w:b/>
                <w:color w:val="2E74B5" w:themeColor="accent1" w:themeShade="BF"/>
                <w:lang w:val="fr-CA"/>
              </w:rPr>
              <w:t>titre de la procédure</w:t>
            </w:r>
          </w:p>
        </w:tc>
        <w:tc>
          <w:tcPr>
            <w:tcW w:w="2552" w:type="dxa"/>
            <w:tcBorders>
              <w:top w:val="single" w:sz="12" w:space="0" w:color="2E74B5" w:themeColor="accent1" w:themeShade="BF"/>
              <w:bottom w:val="single" w:sz="12" w:space="0" w:color="2E74B5" w:themeColor="accent1" w:themeShade="BF"/>
            </w:tcBorders>
            <w:vAlign w:val="bottom"/>
          </w:tcPr>
          <w:p w14:paraId="4DC3785F" w14:textId="6FAD5F95" w:rsidR="00C777BE" w:rsidRPr="00473B58" w:rsidRDefault="00C777BE" w:rsidP="00F15004">
            <w:pPr>
              <w:spacing w:before="120" w:after="120"/>
              <w:rPr>
                <w:b/>
                <w:color w:val="2E74B5" w:themeColor="accent1" w:themeShade="BF"/>
                <w:lang w:val="fr-CA"/>
              </w:rPr>
            </w:pPr>
            <w:r w:rsidRPr="00473B58">
              <w:rPr>
                <w:b/>
                <w:color w:val="2E74B5" w:themeColor="accent1" w:themeShade="BF"/>
                <w:lang w:val="fr-CA"/>
              </w:rPr>
              <w:t>Paragraphes</w:t>
            </w:r>
            <w:r w:rsidR="00F15004" w:rsidRPr="00473B58">
              <w:rPr>
                <w:b/>
                <w:color w:val="2E74B5" w:themeColor="accent1" w:themeShade="BF"/>
                <w:lang w:val="fr-CA"/>
              </w:rPr>
              <w:t xml:space="preserve"> 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7993" w:type="dxa"/>
            <w:tcBorders>
              <w:top w:val="single" w:sz="12" w:space="0" w:color="2E74B5" w:themeColor="accent1" w:themeShade="BF"/>
              <w:bottom w:val="single" w:sz="12" w:space="0" w:color="2E74B5" w:themeColor="accent1" w:themeShade="BF"/>
            </w:tcBorders>
            <w:vAlign w:val="bottom"/>
          </w:tcPr>
          <w:p w14:paraId="5EEDBAB6" w14:textId="2A1C9CAD" w:rsidR="00C777BE" w:rsidRPr="00473B58" w:rsidRDefault="00C777BE" w:rsidP="00C777BE">
            <w:pPr>
              <w:spacing w:before="120" w:after="120"/>
              <w:rPr>
                <w:b/>
                <w:color w:val="2E74B5" w:themeColor="accent1" w:themeShade="BF"/>
                <w:lang w:val="fr-CA"/>
              </w:rPr>
            </w:pPr>
            <w:r w:rsidRPr="00473B58">
              <w:rPr>
                <w:b/>
                <w:color w:val="2E74B5" w:themeColor="accent1" w:themeShade="BF"/>
                <w:lang w:val="fr-CA"/>
              </w:rPr>
              <w:t xml:space="preserve">Directives </w:t>
            </w:r>
          </w:p>
        </w:tc>
      </w:tr>
      <w:tr w:rsidR="00D778D5" w:rsidRPr="00D97151" w14:paraId="508595E3" w14:textId="77777777" w:rsidTr="00D778D5">
        <w:tc>
          <w:tcPr>
            <w:tcW w:w="2405" w:type="dxa"/>
            <w:tcBorders>
              <w:top w:val="single" w:sz="12" w:space="0" w:color="2E74B5" w:themeColor="accent1" w:themeShade="BF"/>
              <w:bottom w:val="single" w:sz="12" w:space="0" w:color="9CC2E5" w:themeColor="accent1" w:themeTint="99"/>
            </w:tcBorders>
          </w:tcPr>
          <w:p w14:paraId="42B3237F" w14:textId="53762E94" w:rsidR="00D778D5" w:rsidRPr="00D97151" w:rsidRDefault="008F3C38" w:rsidP="00EF7B74">
            <w:pPr>
              <w:spacing w:before="120" w:after="120"/>
              <w:rPr>
                <w:b/>
                <w:lang w:val="fr-CA"/>
              </w:rPr>
            </w:pPr>
            <w:r w:rsidRPr="00D97151">
              <w:rPr>
                <w:lang w:val="fr-CA"/>
              </w:rPr>
              <w:t>Répartition d</w:t>
            </w:r>
            <w:r w:rsidR="00EF7B74" w:rsidRPr="00D97151">
              <w:rPr>
                <w:lang w:val="fr-CA"/>
              </w:rPr>
              <w:t>e la</w:t>
            </w:r>
            <w:r w:rsidRPr="00D97151">
              <w:rPr>
                <w:lang w:val="fr-CA"/>
              </w:rPr>
              <w:t xml:space="preserve"> remise</w:t>
            </w:r>
          </w:p>
        </w:tc>
        <w:tc>
          <w:tcPr>
            <w:tcW w:w="2552" w:type="dxa"/>
            <w:tcBorders>
              <w:top w:val="single" w:sz="12" w:space="0" w:color="2E74B5" w:themeColor="accent1" w:themeShade="BF"/>
              <w:bottom w:val="single" w:sz="12" w:space="0" w:color="9CC2E5" w:themeColor="accent1" w:themeTint="99"/>
            </w:tcBorders>
          </w:tcPr>
          <w:p w14:paraId="2452C33E" w14:textId="24D522E1" w:rsidR="00D778D5" w:rsidRPr="00D97151" w:rsidRDefault="00D778D5" w:rsidP="005975FE">
            <w:pPr>
              <w:spacing w:before="120" w:after="120"/>
              <w:rPr>
                <w:lang w:val="fr-CA"/>
              </w:rPr>
            </w:pPr>
            <w:r w:rsidRPr="00D97151">
              <w:rPr>
                <w:lang w:val="fr-CA"/>
              </w:rPr>
              <w:t xml:space="preserve">IFRS 15.81 </w:t>
            </w:r>
            <w:r w:rsidR="008F3C38" w:rsidRPr="00D97151">
              <w:rPr>
                <w:lang w:val="fr-CA"/>
              </w:rPr>
              <w:t xml:space="preserve">à </w:t>
            </w:r>
            <w:r w:rsidRPr="00D97151">
              <w:rPr>
                <w:lang w:val="fr-CA"/>
              </w:rPr>
              <w:t>83</w:t>
            </w:r>
          </w:p>
          <w:p w14:paraId="6D65A4D0" w14:textId="7D1C1ADE" w:rsidR="00D778D5" w:rsidRPr="00D97151" w:rsidRDefault="00D778D5" w:rsidP="005975FE">
            <w:pPr>
              <w:spacing w:before="120" w:after="120"/>
              <w:rPr>
                <w:b/>
                <w:lang w:val="fr-CA"/>
              </w:rPr>
            </w:pPr>
          </w:p>
        </w:tc>
        <w:tc>
          <w:tcPr>
            <w:tcW w:w="7993" w:type="dxa"/>
            <w:tcBorders>
              <w:top w:val="single" w:sz="12" w:space="0" w:color="2E74B5" w:themeColor="accent1" w:themeShade="BF"/>
              <w:bottom w:val="single" w:sz="12" w:space="0" w:color="9CC2E5" w:themeColor="accent1" w:themeTint="99"/>
            </w:tcBorders>
          </w:tcPr>
          <w:p w14:paraId="77DC89EC" w14:textId="77777777" w:rsidR="006D2CEA" w:rsidRPr="00D97151" w:rsidRDefault="006D2CEA" w:rsidP="006D2CEA">
            <w:pPr>
              <w:spacing w:before="120" w:after="120"/>
              <w:rPr>
                <w:lang w:val="fr-CA"/>
              </w:rPr>
            </w:pPr>
            <w:r w:rsidRPr="00D97151">
              <w:rPr>
                <w:lang w:val="fr-CA"/>
              </w:rPr>
              <w:t xml:space="preserve">Sauf lorsqu’il y a des éléments observables qui indiquent que la totalité de la remise ne se rapporte qu’à une ou plusieurs obligations de prestation du contrat, mais pas à l’ensemble d’entre elles, l’auditeur doit déterminer si l’entité a utilisé la </w:t>
            </w:r>
            <w:r w:rsidR="008F3C38" w:rsidRPr="00D97151">
              <w:rPr>
                <w:lang w:val="fr-CA"/>
              </w:rPr>
              <w:t>méthode de répartition proportionnelle entre toutes les obligations de prestation prévues</w:t>
            </w:r>
            <w:r w:rsidRPr="00D97151">
              <w:rPr>
                <w:lang w:val="fr-CA"/>
              </w:rPr>
              <w:t xml:space="preserve"> dans le contrat. </w:t>
            </w:r>
          </w:p>
          <w:p w14:paraId="6F70AC0E" w14:textId="6938B982" w:rsidR="00D778D5" w:rsidRPr="00D97151" w:rsidRDefault="006D2CEA" w:rsidP="006D2CEA">
            <w:pPr>
              <w:spacing w:before="120" w:after="120"/>
              <w:rPr>
                <w:b/>
                <w:lang w:val="fr-CA"/>
              </w:rPr>
            </w:pPr>
            <w:bookmarkStart w:id="41" w:name="lt_pId287"/>
            <w:r w:rsidRPr="00D97151">
              <w:rPr>
                <w:lang w:val="fr-CA"/>
              </w:rPr>
              <w:t xml:space="preserve">S’il y a des éléments observables qui indiquent que la totalité de la remise ne se rapporte qu’à une ou plusieurs obligations de prestation du contrat, mais pas à l’ensemble d’entre elles, </w:t>
            </w:r>
            <w:r w:rsidR="008F3C38" w:rsidRPr="00D97151">
              <w:rPr>
                <w:lang w:val="fr-CA"/>
              </w:rPr>
              <w:t>la totalité de la remise est affectée à une ou plusieurs obligations de prestation prévues dans le contrat</w:t>
            </w:r>
            <w:r w:rsidRPr="00D97151">
              <w:rPr>
                <w:lang w:val="fr-CA"/>
              </w:rPr>
              <w:t xml:space="preserve">. L’entité doit alors </w:t>
            </w:r>
            <w:r w:rsidR="008F3C38" w:rsidRPr="00D97151">
              <w:rPr>
                <w:lang w:val="fr-CA"/>
              </w:rPr>
              <w:t>affecter la remise avant d</w:t>
            </w:r>
            <w:r w:rsidR="00FF10CF" w:rsidRPr="00D97151">
              <w:rPr>
                <w:lang w:val="fr-CA"/>
              </w:rPr>
              <w:t>’</w:t>
            </w:r>
            <w:r w:rsidR="008F3C38" w:rsidRPr="00D97151">
              <w:rPr>
                <w:lang w:val="fr-CA"/>
              </w:rPr>
              <w:t xml:space="preserve">utiliser la méthode résiduelle </w:t>
            </w:r>
            <w:r w:rsidRPr="00D97151">
              <w:rPr>
                <w:lang w:val="fr-CA"/>
              </w:rPr>
              <w:t>(voir IFRS</w:t>
            </w:r>
            <w:r w:rsidR="00A352F0" w:rsidRPr="00D97151">
              <w:rPr>
                <w:lang w:val="fr-CA"/>
              </w:rPr>
              <w:t> </w:t>
            </w:r>
            <w:r w:rsidRPr="00D97151">
              <w:rPr>
                <w:lang w:val="fr-CA"/>
              </w:rPr>
              <w:t>15.79 c)</w:t>
            </w:r>
            <w:r w:rsidR="00F15004" w:rsidRPr="00D97151">
              <w:rPr>
                <w:lang w:val="fr-CA"/>
              </w:rPr>
              <w:t>)</w:t>
            </w:r>
            <w:r w:rsidRPr="00D97151">
              <w:rPr>
                <w:lang w:val="fr-CA"/>
              </w:rPr>
              <w:t xml:space="preserve"> </w:t>
            </w:r>
            <w:r w:rsidR="008F3C38" w:rsidRPr="00D97151">
              <w:rPr>
                <w:lang w:val="fr-CA"/>
              </w:rPr>
              <w:t>pour estimer le prix de vente spécifique d</w:t>
            </w:r>
            <w:r w:rsidR="00FF10CF" w:rsidRPr="00D97151">
              <w:rPr>
                <w:lang w:val="fr-CA"/>
              </w:rPr>
              <w:t>’</w:t>
            </w:r>
            <w:r w:rsidR="008F3C38" w:rsidRPr="00D97151">
              <w:rPr>
                <w:lang w:val="fr-CA"/>
              </w:rPr>
              <w:t>un bien ou d</w:t>
            </w:r>
            <w:r w:rsidR="00FF10CF" w:rsidRPr="00D97151">
              <w:rPr>
                <w:lang w:val="fr-CA"/>
              </w:rPr>
              <w:t>’</w:t>
            </w:r>
            <w:r w:rsidR="008F3C38" w:rsidRPr="00D97151">
              <w:rPr>
                <w:lang w:val="fr-CA"/>
              </w:rPr>
              <w:t xml:space="preserve">un service </w:t>
            </w:r>
            <w:bookmarkEnd w:id="41"/>
            <w:r w:rsidRPr="00D97151">
              <w:rPr>
                <w:lang w:val="fr-CA"/>
              </w:rPr>
              <w:t>à l’Étape </w:t>
            </w:r>
            <w:r w:rsidR="00D778D5" w:rsidRPr="00D97151">
              <w:rPr>
                <w:lang w:val="fr-CA"/>
              </w:rPr>
              <w:t>3.</w:t>
            </w:r>
          </w:p>
        </w:tc>
      </w:tr>
      <w:tr w:rsidR="00D778D5" w:rsidRPr="00D97151" w14:paraId="13070158" w14:textId="77777777" w:rsidTr="00D778D5">
        <w:tc>
          <w:tcPr>
            <w:tcW w:w="2405" w:type="dxa"/>
            <w:tcBorders>
              <w:top w:val="single" w:sz="12" w:space="0" w:color="9CC2E5" w:themeColor="accent1" w:themeTint="99"/>
              <w:bottom w:val="single" w:sz="12" w:space="0" w:color="2E74B5" w:themeColor="accent1" w:themeShade="BF"/>
            </w:tcBorders>
          </w:tcPr>
          <w:p w14:paraId="2FD40899" w14:textId="77E5C971" w:rsidR="00D778D5" w:rsidRPr="00D97151" w:rsidRDefault="008F3C38" w:rsidP="00EF7B74">
            <w:pPr>
              <w:spacing w:before="120" w:after="120"/>
              <w:rPr>
                <w:b/>
                <w:highlight w:val="yellow"/>
                <w:lang w:val="fr-CA"/>
              </w:rPr>
            </w:pPr>
            <w:r w:rsidRPr="00D97151">
              <w:rPr>
                <w:lang w:val="fr-CA"/>
              </w:rPr>
              <w:t>Répartition d</w:t>
            </w:r>
            <w:r w:rsidR="00EF7B74" w:rsidRPr="00D97151">
              <w:rPr>
                <w:lang w:val="fr-CA"/>
              </w:rPr>
              <w:t>e la</w:t>
            </w:r>
            <w:r w:rsidRPr="00D97151">
              <w:rPr>
                <w:lang w:val="fr-CA"/>
              </w:rPr>
              <w:t xml:space="preserve"> contrepartie variable </w:t>
            </w:r>
          </w:p>
        </w:tc>
        <w:tc>
          <w:tcPr>
            <w:tcW w:w="2552" w:type="dxa"/>
            <w:tcBorders>
              <w:top w:val="single" w:sz="12" w:space="0" w:color="9CC2E5" w:themeColor="accent1" w:themeTint="99"/>
              <w:bottom w:val="single" w:sz="12" w:space="0" w:color="2E74B5" w:themeColor="accent1" w:themeShade="BF"/>
            </w:tcBorders>
          </w:tcPr>
          <w:p w14:paraId="16B7E8CB" w14:textId="72737172" w:rsidR="00D778D5" w:rsidRPr="00D97151" w:rsidRDefault="00D778D5" w:rsidP="005975FE">
            <w:pPr>
              <w:spacing w:before="120" w:after="120"/>
              <w:rPr>
                <w:lang w:val="fr-CA"/>
              </w:rPr>
            </w:pPr>
            <w:r w:rsidRPr="00D97151">
              <w:rPr>
                <w:lang w:val="fr-CA"/>
              </w:rPr>
              <w:t xml:space="preserve">IFRS 15.84 </w:t>
            </w:r>
            <w:r w:rsidR="008F3C38" w:rsidRPr="00D97151">
              <w:rPr>
                <w:lang w:val="fr-CA"/>
              </w:rPr>
              <w:t xml:space="preserve">à </w:t>
            </w:r>
            <w:r w:rsidRPr="00D97151">
              <w:rPr>
                <w:lang w:val="fr-CA"/>
              </w:rPr>
              <w:t>86</w:t>
            </w:r>
          </w:p>
          <w:p w14:paraId="745A94F8" w14:textId="3A5C2F40" w:rsidR="00D778D5" w:rsidRPr="00D97151" w:rsidRDefault="00D778D5" w:rsidP="005975FE">
            <w:pPr>
              <w:spacing w:before="120" w:after="120"/>
              <w:rPr>
                <w:b/>
                <w:lang w:val="fr-CA"/>
              </w:rPr>
            </w:pPr>
          </w:p>
        </w:tc>
        <w:tc>
          <w:tcPr>
            <w:tcW w:w="7993" w:type="dxa"/>
            <w:tcBorders>
              <w:top w:val="single" w:sz="12" w:space="0" w:color="9CC2E5" w:themeColor="accent1" w:themeTint="99"/>
              <w:bottom w:val="single" w:sz="12" w:space="0" w:color="2E74B5" w:themeColor="accent1" w:themeShade="BF"/>
            </w:tcBorders>
          </w:tcPr>
          <w:p w14:paraId="5211E18F" w14:textId="062B4508" w:rsidR="00D778D5" w:rsidRPr="00D97151" w:rsidRDefault="00165E2A" w:rsidP="00D52AA3">
            <w:pPr>
              <w:spacing w:before="120" w:after="120"/>
              <w:rPr>
                <w:b/>
                <w:lang w:val="fr-CA"/>
              </w:rPr>
            </w:pPr>
            <w:r w:rsidRPr="00D97151">
              <w:rPr>
                <w:lang w:val="fr-CA"/>
              </w:rPr>
              <w:t xml:space="preserve">Si le contrat comporte une </w:t>
            </w:r>
            <w:r w:rsidR="00D778D5" w:rsidRPr="00D97151">
              <w:rPr>
                <w:b/>
                <w:lang w:val="fr-CA"/>
              </w:rPr>
              <w:t>con</w:t>
            </w:r>
            <w:r w:rsidRPr="00D97151">
              <w:rPr>
                <w:b/>
                <w:lang w:val="fr-CA"/>
              </w:rPr>
              <w:t>trepartie variable</w:t>
            </w:r>
            <w:r w:rsidR="00D778D5" w:rsidRPr="00D97151">
              <w:rPr>
                <w:lang w:val="fr-CA"/>
              </w:rPr>
              <w:t xml:space="preserve">, </w:t>
            </w:r>
            <w:r w:rsidRPr="00D97151">
              <w:rPr>
                <w:lang w:val="fr-CA"/>
              </w:rPr>
              <w:t>l’auditeur évalue si l’entité a correctement affect</w:t>
            </w:r>
            <w:r w:rsidR="00A53441" w:rsidRPr="00D97151">
              <w:rPr>
                <w:lang w:val="fr-CA"/>
              </w:rPr>
              <w:t>é</w:t>
            </w:r>
            <w:r w:rsidRPr="00D97151">
              <w:rPr>
                <w:lang w:val="fr-CA"/>
              </w:rPr>
              <w:t xml:space="preserve"> le montant de la contrepartie : soit à l’intégralité du contrat (c</w:t>
            </w:r>
            <w:r w:rsidR="00473B58" w:rsidRPr="00D97151">
              <w:rPr>
                <w:lang w:val="fr-CA"/>
              </w:rPr>
              <w:t>.</w:t>
            </w:r>
            <w:r w:rsidRPr="00D97151">
              <w:rPr>
                <w:lang w:val="fr-CA"/>
              </w:rPr>
              <w:t>-à-d</w:t>
            </w:r>
            <w:r w:rsidR="00D52AA3" w:rsidRPr="00D97151">
              <w:rPr>
                <w:lang w:val="fr-CA"/>
              </w:rPr>
              <w:t>.</w:t>
            </w:r>
            <w:r w:rsidRPr="00D97151">
              <w:rPr>
                <w:lang w:val="fr-CA"/>
              </w:rPr>
              <w:t xml:space="preserve"> à toutes les obligations de prestation); soit uniquement aux obligations de prestation qui se rattachent à la contrepartie variable. </w:t>
            </w:r>
          </w:p>
        </w:tc>
      </w:tr>
    </w:tbl>
    <w:p w14:paraId="29FFDBC2" w14:textId="77777777" w:rsidR="00D778D5" w:rsidRPr="00D97151" w:rsidRDefault="00D778D5" w:rsidP="003F1943">
      <w:pPr>
        <w:rPr>
          <w:b/>
          <w:lang w:val="fr-CA"/>
        </w:rPr>
      </w:pPr>
    </w:p>
    <w:p w14:paraId="725F39CF" w14:textId="77777777" w:rsidR="001A636A" w:rsidRPr="00473B58" w:rsidRDefault="001A636A" w:rsidP="001A636A">
      <w:pPr>
        <w:rPr>
          <w:lang w:val="fr-CA"/>
        </w:rPr>
      </w:pPr>
      <w:r w:rsidRPr="00473B58">
        <w:rPr>
          <w:lang w:val="fr-CA"/>
        </w:rPr>
        <w:br w:type="page"/>
      </w:r>
    </w:p>
    <w:tbl>
      <w:tblPr>
        <w:tblStyle w:val="TableGrid"/>
        <w:tblW w:w="13036" w:type="dxa"/>
        <w:tblLook w:val="04A0" w:firstRow="1" w:lastRow="0" w:firstColumn="1" w:lastColumn="0" w:noHBand="0" w:noVBand="1"/>
      </w:tblPr>
      <w:tblGrid>
        <w:gridCol w:w="2607"/>
        <w:gridCol w:w="2607"/>
        <w:gridCol w:w="2607"/>
        <w:gridCol w:w="2607"/>
        <w:gridCol w:w="2608"/>
      </w:tblGrid>
      <w:tr w:rsidR="009C30B4" w:rsidRPr="00473B58" w14:paraId="20052368" w14:textId="77777777" w:rsidTr="005975FE">
        <w:trPr>
          <w:trHeight w:val="132"/>
        </w:trPr>
        <w:tc>
          <w:tcPr>
            <w:tcW w:w="2607" w:type="dxa"/>
            <w:shd w:val="clear" w:color="auto" w:fill="2E74B5" w:themeFill="accent1" w:themeFillShade="BF"/>
          </w:tcPr>
          <w:p w14:paraId="0EF6FD8F" w14:textId="76EA4687" w:rsidR="009C30B4" w:rsidRPr="00473B58" w:rsidRDefault="00D97151" w:rsidP="009C30B4">
            <w:pPr>
              <w:jc w:val="center"/>
              <w:rPr>
                <w:b/>
                <w:color w:val="FFFFFF" w:themeColor="background1"/>
                <w:sz w:val="24"/>
                <w:szCs w:val="24"/>
                <w:lang w:val="fr-CA"/>
              </w:rPr>
            </w:pPr>
            <w:hyperlink w:anchor="_Results_Template_(Step"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1</w:t>
              </w:r>
            </w:hyperlink>
          </w:p>
        </w:tc>
        <w:tc>
          <w:tcPr>
            <w:tcW w:w="2607" w:type="dxa"/>
            <w:shd w:val="clear" w:color="auto" w:fill="2E74B5" w:themeFill="accent1" w:themeFillShade="BF"/>
          </w:tcPr>
          <w:p w14:paraId="346A19C9" w14:textId="72B7A590" w:rsidR="009C30B4" w:rsidRPr="00473B58" w:rsidRDefault="00D97151" w:rsidP="009C30B4">
            <w:pPr>
              <w:jc w:val="center"/>
              <w:rPr>
                <w:b/>
                <w:color w:val="FFFFFF" w:themeColor="background1"/>
                <w:sz w:val="24"/>
                <w:szCs w:val="24"/>
                <w:lang w:val="fr-CA"/>
              </w:rPr>
            </w:pPr>
            <w:hyperlink w:anchor="_Results_Template_(Step_5"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2</w:t>
              </w:r>
            </w:hyperlink>
          </w:p>
        </w:tc>
        <w:tc>
          <w:tcPr>
            <w:tcW w:w="2607" w:type="dxa"/>
            <w:shd w:val="clear" w:color="auto" w:fill="2E74B5" w:themeFill="accent1" w:themeFillShade="BF"/>
          </w:tcPr>
          <w:p w14:paraId="656C0EC1" w14:textId="57822F1D" w:rsidR="009C30B4" w:rsidRPr="00473B58" w:rsidRDefault="00D97151" w:rsidP="009C30B4">
            <w:pPr>
              <w:jc w:val="center"/>
              <w:rPr>
                <w:b/>
                <w:color w:val="FFFFFF" w:themeColor="background1"/>
                <w:sz w:val="24"/>
                <w:szCs w:val="24"/>
                <w:lang w:val="fr-CA"/>
              </w:rPr>
            </w:pPr>
            <w:hyperlink w:anchor="_Results_Template_(Step_2"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3</w:t>
              </w:r>
            </w:hyperlink>
          </w:p>
        </w:tc>
        <w:tc>
          <w:tcPr>
            <w:tcW w:w="2607" w:type="dxa"/>
            <w:shd w:val="clear" w:color="auto" w:fill="2E74B5" w:themeFill="accent1" w:themeFillShade="BF"/>
          </w:tcPr>
          <w:p w14:paraId="7D7F010A" w14:textId="63C6C1FB" w:rsidR="009C30B4" w:rsidRPr="00473B58" w:rsidRDefault="00D97151" w:rsidP="009C30B4">
            <w:pPr>
              <w:jc w:val="center"/>
              <w:rPr>
                <w:b/>
                <w:color w:val="FFFFFF" w:themeColor="background1"/>
                <w:sz w:val="24"/>
                <w:szCs w:val="24"/>
                <w:lang w:val="fr-CA"/>
              </w:rPr>
            </w:pPr>
            <w:hyperlink w:anchor="_Results_Template_(Step_3"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4</w:t>
              </w:r>
            </w:hyperlink>
          </w:p>
        </w:tc>
        <w:tc>
          <w:tcPr>
            <w:tcW w:w="2608" w:type="dxa"/>
            <w:shd w:val="clear" w:color="auto" w:fill="C45911" w:themeFill="accent2" w:themeFillShade="BF"/>
          </w:tcPr>
          <w:p w14:paraId="0C57D14D" w14:textId="0F29BE3D" w:rsidR="009C30B4" w:rsidRPr="00473B58" w:rsidRDefault="00D97151" w:rsidP="009C30B4">
            <w:pPr>
              <w:jc w:val="center"/>
              <w:rPr>
                <w:b/>
                <w:color w:val="FFFFFF" w:themeColor="background1"/>
                <w:sz w:val="24"/>
                <w:szCs w:val="24"/>
                <w:lang w:val="fr-CA"/>
              </w:rPr>
            </w:pPr>
            <w:hyperlink w:anchor="_Results_Template_(Step_4" w:history="1">
              <w:r w:rsidR="009C30B4" w:rsidRPr="00473B58">
                <w:rPr>
                  <w:rStyle w:val="Hyperlink"/>
                  <w:b/>
                  <w:color w:val="FFFFFF" w:themeColor="background1"/>
                  <w:sz w:val="24"/>
                  <w:szCs w:val="24"/>
                  <w:lang w:val="fr-CA"/>
                </w:rPr>
                <w:t>Étape</w:t>
              </w:r>
              <w:r w:rsidR="00A352F0" w:rsidRPr="00473B58">
                <w:rPr>
                  <w:rStyle w:val="Hyperlink"/>
                  <w:b/>
                  <w:color w:val="FFFFFF" w:themeColor="background1"/>
                  <w:sz w:val="24"/>
                  <w:szCs w:val="24"/>
                  <w:lang w:val="fr-CA"/>
                </w:rPr>
                <w:t> </w:t>
              </w:r>
              <w:r w:rsidR="009C30B4" w:rsidRPr="00473B58">
                <w:rPr>
                  <w:rStyle w:val="Hyperlink"/>
                  <w:b/>
                  <w:color w:val="FFFFFF" w:themeColor="background1"/>
                  <w:sz w:val="24"/>
                  <w:szCs w:val="24"/>
                  <w:lang w:val="fr-CA"/>
                </w:rPr>
                <w:t>5</w:t>
              </w:r>
            </w:hyperlink>
          </w:p>
        </w:tc>
      </w:tr>
    </w:tbl>
    <w:p w14:paraId="4A39BE86" w14:textId="456DE08C" w:rsidR="00A739AD" w:rsidRPr="00C97581" w:rsidRDefault="009C30B4" w:rsidP="00A8759A">
      <w:pPr>
        <w:pStyle w:val="Heading1"/>
        <w:rPr>
          <w:lang w:val="fr-CA"/>
        </w:rPr>
      </w:pPr>
      <w:bookmarkStart w:id="42" w:name="_Results_Template_(Step_4"/>
      <w:bookmarkStart w:id="43" w:name="_Toc73001874"/>
      <w:bookmarkEnd w:id="42"/>
      <w:r w:rsidRPr="00C97581">
        <w:rPr>
          <w:lang w:val="fr-CA"/>
        </w:rPr>
        <w:t>Modèle des résultats (</w:t>
      </w:r>
      <w:r w:rsidR="00C97581">
        <w:rPr>
          <w:lang w:val="fr-CA"/>
        </w:rPr>
        <w:t>é</w:t>
      </w:r>
      <w:r w:rsidRPr="00C97581">
        <w:rPr>
          <w:lang w:val="fr-CA"/>
        </w:rPr>
        <w:t>tape</w:t>
      </w:r>
      <w:r w:rsidR="00A352F0" w:rsidRPr="00C97581">
        <w:rPr>
          <w:lang w:val="fr-CA"/>
        </w:rPr>
        <w:t> </w:t>
      </w:r>
      <w:r w:rsidR="001A636A" w:rsidRPr="00C97581">
        <w:rPr>
          <w:lang w:val="fr-CA"/>
        </w:rPr>
        <w:t xml:space="preserve">5) </w:t>
      </w:r>
      <w:r w:rsidR="00A352F0" w:rsidRPr="00FE00C3">
        <w:rPr>
          <w:lang w:val="fr-CA"/>
        </w:rPr>
        <w:t>—</w:t>
      </w:r>
      <w:r w:rsidR="001A636A" w:rsidRPr="00FE00C3">
        <w:rPr>
          <w:lang w:val="fr-CA"/>
        </w:rPr>
        <w:t xml:space="preserve"> Test</w:t>
      </w:r>
      <w:r w:rsidR="00165E2A" w:rsidRPr="00FE00C3">
        <w:rPr>
          <w:lang w:val="fr-CA"/>
        </w:rPr>
        <w:t xml:space="preserve">er les </w:t>
      </w:r>
      <w:r w:rsidR="008F3C38" w:rsidRPr="00FE00C3">
        <w:rPr>
          <w:lang w:val="fr-CA"/>
        </w:rPr>
        <w:t>produits comptabilisés</w:t>
      </w:r>
      <w:bookmarkEnd w:id="43"/>
    </w:p>
    <w:tbl>
      <w:tblPr>
        <w:tblStyle w:val="TableGrid"/>
        <w:tblW w:w="0" w:type="auto"/>
        <w:tblLook w:val="04A0" w:firstRow="1" w:lastRow="0" w:firstColumn="1" w:lastColumn="0" w:noHBand="0" w:noVBand="1"/>
      </w:tblPr>
      <w:tblGrid>
        <w:gridCol w:w="12930"/>
      </w:tblGrid>
      <w:tr w:rsidR="006D2985" w:rsidRPr="00D97151" w14:paraId="2AB63832" w14:textId="77777777" w:rsidTr="006D2985">
        <w:tc>
          <w:tcPr>
            <w:tcW w:w="129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B99B04" w14:textId="76FA6491" w:rsidR="006D2985" w:rsidRPr="00473B58" w:rsidRDefault="006D2985" w:rsidP="005975FE">
            <w:pPr>
              <w:spacing w:before="120"/>
              <w:rPr>
                <w:b/>
                <w:bCs/>
                <w:color w:val="2E74B5" w:themeColor="accent1" w:themeShade="BF"/>
                <w:lang w:val="fr-CA"/>
              </w:rPr>
            </w:pPr>
            <w:r w:rsidRPr="00473B58">
              <w:rPr>
                <w:b/>
                <w:bCs/>
                <w:color w:val="2E74B5" w:themeColor="accent1" w:themeShade="BF"/>
                <w:lang w:val="fr-CA"/>
              </w:rPr>
              <w:t>R</w:t>
            </w:r>
            <w:r w:rsidR="008F3C38" w:rsidRPr="00473B58">
              <w:rPr>
                <w:b/>
                <w:bCs/>
                <w:color w:val="2E74B5" w:themeColor="accent1" w:themeShade="BF"/>
                <w:lang w:val="fr-CA"/>
              </w:rPr>
              <w:t xml:space="preserve">appel </w:t>
            </w:r>
          </w:p>
          <w:p w14:paraId="2DA4CD40" w14:textId="04E90174" w:rsidR="008F3C38" w:rsidRPr="00473B58" w:rsidRDefault="00165E2A" w:rsidP="008F3C38">
            <w:pPr>
              <w:spacing w:before="120" w:line="276" w:lineRule="auto"/>
              <w:rPr>
                <w:lang w:val="fr-CA"/>
              </w:rPr>
            </w:pPr>
            <w:r w:rsidRPr="00473B58">
              <w:rPr>
                <w:lang w:val="fr-CA"/>
              </w:rPr>
              <w:t xml:space="preserve">Une entité comptabilise des produits des activités ordinaires lorsqu’elle remplit (ou à mesure qu’elle remplit) une </w:t>
            </w:r>
            <w:r w:rsidR="006D2985" w:rsidRPr="00473B58">
              <w:rPr>
                <w:lang w:val="fr-CA"/>
              </w:rPr>
              <w:t xml:space="preserve">obligation </w:t>
            </w:r>
            <w:r w:rsidRPr="00473B58">
              <w:rPr>
                <w:lang w:val="fr-CA"/>
              </w:rPr>
              <w:t>de prestation en fournissant au client un bien ou un service</w:t>
            </w:r>
            <w:r w:rsidR="00F15004" w:rsidRPr="00473B58">
              <w:rPr>
                <w:lang w:val="fr-CA"/>
              </w:rPr>
              <w:t xml:space="preserve"> promis</w:t>
            </w:r>
            <w:r w:rsidRPr="00473B58">
              <w:rPr>
                <w:lang w:val="fr-CA"/>
              </w:rPr>
              <w:t xml:space="preserve"> </w:t>
            </w:r>
            <w:r w:rsidR="006D2985" w:rsidRPr="00473B58">
              <w:rPr>
                <w:lang w:val="fr-CA"/>
              </w:rPr>
              <w:t>(</w:t>
            </w:r>
            <w:r w:rsidR="00F15004" w:rsidRPr="00473B58">
              <w:rPr>
                <w:lang w:val="fr-CA"/>
              </w:rPr>
              <w:t xml:space="preserve">c’est-à-dire </w:t>
            </w:r>
            <w:r w:rsidRPr="00473B58">
              <w:rPr>
                <w:lang w:val="fr-CA"/>
              </w:rPr>
              <w:t>lorsque le client en a obtenu le contrôle</w:t>
            </w:r>
            <w:r w:rsidR="006D2985" w:rsidRPr="00473B58">
              <w:rPr>
                <w:lang w:val="fr-CA"/>
              </w:rPr>
              <w:t xml:space="preserve">). </w:t>
            </w:r>
            <w:r w:rsidRPr="00473B58">
              <w:rPr>
                <w:lang w:val="fr-CA"/>
              </w:rPr>
              <w:t xml:space="preserve">Le montant des produits à comptabiliser correspond au montant affecté à l’obligation de prestation remplie. </w:t>
            </w:r>
            <w:r w:rsidR="00D740E0" w:rsidRPr="00473B58">
              <w:rPr>
                <w:lang w:val="fr-CA"/>
              </w:rPr>
              <w:t>Une obligation de prestation peut être remplie à un moment précis (généralement pour des promesses de tran</w:t>
            </w:r>
            <w:r w:rsidR="00A53441" w:rsidRPr="00473B58">
              <w:rPr>
                <w:lang w:val="fr-CA"/>
              </w:rPr>
              <w:t>s</w:t>
            </w:r>
            <w:r w:rsidR="00D740E0" w:rsidRPr="00473B58">
              <w:rPr>
                <w:lang w:val="fr-CA"/>
              </w:rPr>
              <w:t>fert de biens à un client) ou progressivement (généralement pour des promesses de transfert de services à un client).</w:t>
            </w:r>
            <w:r w:rsidR="006D2985" w:rsidRPr="00473B58">
              <w:rPr>
                <w:lang w:val="fr-CA"/>
              </w:rPr>
              <w:t xml:space="preserve"> </w:t>
            </w:r>
            <w:bookmarkStart w:id="44" w:name="lt_pId301"/>
            <w:r w:rsidR="008F3C38" w:rsidRPr="00473B58">
              <w:rPr>
                <w:lang w:val="fr-CA"/>
              </w:rPr>
              <w:t>Pour chaque obligation de prestation remplie progressivement, l</w:t>
            </w:r>
            <w:r w:rsidR="00FF10CF" w:rsidRPr="00473B58">
              <w:rPr>
                <w:lang w:val="fr-CA"/>
              </w:rPr>
              <w:t>’</w:t>
            </w:r>
            <w:r w:rsidR="008F3C38" w:rsidRPr="00473B58">
              <w:rPr>
                <w:lang w:val="fr-CA"/>
              </w:rPr>
              <w:t>entité comptabilise les produits des activités ordinaires progressivement</w:t>
            </w:r>
            <w:r w:rsidR="00D740E0" w:rsidRPr="00473B58">
              <w:rPr>
                <w:lang w:val="fr-CA"/>
              </w:rPr>
              <w:t xml:space="preserve"> en choisissant une méthode appropriée pour évaluer la mesure dans laquelle l’obligation de prestation est remplie (degré d’avancement)</w:t>
            </w:r>
            <w:r w:rsidR="008F3C38" w:rsidRPr="00473B58">
              <w:rPr>
                <w:lang w:val="fr-CA"/>
              </w:rPr>
              <w:t>.</w:t>
            </w:r>
            <w:bookmarkEnd w:id="44"/>
          </w:p>
          <w:p w14:paraId="221C8A54" w14:textId="77777777" w:rsidR="006D2985" w:rsidRPr="00473B58" w:rsidRDefault="006D2985" w:rsidP="006D2985">
            <w:pPr>
              <w:rPr>
                <w:lang w:val="fr-CA"/>
              </w:rPr>
            </w:pPr>
          </w:p>
          <w:p w14:paraId="6B761D17" w14:textId="740E933F" w:rsidR="006D2985" w:rsidRPr="00473B58" w:rsidRDefault="006D2985" w:rsidP="006D2985">
            <w:pPr>
              <w:rPr>
                <w:b/>
                <w:color w:val="2E74B5" w:themeColor="accent1" w:themeShade="BF"/>
                <w:lang w:val="fr-CA"/>
              </w:rPr>
            </w:pPr>
            <w:r w:rsidRPr="00473B58">
              <w:rPr>
                <w:b/>
                <w:color w:val="2E74B5" w:themeColor="accent1" w:themeShade="BF"/>
                <w:lang w:val="fr-CA"/>
              </w:rPr>
              <w:t>*</w:t>
            </w:r>
            <w:r w:rsidR="00953AAA" w:rsidRPr="00473B58">
              <w:rPr>
                <w:b/>
                <w:color w:val="2E74B5" w:themeColor="accent1" w:themeShade="BF"/>
                <w:lang w:val="fr-CA"/>
              </w:rPr>
              <w:t>Note – Pour chaque obligation de prestation/opération sélectionnée pour être testée à l’onglet «</w:t>
            </w:r>
            <w:r w:rsidR="00A352F0" w:rsidRPr="00473B58">
              <w:rPr>
                <w:b/>
                <w:color w:val="2E74B5" w:themeColor="accent1" w:themeShade="BF"/>
                <w:lang w:val="fr-CA"/>
              </w:rPr>
              <w:t xml:space="preserve"> </w:t>
            </w:r>
            <w:r w:rsidR="00C97581">
              <w:rPr>
                <w:b/>
                <w:color w:val="2E74B5" w:themeColor="accent1" w:themeShade="BF"/>
                <w:lang w:val="fr-CA"/>
              </w:rPr>
              <w:t>Sélection de l’échantillon</w:t>
            </w:r>
            <w:r w:rsidR="00A352F0" w:rsidRPr="00C97581">
              <w:rPr>
                <w:b/>
                <w:color w:val="2E74B5" w:themeColor="accent1" w:themeShade="BF"/>
                <w:lang w:val="fr-CA"/>
              </w:rPr>
              <w:t xml:space="preserve"> </w:t>
            </w:r>
            <w:r w:rsidR="00953AAA" w:rsidRPr="00C97581">
              <w:rPr>
                <w:b/>
                <w:color w:val="2E74B5" w:themeColor="accent1" w:themeShade="BF"/>
                <w:lang w:val="fr-CA"/>
              </w:rPr>
              <w:t>»,</w:t>
            </w:r>
            <w:r w:rsidR="00953AAA" w:rsidRPr="00473B58">
              <w:rPr>
                <w:b/>
                <w:color w:val="2E74B5" w:themeColor="accent1" w:themeShade="BF"/>
                <w:lang w:val="fr-CA"/>
              </w:rPr>
              <w:t xml:space="preserve"> l’auditeur doit exécuter les procédures ci-dessous</w:t>
            </w:r>
            <w:r w:rsidRPr="00473B58">
              <w:rPr>
                <w:b/>
                <w:color w:val="2E74B5" w:themeColor="accent1" w:themeShade="BF"/>
                <w:lang w:val="fr-CA"/>
              </w:rPr>
              <w:t>.</w:t>
            </w:r>
          </w:p>
          <w:p w14:paraId="2F2E9FD3" w14:textId="77777777" w:rsidR="006D2985" w:rsidRPr="00D97151" w:rsidRDefault="006D2985" w:rsidP="001A636A">
            <w:pPr>
              <w:rPr>
                <w:b/>
                <w:bCs/>
                <w:lang w:val="fr-CA"/>
              </w:rPr>
            </w:pPr>
          </w:p>
        </w:tc>
      </w:tr>
    </w:tbl>
    <w:p w14:paraId="521D4A7B" w14:textId="77F850B3" w:rsidR="00D97151" w:rsidRPr="00D97151" w:rsidRDefault="00D97151" w:rsidP="001A636A">
      <w:pPr>
        <w:rPr>
          <w:b/>
          <w:lang w:val="fr-CA"/>
        </w:rPr>
      </w:pPr>
    </w:p>
    <w:p w14:paraId="0C3CE063" w14:textId="77777777" w:rsidR="00D97151" w:rsidRDefault="00D97151">
      <w:pPr>
        <w:rPr>
          <w:b/>
          <w:color w:val="C45911" w:themeColor="accent2" w:themeShade="BF"/>
          <w:lang w:val="fr-CA"/>
        </w:rPr>
      </w:pPr>
      <w:r>
        <w:rPr>
          <w:b/>
          <w:color w:val="C45911" w:themeColor="accent2" w:themeShade="BF"/>
          <w:lang w:val="fr-CA"/>
        </w:rPr>
        <w:br w:type="page"/>
      </w:r>
    </w:p>
    <w:tbl>
      <w:tblPr>
        <w:tblStyle w:val="TableGrid"/>
        <w:tblW w:w="13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352"/>
        <w:gridCol w:w="8562"/>
      </w:tblGrid>
      <w:tr w:rsidR="00C777BE" w:rsidRPr="00473B58" w14:paraId="36F14E69" w14:textId="77777777" w:rsidTr="00A8759A">
        <w:tc>
          <w:tcPr>
            <w:tcW w:w="2122" w:type="dxa"/>
            <w:tcBorders>
              <w:top w:val="single" w:sz="12" w:space="0" w:color="2E74B5" w:themeColor="accent1" w:themeShade="BF"/>
              <w:bottom w:val="single" w:sz="12" w:space="0" w:color="2E74B5" w:themeColor="accent1" w:themeShade="BF"/>
            </w:tcBorders>
            <w:vAlign w:val="bottom"/>
          </w:tcPr>
          <w:p w14:paraId="0EFBD37E" w14:textId="1F26E312" w:rsidR="00C777BE" w:rsidRPr="00FE00C3" w:rsidRDefault="00C777BE" w:rsidP="00C777BE">
            <w:pPr>
              <w:spacing w:before="120" w:after="120"/>
              <w:rPr>
                <w:b/>
                <w:color w:val="2E74B5" w:themeColor="accent1" w:themeShade="BF"/>
                <w:lang w:val="fr-CA"/>
              </w:rPr>
            </w:pPr>
            <w:r w:rsidRPr="00FE00C3">
              <w:rPr>
                <w:b/>
                <w:color w:val="2E74B5" w:themeColor="accent1" w:themeShade="BF"/>
                <w:lang w:val="fr-CA"/>
              </w:rPr>
              <w:t>N</w:t>
            </w:r>
            <w:r w:rsidRPr="00FE00C3">
              <w:rPr>
                <w:b/>
                <w:color w:val="2E74B5" w:themeColor="accent1" w:themeShade="BF"/>
                <w:vertAlign w:val="superscript"/>
                <w:lang w:val="fr-CA"/>
              </w:rPr>
              <w:t>o</w:t>
            </w:r>
            <w:r w:rsidRPr="00FE00C3">
              <w:rPr>
                <w:b/>
                <w:color w:val="2E74B5" w:themeColor="accent1" w:themeShade="BF"/>
                <w:lang w:val="fr-CA"/>
              </w:rPr>
              <w:t xml:space="preserve"> / titre de la procédure</w:t>
            </w:r>
          </w:p>
        </w:tc>
        <w:tc>
          <w:tcPr>
            <w:tcW w:w="2352" w:type="dxa"/>
            <w:tcBorders>
              <w:top w:val="single" w:sz="12" w:space="0" w:color="2E74B5" w:themeColor="accent1" w:themeShade="BF"/>
              <w:bottom w:val="single" w:sz="12" w:space="0" w:color="2E74B5" w:themeColor="accent1" w:themeShade="BF"/>
            </w:tcBorders>
            <w:vAlign w:val="bottom"/>
          </w:tcPr>
          <w:p w14:paraId="6DED5007" w14:textId="7D433821" w:rsidR="00C777BE" w:rsidRPr="00473B58" w:rsidRDefault="00C777BE" w:rsidP="00C777BE">
            <w:pPr>
              <w:spacing w:before="120" w:after="120"/>
              <w:rPr>
                <w:b/>
                <w:color w:val="2E74B5" w:themeColor="accent1" w:themeShade="BF"/>
                <w:lang w:val="fr-CA"/>
              </w:rPr>
            </w:pPr>
            <w:r w:rsidRPr="00473B58">
              <w:rPr>
                <w:b/>
                <w:color w:val="2E74B5" w:themeColor="accent1" w:themeShade="BF"/>
                <w:lang w:val="fr-CA"/>
              </w:rPr>
              <w:t xml:space="preserve">Paragraphes </w:t>
            </w:r>
            <w:r w:rsidR="00F15004"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8562" w:type="dxa"/>
            <w:tcBorders>
              <w:top w:val="single" w:sz="12" w:space="0" w:color="2E74B5" w:themeColor="accent1" w:themeShade="BF"/>
              <w:bottom w:val="single" w:sz="12" w:space="0" w:color="2E74B5" w:themeColor="accent1" w:themeShade="BF"/>
            </w:tcBorders>
            <w:vAlign w:val="bottom"/>
          </w:tcPr>
          <w:p w14:paraId="442412C8" w14:textId="50065FB8" w:rsidR="00C777BE" w:rsidRPr="00473B58" w:rsidRDefault="00C777BE" w:rsidP="00C777BE">
            <w:pPr>
              <w:spacing w:before="120" w:after="120"/>
              <w:rPr>
                <w:b/>
                <w:color w:val="2E74B5" w:themeColor="accent1" w:themeShade="BF"/>
                <w:lang w:val="fr-CA"/>
              </w:rPr>
            </w:pPr>
            <w:r w:rsidRPr="00473B58">
              <w:rPr>
                <w:b/>
                <w:color w:val="2E74B5" w:themeColor="accent1" w:themeShade="BF"/>
                <w:lang w:val="fr-CA"/>
              </w:rPr>
              <w:t xml:space="preserve">Directives </w:t>
            </w:r>
          </w:p>
        </w:tc>
      </w:tr>
      <w:tr w:rsidR="001A636A" w:rsidRPr="00D97151" w14:paraId="3B31F9F5" w14:textId="77777777" w:rsidTr="00806EE9">
        <w:tc>
          <w:tcPr>
            <w:tcW w:w="2122" w:type="dxa"/>
            <w:tcBorders>
              <w:top w:val="single" w:sz="12" w:space="0" w:color="2E74B5" w:themeColor="accent1" w:themeShade="BF"/>
              <w:bottom w:val="single" w:sz="12" w:space="0" w:color="9CC2E5" w:themeColor="accent1" w:themeTint="99"/>
            </w:tcBorders>
          </w:tcPr>
          <w:p w14:paraId="2CAB2C25" w14:textId="51ABDB4A" w:rsidR="001A636A" w:rsidRPr="00FE00C3" w:rsidRDefault="001A636A" w:rsidP="008F3C38">
            <w:pPr>
              <w:spacing w:before="120" w:after="120"/>
              <w:rPr>
                <w:lang w:val="fr-CA"/>
              </w:rPr>
            </w:pPr>
            <w:r w:rsidRPr="00FE00C3">
              <w:rPr>
                <w:lang w:val="fr-CA"/>
              </w:rPr>
              <w:t>Proc</w:t>
            </w:r>
            <w:r w:rsidR="008F3C38" w:rsidRPr="00FE00C3">
              <w:rPr>
                <w:lang w:val="fr-CA"/>
              </w:rPr>
              <w:t>é</w:t>
            </w:r>
            <w:r w:rsidRPr="00FE00C3">
              <w:rPr>
                <w:lang w:val="fr-CA"/>
              </w:rPr>
              <w:t>dures</w:t>
            </w:r>
            <w:r w:rsidR="00600311" w:rsidRPr="00FE00C3">
              <w:rPr>
                <w:lang w:val="fr-CA"/>
              </w:rPr>
              <w:t xml:space="preserve"> </w:t>
            </w:r>
            <w:r w:rsidRPr="00FE00C3">
              <w:rPr>
                <w:lang w:val="fr-CA"/>
              </w:rPr>
              <w:t>(</w:t>
            </w:r>
            <w:r w:rsidR="008F3C38" w:rsidRPr="00FE00C3">
              <w:rPr>
                <w:lang w:val="fr-CA"/>
              </w:rPr>
              <w:t>Étape</w:t>
            </w:r>
            <w:r w:rsidR="00A352F0" w:rsidRPr="00FE00C3">
              <w:rPr>
                <w:lang w:val="fr-CA"/>
              </w:rPr>
              <w:t> </w:t>
            </w:r>
            <w:r w:rsidRPr="00FE00C3">
              <w:rPr>
                <w:lang w:val="fr-CA"/>
              </w:rPr>
              <w:t>5)</w:t>
            </w:r>
          </w:p>
        </w:tc>
        <w:tc>
          <w:tcPr>
            <w:tcW w:w="2352" w:type="dxa"/>
            <w:tcBorders>
              <w:top w:val="single" w:sz="12" w:space="0" w:color="2E74B5" w:themeColor="accent1" w:themeShade="BF"/>
              <w:bottom w:val="single" w:sz="12" w:space="0" w:color="9CC2E5" w:themeColor="accent1" w:themeTint="99"/>
            </w:tcBorders>
          </w:tcPr>
          <w:p w14:paraId="3DC95BF6" w14:textId="00D5185A" w:rsidR="001A636A" w:rsidRPr="00473B58" w:rsidRDefault="001A636A" w:rsidP="005975FE">
            <w:pPr>
              <w:spacing w:before="120" w:after="120"/>
              <w:rPr>
                <w:lang w:val="fr-CA"/>
              </w:rPr>
            </w:pPr>
            <w:r w:rsidRPr="00473B58">
              <w:rPr>
                <w:lang w:val="fr-CA"/>
              </w:rPr>
              <w:t xml:space="preserve">IFRS 15.35 </w:t>
            </w:r>
            <w:r w:rsidR="008F3C38" w:rsidRPr="00473B58">
              <w:rPr>
                <w:lang w:val="fr-CA"/>
              </w:rPr>
              <w:t xml:space="preserve">à </w:t>
            </w:r>
            <w:r w:rsidRPr="00473B58">
              <w:rPr>
                <w:lang w:val="fr-CA"/>
              </w:rPr>
              <w:t>38</w:t>
            </w:r>
          </w:p>
          <w:p w14:paraId="6CF4B82A" w14:textId="006AABED" w:rsidR="001A636A" w:rsidRPr="00473B58" w:rsidRDefault="001A636A" w:rsidP="005975FE">
            <w:pPr>
              <w:spacing w:before="120" w:after="120"/>
              <w:rPr>
                <w:lang w:val="fr-CA"/>
              </w:rPr>
            </w:pPr>
          </w:p>
        </w:tc>
        <w:tc>
          <w:tcPr>
            <w:tcW w:w="8562" w:type="dxa"/>
            <w:tcBorders>
              <w:top w:val="single" w:sz="12" w:space="0" w:color="2E74B5" w:themeColor="accent1" w:themeShade="BF"/>
              <w:bottom w:val="single" w:sz="12" w:space="0" w:color="9CC2E5" w:themeColor="accent1" w:themeTint="99"/>
            </w:tcBorders>
          </w:tcPr>
          <w:p w14:paraId="034A23C4" w14:textId="65861479" w:rsidR="001A636A" w:rsidRPr="00473B58" w:rsidRDefault="001A636A" w:rsidP="005975FE">
            <w:pPr>
              <w:spacing w:before="120" w:after="120"/>
              <w:rPr>
                <w:lang w:val="fr-CA"/>
              </w:rPr>
            </w:pPr>
            <w:r w:rsidRPr="00473B58">
              <w:rPr>
                <w:lang w:val="fr-CA"/>
              </w:rPr>
              <w:t>D</w:t>
            </w:r>
            <w:r w:rsidR="00D740E0" w:rsidRPr="00473B58">
              <w:rPr>
                <w:lang w:val="fr-CA"/>
              </w:rPr>
              <w:t>é</w:t>
            </w:r>
            <w:r w:rsidRPr="00473B58">
              <w:rPr>
                <w:lang w:val="fr-CA"/>
              </w:rPr>
              <w:t>termine</w:t>
            </w:r>
            <w:r w:rsidR="00D740E0" w:rsidRPr="00473B58">
              <w:rPr>
                <w:lang w:val="fr-CA"/>
              </w:rPr>
              <w:t xml:space="preserve">r pour chaque </w:t>
            </w:r>
            <w:r w:rsidRPr="00473B58">
              <w:rPr>
                <w:lang w:val="fr-CA"/>
              </w:rPr>
              <w:t>o</w:t>
            </w:r>
            <w:r w:rsidR="00AA697E" w:rsidRPr="00473B58">
              <w:rPr>
                <w:lang w:val="fr-CA"/>
              </w:rPr>
              <w:t xml:space="preserve">bligation </w:t>
            </w:r>
            <w:r w:rsidR="00D740E0" w:rsidRPr="00473B58">
              <w:rPr>
                <w:lang w:val="fr-CA"/>
              </w:rPr>
              <w:t>de prestation identifiée à l’Étape</w:t>
            </w:r>
            <w:r w:rsidR="00A352F0" w:rsidRPr="00473B58">
              <w:rPr>
                <w:lang w:val="fr-CA"/>
              </w:rPr>
              <w:t> </w:t>
            </w:r>
            <w:r w:rsidR="00AA697E" w:rsidRPr="00473B58">
              <w:rPr>
                <w:lang w:val="fr-CA"/>
              </w:rPr>
              <w:t xml:space="preserve">2, </w:t>
            </w:r>
            <w:r w:rsidR="00D740E0" w:rsidRPr="00473B58">
              <w:rPr>
                <w:lang w:val="fr-CA"/>
              </w:rPr>
              <w:t xml:space="preserve">si l’entité transfère le contrôle </w:t>
            </w:r>
            <w:r w:rsidR="00D740E0" w:rsidRPr="00473B58">
              <w:rPr>
                <w:b/>
                <w:lang w:val="fr-CA"/>
              </w:rPr>
              <w:t xml:space="preserve">progressivement </w:t>
            </w:r>
            <w:r w:rsidRPr="00473B58">
              <w:rPr>
                <w:lang w:val="fr-CA"/>
              </w:rPr>
              <w:t>o</w:t>
            </w:r>
            <w:r w:rsidR="00D740E0" w:rsidRPr="00473B58">
              <w:rPr>
                <w:lang w:val="fr-CA"/>
              </w:rPr>
              <w:t>u</w:t>
            </w:r>
            <w:r w:rsidRPr="00473B58">
              <w:rPr>
                <w:lang w:val="fr-CA"/>
              </w:rPr>
              <w:t xml:space="preserve"> </w:t>
            </w:r>
            <w:r w:rsidR="00D740E0" w:rsidRPr="00473B58">
              <w:rPr>
                <w:b/>
                <w:lang w:val="fr-CA"/>
              </w:rPr>
              <w:t>à un moment précis</w:t>
            </w:r>
            <w:r w:rsidRPr="00473B58">
              <w:rPr>
                <w:lang w:val="fr-CA"/>
              </w:rPr>
              <w:t>.</w:t>
            </w:r>
          </w:p>
          <w:p w14:paraId="7E9A5A3C" w14:textId="73DFE2C8" w:rsidR="008F3C38" w:rsidRPr="00473B58" w:rsidRDefault="00D740E0" w:rsidP="008F3C38">
            <w:pPr>
              <w:spacing w:before="120" w:after="120"/>
              <w:rPr>
                <w:lang w:val="fr-CA"/>
              </w:rPr>
            </w:pPr>
            <w:r w:rsidRPr="00473B58">
              <w:rPr>
                <w:lang w:val="fr-CA"/>
              </w:rPr>
              <w:t xml:space="preserve">L’entité </w:t>
            </w:r>
            <w:r w:rsidR="008F3C38" w:rsidRPr="00473B58">
              <w:rPr>
                <w:lang w:val="fr-CA"/>
              </w:rPr>
              <w:t xml:space="preserve">remplit une obligation de prestation et comptabilise </w:t>
            </w:r>
            <w:r w:rsidR="005A6616" w:rsidRPr="00473B58">
              <w:rPr>
                <w:lang w:val="fr-CA"/>
              </w:rPr>
              <w:t>l</w:t>
            </w:r>
            <w:r w:rsidR="008F3C38" w:rsidRPr="00473B58">
              <w:rPr>
                <w:lang w:val="fr-CA"/>
              </w:rPr>
              <w:t>es produits des activités ordinaires progressivement si au moins une des conditions suivantes est remplie :</w:t>
            </w:r>
          </w:p>
          <w:p w14:paraId="4E4AB719" w14:textId="0284B82C" w:rsidR="00AA697E" w:rsidRPr="00473B58" w:rsidRDefault="00AA697E" w:rsidP="005975FE">
            <w:pPr>
              <w:spacing w:before="120" w:after="120"/>
              <w:rPr>
                <w:lang w:val="fr-CA"/>
              </w:rPr>
            </w:pPr>
          </w:p>
          <w:p w14:paraId="06223756" w14:textId="5707D043" w:rsidR="008F3C38" w:rsidRPr="00473B58" w:rsidRDefault="008F3C38" w:rsidP="008F3C38">
            <w:pPr>
              <w:pStyle w:val="ListParagraph"/>
              <w:numPr>
                <w:ilvl w:val="0"/>
                <w:numId w:val="14"/>
              </w:numPr>
              <w:spacing w:before="120" w:after="120"/>
              <w:rPr>
                <w:lang w:val="fr-CA"/>
              </w:rPr>
            </w:pPr>
            <w:bookmarkStart w:id="45" w:name="lt_pId310"/>
            <w:r w:rsidRPr="00473B58">
              <w:rPr>
                <w:lang w:val="fr-CA"/>
              </w:rPr>
              <w:t>le client reçoit et consomme simultanément les avantages procurés par la prestation de l</w:t>
            </w:r>
            <w:r w:rsidR="00FF10CF" w:rsidRPr="00473B58">
              <w:rPr>
                <w:lang w:val="fr-CA"/>
              </w:rPr>
              <w:t>’</w:t>
            </w:r>
            <w:r w:rsidRPr="00473B58">
              <w:rPr>
                <w:lang w:val="fr-CA"/>
              </w:rPr>
              <w:t>entité, au fur et à mesure que celle-ci a lieu;</w:t>
            </w:r>
            <w:bookmarkEnd w:id="45"/>
          </w:p>
          <w:p w14:paraId="69B1844E" w14:textId="264A2835" w:rsidR="008F3C38" w:rsidRPr="00473B58" w:rsidRDefault="008F3C38" w:rsidP="008F3C38">
            <w:pPr>
              <w:pStyle w:val="ListParagraph"/>
              <w:numPr>
                <w:ilvl w:val="0"/>
                <w:numId w:val="14"/>
              </w:numPr>
              <w:spacing w:before="120" w:after="120"/>
              <w:rPr>
                <w:lang w:val="fr-CA"/>
              </w:rPr>
            </w:pPr>
            <w:bookmarkStart w:id="46" w:name="lt_pId311"/>
            <w:r w:rsidRPr="00473B58">
              <w:rPr>
                <w:lang w:val="fr-CA"/>
              </w:rPr>
              <w:t>la prestation de l</w:t>
            </w:r>
            <w:r w:rsidR="00FF10CF" w:rsidRPr="00473B58">
              <w:rPr>
                <w:lang w:val="fr-CA"/>
              </w:rPr>
              <w:t>’</w:t>
            </w:r>
            <w:r w:rsidRPr="00473B58">
              <w:rPr>
                <w:lang w:val="fr-CA"/>
              </w:rPr>
              <w:t>entité crée ou valorise un actif dont le client obtient le contrôle au fur et à mesure de sa création ou de sa valorisation</w:t>
            </w:r>
            <w:bookmarkEnd w:id="46"/>
            <w:r w:rsidR="00D740E0" w:rsidRPr="00473B58">
              <w:rPr>
                <w:lang w:val="fr-CA"/>
              </w:rPr>
              <w:t>;</w:t>
            </w:r>
          </w:p>
          <w:p w14:paraId="5A2D88AA" w14:textId="240747AC" w:rsidR="008F3C38" w:rsidRPr="00473B58" w:rsidRDefault="008F3C38" w:rsidP="008F3C38">
            <w:pPr>
              <w:pStyle w:val="ListParagraph"/>
              <w:numPr>
                <w:ilvl w:val="0"/>
                <w:numId w:val="14"/>
              </w:numPr>
              <w:spacing w:before="120" w:after="120"/>
              <w:rPr>
                <w:lang w:val="fr-CA"/>
              </w:rPr>
            </w:pPr>
            <w:bookmarkStart w:id="47" w:name="lt_pId312"/>
            <w:r w:rsidRPr="00473B58">
              <w:rPr>
                <w:lang w:val="fr-CA"/>
              </w:rPr>
              <w:t>la prestation de l</w:t>
            </w:r>
            <w:r w:rsidR="00FF10CF" w:rsidRPr="00473B58">
              <w:rPr>
                <w:lang w:val="fr-CA"/>
              </w:rPr>
              <w:t>’</w:t>
            </w:r>
            <w:r w:rsidRPr="00473B58">
              <w:rPr>
                <w:lang w:val="fr-CA"/>
              </w:rPr>
              <w:t>entité ne crée pas un actif que l</w:t>
            </w:r>
            <w:r w:rsidR="00FF10CF" w:rsidRPr="00473B58">
              <w:rPr>
                <w:lang w:val="fr-CA"/>
              </w:rPr>
              <w:t>’</w:t>
            </w:r>
            <w:r w:rsidRPr="00473B58">
              <w:rPr>
                <w:lang w:val="fr-CA"/>
              </w:rPr>
              <w:t>entité pourrait utiliser autrement et l</w:t>
            </w:r>
            <w:r w:rsidR="00FF10CF" w:rsidRPr="00473B58">
              <w:rPr>
                <w:lang w:val="fr-CA"/>
              </w:rPr>
              <w:t>’</w:t>
            </w:r>
            <w:r w:rsidRPr="00473B58">
              <w:rPr>
                <w:lang w:val="fr-CA"/>
              </w:rPr>
              <w:t>entité a un droit exécutoire à un paiement au titre de la prestation effec</w:t>
            </w:r>
            <w:r w:rsidR="00D740E0" w:rsidRPr="00473B58">
              <w:rPr>
                <w:lang w:val="fr-CA"/>
              </w:rPr>
              <w:t>tuée jusqu</w:t>
            </w:r>
            <w:r w:rsidR="00FF10CF" w:rsidRPr="00473B58">
              <w:rPr>
                <w:lang w:val="fr-CA"/>
              </w:rPr>
              <w:t>’</w:t>
            </w:r>
            <w:r w:rsidR="00D740E0" w:rsidRPr="00473B58">
              <w:rPr>
                <w:lang w:val="fr-CA"/>
              </w:rPr>
              <w:t>à la date considérée</w:t>
            </w:r>
            <w:r w:rsidRPr="00473B58">
              <w:rPr>
                <w:lang w:val="fr-CA"/>
              </w:rPr>
              <w:t>.</w:t>
            </w:r>
            <w:bookmarkEnd w:id="47"/>
          </w:p>
          <w:p w14:paraId="51E850AD" w14:textId="60BF7969" w:rsidR="001A636A" w:rsidRPr="00473B58" w:rsidRDefault="008F3C38" w:rsidP="008F3C38">
            <w:pPr>
              <w:spacing w:before="120" w:after="120"/>
              <w:rPr>
                <w:lang w:val="fr-CA"/>
              </w:rPr>
            </w:pPr>
            <w:r w:rsidRPr="00473B58">
              <w:rPr>
                <w:lang w:val="fr-CA"/>
              </w:rPr>
              <w:t>Si une obligation de prestation n</w:t>
            </w:r>
            <w:r w:rsidR="00FF10CF" w:rsidRPr="00473B58">
              <w:rPr>
                <w:lang w:val="fr-CA"/>
              </w:rPr>
              <w:t>’</w:t>
            </w:r>
            <w:r w:rsidR="008500A4" w:rsidRPr="00473B58">
              <w:rPr>
                <w:lang w:val="fr-CA"/>
              </w:rPr>
              <w:t xml:space="preserve">est pas remplie progressivement, </w:t>
            </w:r>
            <w:r w:rsidRPr="00473B58">
              <w:rPr>
                <w:lang w:val="fr-CA"/>
              </w:rPr>
              <w:t>c</w:t>
            </w:r>
            <w:r w:rsidR="00FF10CF" w:rsidRPr="00473B58">
              <w:rPr>
                <w:lang w:val="fr-CA"/>
              </w:rPr>
              <w:t>’</w:t>
            </w:r>
            <w:r w:rsidRPr="00473B58">
              <w:rPr>
                <w:lang w:val="fr-CA"/>
              </w:rPr>
              <w:t>est que l</w:t>
            </w:r>
            <w:r w:rsidR="00FF10CF" w:rsidRPr="00473B58">
              <w:rPr>
                <w:lang w:val="fr-CA"/>
              </w:rPr>
              <w:t>’</w:t>
            </w:r>
            <w:r w:rsidRPr="00473B58">
              <w:rPr>
                <w:lang w:val="fr-CA"/>
              </w:rPr>
              <w:t>entité la remplit à un moment précis</w:t>
            </w:r>
            <w:r w:rsidR="001A636A" w:rsidRPr="00473B58">
              <w:rPr>
                <w:lang w:val="fr-CA"/>
              </w:rPr>
              <w:t>.</w:t>
            </w:r>
          </w:p>
          <w:p w14:paraId="586BD0B1" w14:textId="09158131" w:rsidR="001A636A" w:rsidRPr="00473B58" w:rsidRDefault="008500A4" w:rsidP="005A6616">
            <w:pPr>
              <w:spacing w:before="120" w:after="120"/>
              <w:rPr>
                <w:lang w:val="fr-CA"/>
              </w:rPr>
            </w:pPr>
            <w:r w:rsidRPr="00473B58">
              <w:rPr>
                <w:lang w:val="fr-CA"/>
              </w:rPr>
              <w:t>L’auditeur examine le niveau des documents justificatifs qui corroborent la décision de l’enti</w:t>
            </w:r>
            <w:r w:rsidR="005A6616" w:rsidRPr="00473B58">
              <w:rPr>
                <w:lang w:val="fr-CA"/>
              </w:rPr>
              <w:t xml:space="preserve">té sur les modalités du transfert </w:t>
            </w:r>
            <w:r w:rsidRPr="00473B58">
              <w:rPr>
                <w:lang w:val="fr-CA"/>
              </w:rPr>
              <w:t>du contrôle et la manière dont les produits connexes devraient être comptabilisés.</w:t>
            </w:r>
          </w:p>
        </w:tc>
      </w:tr>
      <w:tr w:rsidR="001A636A" w:rsidRPr="00D97151" w14:paraId="3FC0D2F3" w14:textId="77777777" w:rsidTr="00806EE9">
        <w:tc>
          <w:tcPr>
            <w:tcW w:w="2122" w:type="dxa"/>
            <w:tcBorders>
              <w:top w:val="single" w:sz="12" w:space="0" w:color="9CC2E5" w:themeColor="accent1" w:themeTint="99"/>
              <w:bottom w:val="single" w:sz="12" w:space="0" w:color="9CC2E5" w:themeColor="accent1" w:themeTint="99"/>
            </w:tcBorders>
          </w:tcPr>
          <w:p w14:paraId="074EF5D0" w14:textId="5693D510" w:rsidR="001A636A" w:rsidRPr="00FE00C3" w:rsidRDefault="00AA697E" w:rsidP="00FE00C3">
            <w:pPr>
              <w:spacing w:before="120" w:after="120"/>
              <w:rPr>
                <w:bCs/>
                <w:lang w:val="fr-CA"/>
              </w:rPr>
            </w:pPr>
            <w:r w:rsidRPr="00FE00C3">
              <w:rPr>
                <w:bCs/>
                <w:lang w:val="fr-CA"/>
              </w:rPr>
              <w:t>Documentatio</w:t>
            </w:r>
            <w:r w:rsidR="001A636A" w:rsidRPr="00FE00C3">
              <w:rPr>
                <w:bCs/>
                <w:lang w:val="fr-CA"/>
              </w:rPr>
              <w:t xml:space="preserve">n </w:t>
            </w:r>
            <w:r w:rsidR="008F3C38" w:rsidRPr="00FE00C3">
              <w:rPr>
                <w:bCs/>
                <w:lang w:val="fr-CA"/>
              </w:rPr>
              <w:t xml:space="preserve">des </w:t>
            </w:r>
            <w:r w:rsidR="00FE00C3" w:rsidRPr="00253DB4">
              <w:rPr>
                <w:bCs/>
                <w:lang w:val="fr-CA"/>
              </w:rPr>
              <w:t>sélections</w:t>
            </w:r>
          </w:p>
        </w:tc>
        <w:tc>
          <w:tcPr>
            <w:tcW w:w="2352" w:type="dxa"/>
            <w:tcBorders>
              <w:top w:val="single" w:sz="12" w:space="0" w:color="9CC2E5" w:themeColor="accent1" w:themeTint="99"/>
              <w:bottom w:val="single" w:sz="12" w:space="0" w:color="9CC2E5" w:themeColor="accent1" w:themeTint="99"/>
            </w:tcBorders>
          </w:tcPr>
          <w:p w14:paraId="7B38DCD0" w14:textId="77777777" w:rsidR="001A636A" w:rsidRPr="00FE00C3" w:rsidRDefault="001A636A" w:rsidP="005975FE">
            <w:pPr>
              <w:spacing w:before="120" w:after="120"/>
              <w:rPr>
                <w:lang w:val="fr-CA"/>
              </w:rPr>
            </w:pPr>
          </w:p>
        </w:tc>
        <w:tc>
          <w:tcPr>
            <w:tcW w:w="8562" w:type="dxa"/>
            <w:tcBorders>
              <w:top w:val="single" w:sz="12" w:space="0" w:color="9CC2E5" w:themeColor="accent1" w:themeTint="99"/>
              <w:bottom w:val="single" w:sz="12" w:space="0" w:color="9CC2E5" w:themeColor="accent1" w:themeTint="99"/>
            </w:tcBorders>
          </w:tcPr>
          <w:p w14:paraId="4F7C16DD" w14:textId="1909EDAD" w:rsidR="001A636A" w:rsidRPr="00473B58" w:rsidRDefault="001A636A" w:rsidP="005975FE">
            <w:pPr>
              <w:spacing w:before="120" w:after="120"/>
              <w:rPr>
                <w:lang w:val="fr-CA"/>
              </w:rPr>
            </w:pPr>
            <w:r w:rsidRPr="00473B58">
              <w:rPr>
                <w:b/>
                <w:bCs/>
                <w:lang w:val="fr-CA"/>
              </w:rPr>
              <w:t>Document</w:t>
            </w:r>
            <w:r w:rsidR="008F3C38" w:rsidRPr="00473B58">
              <w:rPr>
                <w:b/>
                <w:bCs/>
                <w:lang w:val="fr-CA"/>
              </w:rPr>
              <w:t xml:space="preserve">er le détail </w:t>
            </w:r>
            <w:r w:rsidR="008F3C38" w:rsidRPr="00473B58">
              <w:rPr>
                <w:bCs/>
                <w:lang w:val="fr-CA"/>
              </w:rPr>
              <w:t>de</w:t>
            </w:r>
            <w:r w:rsidR="005A6616" w:rsidRPr="00473B58">
              <w:rPr>
                <w:bCs/>
                <w:lang w:val="fr-CA"/>
              </w:rPr>
              <w:t>s éléments de</w:t>
            </w:r>
            <w:r w:rsidR="008F3C38" w:rsidRPr="00473B58">
              <w:rPr>
                <w:bCs/>
                <w:lang w:val="fr-CA"/>
              </w:rPr>
              <w:t xml:space="preserve"> l’échantillon sélectionné</w:t>
            </w:r>
            <w:r w:rsidRPr="00473B58">
              <w:rPr>
                <w:lang w:val="fr-CA"/>
              </w:rPr>
              <w:t>.</w:t>
            </w:r>
          </w:p>
          <w:p w14:paraId="66860D80" w14:textId="306747E0" w:rsidR="001A636A" w:rsidRPr="00473B58" w:rsidRDefault="008500A4" w:rsidP="008500A4">
            <w:pPr>
              <w:spacing w:before="120" w:after="120"/>
              <w:rPr>
                <w:lang w:val="fr-CA"/>
              </w:rPr>
            </w:pPr>
            <w:r w:rsidRPr="00473B58">
              <w:rPr>
                <w:lang w:val="fr-CA"/>
              </w:rPr>
              <w:t>Les informations documentées aux étapes</w:t>
            </w:r>
            <w:r w:rsidR="00A352F0" w:rsidRPr="00473B58">
              <w:rPr>
                <w:lang w:val="fr-CA"/>
              </w:rPr>
              <w:t> </w:t>
            </w:r>
            <w:r w:rsidRPr="00473B58">
              <w:rPr>
                <w:lang w:val="fr-CA"/>
              </w:rPr>
              <w:t xml:space="preserve">1 à 4 peuvent être reprises ici. </w:t>
            </w:r>
          </w:p>
        </w:tc>
      </w:tr>
      <w:tr w:rsidR="001A636A" w:rsidRPr="00D97151" w14:paraId="5BCA17E0" w14:textId="77777777" w:rsidTr="00806EE9">
        <w:tc>
          <w:tcPr>
            <w:tcW w:w="2122" w:type="dxa"/>
            <w:tcBorders>
              <w:top w:val="single" w:sz="12" w:space="0" w:color="9CC2E5" w:themeColor="accent1" w:themeTint="99"/>
            </w:tcBorders>
          </w:tcPr>
          <w:p w14:paraId="4E81DB70" w14:textId="36BED03C" w:rsidR="001A636A" w:rsidRPr="00513B06" w:rsidRDefault="008500A4" w:rsidP="008500A4">
            <w:pPr>
              <w:spacing w:before="120" w:after="120"/>
              <w:rPr>
                <w:lang w:val="fr-CA"/>
              </w:rPr>
            </w:pPr>
            <w:r w:rsidRPr="00513B06">
              <w:rPr>
                <w:bCs/>
                <w:lang w:val="fr-CA"/>
              </w:rPr>
              <w:t>O</w:t>
            </w:r>
            <w:r w:rsidR="001A636A" w:rsidRPr="00513B06">
              <w:rPr>
                <w:bCs/>
                <w:lang w:val="fr-CA"/>
              </w:rPr>
              <w:t>bligations</w:t>
            </w:r>
            <w:r w:rsidR="00600311" w:rsidRPr="00513B06">
              <w:rPr>
                <w:bCs/>
                <w:lang w:val="fr-CA"/>
              </w:rPr>
              <w:t xml:space="preserve"> </w:t>
            </w:r>
            <w:r w:rsidRPr="00513B06">
              <w:rPr>
                <w:bCs/>
                <w:lang w:val="fr-CA"/>
              </w:rPr>
              <w:t xml:space="preserve">de prestation remplies progressivement </w:t>
            </w:r>
          </w:p>
        </w:tc>
        <w:tc>
          <w:tcPr>
            <w:tcW w:w="2352" w:type="dxa"/>
            <w:tcBorders>
              <w:top w:val="single" w:sz="12" w:space="0" w:color="9CC2E5" w:themeColor="accent1" w:themeTint="99"/>
            </w:tcBorders>
          </w:tcPr>
          <w:p w14:paraId="66CC418F" w14:textId="2504B73B" w:rsidR="001A636A" w:rsidRPr="00473B58" w:rsidRDefault="001A636A" w:rsidP="005975FE">
            <w:pPr>
              <w:spacing w:before="120" w:after="120"/>
              <w:rPr>
                <w:lang w:val="fr-CA"/>
              </w:rPr>
            </w:pPr>
            <w:r w:rsidRPr="00473B58">
              <w:rPr>
                <w:lang w:val="fr-CA"/>
              </w:rPr>
              <w:t xml:space="preserve">IFRS 15.35 </w:t>
            </w:r>
            <w:r w:rsidR="008500A4" w:rsidRPr="00473B58">
              <w:rPr>
                <w:lang w:val="fr-CA"/>
              </w:rPr>
              <w:t>à</w:t>
            </w:r>
            <w:r w:rsidRPr="00473B58">
              <w:rPr>
                <w:lang w:val="fr-CA"/>
              </w:rPr>
              <w:t xml:space="preserve"> 38</w:t>
            </w:r>
          </w:p>
          <w:p w14:paraId="124D9F7A" w14:textId="499FBBCE" w:rsidR="001A636A" w:rsidRPr="00473B58" w:rsidRDefault="001A636A" w:rsidP="005975FE">
            <w:pPr>
              <w:spacing w:before="120" w:after="120"/>
              <w:rPr>
                <w:lang w:val="fr-CA"/>
              </w:rPr>
            </w:pPr>
          </w:p>
        </w:tc>
        <w:tc>
          <w:tcPr>
            <w:tcW w:w="8562" w:type="dxa"/>
            <w:tcBorders>
              <w:top w:val="single" w:sz="12" w:space="0" w:color="9CC2E5" w:themeColor="accent1" w:themeTint="99"/>
            </w:tcBorders>
          </w:tcPr>
          <w:p w14:paraId="46EBB6A1" w14:textId="4465D080" w:rsidR="001A636A" w:rsidRPr="00473B58" w:rsidRDefault="001A636A" w:rsidP="0087316D">
            <w:pPr>
              <w:spacing w:before="120" w:after="120"/>
              <w:rPr>
                <w:lang w:val="fr-CA"/>
              </w:rPr>
            </w:pPr>
            <w:r w:rsidRPr="00473B58">
              <w:rPr>
                <w:lang w:val="fr-CA"/>
              </w:rPr>
              <w:t>D</w:t>
            </w:r>
            <w:r w:rsidR="008500A4" w:rsidRPr="00473B58">
              <w:rPr>
                <w:lang w:val="fr-CA"/>
              </w:rPr>
              <w:t>é</w:t>
            </w:r>
            <w:r w:rsidRPr="00473B58">
              <w:rPr>
                <w:lang w:val="fr-CA"/>
              </w:rPr>
              <w:t>termine</w:t>
            </w:r>
            <w:r w:rsidR="008500A4" w:rsidRPr="00473B58">
              <w:rPr>
                <w:lang w:val="fr-CA"/>
              </w:rPr>
              <w:t xml:space="preserve">r pour chaque </w:t>
            </w:r>
            <w:r w:rsidRPr="00473B58">
              <w:rPr>
                <w:lang w:val="fr-CA"/>
              </w:rPr>
              <w:t xml:space="preserve">obligation </w:t>
            </w:r>
            <w:r w:rsidR="008500A4" w:rsidRPr="00473B58">
              <w:rPr>
                <w:lang w:val="fr-CA"/>
              </w:rPr>
              <w:t>de prestation identifiée à l’Étape</w:t>
            </w:r>
            <w:r w:rsidR="00A352F0" w:rsidRPr="00473B58">
              <w:rPr>
                <w:lang w:val="fr-CA"/>
              </w:rPr>
              <w:t> </w:t>
            </w:r>
            <w:r w:rsidR="00AA697E" w:rsidRPr="00473B58">
              <w:rPr>
                <w:lang w:val="fr-CA"/>
              </w:rPr>
              <w:t xml:space="preserve">2, </w:t>
            </w:r>
            <w:r w:rsidR="008500A4" w:rsidRPr="00473B58">
              <w:rPr>
                <w:lang w:val="fr-CA"/>
              </w:rPr>
              <w:t xml:space="preserve">si l’entité </w:t>
            </w:r>
            <w:r w:rsidR="0087316D" w:rsidRPr="00473B58">
              <w:rPr>
                <w:lang w:val="fr-CA"/>
              </w:rPr>
              <w:t>transfère</w:t>
            </w:r>
            <w:r w:rsidR="008500A4" w:rsidRPr="00473B58">
              <w:rPr>
                <w:lang w:val="fr-CA"/>
              </w:rPr>
              <w:t xml:space="preserve"> le contrôle </w:t>
            </w:r>
            <w:r w:rsidR="008500A4" w:rsidRPr="00473B58">
              <w:rPr>
                <w:b/>
                <w:bCs/>
                <w:lang w:val="fr-CA"/>
              </w:rPr>
              <w:t xml:space="preserve">progressivement </w:t>
            </w:r>
            <w:r w:rsidRPr="00473B58">
              <w:rPr>
                <w:lang w:val="fr-CA"/>
              </w:rPr>
              <w:t>o</w:t>
            </w:r>
            <w:r w:rsidR="008500A4" w:rsidRPr="00473B58">
              <w:rPr>
                <w:lang w:val="fr-CA"/>
              </w:rPr>
              <w:t>u</w:t>
            </w:r>
            <w:r w:rsidRPr="00473B58">
              <w:rPr>
                <w:lang w:val="fr-CA"/>
              </w:rPr>
              <w:t xml:space="preserve"> </w:t>
            </w:r>
            <w:r w:rsidR="008500A4" w:rsidRPr="00473B58">
              <w:rPr>
                <w:b/>
                <w:bCs/>
                <w:lang w:val="fr-CA"/>
              </w:rPr>
              <w:t>à un moment précis</w:t>
            </w:r>
            <w:r w:rsidR="00AA697E" w:rsidRPr="00473B58">
              <w:rPr>
                <w:lang w:val="fr-CA"/>
              </w:rPr>
              <w:t xml:space="preserve">. </w:t>
            </w:r>
            <w:r w:rsidR="008500A4" w:rsidRPr="00473B58">
              <w:rPr>
                <w:lang w:val="fr-CA"/>
              </w:rPr>
              <w:t xml:space="preserve">Les procédures </w:t>
            </w:r>
            <w:r w:rsidR="0087316D" w:rsidRPr="00473B58">
              <w:rPr>
                <w:lang w:val="fr-CA"/>
              </w:rPr>
              <w:t>qui suivent dans</w:t>
            </w:r>
            <w:r w:rsidR="008500A4" w:rsidRPr="00473B58">
              <w:rPr>
                <w:lang w:val="fr-CA"/>
              </w:rPr>
              <w:t xml:space="preserve"> cette </w:t>
            </w:r>
            <w:r w:rsidR="005A6616" w:rsidRPr="00473B58">
              <w:rPr>
                <w:lang w:val="fr-CA"/>
              </w:rPr>
              <w:t>étape dépendent de la forme du transfert de c</w:t>
            </w:r>
            <w:r w:rsidR="008500A4" w:rsidRPr="00473B58">
              <w:rPr>
                <w:lang w:val="fr-CA"/>
              </w:rPr>
              <w:t>ontrôle.</w:t>
            </w:r>
          </w:p>
        </w:tc>
      </w:tr>
    </w:tbl>
    <w:p w14:paraId="7F7F5F23" w14:textId="237745F1" w:rsidR="00D97151" w:rsidRPr="00D97151" w:rsidRDefault="00D97151" w:rsidP="003F0E1D">
      <w:pPr>
        <w:spacing w:after="0"/>
        <w:rPr>
          <w:b/>
          <w:bCs/>
          <w:lang w:val="fr-CA"/>
        </w:rPr>
      </w:pPr>
    </w:p>
    <w:p w14:paraId="31C2E70C" w14:textId="77777777" w:rsidR="00D97151" w:rsidRPr="00D97151" w:rsidRDefault="00D97151">
      <w:pPr>
        <w:rPr>
          <w:b/>
          <w:bCs/>
          <w:lang w:val="fr-CA"/>
        </w:rPr>
      </w:pPr>
      <w:r>
        <w:rPr>
          <w:b/>
          <w:bCs/>
          <w:color w:val="C45911" w:themeColor="accent2" w:themeShade="BF"/>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319"/>
        <w:gridCol w:w="7"/>
        <w:gridCol w:w="7848"/>
        <w:gridCol w:w="10"/>
      </w:tblGrid>
      <w:tr w:rsidR="00C777BE" w:rsidRPr="00473B58" w14:paraId="215CF5EF" w14:textId="77777777" w:rsidTr="00A8759A">
        <w:tc>
          <w:tcPr>
            <w:tcW w:w="2776" w:type="dxa"/>
            <w:tcBorders>
              <w:top w:val="single" w:sz="12" w:space="0" w:color="2E74B5" w:themeColor="accent1" w:themeShade="BF"/>
              <w:bottom w:val="single" w:sz="12" w:space="0" w:color="2E74B5" w:themeColor="accent1" w:themeShade="BF"/>
            </w:tcBorders>
            <w:vAlign w:val="bottom"/>
          </w:tcPr>
          <w:p w14:paraId="5F2EB9F2" w14:textId="16210B01" w:rsidR="00C777BE" w:rsidRPr="00513B06" w:rsidRDefault="00600311" w:rsidP="00C777BE">
            <w:pPr>
              <w:spacing w:before="120" w:after="120"/>
              <w:rPr>
                <w:b/>
                <w:bCs/>
                <w:color w:val="2E74B5" w:themeColor="accent1" w:themeShade="BF"/>
                <w:lang w:val="fr-CA"/>
              </w:rPr>
            </w:pPr>
            <w:r w:rsidRPr="00513B06">
              <w:rPr>
                <w:lang w:val="fr-CA"/>
              </w:rPr>
              <w:br w:type="page"/>
            </w:r>
            <w:r w:rsidR="00C777BE" w:rsidRPr="00513B06">
              <w:rPr>
                <w:b/>
                <w:color w:val="2E74B5" w:themeColor="accent1" w:themeShade="BF"/>
                <w:lang w:val="fr-CA"/>
              </w:rPr>
              <w:t>N</w:t>
            </w:r>
            <w:r w:rsidR="00C777BE" w:rsidRPr="00513B06">
              <w:rPr>
                <w:b/>
                <w:color w:val="2E74B5" w:themeColor="accent1" w:themeShade="BF"/>
                <w:vertAlign w:val="superscript"/>
                <w:lang w:val="fr-CA"/>
              </w:rPr>
              <w:t>o</w:t>
            </w:r>
            <w:r w:rsidR="00C777BE" w:rsidRPr="00513B06">
              <w:rPr>
                <w:b/>
                <w:color w:val="2E74B5" w:themeColor="accent1" w:themeShade="BF"/>
                <w:lang w:val="fr-CA"/>
              </w:rPr>
              <w:t xml:space="preserve"> / titre de la procédure</w:t>
            </w:r>
          </w:p>
        </w:tc>
        <w:tc>
          <w:tcPr>
            <w:tcW w:w="2319" w:type="dxa"/>
            <w:tcBorders>
              <w:top w:val="single" w:sz="12" w:space="0" w:color="2E74B5" w:themeColor="accent1" w:themeShade="BF"/>
              <w:bottom w:val="single" w:sz="12" w:space="0" w:color="2E74B5" w:themeColor="accent1" w:themeShade="BF"/>
            </w:tcBorders>
            <w:vAlign w:val="bottom"/>
          </w:tcPr>
          <w:p w14:paraId="1EA06DF5" w14:textId="004A66D2" w:rsidR="00C777BE" w:rsidRPr="00473B58" w:rsidRDefault="00C777BE" w:rsidP="00C777BE">
            <w:pPr>
              <w:spacing w:before="120" w:after="120"/>
              <w:rPr>
                <w:b/>
                <w:bCs/>
                <w:color w:val="2E74B5" w:themeColor="accent1" w:themeShade="BF"/>
                <w:lang w:val="fr-CA"/>
              </w:rPr>
            </w:pPr>
            <w:r w:rsidRPr="00473B58">
              <w:rPr>
                <w:b/>
                <w:color w:val="2E74B5" w:themeColor="accent1" w:themeShade="BF"/>
                <w:lang w:val="fr-CA"/>
              </w:rPr>
              <w:t xml:space="preserve">Paragraphes </w:t>
            </w:r>
            <w:r w:rsidR="005A6616"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7865" w:type="dxa"/>
            <w:gridSpan w:val="3"/>
            <w:tcBorders>
              <w:top w:val="single" w:sz="12" w:space="0" w:color="2E74B5" w:themeColor="accent1" w:themeShade="BF"/>
              <w:bottom w:val="single" w:sz="12" w:space="0" w:color="2E74B5" w:themeColor="accent1" w:themeShade="BF"/>
            </w:tcBorders>
            <w:vAlign w:val="bottom"/>
          </w:tcPr>
          <w:p w14:paraId="0BA7044F" w14:textId="376BE768" w:rsidR="00C777BE" w:rsidRPr="00473B58" w:rsidRDefault="00C777BE" w:rsidP="00C777BE">
            <w:pPr>
              <w:spacing w:before="120" w:after="120"/>
              <w:rPr>
                <w:b/>
                <w:bCs/>
                <w:color w:val="2E74B5" w:themeColor="accent1" w:themeShade="BF"/>
                <w:lang w:val="fr-CA"/>
              </w:rPr>
            </w:pPr>
            <w:r w:rsidRPr="00473B58">
              <w:rPr>
                <w:b/>
                <w:color w:val="2E74B5" w:themeColor="accent1" w:themeShade="BF"/>
                <w:lang w:val="fr-CA"/>
              </w:rPr>
              <w:t xml:space="preserve">Directives </w:t>
            </w:r>
          </w:p>
        </w:tc>
      </w:tr>
      <w:tr w:rsidR="00806EE9" w:rsidRPr="00D97151" w14:paraId="60EE6ED4" w14:textId="77777777" w:rsidTr="00FD4652">
        <w:tc>
          <w:tcPr>
            <w:tcW w:w="2776" w:type="dxa"/>
            <w:tcBorders>
              <w:top w:val="single" w:sz="12" w:space="0" w:color="2E74B5" w:themeColor="accent1" w:themeShade="BF"/>
              <w:bottom w:val="single" w:sz="12" w:space="0" w:color="9CC2E5" w:themeColor="accent1" w:themeTint="99"/>
            </w:tcBorders>
          </w:tcPr>
          <w:p w14:paraId="4675F3CF" w14:textId="2C1163C0" w:rsidR="00806EE9" w:rsidRPr="00D97151" w:rsidRDefault="008500A4" w:rsidP="008500A4">
            <w:pPr>
              <w:spacing w:before="120" w:after="120"/>
              <w:rPr>
                <w:bCs/>
                <w:lang w:val="fr-CA"/>
              </w:rPr>
            </w:pPr>
            <w:r w:rsidRPr="00D97151">
              <w:rPr>
                <w:bCs/>
                <w:lang w:val="fr-CA"/>
              </w:rPr>
              <w:t xml:space="preserve">Méthode d’évaluation fondée sur les extrants/intrants  </w:t>
            </w:r>
          </w:p>
        </w:tc>
        <w:tc>
          <w:tcPr>
            <w:tcW w:w="2319" w:type="dxa"/>
            <w:tcBorders>
              <w:top w:val="single" w:sz="12" w:space="0" w:color="2E74B5" w:themeColor="accent1" w:themeShade="BF"/>
              <w:bottom w:val="single" w:sz="12" w:space="0" w:color="9CC2E5" w:themeColor="accent1" w:themeTint="99"/>
            </w:tcBorders>
          </w:tcPr>
          <w:p w14:paraId="2286C910" w14:textId="4DB1B2A5" w:rsidR="00806EE9" w:rsidRPr="00D97151" w:rsidRDefault="00806EE9" w:rsidP="005975FE">
            <w:pPr>
              <w:spacing w:before="120" w:after="120"/>
              <w:rPr>
                <w:lang w:val="fr-CA"/>
              </w:rPr>
            </w:pPr>
            <w:r w:rsidRPr="00D97151">
              <w:rPr>
                <w:lang w:val="fr-CA"/>
              </w:rPr>
              <w:t>IFRS</w:t>
            </w:r>
            <w:r w:rsidR="00A352F0" w:rsidRPr="00D97151">
              <w:rPr>
                <w:lang w:val="fr-CA"/>
              </w:rPr>
              <w:t> </w:t>
            </w:r>
            <w:r w:rsidRPr="00D97151">
              <w:rPr>
                <w:lang w:val="fr-CA"/>
              </w:rPr>
              <w:t xml:space="preserve">15.B14 </w:t>
            </w:r>
            <w:r w:rsidR="008500A4" w:rsidRPr="00D97151">
              <w:rPr>
                <w:lang w:val="fr-CA"/>
              </w:rPr>
              <w:t>à</w:t>
            </w:r>
            <w:r w:rsidRPr="00D97151">
              <w:rPr>
                <w:lang w:val="fr-CA"/>
              </w:rPr>
              <w:t xml:space="preserve"> B19</w:t>
            </w:r>
          </w:p>
          <w:p w14:paraId="27DC23AF" w14:textId="31735F57" w:rsidR="00806EE9" w:rsidRPr="00D97151" w:rsidRDefault="00806EE9" w:rsidP="005975FE">
            <w:pPr>
              <w:spacing w:before="120" w:after="120"/>
              <w:rPr>
                <w:lang w:val="fr-CA"/>
              </w:rPr>
            </w:pPr>
          </w:p>
          <w:p w14:paraId="36172554" w14:textId="370721BC" w:rsidR="00806EE9" w:rsidRPr="00D97151" w:rsidRDefault="00806EE9" w:rsidP="005975FE">
            <w:pPr>
              <w:spacing w:before="120" w:after="120"/>
              <w:rPr>
                <w:lang w:val="fr-CA"/>
              </w:rPr>
            </w:pPr>
          </w:p>
        </w:tc>
        <w:tc>
          <w:tcPr>
            <w:tcW w:w="7865" w:type="dxa"/>
            <w:gridSpan w:val="3"/>
            <w:tcBorders>
              <w:top w:val="single" w:sz="12" w:space="0" w:color="2E74B5" w:themeColor="accent1" w:themeShade="BF"/>
              <w:bottom w:val="single" w:sz="12" w:space="0" w:color="9CC2E5" w:themeColor="accent1" w:themeTint="99"/>
            </w:tcBorders>
          </w:tcPr>
          <w:p w14:paraId="719831A4" w14:textId="43C8808C" w:rsidR="00806EE9" w:rsidRPr="00D97151" w:rsidRDefault="008500A4" w:rsidP="005975FE">
            <w:pPr>
              <w:spacing w:before="120" w:after="120"/>
              <w:rPr>
                <w:lang w:val="fr-CA"/>
              </w:rPr>
            </w:pPr>
            <w:r w:rsidRPr="00D97151">
              <w:rPr>
                <w:lang w:val="fr-CA"/>
              </w:rPr>
              <w:t xml:space="preserve">Pour toute obligation de prestation </w:t>
            </w:r>
            <w:r w:rsidR="004F340A" w:rsidRPr="00D97151">
              <w:rPr>
                <w:lang w:val="fr-CA"/>
              </w:rPr>
              <w:t xml:space="preserve">remplie progressivement, l’entité doit appliquer systématiquement une seule et même méthode d’évaluation du degré d’avancement : la méthode fondée sur les extrants ou la méthode fondée sur les intrants. Le test d’audit est conçu pour déterminer si la méthode appliquée par l’entité est appropriée au regard de la nature des biens ou </w:t>
            </w:r>
            <w:r w:rsidR="00A53441" w:rsidRPr="00D97151">
              <w:rPr>
                <w:lang w:val="fr-CA"/>
              </w:rPr>
              <w:t xml:space="preserve">des </w:t>
            </w:r>
            <w:r w:rsidR="00806EE9" w:rsidRPr="00D97151">
              <w:rPr>
                <w:lang w:val="fr-CA"/>
              </w:rPr>
              <w:t xml:space="preserve">services </w:t>
            </w:r>
            <w:r w:rsidR="004F340A" w:rsidRPr="00D97151">
              <w:rPr>
                <w:lang w:val="fr-CA"/>
              </w:rPr>
              <w:t xml:space="preserve">qui </w:t>
            </w:r>
            <w:r w:rsidR="005A6616" w:rsidRPr="00D97151">
              <w:rPr>
                <w:lang w:val="fr-CA"/>
              </w:rPr>
              <w:t xml:space="preserve">sont visés par </w:t>
            </w:r>
            <w:r w:rsidR="004F340A" w:rsidRPr="00D97151">
              <w:rPr>
                <w:lang w:val="fr-CA"/>
              </w:rPr>
              <w:t>les obligations de prestation</w:t>
            </w:r>
            <w:r w:rsidR="00806EE9" w:rsidRPr="00D97151">
              <w:rPr>
                <w:lang w:val="fr-CA"/>
              </w:rPr>
              <w:t>.</w:t>
            </w:r>
          </w:p>
          <w:p w14:paraId="310A6181" w14:textId="37D98B1A" w:rsidR="00806EE9" w:rsidRPr="00D97151" w:rsidRDefault="008F3C38" w:rsidP="00216AD7">
            <w:pPr>
              <w:pStyle w:val="ListParagraph"/>
              <w:numPr>
                <w:ilvl w:val="0"/>
                <w:numId w:val="15"/>
              </w:numPr>
              <w:spacing w:before="120" w:after="120"/>
              <w:rPr>
                <w:lang w:val="fr-CA"/>
              </w:rPr>
            </w:pPr>
            <w:r w:rsidRPr="00D97151">
              <w:rPr>
                <w:bCs/>
                <w:lang w:val="fr-CA"/>
              </w:rPr>
              <w:t>Les</w:t>
            </w:r>
            <w:r w:rsidRPr="00D97151">
              <w:rPr>
                <w:b/>
                <w:bCs/>
                <w:lang w:val="fr-CA"/>
              </w:rPr>
              <w:t xml:space="preserve"> méthodes fondées sur les extrants </w:t>
            </w:r>
            <w:r w:rsidR="00216AD7" w:rsidRPr="00D97151">
              <w:rPr>
                <w:bCs/>
                <w:lang w:val="fr-CA"/>
              </w:rPr>
              <w:t>reposent sur des évaluations directes de la valeur qu</w:t>
            </w:r>
            <w:r w:rsidR="00FF10CF" w:rsidRPr="00D97151">
              <w:rPr>
                <w:bCs/>
                <w:lang w:val="fr-CA"/>
              </w:rPr>
              <w:t>’</w:t>
            </w:r>
            <w:r w:rsidR="00216AD7" w:rsidRPr="00D97151">
              <w:rPr>
                <w:bCs/>
                <w:lang w:val="fr-CA"/>
              </w:rPr>
              <w:t xml:space="preserve">ont pour le client les biens ou les services fournis. Elles comprennent </w:t>
            </w:r>
            <w:r w:rsidRPr="00D97151">
              <w:rPr>
                <w:bCs/>
                <w:lang w:val="fr-CA"/>
              </w:rPr>
              <w:t>notamment le recensement des prestations exécutées jusqu</w:t>
            </w:r>
            <w:r w:rsidR="00FF10CF" w:rsidRPr="00D97151">
              <w:rPr>
                <w:bCs/>
                <w:lang w:val="fr-CA"/>
              </w:rPr>
              <w:t>’</w:t>
            </w:r>
            <w:r w:rsidRPr="00D97151">
              <w:rPr>
                <w:bCs/>
                <w:lang w:val="fr-CA"/>
              </w:rPr>
              <w:t>à la date considérée, l</w:t>
            </w:r>
            <w:r w:rsidR="00FF10CF" w:rsidRPr="00D97151">
              <w:rPr>
                <w:bCs/>
                <w:lang w:val="fr-CA"/>
              </w:rPr>
              <w:t>’</w:t>
            </w:r>
            <w:r w:rsidRPr="00D97151">
              <w:rPr>
                <w:bCs/>
                <w:lang w:val="fr-CA"/>
              </w:rPr>
              <w:t>évaluation des résultats atteints, l</w:t>
            </w:r>
            <w:r w:rsidR="00FF10CF" w:rsidRPr="00D97151">
              <w:rPr>
                <w:bCs/>
                <w:lang w:val="fr-CA"/>
              </w:rPr>
              <w:t>’</w:t>
            </w:r>
            <w:r w:rsidRPr="00D97151">
              <w:rPr>
                <w:bCs/>
                <w:lang w:val="fr-CA"/>
              </w:rPr>
              <w:t>évaluation des étapes importantes franchies, l</w:t>
            </w:r>
            <w:r w:rsidR="00FF10CF" w:rsidRPr="00D97151">
              <w:rPr>
                <w:bCs/>
                <w:lang w:val="fr-CA"/>
              </w:rPr>
              <w:t>’</w:t>
            </w:r>
            <w:r w:rsidRPr="00D97151">
              <w:rPr>
                <w:bCs/>
                <w:lang w:val="fr-CA"/>
              </w:rPr>
              <w:t>estimation du temps écoulé ou le calcul du nombre d</w:t>
            </w:r>
            <w:r w:rsidR="00FF10CF" w:rsidRPr="00D97151">
              <w:rPr>
                <w:bCs/>
                <w:lang w:val="fr-CA"/>
              </w:rPr>
              <w:t>’</w:t>
            </w:r>
            <w:r w:rsidRPr="00D97151">
              <w:rPr>
                <w:bCs/>
                <w:lang w:val="fr-CA"/>
              </w:rPr>
              <w:t>unités produites ou livrées</w:t>
            </w:r>
            <w:r w:rsidR="00806EE9" w:rsidRPr="00D97151">
              <w:rPr>
                <w:lang w:val="fr-CA"/>
              </w:rPr>
              <w:t>.</w:t>
            </w:r>
          </w:p>
          <w:p w14:paraId="30FFD07F" w14:textId="005EC2ED" w:rsidR="00806EE9" w:rsidRPr="00D97151" w:rsidRDefault="008F3C38" w:rsidP="005A6616">
            <w:pPr>
              <w:pStyle w:val="ListParagraph"/>
              <w:numPr>
                <w:ilvl w:val="0"/>
                <w:numId w:val="15"/>
              </w:numPr>
              <w:spacing w:before="120" w:after="120"/>
              <w:rPr>
                <w:lang w:val="fr-CA"/>
              </w:rPr>
            </w:pPr>
            <w:r w:rsidRPr="00D97151">
              <w:rPr>
                <w:bCs/>
                <w:lang w:val="fr-CA"/>
              </w:rPr>
              <w:t>Les</w:t>
            </w:r>
            <w:r w:rsidRPr="00D97151">
              <w:rPr>
                <w:b/>
                <w:bCs/>
                <w:lang w:val="fr-CA"/>
              </w:rPr>
              <w:t xml:space="preserve"> </w:t>
            </w:r>
            <w:r w:rsidR="00216AD7" w:rsidRPr="00D97151">
              <w:rPr>
                <w:b/>
                <w:bCs/>
                <w:lang w:val="fr-CA"/>
              </w:rPr>
              <w:t xml:space="preserve">méthodes fondées sur les </w:t>
            </w:r>
            <w:r w:rsidRPr="00D97151">
              <w:rPr>
                <w:b/>
                <w:bCs/>
                <w:lang w:val="fr-CA"/>
              </w:rPr>
              <w:t xml:space="preserve">intrants </w:t>
            </w:r>
            <w:r w:rsidR="00216AD7" w:rsidRPr="00D97151">
              <w:rPr>
                <w:bCs/>
                <w:lang w:val="fr-CA"/>
              </w:rPr>
              <w:t xml:space="preserve">reposent </w:t>
            </w:r>
            <w:r w:rsidR="00216AD7" w:rsidRPr="00D97151">
              <w:rPr>
                <w:lang w:val="fr-CA"/>
              </w:rPr>
              <w:t xml:space="preserve">sur l’évaluation des efforts ou des intrants investis </w:t>
            </w:r>
            <w:r w:rsidR="005A6616" w:rsidRPr="00D97151">
              <w:rPr>
                <w:lang w:val="fr-CA"/>
              </w:rPr>
              <w:t xml:space="preserve">par l’entité </w:t>
            </w:r>
            <w:r w:rsidR="00216AD7" w:rsidRPr="00D97151">
              <w:rPr>
                <w:lang w:val="fr-CA"/>
              </w:rPr>
              <w:t xml:space="preserve">pour remplir une obligation de prestation, par exemple les </w:t>
            </w:r>
            <w:r w:rsidR="00A53441" w:rsidRPr="00D97151">
              <w:rPr>
                <w:lang w:val="fr-CA"/>
              </w:rPr>
              <w:t>r</w:t>
            </w:r>
            <w:r w:rsidRPr="00D97151">
              <w:rPr>
                <w:bCs/>
                <w:lang w:val="fr-CA"/>
              </w:rPr>
              <w:t>essources consommées, les heures de travail effectuées, les coûts engagés, le temps écoulé ou les heures-machines utilisées</w:t>
            </w:r>
            <w:r w:rsidR="00216AD7" w:rsidRPr="00D97151">
              <w:rPr>
                <w:bCs/>
                <w:lang w:val="fr-CA"/>
              </w:rPr>
              <w:t>.</w:t>
            </w:r>
            <w:r w:rsidRPr="00D97151">
              <w:rPr>
                <w:bCs/>
                <w:lang w:val="fr-CA"/>
              </w:rPr>
              <w:t xml:space="preserve"> </w:t>
            </w:r>
          </w:p>
        </w:tc>
      </w:tr>
      <w:tr w:rsidR="00806EE9" w:rsidRPr="00D97151" w14:paraId="028761DA" w14:textId="77777777" w:rsidTr="00FD4652">
        <w:tc>
          <w:tcPr>
            <w:tcW w:w="2776" w:type="dxa"/>
            <w:tcBorders>
              <w:top w:val="single" w:sz="12" w:space="0" w:color="9CC2E5" w:themeColor="accent1" w:themeTint="99"/>
              <w:bottom w:val="single" w:sz="12" w:space="0" w:color="9CC2E5" w:themeColor="accent1" w:themeTint="99"/>
            </w:tcBorders>
          </w:tcPr>
          <w:p w14:paraId="0653A440" w14:textId="78FA3980" w:rsidR="00806EE9" w:rsidRPr="00D97151" w:rsidRDefault="008F3C38" w:rsidP="00600311">
            <w:pPr>
              <w:spacing w:before="120" w:after="120"/>
              <w:rPr>
                <w:b/>
                <w:bCs/>
                <w:lang w:val="fr-CA"/>
              </w:rPr>
            </w:pPr>
            <w:bookmarkStart w:id="48" w:name="lt_pId332"/>
            <w:r w:rsidRPr="00D97151">
              <w:rPr>
                <w:lang w:val="fr-CA"/>
              </w:rPr>
              <w:t>Obligations de prestation pour lesquelles l’entité ne peut faire une évaluation raisonnable de la mesure dans laquelle l</w:t>
            </w:r>
            <w:r w:rsidR="00FF10CF" w:rsidRPr="00D97151">
              <w:rPr>
                <w:lang w:val="fr-CA"/>
              </w:rPr>
              <w:t>’</w:t>
            </w:r>
            <w:r w:rsidRPr="00D97151">
              <w:rPr>
                <w:lang w:val="fr-CA"/>
              </w:rPr>
              <w:t>obligation est remplie</w:t>
            </w:r>
            <w:bookmarkEnd w:id="48"/>
          </w:p>
        </w:tc>
        <w:tc>
          <w:tcPr>
            <w:tcW w:w="2319" w:type="dxa"/>
            <w:tcBorders>
              <w:top w:val="single" w:sz="12" w:space="0" w:color="9CC2E5" w:themeColor="accent1" w:themeTint="99"/>
              <w:bottom w:val="single" w:sz="12" w:space="0" w:color="9CC2E5" w:themeColor="accent1" w:themeTint="99"/>
            </w:tcBorders>
          </w:tcPr>
          <w:p w14:paraId="295CDAA7" w14:textId="3706ADA2" w:rsidR="00806EE9" w:rsidRPr="00D97151" w:rsidRDefault="00806EE9" w:rsidP="005975FE">
            <w:pPr>
              <w:spacing w:before="120" w:after="120"/>
              <w:rPr>
                <w:lang w:val="fr-CA"/>
              </w:rPr>
            </w:pPr>
            <w:r w:rsidRPr="00D97151">
              <w:rPr>
                <w:lang w:val="fr-CA"/>
              </w:rPr>
              <w:t>IFRS</w:t>
            </w:r>
            <w:r w:rsidR="00A352F0" w:rsidRPr="00D97151">
              <w:rPr>
                <w:lang w:val="fr-CA"/>
              </w:rPr>
              <w:t> </w:t>
            </w:r>
            <w:r w:rsidRPr="00D97151">
              <w:rPr>
                <w:lang w:val="fr-CA"/>
              </w:rPr>
              <w:t>15.45</w:t>
            </w:r>
          </w:p>
          <w:p w14:paraId="51D0D73B" w14:textId="282C17DF" w:rsidR="00806EE9" w:rsidRPr="00D97151" w:rsidRDefault="00806EE9" w:rsidP="005975FE">
            <w:pPr>
              <w:spacing w:before="120" w:after="120"/>
              <w:rPr>
                <w:b/>
                <w:bCs/>
                <w:lang w:val="fr-CA"/>
              </w:rPr>
            </w:pPr>
          </w:p>
        </w:tc>
        <w:tc>
          <w:tcPr>
            <w:tcW w:w="7865" w:type="dxa"/>
            <w:gridSpan w:val="3"/>
            <w:tcBorders>
              <w:top w:val="single" w:sz="12" w:space="0" w:color="9CC2E5" w:themeColor="accent1" w:themeTint="99"/>
              <w:bottom w:val="single" w:sz="12" w:space="0" w:color="9CC2E5" w:themeColor="accent1" w:themeTint="99"/>
            </w:tcBorders>
          </w:tcPr>
          <w:p w14:paraId="53DDE42D" w14:textId="7062AF68" w:rsidR="00806EE9" w:rsidRPr="00D97151" w:rsidRDefault="00216AD7" w:rsidP="005A6616">
            <w:pPr>
              <w:spacing w:before="120" w:after="120"/>
              <w:rPr>
                <w:b/>
                <w:bCs/>
                <w:lang w:val="fr-CA"/>
              </w:rPr>
            </w:pPr>
            <w:r w:rsidRPr="00D97151">
              <w:rPr>
                <w:lang w:val="fr-CA"/>
              </w:rPr>
              <w:t xml:space="preserve">Lorsque l’entité </w:t>
            </w:r>
            <w:r w:rsidRPr="00D97151">
              <w:rPr>
                <w:b/>
                <w:lang w:val="fr-CA"/>
              </w:rPr>
              <w:t>ne peut pas faire une évaluation raisonnable du résultat</w:t>
            </w:r>
            <w:r w:rsidRPr="00D97151">
              <w:rPr>
                <w:lang w:val="fr-CA"/>
              </w:rPr>
              <w:t xml:space="preserve"> d’une </w:t>
            </w:r>
            <w:r w:rsidR="00806EE9" w:rsidRPr="00D97151">
              <w:rPr>
                <w:lang w:val="fr-CA"/>
              </w:rPr>
              <w:t>obligation</w:t>
            </w:r>
            <w:r w:rsidRPr="00D97151">
              <w:rPr>
                <w:lang w:val="fr-CA"/>
              </w:rPr>
              <w:t xml:space="preserve"> de prestation</w:t>
            </w:r>
            <w:r w:rsidR="00806EE9" w:rsidRPr="00D97151">
              <w:rPr>
                <w:lang w:val="fr-CA"/>
              </w:rPr>
              <w:t xml:space="preserve">, </w:t>
            </w:r>
            <w:r w:rsidRPr="00D97151">
              <w:rPr>
                <w:lang w:val="fr-CA"/>
              </w:rPr>
              <w:t>l’auditeur détermine si l’entité a comptabilisé des produits des activités ordinaires qu</w:t>
            </w:r>
            <w:r w:rsidR="00FF10CF" w:rsidRPr="00D97151">
              <w:rPr>
                <w:lang w:val="fr-CA"/>
              </w:rPr>
              <w:t>’</w:t>
            </w:r>
            <w:r w:rsidRPr="00D97151">
              <w:rPr>
                <w:lang w:val="fr-CA"/>
              </w:rPr>
              <w:t>à</w:t>
            </w:r>
            <w:r w:rsidR="007575B4" w:rsidRPr="00D97151">
              <w:rPr>
                <w:lang w:val="fr-CA"/>
              </w:rPr>
              <w:t xml:space="preserve"> la</w:t>
            </w:r>
            <w:r w:rsidRPr="00D97151">
              <w:rPr>
                <w:lang w:val="fr-CA"/>
              </w:rPr>
              <w:t xml:space="preserve"> hauteur des coûts engagés, jusqu</w:t>
            </w:r>
            <w:r w:rsidR="00FF10CF" w:rsidRPr="00D97151">
              <w:rPr>
                <w:lang w:val="fr-CA"/>
              </w:rPr>
              <w:t>’</w:t>
            </w:r>
            <w:r w:rsidRPr="00D97151">
              <w:rPr>
                <w:lang w:val="fr-CA"/>
              </w:rPr>
              <w:t>à ce qu</w:t>
            </w:r>
            <w:r w:rsidR="00FF10CF" w:rsidRPr="00D97151">
              <w:rPr>
                <w:lang w:val="fr-CA"/>
              </w:rPr>
              <w:t>’</w:t>
            </w:r>
            <w:r w:rsidRPr="00D97151">
              <w:rPr>
                <w:lang w:val="fr-CA"/>
              </w:rPr>
              <w:t>elle puisse faire une évaluation raisonnable du résultat de l</w:t>
            </w:r>
            <w:r w:rsidR="00FF10CF" w:rsidRPr="00D97151">
              <w:rPr>
                <w:lang w:val="fr-CA"/>
              </w:rPr>
              <w:t>’</w:t>
            </w:r>
            <w:r w:rsidRPr="00D97151">
              <w:rPr>
                <w:lang w:val="fr-CA"/>
              </w:rPr>
              <w:t>obligation de prestation.</w:t>
            </w:r>
          </w:p>
        </w:tc>
      </w:tr>
      <w:tr w:rsidR="00806EE9" w:rsidRPr="00D97151" w14:paraId="3C295144" w14:textId="77777777" w:rsidTr="00FD4652">
        <w:tc>
          <w:tcPr>
            <w:tcW w:w="2776" w:type="dxa"/>
            <w:tcBorders>
              <w:top w:val="single" w:sz="12" w:space="0" w:color="9CC2E5" w:themeColor="accent1" w:themeTint="99"/>
              <w:bottom w:val="single" w:sz="12" w:space="0" w:color="9CC2E5" w:themeColor="accent1" w:themeTint="99"/>
            </w:tcBorders>
          </w:tcPr>
          <w:p w14:paraId="1EC190F5" w14:textId="290E0AD3" w:rsidR="00806EE9" w:rsidRPr="00D97151" w:rsidRDefault="00216AD7" w:rsidP="00216AD7">
            <w:pPr>
              <w:spacing w:before="120" w:after="120"/>
              <w:rPr>
                <w:b/>
                <w:bCs/>
                <w:lang w:val="fr-CA"/>
              </w:rPr>
            </w:pPr>
            <w:r w:rsidRPr="00D97151">
              <w:rPr>
                <w:lang w:val="fr-CA"/>
              </w:rPr>
              <w:t>O</w:t>
            </w:r>
            <w:r w:rsidR="00806EE9" w:rsidRPr="00D97151">
              <w:rPr>
                <w:lang w:val="fr-CA"/>
              </w:rPr>
              <w:t>bligations</w:t>
            </w:r>
            <w:r w:rsidRPr="00D97151">
              <w:rPr>
                <w:lang w:val="fr-CA"/>
              </w:rPr>
              <w:t xml:space="preserve"> de prestation remplies à un moment précis</w:t>
            </w:r>
          </w:p>
        </w:tc>
        <w:tc>
          <w:tcPr>
            <w:tcW w:w="2319" w:type="dxa"/>
            <w:tcBorders>
              <w:top w:val="single" w:sz="12" w:space="0" w:color="9CC2E5" w:themeColor="accent1" w:themeTint="99"/>
              <w:bottom w:val="single" w:sz="12" w:space="0" w:color="9CC2E5" w:themeColor="accent1" w:themeTint="99"/>
            </w:tcBorders>
          </w:tcPr>
          <w:p w14:paraId="628B7EC9" w14:textId="30B97D32" w:rsidR="00806EE9" w:rsidRPr="00D97151" w:rsidRDefault="00806EE9" w:rsidP="005975FE">
            <w:pPr>
              <w:spacing w:before="120" w:after="120"/>
              <w:rPr>
                <w:lang w:val="fr-CA"/>
              </w:rPr>
            </w:pPr>
            <w:r w:rsidRPr="00D97151">
              <w:rPr>
                <w:lang w:val="fr-CA"/>
              </w:rPr>
              <w:t>IFRS</w:t>
            </w:r>
            <w:r w:rsidR="00A352F0" w:rsidRPr="00D97151">
              <w:rPr>
                <w:lang w:val="fr-CA"/>
              </w:rPr>
              <w:t> </w:t>
            </w:r>
            <w:r w:rsidRPr="00D97151">
              <w:rPr>
                <w:lang w:val="fr-CA"/>
              </w:rPr>
              <w:t>15.38</w:t>
            </w:r>
          </w:p>
          <w:p w14:paraId="02E2D9A8" w14:textId="147D3B9E" w:rsidR="00806EE9" w:rsidRPr="00D97151" w:rsidRDefault="00806EE9" w:rsidP="005975FE">
            <w:pPr>
              <w:spacing w:before="120" w:after="120"/>
              <w:rPr>
                <w:b/>
                <w:bCs/>
                <w:lang w:val="fr-CA"/>
              </w:rPr>
            </w:pPr>
          </w:p>
        </w:tc>
        <w:tc>
          <w:tcPr>
            <w:tcW w:w="7865" w:type="dxa"/>
            <w:gridSpan w:val="3"/>
            <w:tcBorders>
              <w:top w:val="single" w:sz="12" w:space="0" w:color="9CC2E5" w:themeColor="accent1" w:themeTint="99"/>
              <w:bottom w:val="single" w:sz="12" w:space="0" w:color="9CC2E5" w:themeColor="accent1" w:themeTint="99"/>
            </w:tcBorders>
          </w:tcPr>
          <w:p w14:paraId="53C4B38F" w14:textId="3FDAD7F4" w:rsidR="00806EE9" w:rsidRPr="00D97151" w:rsidRDefault="00216AD7" w:rsidP="009127CD">
            <w:pPr>
              <w:spacing w:before="120" w:after="120"/>
              <w:rPr>
                <w:b/>
                <w:bCs/>
                <w:lang w:val="fr-CA"/>
              </w:rPr>
            </w:pPr>
            <w:r w:rsidRPr="00D97151">
              <w:rPr>
                <w:lang w:val="fr-CA"/>
              </w:rPr>
              <w:t xml:space="preserve">Si des </w:t>
            </w:r>
            <w:r w:rsidR="00806EE9" w:rsidRPr="00D97151">
              <w:rPr>
                <w:lang w:val="fr-CA"/>
              </w:rPr>
              <w:t xml:space="preserve">obligations </w:t>
            </w:r>
            <w:r w:rsidRPr="00D97151">
              <w:rPr>
                <w:lang w:val="fr-CA"/>
              </w:rPr>
              <w:t>de prestation sont remplies à un moment précis, l’entité doit déterminer le moment où le</w:t>
            </w:r>
            <w:r w:rsidR="009127CD" w:rsidRPr="00D97151">
              <w:rPr>
                <w:lang w:val="fr-CA"/>
              </w:rPr>
              <w:t xml:space="preserve"> contrôle est transféré au</w:t>
            </w:r>
            <w:r w:rsidRPr="00D97151">
              <w:rPr>
                <w:lang w:val="fr-CA"/>
              </w:rPr>
              <w:t xml:space="preserve"> client</w:t>
            </w:r>
            <w:r w:rsidR="00806EE9" w:rsidRPr="00D97151">
              <w:rPr>
                <w:lang w:val="fr-CA"/>
              </w:rPr>
              <w:t xml:space="preserve">. </w:t>
            </w:r>
            <w:r w:rsidR="009127CD" w:rsidRPr="00D97151">
              <w:rPr>
                <w:lang w:val="fr-CA"/>
              </w:rPr>
              <w:t xml:space="preserve">Il faut savoir que la réception d’un paiement à lui seul n’est généralement pas une preuve du transfert du contrôle. C’est donc dire que lorsque l’auditeur teste la comptabilisation des produits pour des obligations de prestation remplies à un moment précis, il ne suffira généralement pas de simplement vérifier si le client a effectué un paiement. L’auditeur devra vérifier d’autres éléments indicatifs d’un transfert de contrôle. </w:t>
            </w:r>
          </w:p>
        </w:tc>
      </w:tr>
      <w:tr w:rsidR="00C777BE" w:rsidRPr="00473B58" w14:paraId="26F3C76A" w14:textId="77777777" w:rsidTr="00806EE9">
        <w:trPr>
          <w:gridAfter w:val="1"/>
          <w:wAfter w:w="10" w:type="dxa"/>
        </w:trPr>
        <w:tc>
          <w:tcPr>
            <w:tcW w:w="2776" w:type="dxa"/>
            <w:tcBorders>
              <w:bottom w:val="single" w:sz="12" w:space="0" w:color="2E74B5" w:themeColor="accent1" w:themeShade="BF"/>
            </w:tcBorders>
            <w:vAlign w:val="bottom"/>
          </w:tcPr>
          <w:p w14:paraId="12356CF9" w14:textId="26EF5765" w:rsidR="00C777BE" w:rsidRPr="00513B06" w:rsidRDefault="005975FE" w:rsidP="00C777BE">
            <w:pPr>
              <w:spacing w:before="120" w:after="120"/>
              <w:rPr>
                <w:b/>
                <w:bCs/>
                <w:color w:val="2E74B5" w:themeColor="accent1" w:themeShade="BF"/>
                <w:lang w:val="fr-CA"/>
              </w:rPr>
            </w:pPr>
            <w:r w:rsidRPr="00513B06">
              <w:rPr>
                <w:lang w:val="fr-CA"/>
              </w:rPr>
              <w:br w:type="page"/>
            </w:r>
            <w:r w:rsidR="00C777BE" w:rsidRPr="00513B06">
              <w:rPr>
                <w:b/>
                <w:color w:val="2E74B5" w:themeColor="accent1" w:themeShade="BF"/>
                <w:lang w:val="fr-CA"/>
              </w:rPr>
              <w:t>N</w:t>
            </w:r>
            <w:r w:rsidR="00C777BE" w:rsidRPr="00513B06">
              <w:rPr>
                <w:b/>
                <w:color w:val="2E74B5" w:themeColor="accent1" w:themeShade="BF"/>
                <w:vertAlign w:val="superscript"/>
                <w:lang w:val="fr-CA"/>
              </w:rPr>
              <w:t>o</w:t>
            </w:r>
            <w:r w:rsidR="00A352F0" w:rsidRPr="00513B06">
              <w:rPr>
                <w:b/>
                <w:color w:val="2E74B5" w:themeColor="accent1" w:themeShade="BF"/>
                <w:lang w:val="fr-CA"/>
              </w:rPr>
              <w:t>/</w:t>
            </w:r>
            <w:r w:rsidR="00C777BE" w:rsidRPr="00513B06">
              <w:rPr>
                <w:b/>
                <w:color w:val="2E74B5" w:themeColor="accent1" w:themeShade="BF"/>
                <w:lang w:val="fr-CA"/>
              </w:rPr>
              <w:t>titre de la procédure</w:t>
            </w:r>
          </w:p>
        </w:tc>
        <w:tc>
          <w:tcPr>
            <w:tcW w:w="2326" w:type="dxa"/>
            <w:gridSpan w:val="2"/>
            <w:tcBorders>
              <w:bottom w:val="single" w:sz="12" w:space="0" w:color="2E74B5" w:themeColor="accent1" w:themeShade="BF"/>
            </w:tcBorders>
            <w:vAlign w:val="bottom"/>
          </w:tcPr>
          <w:p w14:paraId="26A25284" w14:textId="74C34640" w:rsidR="00C777BE" w:rsidRPr="00473B58" w:rsidRDefault="00C777BE" w:rsidP="00C777BE">
            <w:pPr>
              <w:spacing w:before="120" w:after="120"/>
              <w:rPr>
                <w:b/>
                <w:bCs/>
                <w:color w:val="2E74B5" w:themeColor="accent1" w:themeShade="BF"/>
                <w:lang w:val="fr-CA"/>
              </w:rPr>
            </w:pPr>
            <w:r w:rsidRPr="00473B58">
              <w:rPr>
                <w:b/>
                <w:color w:val="2E74B5" w:themeColor="accent1" w:themeShade="BF"/>
                <w:lang w:val="fr-CA"/>
              </w:rPr>
              <w:t xml:space="preserve">Paragraphes </w:t>
            </w:r>
            <w:r w:rsidR="00FB4A21" w:rsidRPr="00473B58">
              <w:rPr>
                <w:b/>
                <w:color w:val="2E74B5" w:themeColor="accent1" w:themeShade="BF"/>
                <w:lang w:val="fr-CA"/>
              </w:rPr>
              <w:t>de l’</w:t>
            </w:r>
            <w:r w:rsidRPr="00473B58">
              <w:rPr>
                <w:b/>
                <w:color w:val="2E74B5" w:themeColor="accent1" w:themeShade="BF"/>
                <w:lang w:val="fr-CA"/>
              </w:rPr>
              <w:t>IFRS</w:t>
            </w:r>
            <w:r w:rsidR="00A352F0" w:rsidRPr="00473B58">
              <w:rPr>
                <w:b/>
                <w:color w:val="2E74B5" w:themeColor="accent1" w:themeShade="BF"/>
                <w:lang w:val="fr-CA"/>
              </w:rPr>
              <w:t> </w:t>
            </w:r>
            <w:r w:rsidRPr="00473B58">
              <w:rPr>
                <w:b/>
                <w:color w:val="2E74B5" w:themeColor="accent1" w:themeShade="BF"/>
                <w:lang w:val="fr-CA"/>
              </w:rPr>
              <w:t>15 (le cas échéant)</w:t>
            </w:r>
          </w:p>
        </w:tc>
        <w:tc>
          <w:tcPr>
            <w:tcW w:w="7848" w:type="dxa"/>
            <w:tcBorders>
              <w:bottom w:val="single" w:sz="12" w:space="0" w:color="2E74B5" w:themeColor="accent1" w:themeShade="BF"/>
            </w:tcBorders>
            <w:vAlign w:val="bottom"/>
          </w:tcPr>
          <w:p w14:paraId="3C44656C" w14:textId="488FFEC1" w:rsidR="00C777BE" w:rsidRPr="00473B58" w:rsidRDefault="00C777BE" w:rsidP="00C777BE">
            <w:pPr>
              <w:spacing w:before="120" w:after="120"/>
              <w:rPr>
                <w:b/>
                <w:bCs/>
                <w:color w:val="2E74B5" w:themeColor="accent1" w:themeShade="BF"/>
                <w:lang w:val="fr-CA"/>
              </w:rPr>
            </w:pPr>
            <w:r w:rsidRPr="00473B58">
              <w:rPr>
                <w:b/>
                <w:color w:val="2E74B5" w:themeColor="accent1" w:themeShade="BF"/>
                <w:lang w:val="fr-CA"/>
              </w:rPr>
              <w:t xml:space="preserve">Directives </w:t>
            </w:r>
          </w:p>
        </w:tc>
      </w:tr>
      <w:tr w:rsidR="00806EE9" w:rsidRPr="00D97151" w14:paraId="2CE57CC3" w14:textId="77777777" w:rsidTr="00806EE9">
        <w:trPr>
          <w:gridAfter w:val="1"/>
          <w:wAfter w:w="10" w:type="dxa"/>
        </w:trPr>
        <w:tc>
          <w:tcPr>
            <w:tcW w:w="2776" w:type="dxa"/>
            <w:tcBorders>
              <w:top w:val="single" w:sz="12" w:space="0" w:color="2E74B5" w:themeColor="accent1" w:themeShade="BF"/>
              <w:bottom w:val="single" w:sz="12" w:space="0" w:color="9CC2E5" w:themeColor="accent1" w:themeTint="99"/>
            </w:tcBorders>
          </w:tcPr>
          <w:p w14:paraId="7135E58D" w14:textId="6B98C601" w:rsidR="00806EE9" w:rsidRPr="00D97151" w:rsidRDefault="00806EE9" w:rsidP="00865BA2">
            <w:pPr>
              <w:spacing w:before="120" w:after="120"/>
              <w:rPr>
                <w:b/>
                <w:bCs/>
                <w:lang w:val="fr-CA"/>
              </w:rPr>
            </w:pPr>
            <w:r w:rsidRPr="00D97151">
              <w:rPr>
                <w:bCs/>
                <w:lang w:val="fr-CA"/>
              </w:rPr>
              <w:t>Licen</w:t>
            </w:r>
            <w:r w:rsidR="008F3C38" w:rsidRPr="00D97151">
              <w:rPr>
                <w:bCs/>
                <w:lang w:val="fr-CA"/>
              </w:rPr>
              <w:t>c</w:t>
            </w:r>
            <w:r w:rsidRPr="00D97151">
              <w:rPr>
                <w:bCs/>
                <w:lang w:val="fr-CA"/>
              </w:rPr>
              <w:t>e –</w:t>
            </w:r>
            <w:r w:rsidR="00EC40C4" w:rsidRPr="00D97151">
              <w:rPr>
                <w:bCs/>
                <w:lang w:val="fr-CA"/>
              </w:rPr>
              <w:t xml:space="preserve"> </w:t>
            </w:r>
            <w:r w:rsidR="009127CD" w:rsidRPr="00D97151">
              <w:rPr>
                <w:bCs/>
                <w:lang w:val="fr-CA"/>
              </w:rPr>
              <w:t xml:space="preserve">Tester la période de comptabilisation </w:t>
            </w:r>
          </w:p>
        </w:tc>
        <w:tc>
          <w:tcPr>
            <w:tcW w:w="2326" w:type="dxa"/>
            <w:gridSpan w:val="2"/>
            <w:tcBorders>
              <w:top w:val="single" w:sz="12" w:space="0" w:color="2E74B5" w:themeColor="accent1" w:themeShade="BF"/>
              <w:bottom w:val="single" w:sz="12" w:space="0" w:color="9CC2E5" w:themeColor="accent1" w:themeTint="99"/>
            </w:tcBorders>
          </w:tcPr>
          <w:p w14:paraId="375E3DF8" w14:textId="1164D0E1" w:rsidR="00806EE9" w:rsidRPr="00D97151" w:rsidRDefault="00806EE9" w:rsidP="005975FE">
            <w:pPr>
              <w:spacing w:before="120" w:after="120"/>
              <w:rPr>
                <w:lang w:val="fr-CA"/>
              </w:rPr>
            </w:pPr>
            <w:r w:rsidRPr="00D97151">
              <w:rPr>
                <w:lang w:val="fr-CA"/>
              </w:rPr>
              <w:t>IFRS</w:t>
            </w:r>
            <w:r w:rsidR="00A352F0" w:rsidRPr="00D97151">
              <w:rPr>
                <w:lang w:val="fr-CA"/>
              </w:rPr>
              <w:t> </w:t>
            </w:r>
            <w:r w:rsidRPr="00D97151">
              <w:rPr>
                <w:lang w:val="fr-CA"/>
              </w:rPr>
              <w:t>15.B56</w:t>
            </w:r>
          </w:p>
          <w:p w14:paraId="3BB44D55" w14:textId="315F4B20" w:rsidR="00806EE9" w:rsidRPr="00D97151" w:rsidRDefault="00806EE9" w:rsidP="005975FE">
            <w:pPr>
              <w:spacing w:before="120" w:after="120"/>
              <w:rPr>
                <w:b/>
                <w:bCs/>
                <w:lang w:val="fr-CA"/>
              </w:rPr>
            </w:pPr>
          </w:p>
        </w:tc>
        <w:tc>
          <w:tcPr>
            <w:tcW w:w="7848" w:type="dxa"/>
            <w:tcBorders>
              <w:top w:val="single" w:sz="12" w:space="0" w:color="2E74B5" w:themeColor="accent1" w:themeShade="BF"/>
              <w:bottom w:val="single" w:sz="12" w:space="0" w:color="9CC2E5" w:themeColor="accent1" w:themeTint="99"/>
            </w:tcBorders>
          </w:tcPr>
          <w:p w14:paraId="3306AE1A" w14:textId="34933158" w:rsidR="008F3C38" w:rsidRPr="00D97151" w:rsidRDefault="009127CD" w:rsidP="008F3C38">
            <w:pPr>
              <w:spacing w:before="120" w:after="120"/>
              <w:rPr>
                <w:lang w:val="fr-CA"/>
              </w:rPr>
            </w:pPr>
            <w:r w:rsidRPr="00D97151">
              <w:rPr>
                <w:lang w:val="fr-CA"/>
              </w:rPr>
              <w:t xml:space="preserve">Si l’auditeur teste des licences, il doit mettre en œuvre certaines procédures pour vérifier </w:t>
            </w:r>
            <w:r w:rsidR="00FB4A21" w:rsidRPr="00D97151">
              <w:rPr>
                <w:lang w:val="fr-CA"/>
              </w:rPr>
              <w:t>que</w:t>
            </w:r>
            <w:r w:rsidRPr="00D97151">
              <w:rPr>
                <w:lang w:val="fr-CA"/>
              </w:rPr>
              <w:t xml:space="preserve"> l’entité a déterminé si le transfert de la licence à un client a été effectué à un moment précis ou progressivement. </w:t>
            </w:r>
            <w:bookmarkStart w:id="49" w:name="lt_pId347"/>
            <w:r w:rsidR="008F3C38" w:rsidRPr="00D97151">
              <w:rPr>
                <w:lang w:val="fr-CA"/>
              </w:rPr>
              <w:t>Pour ce faire, l</w:t>
            </w:r>
            <w:r w:rsidR="00FF10CF" w:rsidRPr="00D97151">
              <w:rPr>
                <w:lang w:val="fr-CA"/>
              </w:rPr>
              <w:t>’</w:t>
            </w:r>
            <w:r w:rsidR="008F3C38" w:rsidRPr="00D97151">
              <w:rPr>
                <w:lang w:val="fr-CA"/>
              </w:rPr>
              <w:t>entité d</w:t>
            </w:r>
            <w:r w:rsidRPr="00D97151">
              <w:rPr>
                <w:lang w:val="fr-CA"/>
              </w:rPr>
              <w:t xml:space="preserve">evrait avoir </w:t>
            </w:r>
            <w:r w:rsidR="008F3C38" w:rsidRPr="00D97151">
              <w:rPr>
                <w:lang w:val="fr-CA"/>
              </w:rPr>
              <w:t>examin</w:t>
            </w:r>
            <w:r w:rsidRPr="00D97151">
              <w:rPr>
                <w:lang w:val="fr-CA"/>
              </w:rPr>
              <w:t>é</w:t>
            </w:r>
            <w:r w:rsidR="008F3C38" w:rsidRPr="00D97151">
              <w:rPr>
                <w:lang w:val="fr-CA"/>
              </w:rPr>
              <w:t xml:space="preserve"> si la nature de sa promesse d</w:t>
            </w:r>
            <w:r w:rsidR="00FF10CF" w:rsidRPr="00D97151">
              <w:rPr>
                <w:lang w:val="fr-CA"/>
              </w:rPr>
              <w:t>’</w:t>
            </w:r>
            <w:r w:rsidR="008F3C38" w:rsidRPr="00D97151">
              <w:rPr>
                <w:lang w:val="fr-CA"/>
              </w:rPr>
              <w:t>octroyer la licence au client consiste à accorder à celui-ci l</w:t>
            </w:r>
            <w:r w:rsidR="00FF10CF" w:rsidRPr="00D97151">
              <w:rPr>
                <w:lang w:val="fr-CA"/>
              </w:rPr>
              <w:t>’</w:t>
            </w:r>
            <w:r w:rsidR="008F3C38" w:rsidRPr="00D97151">
              <w:rPr>
                <w:lang w:val="fr-CA"/>
              </w:rPr>
              <w:t>un ou l</w:t>
            </w:r>
            <w:r w:rsidR="00FF10CF" w:rsidRPr="00D97151">
              <w:rPr>
                <w:lang w:val="fr-CA"/>
              </w:rPr>
              <w:t>’</w:t>
            </w:r>
            <w:r w:rsidR="008F3C38" w:rsidRPr="00D97151">
              <w:rPr>
                <w:lang w:val="fr-CA"/>
              </w:rPr>
              <w:t>autre des droits suivants :</w:t>
            </w:r>
            <w:bookmarkEnd w:id="49"/>
          </w:p>
          <w:p w14:paraId="2251E2B4" w14:textId="23D3AD2D" w:rsidR="008F3C38" w:rsidRPr="00D97151" w:rsidRDefault="008F3C38" w:rsidP="008F3C38">
            <w:pPr>
              <w:pStyle w:val="ListParagraph"/>
              <w:numPr>
                <w:ilvl w:val="0"/>
                <w:numId w:val="26"/>
              </w:numPr>
              <w:spacing w:before="120" w:after="120"/>
              <w:rPr>
                <w:lang w:val="fr-CA"/>
              </w:rPr>
            </w:pPr>
            <w:bookmarkStart w:id="50" w:name="lt_pId348"/>
            <w:r w:rsidRPr="00D97151">
              <w:rPr>
                <w:lang w:val="fr-CA"/>
              </w:rPr>
              <w:t>un droit d</w:t>
            </w:r>
            <w:r w:rsidR="00FF10CF" w:rsidRPr="00D97151">
              <w:rPr>
                <w:lang w:val="fr-CA"/>
              </w:rPr>
              <w:t>’</w:t>
            </w:r>
            <w:r w:rsidRPr="00D97151">
              <w:rPr>
                <w:lang w:val="fr-CA"/>
              </w:rPr>
              <w:t>accès à la propriété intellectuelle de l</w:t>
            </w:r>
            <w:r w:rsidR="00FF10CF" w:rsidRPr="00D97151">
              <w:rPr>
                <w:lang w:val="fr-CA"/>
              </w:rPr>
              <w:t>’</w:t>
            </w:r>
            <w:r w:rsidRPr="00D97151">
              <w:rPr>
                <w:lang w:val="fr-CA"/>
              </w:rPr>
              <w:t>entité telle qu</w:t>
            </w:r>
            <w:r w:rsidR="00FF10CF" w:rsidRPr="00D97151">
              <w:rPr>
                <w:lang w:val="fr-CA"/>
              </w:rPr>
              <w:t>’</w:t>
            </w:r>
            <w:r w:rsidRPr="00D97151">
              <w:rPr>
                <w:lang w:val="fr-CA"/>
              </w:rPr>
              <w:t>elle existe tout au long de la période couverte par la licence;</w:t>
            </w:r>
            <w:bookmarkEnd w:id="50"/>
          </w:p>
          <w:p w14:paraId="0F077A24" w14:textId="1AC9E2AA" w:rsidR="00806EE9" w:rsidRPr="00D97151" w:rsidRDefault="008F3C38" w:rsidP="008F3C38">
            <w:pPr>
              <w:pStyle w:val="ListParagraph"/>
              <w:numPr>
                <w:ilvl w:val="0"/>
                <w:numId w:val="26"/>
              </w:numPr>
              <w:spacing w:before="120" w:after="120"/>
              <w:rPr>
                <w:lang w:val="fr-CA"/>
              </w:rPr>
            </w:pPr>
            <w:bookmarkStart w:id="51" w:name="lt_pId349"/>
            <w:r w:rsidRPr="00D97151">
              <w:rPr>
                <w:lang w:val="fr-CA"/>
              </w:rPr>
              <w:t>un droit d</w:t>
            </w:r>
            <w:r w:rsidR="00FF10CF" w:rsidRPr="00D97151">
              <w:rPr>
                <w:lang w:val="fr-CA"/>
              </w:rPr>
              <w:t>’</w:t>
            </w:r>
            <w:r w:rsidRPr="00D97151">
              <w:rPr>
                <w:lang w:val="fr-CA"/>
              </w:rPr>
              <w:t>utilisation de la propriété intellectuelle de l</w:t>
            </w:r>
            <w:r w:rsidR="00FF10CF" w:rsidRPr="00D97151">
              <w:rPr>
                <w:lang w:val="fr-CA"/>
              </w:rPr>
              <w:t>’</w:t>
            </w:r>
            <w:r w:rsidRPr="00D97151">
              <w:rPr>
                <w:lang w:val="fr-CA"/>
              </w:rPr>
              <w:t>entité telle qu</w:t>
            </w:r>
            <w:r w:rsidR="00FF10CF" w:rsidRPr="00D97151">
              <w:rPr>
                <w:lang w:val="fr-CA"/>
              </w:rPr>
              <w:t>’</w:t>
            </w:r>
            <w:r w:rsidRPr="00D97151">
              <w:rPr>
                <w:lang w:val="fr-CA"/>
              </w:rPr>
              <w:t>elle existe au moment précis où la licence est octroyée.</w:t>
            </w:r>
            <w:bookmarkEnd w:id="51"/>
          </w:p>
        </w:tc>
      </w:tr>
      <w:tr w:rsidR="00806EE9" w:rsidRPr="00D97151" w14:paraId="48EBDD4B" w14:textId="77777777" w:rsidTr="00806EE9">
        <w:trPr>
          <w:gridAfter w:val="1"/>
          <w:wAfter w:w="10" w:type="dxa"/>
        </w:trPr>
        <w:tc>
          <w:tcPr>
            <w:tcW w:w="2776" w:type="dxa"/>
            <w:tcBorders>
              <w:top w:val="single" w:sz="12" w:space="0" w:color="9CC2E5" w:themeColor="accent1" w:themeTint="99"/>
              <w:bottom w:val="single" w:sz="12" w:space="0" w:color="2E74B5" w:themeColor="accent1" w:themeShade="BF"/>
            </w:tcBorders>
          </w:tcPr>
          <w:p w14:paraId="7AF01BD4" w14:textId="5EF1135D" w:rsidR="00806EE9" w:rsidRPr="00D97151" w:rsidRDefault="008F3C38" w:rsidP="00865BA2">
            <w:pPr>
              <w:spacing w:before="120" w:after="120"/>
              <w:rPr>
                <w:b/>
                <w:bCs/>
                <w:lang w:val="fr-CA"/>
              </w:rPr>
            </w:pPr>
            <w:r w:rsidRPr="00D97151">
              <w:rPr>
                <w:bCs/>
                <w:lang w:val="fr-CA"/>
              </w:rPr>
              <w:t xml:space="preserve">Redevances </w:t>
            </w:r>
            <w:r w:rsidR="00806EE9" w:rsidRPr="00D97151">
              <w:rPr>
                <w:bCs/>
                <w:lang w:val="fr-CA"/>
              </w:rPr>
              <w:t>–</w:t>
            </w:r>
            <w:r w:rsidR="00EC40C4" w:rsidRPr="00D97151">
              <w:rPr>
                <w:bCs/>
                <w:lang w:val="fr-CA"/>
              </w:rPr>
              <w:t xml:space="preserve"> </w:t>
            </w:r>
            <w:r w:rsidR="009127CD" w:rsidRPr="00D97151">
              <w:rPr>
                <w:bCs/>
                <w:lang w:val="fr-CA"/>
              </w:rPr>
              <w:t>Tester la période de comptabilisation</w:t>
            </w:r>
          </w:p>
        </w:tc>
        <w:tc>
          <w:tcPr>
            <w:tcW w:w="2326" w:type="dxa"/>
            <w:gridSpan w:val="2"/>
            <w:tcBorders>
              <w:top w:val="single" w:sz="12" w:space="0" w:color="9CC2E5" w:themeColor="accent1" w:themeTint="99"/>
              <w:bottom w:val="single" w:sz="12" w:space="0" w:color="2E74B5" w:themeColor="accent1" w:themeShade="BF"/>
            </w:tcBorders>
          </w:tcPr>
          <w:p w14:paraId="015A6515" w14:textId="244641C2" w:rsidR="00806EE9" w:rsidRPr="00D97151" w:rsidRDefault="00806EE9" w:rsidP="005975FE">
            <w:pPr>
              <w:spacing w:before="120" w:after="120"/>
              <w:rPr>
                <w:lang w:val="fr-CA"/>
              </w:rPr>
            </w:pPr>
            <w:r w:rsidRPr="00D97151">
              <w:rPr>
                <w:lang w:val="fr-CA"/>
              </w:rPr>
              <w:t>IFRS</w:t>
            </w:r>
            <w:r w:rsidR="00A352F0" w:rsidRPr="00D97151">
              <w:rPr>
                <w:lang w:val="fr-CA"/>
              </w:rPr>
              <w:t> </w:t>
            </w:r>
            <w:r w:rsidRPr="00D97151">
              <w:rPr>
                <w:lang w:val="fr-CA"/>
              </w:rPr>
              <w:t>15.B63</w:t>
            </w:r>
          </w:p>
          <w:p w14:paraId="68688FCC" w14:textId="79DAD621" w:rsidR="00806EE9" w:rsidRPr="00D97151" w:rsidRDefault="00806EE9" w:rsidP="005975FE">
            <w:pPr>
              <w:spacing w:before="120" w:after="120"/>
              <w:rPr>
                <w:b/>
                <w:bCs/>
                <w:lang w:val="fr-CA"/>
              </w:rPr>
            </w:pPr>
          </w:p>
        </w:tc>
        <w:tc>
          <w:tcPr>
            <w:tcW w:w="7848" w:type="dxa"/>
            <w:tcBorders>
              <w:top w:val="single" w:sz="12" w:space="0" w:color="9CC2E5" w:themeColor="accent1" w:themeTint="99"/>
              <w:bottom w:val="single" w:sz="12" w:space="0" w:color="2E74B5" w:themeColor="accent1" w:themeShade="BF"/>
            </w:tcBorders>
          </w:tcPr>
          <w:p w14:paraId="3CEE6D3B" w14:textId="778A9BCE" w:rsidR="00806EE9" w:rsidRPr="00D97151" w:rsidRDefault="009127CD" w:rsidP="005975FE">
            <w:pPr>
              <w:spacing w:before="120" w:after="120"/>
              <w:rPr>
                <w:lang w:val="fr-CA"/>
              </w:rPr>
            </w:pPr>
            <w:r w:rsidRPr="00D97151">
              <w:rPr>
                <w:lang w:val="fr-CA"/>
              </w:rPr>
              <w:t xml:space="preserve">Si l’auditeur teste des redevances, il doit mettre en œuvre certaines procédures pour vérifier </w:t>
            </w:r>
            <w:r w:rsidR="00FB4A21" w:rsidRPr="00D97151">
              <w:rPr>
                <w:lang w:val="fr-CA"/>
              </w:rPr>
              <w:t>que l’entité a comptabilisé d</w:t>
            </w:r>
            <w:r w:rsidRPr="00D97151">
              <w:rPr>
                <w:lang w:val="fr-CA"/>
              </w:rPr>
              <w:t xml:space="preserve">es </w:t>
            </w:r>
            <w:r w:rsidR="009E37CD" w:rsidRPr="00D97151">
              <w:rPr>
                <w:lang w:val="fr-CA"/>
              </w:rPr>
              <w:t>produits des activités ordinaires au titre d</w:t>
            </w:r>
            <w:r w:rsidR="00FF10CF" w:rsidRPr="00D97151">
              <w:rPr>
                <w:lang w:val="fr-CA"/>
              </w:rPr>
              <w:t>’</w:t>
            </w:r>
            <w:r w:rsidR="009E37CD" w:rsidRPr="00D97151">
              <w:rPr>
                <w:lang w:val="fr-CA"/>
              </w:rPr>
              <w:t>une redevance en fonction des ventes ou d</w:t>
            </w:r>
            <w:r w:rsidR="00FF10CF" w:rsidRPr="00D97151">
              <w:rPr>
                <w:lang w:val="fr-CA"/>
              </w:rPr>
              <w:t>’</w:t>
            </w:r>
            <w:r w:rsidR="009E37CD" w:rsidRPr="00D97151">
              <w:rPr>
                <w:lang w:val="fr-CA"/>
              </w:rPr>
              <w:t>une redevance en fonction de l</w:t>
            </w:r>
            <w:r w:rsidR="00FF10CF" w:rsidRPr="00D97151">
              <w:rPr>
                <w:lang w:val="fr-CA"/>
              </w:rPr>
              <w:t>’</w:t>
            </w:r>
            <w:r w:rsidR="009E37CD" w:rsidRPr="00D97151">
              <w:rPr>
                <w:lang w:val="fr-CA"/>
              </w:rPr>
              <w:t>utilisation qui a été promise en échange d</w:t>
            </w:r>
            <w:r w:rsidR="00FF10CF" w:rsidRPr="00D97151">
              <w:rPr>
                <w:lang w:val="fr-CA"/>
              </w:rPr>
              <w:t>’</w:t>
            </w:r>
            <w:r w:rsidR="009E37CD" w:rsidRPr="00D97151">
              <w:rPr>
                <w:lang w:val="fr-CA"/>
              </w:rPr>
              <w:t>une licence de propriété intellectuelle uniquement lorsque (ou à mesure que) survient le plus tardif des événements suivants </w:t>
            </w:r>
            <w:r w:rsidR="00806EE9" w:rsidRPr="00D97151">
              <w:rPr>
                <w:lang w:val="fr-CA"/>
              </w:rPr>
              <w:t>:</w:t>
            </w:r>
          </w:p>
          <w:p w14:paraId="5E9B4B1A" w14:textId="1EFF4C30" w:rsidR="008F3C38" w:rsidRPr="00D97151" w:rsidRDefault="008F3C38" w:rsidP="008F3C38">
            <w:pPr>
              <w:pStyle w:val="ListParagraph"/>
              <w:numPr>
                <w:ilvl w:val="0"/>
                <w:numId w:val="27"/>
              </w:numPr>
              <w:spacing w:before="120" w:after="120"/>
              <w:rPr>
                <w:lang w:val="fr-CA"/>
              </w:rPr>
            </w:pPr>
            <w:bookmarkStart w:id="52" w:name="lt_pId354"/>
            <w:r w:rsidRPr="00D97151">
              <w:rPr>
                <w:lang w:val="fr-CA"/>
              </w:rPr>
              <w:t>la vente ou l</w:t>
            </w:r>
            <w:r w:rsidR="00FF10CF" w:rsidRPr="00D97151">
              <w:rPr>
                <w:lang w:val="fr-CA"/>
              </w:rPr>
              <w:t>’</w:t>
            </w:r>
            <w:r w:rsidRPr="00D97151">
              <w:rPr>
                <w:lang w:val="fr-CA"/>
              </w:rPr>
              <w:t>utilisation en question se produit;</w:t>
            </w:r>
            <w:bookmarkEnd w:id="52"/>
          </w:p>
          <w:p w14:paraId="0E6161A6" w14:textId="4FB96B0C" w:rsidR="00806EE9" w:rsidRPr="00D97151" w:rsidRDefault="008F3C38" w:rsidP="008F3C38">
            <w:pPr>
              <w:pStyle w:val="ListParagraph"/>
              <w:numPr>
                <w:ilvl w:val="0"/>
                <w:numId w:val="27"/>
              </w:numPr>
              <w:spacing w:before="120" w:after="120"/>
              <w:rPr>
                <w:lang w:val="fr-CA"/>
              </w:rPr>
            </w:pPr>
            <w:bookmarkStart w:id="53" w:name="lt_pId355"/>
            <w:r w:rsidRPr="00D97151">
              <w:rPr>
                <w:lang w:val="fr-CA"/>
              </w:rPr>
              <w:t>l</w:t>
            </w:r>
            <w:r w:rsidR="00FF10CF" w:rsidRPr="00D97151">
              <w:rPr>
                <w:lang w:val="fr-CA"/>
              </w:rPr>
              <w:t>’</w:t>
            </w:r>
            <w:r w:rsidRPr="00D97151">
              <w:rPr>
                <w:lang w:val="fr-CA"/>
              </w:rPr>
              <w:t>obligation de prestation à laquelle est affectée la redevance en fonction des ventes ou la redevance en fonction de l</w:t>
            </w:r>
            <w:r w:rsidR="00FF10CF" w:rsidRPr="00D97151">
              <w:rPr>
                <w:lang w:val="fr-CA"/>
              </w:rPr>
              <w:t>’</w:t>
            </w:r>
            <w:r w:rsidRPr="00D97151">
              <w:rPr>
                <w:lang w:val="fr-CA"/>
              </w:rPr>
              <w:t>utilisation est remplie (ou partiellement remplie).</w:t>
            </w:r>
            <w:bookmarkEnd w:id="53"/>
          </w:p>
        </w:tc>
      </w:tr>
    </w:tbl>
    <w:p w14:paraId="2D093099" w14:textId="77777777" w:rsidR="00806EE9" w:rsidRPr="00D97151" w:rsidRDefault="00806EE9" w:rsidP="003F0E1D">
      <w:pPr>
        <w:spacing w:after="0"/>
        <w:rPr>
          <w:b/>
          <w:bCs/>
          <w:lang w:val="fr-CA"/>
        </w:rPr>
      </w:pPr>
    </w:p>
    <w:p w14:paraId="292357D5" w14:textId="454A6942" w:rsidR="003F0E1D" w:rsidRPr="00473B58" w:rsidRDefault="009E37CD" w:rsidP="003F0E1D">
      <w:pPr>
        <w:spacing w:after="0"/>
        <w:rPr>
          <w:b/>
          <w:bCs/>
          <w:color w:val="2E74B5" w:themeColor="accent1" w:themeShade="BF"/>
          <w:lang w:val="fr-CA"/>
        </w:rPr>
      </w:pPr>
      <w:r w:rsidRPr="00473B58">
        <w:rPr>
          <w:b/>
          <w:bCs/>
          <w:color w:val="2E74B5" w:themeColor="accent1" w:themeShade="BF"/>
          <w:lang w:val="fr-CA"/>
        </w:rPr>
        <w:t xml:space="preserve">Report des travaux réalisés qui restent pertinents pour les prochains audits. </w:t>
      </w:r>
    </w:p>
    <w:p w14:paraId="4BED4D7C" w14:textId="2F82289F" w:rsidR="003F0E1D" w:rsidRPr="00473B58" w:rsidRDefault="009E37CD" w:rsidP="003F0E1D">
      <w:pPr>
        <w:spacing w:after="0"/>
        <w:rPr>
          <w:lang w:val="fr-CA"/>
        </w:rPr>
      </w:pPr>
      <w:r w:rsidRPr="00473B58">
        <w:rPr>
          <w:lang w:val="fr-CA"/>
        </w:rPr>
        <w:t xml:space="preserve">La compréhension détaillée </w:t>
      </w:r>
      <w:r w:rsidR="00FB4A21" w:rsidRPr="00473B58">
        <w:rPr>
          <w:lang w:val="fr-CA"/>
        </w:rPr>
        <w:t>des</w:t>
      </w:r>
      <w:r w:rsidRPr="00473B58">
        <w:rPr>
          <w:lang w:val="fr-CA"/>
        </w:rPr>
        <w:t xml:space="preserve"> contrats </w:t>
      </w:r>
      <w:r w:rsidR="00FB4A21" w:rsidRPr="00473B58">
        <w:rPr>
          <w:lang w:val="fr-CA"/>
        </w:rPr>
        <w:t>qui</w:t>
      </w:r>
      <w:r w:rsidR="00FA21AD" w:rsidRPr="00473B58">
        <w:rPr>
          <w:lang w:val="fr-CA"/>
        </w:rPr>
        <w:t xml:space="preserve"> est</w:t>
      </w:r>
      <w:r w:rsidR="00FB4A21" w:rsidRPr="00473B58">
        <w:rPr>
          <w:lang w:val="fr-CA"/>
        </w:rPr>
        <w:t xml:space="preserve"> </w:t>
      </w:r>
      <w:r w:rsidRPr="00473B58">
        <w:rPr>
          <w:lang w:val="fr-CA"/>
        </w:rPr>
        <w:t>documentée dans les procédures mises en œuvre pour tester les opérations génératrices de produits est généralement reportée pour l’audit du prochain exercice.</w:t>
      </w:r>
    </w:p>
    <w:p w14:paraId="69C27658" w14:textId="17E584AC" w:rsidR="001A636A" w:rsidRPr="00473B58" w:rsidRDefault="009E37CD" w:rsidP="003F0E1D">
      <w:pPr>
        <w:spacing w:after="0"/>
        <w:rPr>
          <w:lang w:val="fr-CA"/>
        </w:rPr>
      </w:pPr>
      <w:r w:rsidRPr="00473B58">
        <w:rPr>
          <w:lang w:val="fr-CA"/>
        </w:rPr>
        <w:t>L’auditeur peut aussi envisager d’ajouter des copies des contrats générateurs de produits importants qui portent sur plusieurs exercices au dossier d’audit afin de le</w:t>
      </w:r>
      <w:r w:rsidR="00FB4A21" w:rsidRPr="00473B58">
        <w:rPr>
          <w:lang w:val="fr-CA"/>
        </w:rPr>
        <w:t>s</w:t>
      </w:r>
      <w:r w:rsidRPr="00473B58">
        <w:rPr>
          <w:lang w:val="fr-CA"/>
        </w:rPr>
        <w:t xml:space="preserve"> reporter pour les prochains audits. </w:t>
      </w:r>
    </w:p>
    <w:p w14:paraId="714DAB00" w14:textId="77777777" w:rsidR="005975FE" w:rsidRPr="00473B58" w:rsidRDefault="005975FE">
      <w:pPr>
        <w:rPr>
          <w:rFonts w:asciiTheme="majorHAnsi" w:eastAsiaTheme="majorEastAsia" w:hAnsiTheme="majorHAnsi" w:cstheme="majorBidi"/>
          <w:b/>
          <w:color w:val="2E74B5" w:themeColor="accent1" w:themeShade="BF"/>
          <w:lang w:val="fr-CA"/>
        </w:rPr>
      </w:pPr>
      <w:r w:rsidRPr="00473B58">
        <w:rPr>
          <w:lang w:val="fr-CA"/>
        </w:rPr>
        <w:br w:type="page"/>
      </w:r>
    </w:p>
    <w:p w14:paraId="7A9D8A00" w14:textId="3897011B" w:rsidR="003F0E1D" w:rsidRPr="00473B58" w:rsidRDefault="003F0E1D" w:rsidP="00A8759A">
      <w:pPr>
        <w:pStyle w:val="Heading1"/>
        <w:rPr>
          <w:lang w:val="fr-CA"/>
        </w:rPr>
      </w:pPr>
      <w:bookmarkStart w:id="54" w:name="_Toc73001875"/>
      <w:r w:rsidRPr="00473B58">
        <w:rPr>
          <w:lang w:val="fr-CA"/>
        </w:rPr>
        <w:t>F</w:t>
      </w:r>
      <w:r w:rsidR="009C30B4" w:rsidRPr="00473B58">
        <w:rPr>
          <w:lang w:val="fr-CA"/>
        </w:rPr>
        <w:t>oire aux questions</w:t>
      </w:r>
      <w:bookmarkEnd w:id="54"/>
    </w:p>
    <w:p w14:paraId="0D8E57CC" w14:textId="33F76056" w:rsidR="00806EE9" w:rsidRPr="00473B58" w:rsidRDefault="00FF73CD" w:rsidP="00600311">
      <w:pPr>
        <w:spacing w:before="120" w:after="120" w:line="240" w:lineRule="auto"/>
        <w:rPr>
          <w:b/>
          <w:bCs/>
          <w:color w:val="2E74B5" w:themeColor="accent1" w:themeShade="BF"/>
          <w:lang w:val="fr-CA"/>
        </w:rPr>
      </w:pPr>
      <w:r w:rsidRPr="00473B58">
        <w:rPr>
          <w:b/>
          <w:bCs/>
          <w:color w:val="2E74B5" w:themeColor="accent1" w:themeShade="BF"/>
          <w:lang w:val="fr-CA"/>
        </w:rPr>
        <w:t xml:space="preserve">Sur la conception d’une stratégie efficace pour tester les produits pour un nombre limité de sujets pour lesquels les équipes demandent souvent des précisions </w:t>
      </w:r>
    </w:p>
    <w:tbl>
      <w:tblPr>
        <w:tblStyle w:val="TableGrid"/>
        <w:tblW w:w="0" w:type="auto"/>
        <w:tblLook w:val="04A0" w:firstRow="1" w:lastRow="0" w:firstColumn="1" w:lastColumn="0" w:noHBand="0" w:noVBand="1"/>
      </w:tblPr>
      <w:tblGrid>
        <w:gridCol w:w="12950"/>
      </w:tblGrid>
      <w:tr w:rsidR="00BE256B" w:rsidRPr="00D97151" w14:paraId="584E33AA" w14:textId="77777777" w:rsidTr="009D50BC">
        <w:tc>
          <w:tcPr>
            <w:tcW w:w="12950" w:type="dxa"/>
            <w:shd w:val="clear" w:color="auto" w:fill="78287A"/>
          </w:tcPr>
          <w:p w14:paraId="7219869D" w14:textId="5F294F48" w:rsidR="00BE256B" w:rsidRPr="00473B58" w:rsidRDefault="00BE256B" w:rsidP="00FF73CD">
            <w:pPr>
              <w:pStyle w:val="Heading3"/>
              <w:outlineLvl w:val="2"/>
              <w:rPr>
                <w:sz w:val="21"/>
                <w:szCs w:val="21"/>
                <w:lang w:val="fr-CA"/>
              </w:rPr>
            </w:pPr>
            <w:r w:rsidRPr="00473B58">
              <w:rPr>
                <w:sz w:val="21"/>
                <w:szCs w:val="21"/>
                <w:lang w:val="fr-CA"/>
              </w:rPr>
              <w:t xml:space="preserve"> </w:t>
            </w:r>
            <w:bookmarkStart w:id="55" w:name="_Toc73001876"/>
            <w:r w:rsidR="00FF73CD" w:rsidRPr="00473B58">
              <w:rPr>
                <w:sz w:val="21"/>
                <w:szCs w:val="21"/>
                <w:lang w:val="fr-CA"/>
              </w:rPr>
              <w:t>Quels facteurs doivent être pris en compte pour déterminer l’un</w:t>
            </w:r>
            <w:r w:rsidR="00FB4A21" w:rsidRPr="00473B58">
              <w:rPr>
                <w:sz w:val="21"/>
                <w:szCs w:val="21"/>
                <w:lang w:val="fr-CA"/>
              </w:rPr>
              <w:t>ité d’échantillonnage qui est la</w:t>
            </w:r>
            <w:r w:rsidR="00FF73CD" w:rsidRPr="00473B58">
              <w:rPr>
                <w:sz w:val="21"/>
                <w:szCs w:val="21"/>
                <w:lang w:val="fr-CA"/>
              </w:rPr>
              <w:t xml:space="preserve"> plus appropriée lors de la conception d’un test des opérations génératrices de produits</w:t>
            </w:r>
            <w:r w:rsidRPr="00473B58">
              <w:rPr>
                <w:sz w:val="21"/>
                <w:szCs w:val="21"/>
                <w:lang w:val="fr-CA"/>
              </w:rPr>
              <w:t>?</w:t>
            </w:r>
            <w:bookmarkEnd w:id="55"/>
          </w:p>
        </w:tc>
      </w:tr>
    </w:tbl>
    <w:p w14:paraId="4E4B36B1" w14:textId="18F4292D" w:rsidR="00BE256B" w:rsidRPr="00473B58" w:rsidRDefault="00FF73CD" w:rsidP="00600311">
      <w:pPr>
        <w:spacing w:before="120" w:after="120" w:line="240" w:lineRule="auto"/>
        <w:jc w:val="both"/>
        <w:rPr>
          <w:bCs/>
          <w:lang w:val="fr-CA"/>
        </w:rPr>
      </w:pPr>
      <w:r w:rsidRPr="00473B58">
        <w:rPr>
          <w:bCs/>
          <w:lang w:val="fr-CA"/>
        </w:rPr>
        <w:t xml:space="preserve">Pour concevoir un test d’une opération génératrice de produits, l’auditeur s’appuie sur la compréhension des types de produits de l’entité qu’il a acquise lors de la mise en œuvre des procédures d’évaluation des risques, notamment de son examen des contrats générateurs de produits importants conclus avec des clients. Comme l’indique la section </w:t>
      </w:r>
      <w:hyperlink r:id="rId16" w:history="1">
        <w:r w:rsidRPr="00473B58">
          <w:rPr>
            <w:rStyle w:val="Hyperlink"/>
            <w:bCs/>
            <w:lang w:val="fr-CA"/>
          </w:rPr>
          <w:t>BVG Audit 7044.1</w:t>
        </w:r>
      </w:hyperlink>
      <w:r w:rsidRPr="00473B58">
        <w:rPr>
          <w:bCs/>
          <w:lang w:val="fr-CA"/>
        </w:rPr>
        <w:t xml:space="preserve"> (Étape</w:t>
      </w:r>
      <w:r w:rsidR="00A352F0" w:rsidRPr="00473B58">
        <w:rPr>
          <w:bCs/>
          <w:lang w:val="fr-CA"/>
        </w:rPr>
        <w:t> </w:t>
      </w:r>
      <w:r w:rsidR="00D70B97" w:rsidRPr="00473B58">
        <w:rPr>
          <w:bCs/>
          <w:lang w:val="fr-CA"/>
        </w:rPr>
        <w:t>2)</w:t>
      </w:r>
      <w:r w:rsidR="003F0E1D" w:rsidRPr="00473B58">
        <w:rPr>
          <w:bCs/>
          <w:lang w:val="fr-CA"/>
        </w:rPr>
        <w:t xml:space="preserve">, </w:t>
      </w:r>
      <w:r w:rsidRPr="00473B58">
        <w:rPr>
          <w:bCs/>
          <w:lang w:val="fr-CA"/>
        </w:rPr>
        <w:t>l’auditeur sélectionne une unité d’échantillon</w:t>
      </w:r>
      <w:r w:rsidR="00FF10CF" w:rsidRPr="00473B58">
        <w:rPr>
          <w:bCs/>
          <w:lang w:val="fr-CA"/>
        </w:rPr>
        <w:t>n</w:t>
      </w:r>
      <w:r w:rsidRPr="00473B58">
        <w:rPr>
          <w:bCs/>
          <w:lang w:val="fr-CA"/>
        </w:rPr>
        <w:t xml:space="preserve">age </w:t>
      </w:r>
      <w:r w:rsidR="003F0E1D" w:rsidRPr="00473B58">
        <w:rPr>
          <w:bCs/>
          <w:lang w:val="fr-CA"/>
        </w:rPr>
        <w:t>(</w:t>
      </w:r>
      <w:r w:rsidRPr="00473B58">
        <w:rPr>
          <w:bCs/>
          <w:lang w:val="fr-CA"/>
        </w:rPr>
        <w:t xml:space="preserve">p. ex. les obligations de prestation/opérations ou </w:t>
      </w:r>
      <w:r w:rsidR="00FB4A21" w:rsidRPr="00473B58">
        <w:rPr>
          <w:bCs/>
          <w:lang w:val="fr-CA"/>
        </w:rPr>
        <w:t>l</w:t>
      </w:r>
      <w:r w:rsidRPr="00473B58">
        <w:rPr>
          <w:bCs/>
          <w:lang w:val="fr-CA"/>
        </w:rPr>
        <w:t>es contrats individuels)</w:t>
      </w:r>
      <w:r w:rsidR="003F0E1D" w:rsidRPr="00473B58">
        <w:rPr>
          <w:bCs/>
          <w:lang w:val="fr-CA"/>
        </w:rPr>
        <w:t xml:space="preserve"> </w:t>
      </w:r>
      <w:r w:rsidRPr="00473B58">
        <w:rPr>
          <w:bCs/>
          <w:lang w:val="fr-CA"/>
        </w:rPr>
        <w:t>qui, selon lui, donnera l’échantillon le plus efficace et le plus efficient tout en étant conforme à l’objectif du test.</w:t>
      </w:r>
      <w:r w:rsidR="003F0E1D" w:rsidRPr="00473B58">
        <w:rPr>
          <w:bCs/>
          <w:lang w:val="fr-CA"/>
        </w:rPr>
        <w:t xml:space="preserve"> </w:t>
      </w:r>
      <w:r w:rsidR="007E023C" w:rsidRPr="00473B58">
        <w:rPr>
          <w:bCs/>
          <w:lang w:val="fr-CA"/>
        </w:rPr>
        <w:t xml:space="preserve">Une unité d’échantillonnage appropriée dépendra des caractéristiques des contrats générateurs de produits et des opérations connexes et de la prise en compte de l’unité de comptabilisation de la direction. Un facteur clé pour déterminer si l’unité d’échantillonnage est appropriée est la question de savoir si elle est efficace pour évaluer l’application par l’entité </w:t>
      </w:r>
      <w:r w:rsidR="00567A88" w:rsidRPr="00473B58">
        <w:rPr>
          <w:bCs/>
          <w:lang w:val="fr-CA"/>
        </w:rPr>
        <w:t xml:space="preserve">des exigences </w:t>
      </w:r>
      <w:r w:rsidR="00FB4A21" w:rsidRPr="00473B58">
        <w:rPr>
          <w:bCs/>
          <w:lang w:val="fr-CA"/>
        </w:rPr>
        <w:t>de</w:t>
      </w:r>
      <w:r w:rsidR="00567A88" w:rsidRPr="00473B58">
        <w:rPr>
          <w:bCs/>
          <w:lang w:val="fr-CA"/>
        </w:rPr>
        <w:t xml:space="preserve"> comptabilisation prévues dans l’</w:t>
      </w:r>
      <w:r w:rsidR="003F0E1D" w:rsidRPr="00473B58">
        <w:rPr>
          <w:bCs/>
          <w:lang w:val="fr-CA"/>
        </w:rPr>
        <w:t>IFRS</w:t>
      </w:r>
      <w:r w:rsidR="00A352F0" w:rsidRPr="00473B58">
        <w:rPr>
          <w:bCs/>
          <w:lang w:val="fr-CA"/>
        </w:rPr>
        <w:t> </w:t>
      </w:r>
      <w:r w:rsidR="003F0E1D" w:rsidRPr="00473B58">
        <w:rPr>
          <w:bCs/>
          <w:lang w:val="fr-CA"/>
        </w:rPr>
        <w:t xml:space="preserve">15 </w:t>
      </w:r>
      <w:r w:rsidR="00567A88" w:rsidRPr="00473B58">
        <w:rPr>
          <w:bCs/>
          <w:lang w:val="fr-CA"/>
        </w:rPr>
        <w:t>au niveau de chaque opération, ou s’il serait plus efficace d’examiner toutes les opérations qui se rattachent aux contrats sur une base</w:t>
      </w:r>
      <w:r w:rsidR="00FB4A21" w:rsidRPr="00473B58">
        <w:rPr>
          <w:bCs/>
          <w:lang w:val="fr-CA"/>
        </w:rPr>
        <w:t xml:space="preserve"> individuelle</w:t>
      </w:r>
      <w:r w:rsidR="00567A88" w:rsidRPr="00473B58">
        <w:rPr>
          <w:bCs/>
          <w:lang w:val="fr-CA"/>
        </w:rPr>
        <w:t xml:space="preserve">. Il est généralement plus efficace et efficient de sélectionner une unité d’échantillonnage qui </w:t>
      </w:r>
      <w:r w:rsidR="00FB4A21" w:rsidRPr="00473B58">
        <w:rPr>
          <w:bCs/>
          <w:lang w:val="fr-CA"/>
        </w:rPr>
        <w:t>est</w:t>
      </w:r>
      <w:r w:rsidR="00567A88" w:rsidRPr="00473B58">
        <w:rPr>
          <w:bCs/>
          <w:lang w:val="fr-CA"/>
        </w:rPr>
        <w:t xml:space="preserve"> conforme </w:t>
      </w:r>
      <w:r w:rsidR="00FB4A21" w:rsidRPr="00473B58">
        <w:rPr>
          <w:bCs/>
          <w:lang w:val="fr-CA"/>
        </w:rPr>
        <w:t>à</w:t>
      </w:r>
      <w:r w:rsidR="00567A88" w:rsidRPr="00473B58">
        <w:rPr>
          <w:bCs/>
          <w:lang w:val="fr-CA"/>
        </w:rPr>
        <w:t xml:space="preserve"> l’unité de comptabilisation choisi</w:t>
      </w:r>
      <w:r w:rsidR="00FB4A21" w:rsidRPr="00473B58">
        <w:rPr>
          <w:bCs/>
          <w:lang w:val="fr-CA"/>
        </w:rPr>
        <w:t>e</w:t>
      </w:r>
      <w:r w:rsidR="00567A88" w:rsidRPr="00473B58">
        <w:rPr>
          <w:bCs/>
          <w:lang w:val="fr-CA"/>
        </w:rPr>
        <w:t xml:space="preserve"> par la direction de l’entité.</w:t>
      </w:r>
    </w:p>
    <w:p w14:paraId="5F0626F8" w14:textId="2546A0B2" w:rsidR="001A636A" w:rsidRPr="00473B58" w:rsidRDefault="003F0E1D" w:rsidP="00600311">
      <w:pPr>
        <w:spacing w:before="120" w:after="120" w:line="240" w:lineRule="auto"/>
        <w:jc w:val="both"/>
        <w:rPr>
          <w:b/>
          <w:bCs/>
          <w:color w:val="2E74B5" w:themeColor="accent1" w:themeShade="BF"/>
          <w:lang w:val="fr-CA"/>
        </w:rPr>
      </w:pPr>
      <w:r w:rsidRPr="00473B58">
        <w:rPr>
          <w:b/>
          <w:bCs/>
          <w:noProof/>
          <w:color w:val="2E74B5" w:themeColor="accent1" w:themeShade="BF"/>
          <w:lang w:eastAsia="en-CA"/>
        </w:rPr>
        <w:drawing>
          <wp:anchor distT="0" distB="0" distL="114300" distR="114300" simplePos="0" relativeHeight="251695104" behindDoc="1" locked="0" layoutInCell="1" allowOverlap="1" wp14:anchorId="15822FDB" wp14:editId="4D36AF67">
            <wp:simplePos x="0" y="0"/>
            <wp:positionH relativeFrom="margin">
              <wp:align>left</wp:align>
            </wp:positionH>
            <wp:positionV relativeFrom="paragraph">
              <wp:posOffset>-1270</wp:posOffset>
            </wp:positionV>
            <wp:extent cx="214630" cy="214630"/>
            <wp:effectExtent l="0" t="0" r="0" b="0"/>
            <wp:wrapTight wrapText="bothSides">
              <wp:wrapPolygon edited="0">
                <wp:start x="0" y="0"/>
                <wp:lineTo x="0" y="19172"/>
                <wp:lineTo x="19172" y="19172"/>
                <wp:lineTo x="1917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pic:spPr>
                </pic:pic>
              </a:graphicData>
            </a:graphic>
            <wp14:sizeRelH relativeFrom="margin">
              <wp14:pctWidth>0</wp14:pctWidth>
            </wp14:sizeRelH>
            <wp14:sizeRelV relativeFrom="margin">
              <wp14:pctHeight>0</wp14:pctHeight>
            </wp14:sizeRelV>
          </wp:anchor>
        </w:drawing>
      </w:r>
      <w:r w:rsidR="00567A88" w:rsidRPr="00473B58">
        <w:rPr>
          <w:b/>
          <w:bCs/>
          <w:color w:val="2E74B5" w:themeColor="accent1" w:themeShade="BF"/>
          <w:lang w:val="fr-CA"/>
        </w:rPr>
        <w:t xml:space="preserve">Contrats </w:t>
      </w:r>
      <w:r w:rsidR="00FB4A21" w:rsidRPr="00473B58">
        <w:rPr>
          <w:b/>
          <w:bCs/>
          <w:color w:val="2E74B5" w:themeColor="accent1" w:themeShade="BF"/>
          <w:lang w:val="fr-CA"/>
        </w:rPr>
        <w:t xml:space="preserve">individuels </w:t>
      </w:r>
      <w:r w:rsidR="00567A88" w:rsidRPr="00473B58">
        <w:rPr>
          <w:b/>
          <w:bCs/>
          <w:color w:val="2E74B5" w:themeColor="accent1" w:themeShade="BF"/>
          <w:lang w:val="fr-CA"/>
        </w:rPr>
        <w:t xml:space="preserve">importants </w:t>
      </w:r>
      <w:r w:rsidR="00FB4A21" w:rsidRPr="00473B58">
        <w:rPr>
          <w:b/>
          <w:bCs/>
          <w:color w:val="2E74B5" w:themeColor="accent1" w:themeShade="BF"/>
          <w:lang w:val="fr-CA"/>
        </w:rPr>
        <w:t xml:space="preserve">avec des modalités adaptées (sur mesure) </w:t>
      </w:r>
      <w:r w:rsidR="00567A88" w:rsidRPr="00473B58">
        <w:rPr>
          <w:b/>
          <w:bCs/>
          <w:color w:val="2E74B5" w:themeColor="accent1" w:themeShade="BF"/>
          <w:lang w:val="fr-CA"/>
        </w:rPr>
        <w:t xml:space="preserve"> </w:t>
      </w:r>
    </w:p>
    <w:p w14:paraId="0A11E51E" w14:textId="448FBD3C" w:rsidR="003F0E1D" w:rsidRPr="00473B58" w:rsidRDefault="00567A88" w:rsidP="00600311">
      <w:pPr>
        <w:spacing w:before="120" w:after="120" w:line="240" w:lineRule="auto"/>
        <w:jc w:val="both"/>
        <w:rPr>
          <w:lang w:val="fr-CA"/>
        </w:rPr>
      </w:pPr>
      <w:r w:rsidRPr="00473B58">
        <w:rPr>
          <w:lang w:val="fr-CA"/>
        </w:rPr>
        <w:t>Si une entité a</w:t>
      </w:r>
      <w:r w:rsidR="00E3348C" w:rsidRPr="00473B58">
        <w:rPr>
          <w:lang w:val="fr-CA"/>
        </w:rPr>
        <w:t xml:space="preserve"> conclu</w:t>
      </w:r>
      <w:r w:rsidRPr="00473B58">
        <w:rPr>
          <w:lang w:val="fr-CA"/>
        </w:rPr>
        <w:t xml:space="preserve"> des contrats générateurs de produits qui sont importants pris individuellement </w:t>
      </w:r>
      <w:r w:rsidR="00E3348C" w:rsidRPr="00473B58">
        <w:rPr>
          <w:lang w:val="fr-CA"/>
        </w:rPr>
        <w:t xml:space="preserve">et qui comportent des </w:t>
      </w:r>
      <w:r w:rsidRPr="00473B58">
        <w:rPr>
          <w:lang w:val="fr-CA"/>
        </w:rPr>
        <w:t xml:space="preserve">modalités </w:t>
      </w:r>
      <w:r w:rsidR="00E3348C" w:rsidRPr="00473B58">
        <w:rPr>
          <w:lang w:val="fr-CA"/>
        </w:rPr>
        <w:t>adaptées en fonction d’un c</w:t>
      </w:r>
      <w:r w:rsidRPr="00473B58">
        <w:rPr>
          <w:lang w:val="fr-CA"/>
        </w:rPr>
        <w:t xml:space="preserve">lient ou </w:t>
      </w:r>
      <w:r w:rsidR="00E3348C" w:rsidRPr="00473B58">
        <w:rPr>
          <w:lang w:val="fr-CA"/>
        </w:rPr>
        <w:t xml:space="preserve">d’une </w:t>
      </w:r>
      <w:r w:rsidRPr="00473B58">
        <w:rPr>
          <w:lang w:val="fr-CA"/>
        </w:rPr>
        <w:t xml:space="preserve">opération, l’unité d’échantillonnage est plus susceptible d’être le contrat lui-même. Par exemple, une entité peut avoir conclu des contrats individuels avec des clients pour développer des logiciels adaptés aux besoins de chaque client (p. ex. </w:t>
      </w:r>
      <w:r w:rsidR="0063534E" w:rsidRPr="00473B58">
        <w:rPr>
          <w:lang w:val="fr-CA"/>
        </w:rPr>
        <w:t>é</w:t>
      </w:r>
      <w:r w:rsidRPr="00473B58">
        <w:rPr>
          <w:lang w:val="fr-CA"/>
        </w:rPr>
        <w:t>noncé des travaux très personnalisé pour opt</w:t>
      </w:r>
      <w:r w:rsidR="00FF10CF" w:rsidRPr="00473B58">
        <w:rPr>
          <w:lang w:val="fr-CA"/>
        </w:rPr>
        <w:t>i</w:t>
      </w:r>
      <w:r w:rsidRPr="00473B58">
        <w:rPr>
          <w:lang w:val="fr-CA"/>
        </w:rPr>
        <w:t>mise</w:t>
      </w:r>
      <w:r w:rsidR="00FF10CF" w:rsidRPr="00473B58">
        <w:rPr>
          <w:lang w:val="fr-CA"/>
        </w:rPr>
        <w:t>r</w:t>
      </w:r>
      <w:r w:rsidRPr="00473B58">
        <w:rPr>
          <w:lang w:val="fr-CA"/>
        </w:rPr>
        <w:t xml:space="preserve"> l’intégration du logiciel au système du client). Ces contrats</w:t>
      </w:r>
      <w:r w:rsidR="00E3348C" w:rsidRPr="00473B58">
        <w:rPr>
          <w:lang w:val="fr-CA"/>
        </w:rPr>
        <w:t>, qui</w:t>
      </w:r>
      <w:r w:rsidRPr="00473B58">
        <w:rPr>
          <w:lang w:val="fr-CA"/>
        </w:rPr>
        <w:t xml:space="preserve"> ont souvent une valeur financière importante</w:t>
      </w:r>
      <w:r w:rsidR="00E3348C" w:rsidRPr="00473B58">
        <w:rPr>
          <w:lang w:val="fr-CA"/>
        </w:rPr>
        <w:t xml:space="preserve"> individuellement</w:t>
      </w:r>
      <w:r w:rsidRPr="00473B58">
        <w:rPr>
          <w:lang w:val="fr-CA"/>
        </w:rPr>
        <w:t xml:space="preserve">, sont adaptés en fonction de chaque client et peuvent donc ne pas avoir été comptabilisés correctement </w:t>
      </w:r>
      <w:r w:rsidR="00733045" w:rsidRPr="00473B58">
        <w:rPr>
          <w:lang w:val="fr-CA"/>
        </w:rPr>
        <w:t>si on ne comprend pas chaque élément</w:t>
      </w:r>
      <w:r w:rsidR="00E3348C" w:rsidRPr="00473B58">
        <w:rPr>
          <w:lang w:val="fr-CA"/>
        </w:rPr>
        <w:t xml:space="preserve"> ci-après pour chaque contrat individuel sélectionné</w:t>
      </w:r>
      <w:r w:rsidR="00F16DCF" w:rsidRPr="00473B58">
        <w:rPr>
          <w:lang w:val="fr-CA"/>
        </w:rPr>
        <w:t> </w:t>
      </w:r>
      <w:r w:rsidR="00E3348C" w:rsidRPr="00473B58">
        <w:rPr>
          <w:lang w:val="fr-CA"/>
        </w:rPr>
        <w:t xml:space="preserve">: </w:t>
      </w:r>
      <w:r w:rsidR="003F0E1D" w:rsidRPr="00473B58">
        <w:rPr>
          <w:lang w:val="fr-CA"/>
        </w:rPr>
        <w:t>obligations</w:t>
      </w:r>
      <w:r w:rsidR="00733045" w:rsidRPr="00473B58">
        <w:rPr>
          <w:lang w:val="fr-CA"/>
        </w:rPr>
        <w:t xml:space="preserve"> de prestation, répartition du prix de vente, activité</w:t>
      </w:r>
      <w:r w:rsidR="00E3348C" w:rsidRPr="00473B58">
        <w:rPr>
          <w:lang w:val="fr-CA"/>
        </w:rPr>
        <w:t>s menées</w:t>
      </w:r>
      <w:r w:rsidR="00733045" w:rsidRPr="00473B58">
        <w:rPr>
          <w:lang w:val="fr-CA"/>
        </w:rPr>
        <w:t xml:space="preserve"> jusqu’ici, activité</w:t>
      </w:r>
      <w:r w:rsidR="00E3348C" w:rsidRPr="00473B58">
        <w:rPr>
          <w:lang w:val="fr-CA"/>
        </w:rPr>
        <w:t>s</w:t>
      </w:r>
      <w:r w:rsidR="00733045" w:rsidRPr="00473B58">
        <w:rPr>
          <w:lang w:val="fr-CA"/>
        </w:rPr>
        <w:t xml:space="preserve"> à venir, clauses possibles de changement, clauses de r</w:t>
      </w:r>
      <w:r w:rsidR="00E3348C" w:rsidRPr="00473B58">
        <w:rPr>
          <w:lang w:val="fr-CA"/>
        </w:rPr>
        <w:t>emise</w:t>
      </w:r>
      <w:r w:rsidR="00733045" w:rsidRPr="00473B58">
        <w:rPr>
          <w:lang w:val="fr-CA"/>
        </w:rPr>
        <w:t xml:space="preserve"> ou obligations de prestation implicites</w:t>
      </w:r>
      <w:r w:rsidR="003F0E1D" w:rsidRPr="00473B58">
        <w:rPr>
          <w:lang w:val="fr-CA"/>
        </w:rPr>
        <w:t xml:space="preserve">. </w:t>
      </w:r>
      <w:r w:rsidR="0063534E" w:rsidRPr="00473B58">
        <w:rPr>
          <w:lang w:val="fr-CA"/>
        </w:rPr>
        <w:t>Par conséquent, d</w:t>
      </w:r>
      <w:r w:rsidR="00733045" w:rsidRPr="00473B58">
        <w:rPr>
          <w:lang w:val="fr-CA"/>
        </w:rPr>
        <w:t xml:space="preserve">ans ces circonstances, les contrats individuels seraient généralement l’unité d’échantillonnage la plus appropriée. </w:t>
      </w:r>
    </w:p>
    <w:p w14:paraId="788AB888" w14:textId="4A6D43C0" w:rsidR="003F0E1D" w:rsidRPr="00473B58" w:rsidRDefault="003F0E1D" w:rsidP="00600311">
      <w:pPr>
        <w:spacing w:before="120" w:after="120" w:line="240" w:lineRule="auto"/>
        <w:jc w:val="both"/>
        <w:rPr>
          <w:b/>
          <w:bCs/>
          <w:color w:val="2E74B5" w:themeColor="accent1" w:themeShade="BF"/>
          <w:lang w:val="fr-CA"/>
        </w:rPr>
      </w:pPr>
      <w:r w:rsidRPr="00473B58">
        <w:rPr>
          <w:noProof/>
          <w:color w:val="2E74B5" w:themeColor="accent1" w:themeShade="BF"/>
          <w:lang w:eastAsia="en-CA"/>
        </w:rPr>
        <w:drawing>
          <wp:anchor distT="0" distB="0" distL="114300" distR="114300" simplePos="0" relativeHeight="251696128" behindDoc="1" locked="0" layoutInCell="1" allowOverlap="1" wp14:anchorId="4C876B38" wp14:editId="42BF5654">
            <wp:simplePos x="0" y="0"/>
            <wp:positionH relativeFrom="column">
              <wp:posOffset>0</wp:posOffset>
            </wp:positionH>
            <wp:positionV relativeFrom="paragraph">
              <wp:posOffset>-1463</wp:posOffset>
            </wp:positionV>
            <wp:extent cx="238539" cy="217399"/>
            <wp:effectExtent l="0" t="0" r="9525" b="0"/>
            <wp:wrapTight wrapText="bothSides">
              <wp:wrapPolygon edited="0">
                <wp:start x="0" y="0"/>
                <wp:lineTo x="0" y="18947"/>
                <wp:lineTo x="20736" y="18947"/>
                <wp:lineTo x="20736" y="0"/>
                <wp:lineTo x="0" y="0"/>
              </wp:wrapPolygon>
            </wp:wrapTight>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8539" cy="217399"/>
                    </a:xfrm>
                    <a:prstGeom prst="rect">
                      <a:avLst/>
                    </a:prstGeom>
                  </pic:spPr>
                </pic:pic>
              </a:graphicData>
            </a:graphic>
          </wp:anchor>
        </w:drawing>
      </w:r>
      <w:r w:rsidR="00567A88" w:rsidRPr="00473B58">
        <w:rPr>
          <w:b/>
          <w:bCs/>
          <w:color w:val="2E74B5" w:themeColor="accent1" w:themeShade="BF"/>
          <w:lang w:val="fr-CA"/>
        </w:rPr>
        <w:t xml:space="preserve">Volume élevé d’opérations de faible valeur avec des modalités standards </w:t>
      </w:r>
    </w:p>
    <w:p w14:paraId="7CD6413F" w14:textId="41D78FD3" w:rsidR="003F0E1D" w:rsidRPr="00473B58" w:rsidRDefault="00733045" w:rsidP="00600311">
      <w:pPr>
        <w:spacing w:before="120" w:after="120" w:line="240" w:lineRule="auto"/>
        <w:jc w:val="both"/>
        <w:rPr>
          <w:lang w:val="fr-CA"/>
        </w:rPr>
      </w:pPr>
      <w:r w:rsidRPr="00473B58">
        <w:rPr>
          <w:lang w:val="fr-CA"/>
        </w:rPr>
        <w:t>Si une entité a un volume important d’opérations de faible valeur avec des modalités de contrat standards qui sont rarement, voire jamais, modifiées, l’unité d’échantillonnage sera probablement les obligations de prestation</w:t>
      </w:r>
      <w:r w:rsidR="00A352F0" w:rsidRPr="00473B58">
        <w:rPr>
          <w:lang w:val="fr-CA"/>
        </w:rPr>
        <w:t>/</w:t>
      </w:r>
      <w:r w:rsidRPr="00473B58">
        <w:rPr>
          <w:lang w:val="fr-CA"/>
        </w:rPr>
        <w:t xml:space="preserve">opérations individuelles au lieu des contrats dans leur intégralité. Par exemple, un détaillant en ligne peut n’avoir qu’un seul type de contrat et </w:t>
      </w:r>
      <w:r w:rsidR="00E3348C" w:rsidRPr="00473B58">
        <w:rPr>
          <w:lang w:val="fr-CA"/>
        </w:rPr>
        <w:t>un seul flux de rentrées</w:t>
      </w:r>
      <w:r w:rsidRPr="00473B58">
        <w:rPr>
          <w:lang w:val="fr-CA"/>
        </w:rPr>
        <w:t xml:space="preserve">. Les modalités des contrats sont dispersées dans un grand nombre de documents sources, notamment des formulaires de commandes en ligne, le site Web et </w:t>
      </w:r>
      <w:r w:rsidR="00E3348C" w:rsidRPr="00473B58">
        <w:rPr>
          <w:lang w:val="fr-CA"/>
        </w:rPr>
        <w:t>d</w:t>
      </w:r>
      <w:r w:rsidRPr="00473B58">
        <w:rPr>
          <w:lang w:val="fr-CA"/>
        </w:rPr>
        <w:t>es factures. Si l’équipe a bien compris les modalités des contrats, il est souvent possible de vérifier le caractère approprié du traitement comptable au niveau de chaque opération sans avoir à évaluer toutes les opérations qui ont été effectuées pour un</w:t>
      </w:r>
      <w:r w:rsidR="00FF10CF" w:rsidRPr="00473B58">
        <w:rPr>
          <w:lang w:val="fr-CA"/>
        </w:rPr>
        <w:t>e</w:t>
      </w:r>
      <w:r w:rsidRPr="00473B58">
        <w:rPr>
          <w:lang w:val="fr-CA"/>
        </w:rPr>
        <w:t xml:space="preserve"> même commande donnée, un</w:t>
      </w:r>
      <w:r w:rsidR="00E3348C" w:rsidRPr="00473B58">
        <w:rPr>
          <w:lang w:val="fr-CA"/>
        </w:rPr>
        <w:t>e même facture</w:t>
      </w:r>
      <w:r w:rsidRPr="00473B58">
        <w:rPr>
          <w:lang w:val="fr-CA"/>
        </w:rPr>
        <w:t xml:space="preserve"> ou un </w:t>
      </w:r>
      <w:r w:rsidR="00E3348C" w:rsidRPr="00473B58">
        <w:rPr>
          <w:lang w:val="fr-CA"/>
        </w:rPr>
        <w:t xml:space="preserve">même </w:t>
      </w:r>
      <w:r w:rsidRPr="00473B58">
        <w:rPr>
          <w:lang w:val="fr-CA"/>
        </w:rPr>
        <w:t xml:space="preserve">contrat conclu avec un client en particulier. De même, un fabricant de biens qui vend les mêmes produits de manière répétitive à des grossistes peut avoir un seul modèle de contrat avec les mêmes modalités standards de sorte que la réalisation d’un test au niveau des opérations est l’approche la plus efficace et efficiente. </w:t>
      </w:r>
      <w:r w:rsidR="003F0E1D" w:rsidRPr="00473B58">
        <w:rPr>
          <w:lang w:val="fr-CA"/>
        </w:rPr>
        <w:t xml:space="preserve"> </w:t>
      </w:r>
    </w:p>
    <w:p w14:paraId="42921A3A" w14:textId="77E68B35" w:rsidR="003F0E1D" w:rsidRPr="00473B58" w:rsidRDefault="00733045" w:rsidP="00600311">
      <w:pPr>
        <w:spacing w:before="120" w:after="120" w:line="240" w:lineRule="auto"/>
        <w:jc w:val="both"/>
        <w:rPr>
          <w:lang w:val="fr-CA"/>
        </w:rPr>
      </w:pPr>
      <w:r w:rsidRPr="00473B58">
        <w:rPr>
          <w:lang w:val="fr-CA"/>
        </w:rPr>
        <w:t>Lorsque l’opération</w:t>
      </w:r>
      <w:r w:rsidR="00A352F0" w:rsidRPr="00473B58">
        <w:rPr>
          <w:lang w:val="fr-CA"/>
        </w:rPr>
        <w:t>/</w:t>
      </w:r>
      <w:r w:rsidR="003F0E1D" w:rsidRPr="00473B58">
        <w:rPr>
          <w:lang w:val="fr-CA"/>
        </w:rPr>
        <w:t>obligation</w:t>
      </w:r>
      <w:r w:rsidRPr="00473B58">
        <w:rPr>
          <w:lang w:val="fr-CA"/>
        </w:rPr>
        <w:t xml:space="preserve"> de prestation est l’unité d’échantillonnage sélectionnée, un deuxième test peut être nécessaire pour valider les éléments de l’opération qui nécessitent une analyse au niveau du contrat pour toutes les opérations liées à un client donné. Par exemple, si </w:t>
      </w:r>
      <w:r w:rsidR="00D177CD" w:rsidRPr="00473B58">
        <w:rPr>
          <w:lang w:val="fr-CA"/>
        </w:rPr>
        <w:t>un acheteur a droit à un</w:t>
      </w:r>
      <w:r w:rsidR="003B05AF" w:rsidRPr="00473B58">
        <w:rPr>
          <w:lang w:val="fr-CA"/>
        </w:rPr>
        <w:t xml:space="preserve">e remise </w:t>
      </w:r>
      <w:r w:rsidR="00D177CD" w:rsidRPr="00473B58">
        <w:rPr>
          <w:lang w:val="fr-CA"/>
        </w:rPr>
        <w:t>lorsqu’il achète un certain volume d’articles, l’auditeur devra probablement concevoir et réaliser un test au niveau du client pour vérifier que l</w:t>
      </w:r>
      <w:r w:rsidR="003B05AF" w:rsidRPr="00473B58">
        <w:rPr>
          <w:lang w:val="fr-CA"/>
        </w:rPr>
        <w:t xml:space="preserve">a remise </w:t>
      </w:r>
      <w:r w:rsidR="00D177CD" w:rsidRPr="00473B58">
        <w:rPr>
          <w:lang w:val="fr-CA"/>
        </w:rPr>
        <w:t>a été correctement pris</w:t>
      </w:r>
      <w:r w:rsidR="003B05AF" w:rsidRPr="00473B58">
        <w:rPr>
          <w:lang w:val="fr-CA"/>
        </w:rPr>
        <w:t>e</w:t>
      </w:r>
      <w:r w:rsidR="00D177CD" w:rsidRPr="00473B58">
        <w:rPr>
          <w:lang w:val="fr-CA"/>
        </w:rPr>
        <w:t xml:space="preserve"> en compte en fonction du vol</w:t>
      </w:r>
      <w:r w:rsidR="00FF10CF" w:rsidRPr="00473B58">
        <w:rPr>
          <w:lang w:val="fr-CA"/>
        </w:rPr>
        <w:t>u</w:t>
      </w:r>
      <w:r w:rsidR="00D177CD" w:rsidRPr="00473B58">
        <w:rPr>
          <w:lang w:val="fr-CA"/>
        </w:rPr>
        <w:t xml:space="preserve">me de ventes. Toutefois, ce test de la contrepartie variable sera généralement réalisé séparément des autres tests au niveau des opérations et ne nécessitera donc pas de modifier l’unité </w:t>
      </w:r>
      <w:r w:rsidR="00F16DCF" w:rsidRPr="00473B58">
        <w:rPr>
          <w:lang w:val="fr-CA"/>
        </w:rPr>
        <w:t>d</w:t>
      </w:r>
      <w:r w:rsidR="00D177CD" w:rsidRPr="00473B58">
        <w:rPr>
          <w:lang w:val="fr-CA"/>
        </w:rPr>
        <w:t xml:space="preserve">’échantillonnage pour les autres tests.  </w:t>
      </w:r>
      <w:r w:rsidR="003F0E1D" w:rsidRPr="00473B58">
        <w:rPr>
          <w:lang w:val="fr-CA"/>
        </w:rPr>
        <w:t xml:space="preserve"> </w:t>
      </w:r>
    </w:p>
    <w:p w14:paraId="2DA37A18" w14:textId="191771F1" w:rsidR="003F0E1D" w:rsidRPr="00473B58" w:rsidRDefault="003F0E1D" w:rsidP="00600311">
      <w:pPr>
        <w:spacing w:before="120" w:after="120" w:line="240" w:lineRule="auto"/>
        <w:jc w:val="both"/>
        <w:rPr>
          <w:b/>
          <w:color w:val="2E74B5" w:themeColor="accent1" w:themeShade="BF"/>
          <w:lang w:val="fr-CA"/>
        </w:rPr>
      </w:pPr>
      <w:r w:rsidRPr="00473B58">
        <w:rPr>
          <w:b/>
          <w:noProof/>
          <w:color w:val="2E74B5" w:themeColor="accent1" w:themeShade="BF"/>
          <w:lang w:eastAsia="en-CA"/>
        </w:rPr>
        <w:drawing>
          <wp:anchor distT="0" distB="0" distL="114300" distR="114300" simplePos="0" relativeHeight="251697152" behindDoc="1" locked="0" layoutInCell="1" allowOverlap="1" wp14:anchorId="7D882ECC" wp14:editId="6414A3C3">
            <wp:simplePos x="0" y="0"/>
            <wp:positionH relativeFrom="column">
              <wp:posOffset>0</wp:posOffset>
            </wp:positionH>
            <wp:positionV relativeFrom="paragraph">
              <wp:posOffset>-2181</wp:posOffset>
            </wp:positionV>
            <wp:extent cx="246767" cy="246767"/>
            <wp:effectExtent l="0" t="0" r="1270" b="1270"/>
            <wp:wrapTight wrapText="bothSides">
              <wp:wrapPolygon edited="0">
                <wp:start x="0" y="0"/>
                <wp:lineTo x="0" y="20041"/>
                <wp:lineTo x="20041" y="20041"/>
                <wp:lineTo x="2004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6767" cy="246767"/>
                    </a:xfrm>
                    <a:prstGeom prst="rect">
                      <a:avLst/>
                    </a:prstGeom>
                    <a:noFill/>
                  </pic:spPr>
                </pic:pic>
              </a:graphicData>
            </a:graphic>
          </wp:anchor>
        </w:drawing>
      </w:r>
      <w:r w:rsidR="00D177CD" w:rsidRPr="00473B58">
        <w:rPr>
          <w:b/>
          <w:color w:val="2E74B5" w:themeColor="accent1" w:themeShade="BF"/>
          <w:lang w:val="fr-CA"/>
        </w:rPr>
        <w:t xml:space="preserve">Considérations relatives à la </w:t>
      </w:r>
      <w:r w:rsidRPr="00473B58">
        <w:rPr>
          <w:b/>
          <w:color w:val="2E74B5" w:themeColor="accent1" w:themeShade="BF"/>
          <w:lang w:val="fr-CA"/>
        </w:rPr>
        <w:t xml:space="preserve">population </w:t>
      </w:r>
      <w:r w:rsidR="00D177CD" w:rsidRPr="00473B58">
        <w:rPr>
          <w:b/>
          <w:color w:val="2E74B5" w:themeColor="accent1" w:themeShade="BF"/>
          <w:lang w:val="fr-CA"/>
        </w:rPr>
        <w:t>sélectionnée pour le test</w:t>
      </w:r>
    </w:p>
    <w:p w14:paraId="738FA4C9" w14:textId="26180158" w:rsidR="003F0E1D" w:rsidRPr="00473B58" w:rsidRDefault="00D177CD" w:rsidP="00600311">
      <w:pPr>
        <w:spacing w:before="120" w:after="120" w:line="240" w:lineRule="auto"/>
        <w:jc w:val="both"/>
        <w:rPr>
          <w:lang w:val="fr-CA"/>
        </w:rPr>
      </w:pPr>
      <w:r w:rsidRPr="00473B58">
        <w:rPr>
          <w:lang w:val="fr-CA"/>
        </w:rPr>
        <w:t xml:space="preserve">Si une population sélectionnée pour un test comprend les deux types de contrats générateurs de produits décrits précédemment, cela peut vouloir dire que la </w:t>
      </w:r>
      <w:r w:rsidR="003F0E1D" w:rsidRPr="00473B58">
        <w:rPr>
          <w:lang w:val="fr-CA"/>
        </w:rPr>
        <w:t>population</w:t>
      </w:r>
      <w:r w:rsidRPr="00473B58">
        <w:rPr>
          <w:lang w:val="fr-CA"/>
        </w:rPr>
        <w:t xml:space="preserve"> a été définie à un niveau trop général et </w:t>
      </w:r>
      <w:r w:rsidR="003B05AF" w:rsidRPr="00473B58">
        <w:rPr>
          <w:lang w:val="fr-CA"/>
        </w:rPr>
        <w:t xml:space="preserve">qu’elle </w:t>
      </w:r>
      <w:r w:rsidRPr="00473B58">
        <w:rPr>
          <w:lang w:val="fr-CA"/>
        </w:rPr>
        <w:t xml:space="preserve">n’est donc pas homogène. L’auditeur peut consulter la section </w:t>
      </w:r>
      <w:hyperlink r:id="rId20" w:history="1">
        <w:r w:rsidR="00CB12C9" w:rsidRPr="00473B58">
          <w:rPr>
            <w:rStyle w:val="Hyperlink"/>
            <w:bCs/>
            <w:lang w:val="fr-CA"/>
          </w:rPr>
          <w:t>BVG Audit 7044.1</w:t>
        </w:r>
      </w:hyperlink>
      <w:r w:rsidRPr="00473B58">
        <w:rPr>
          <w:lang w:val="fr-CA"/>
        </w:rPr>
        <w:t xml:space="preserve"> (Étape</w:t>
      </w:r>
      <w:r w:rsidR="00A352F0" w:rsidRPr="00473B58">
        <w:rPr>
          <w:lang w:val="fr-CA"/>
        </w:rPr>
        <w:t> </w:t>
      </w:r>
      <w:r w:rsidR="00FB6DD3" w:rsidRPr="00473B58">
        <w:rPr>
          <w:lang w:val="fr-CA"/>
        </w:rPr>
        <w:t>2)</w:t>
      </w:r>
      <w:r w:rsidR="003F0E1D" w:rsidRPr="00473B58">
        <w:rPr>
          <w:lang w:val="fr-CA"/>
        </w:rPr>
        <w:t xml:space="preserve"> </w:t>
      </w:r>
      <w:r w:rsidRPr="00473B58">
        <w:rPr>
          <w:lang w:val="fr-CA"/>
        </w:rPr>
        <w:t xml:space="preserve">lorsqu’il évalue si la population sélectionnée est appropriée pour ses tests. </w:t>
      </w:r>
    </w:p>
    <w:p w14:paraId="68B1AA74" w14:textId="6D79741B" w:rsidR="003F0E1D" w:rsidRPr="00D97151" w:rsidRDefault="003F0E1D" w:rsidP="00600311">
      <w:pPr>
        <w:spacing w:before="120" w:after="120" w:line="240" w:lineRule="auto"/>
        <w:jc w:val="both"/>
        <w:rPr>
          <w:b/>
          <w:lang w:val="fr-CA"/>
        </w:rPr>
      </w:pPr>
      <w:r w:rsidRPr="00473B58">
        <w:rPr>
          <w:b/>
          <w:noProof/>
          <w:color w:val="C45911" w:themeColor="accent2" w:themeShade="BF"/>
          <w:lang w:eastAsia="en-CA"/>
        </w:rPr>
        <w:drawing>
          <wp:inline distT="0" distB="0" distL="0" distR="0" wp14:anchorId="5AA6AE53" wp14:editId="06DB53CC">
            <wp:extent cx="231151" cy="23470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6998" cy="240638"/>
                    </a:xfrm>
                    <a:prstGeom prst="rect">
                      <a:avLst/>
                    </a:prstGeom>
                    <a:noFill/>
                  </pic:spPr>
                </pic:pic>
              </a:graphicData>
            </a:graphic>
          </wp:inline>
        </w:drawing>
      </w:r>
      <w:r w:rsidR="00D177CD" w:rsidRPr="00473B58">
        <w:rPr>
          <w:b/>
          <w:color w:val="2E74B5" w:themeColor="accent1" w:themeShade="BF"/>
          <w:lang w:val="fr-CA"/>
        </w:rPr>
        <w:t>Regroupement d</w:t>
      </w:r>
      <w:r w:rsidR="003B05AF" w:rsidRPr="00473B58">
        <w:rPr>
          <w:b/>
          <w:color w:val="2E74B5" w:themeColor="accent1" w:themeShade="BF"/>
          <w:lang w:val="fr-CA"/>
        </w:rPr>
        <w:t>e</w:t>
      </w:r>
      <w:r w:rsidR="00D177CD" w:rsidRPr="00473B58">
        <w:rPr>
          <w:b/>
          <w:color w:val="2E74B5" w:themeColor="accent1" w:themeShade="BF"/>
          <w:lang w:val="fr-CA"/>
        </w:rPr>
        <w:t xml:space="preserve"> c</w:t>
      </w:r>
      <w:r w:rsidRPr="00473B58">
        <w:rPr>
          <w:b/>
          <w:color w:val="2E74B5" w:themeColor="accent1" w:themeShade="BF"/>
          <w:lang w:val="fr-CA"/>
        </w:rPr>
        <w:t>ontra</w:t>
      </w:r>
      <w:r w:rsidR="00D177CD" w:rsidRPr="00473B58">
        <w:rPr>
          <w:b/>
          <w:color w:val="2E74B5" w:themeColor="accent1" w:themeShade="BF"/>
          <w:lang w:val="fr-CA"/>
        </w:rPr>
        <w:t xml:space="preserve">ts ayant les mêmes modalités </w:t>
      </w:r>
    </w:p>
    <w:p w14:paraId="02E512AA" w14:textId="2E4B4A61" w:rsidR="003F0E1D" w:rsidRPr="00473B58" w:rsidRDefault="00AE0683" w:rsidP="00600311">
      <w:pPr>
        <w:spacing w:before="120" w:after="120" w:line="240" w:lineRule="auto"/>
        <w:jc w:val="both"/>
        <w:rPr>
          <w:lang w:val="fr-CA"/>
        </w:rPr>
      </w:pPr>
      <w:r w:rsidRPr="00473B58">
        <w:rPr>
          <w:lang w:val="fr-CA"/>
        </w:rPr>
        <w:t xml:space="preserve">Si des contrats peuvent être regroupés parce qu’ils ont les mêmes modalités, l’auditeur met en œuvre les procédures liées à l’identification des contrats et </w:t>
      </w:r>
      <w:r w:rsidR="008406A3" w:rsidRPr="00473B58">
        <w:rPr>
          <w:lang w:val="fr-CA"/>
        </w:rPr>
        <w:t>des</w:t>
      </w:r>
      <w:r w:rsidRPr="00473B58">
        <w:rPr>
          <w:lang w:val="fr-CA"/>
        </w:rPr>
        <w:t xml:space="preserve"> obligations de prestation pour chacun des groupes de contrats séparément. Après la mise en œuvre des procédures des deux premières étapes, l’auditeur teste le prix de transaction, la répart</w:t>
      </w:r>
      <w:r w:rsidR="00FF10CF" w:rsidRPr="00473B58">
        <w:rPr>
          <w:lang w:val="fr-CA"/>
        </w:rPr>
        <w:t>it</w:t>
      </w:r>
      <w:r w:rsidRPr="00473B58">
        <w:rPr>
          <w:lang w:val="fr-CA"/>
        </w:rPr>
        <w:t>ion du prix et la comptabilisation des produits au niveau de l’obligation de prestation</w:t>
      </w:r>
      <w:r w:rsidR="00A352F0" w:rsidRPr="00473B58">
        <w:rPr>
          <w:lang w:val="fr-CA"/>
        </w:rPr>
        <w:t>/</w:t>
      </w:r>
      <w:r w:rsidRPr="00473B58">
        <w:rPr>
          <w:lang w:val="fr-CA"/>
        </w:rPr>
        <w:t xml:space="preserve">opération, dans l’ensemble des différents groupes. </w:t>
      </w:r>
      <w:r w:rsidR="008406A3" w:rsidRPr="00473B58">
        <w:rPr>
          <w:lang w:val="fr-CA"/>
        </w:rPr>
        <w:t xml:space="preserve">Pour </w:t>
      </w:r>
      <w:r w:rsidRPr="00473B58">
        <w:rPr>
          <w:lang w:val="fr-CA"/>
        </w:rPr>
        <w:t xml:space="preserve">les contrats regroupés, l’auditeur peut consulter les directives de la section </w:t>
      </w:r>
      <w:hyperlink r:id="rId22" w:history="1">
        <w:r w:rsidR="00CB12C9" w:rsidRPr="00473B58">
          <w:rPr>
            <w:rStyle w:val="Hyperlink"/>
            <w:bCs/>
            <w:lang w:val="fr-CA"/>
          </w:rPr>
          <w:t>BVG Audit 7044.1</w:t>
        </w:r>
      </w:hyperlink>
      <w:r w:rsidR="00FB6DD3" w:rsidRPr="00473B58">
        <w:rPr>
          <w:lang w:val="fr-CA"/>
        </w:rPr>
        <w:t xml:space="preserve"> (</w:t>
      </w:r>
      <w:r w:rsidRPr="00473B58">
        <w:rPr>
          <w:lang w:val="fr-CA"/>
        </w:rPr>
        <w:t>Étape</w:t>
      </w:r>
      <w:r w:rsidR="00A352F0" w:rsidRPr="00473B58">
        <w:rPr>
          <w:lang w:val="fr-CA"/>
        </w:rPr>
        <w:t> </w:t>
      </w:r>
      <w:r w:rsidR="00FB6DD3" w:rsidRPr="00473B58">
        <w:rPr>
          <w:lang w:val="fr-CA"/>
        </w:rPr>
        <w:t>2)</w:t>
      </w:r>
      <w:r w:rsidR="003F0E1D" w:rsidRPr="00473B58">
        <w:rPr>
          <w:lang w:val="fr-CA"/>
        </w:rPr>
        <w:t xml:space="preserve"> </w:t>
      </w:r>
      <w:r w:rsidRPr="00473B58">
        <w:rPr>
          <w:lang w:val="fr-CA"/>
        </w:rPr>
        <w:t xml:space="preserve">lorsqu’il doit déterminer si une population appropriée a été définie pour les tests. Par exemple, si </w:t>
      </w:r>
      <w:r w:rsidR="003340D0" w:rsidRPr="00473B58">
        <w:rPr>
          <w:lang w:val="fr-CA"/>
        </w:rPr>
        <w:t>les divers groupes de contrats ne sont pas assujettis aux mêmes processus et contrôles</w:t>
      </w:r>
      <w:r w:rsidR="003F0E1D" w:rsidRPr="00473B58">
        <w:rPr>
          <w:lang w:val="fr-CA"/>
        </w:rPr>
        <w:t>, i</w:t>
      </w:r>
      <w:r w:rsidR="003340D0" w:rsidRPr="00473B58">
        <w:rPr>
          <w:lang w:val="fr-CA"/>
        </w:rPr>
        <w:t>l est probablement approprié de définir chacun des groupes comme une population distincte pour les besoins des tests.</w:t>
      </w:r>
    </w:p>
    <w:p w14:paraId="2909B42A" w14:textId="41B98302" w:rsidR="003F0E1D" w:rsidRPr="00473B58" w:rsidRDefault="003340D0" w:rsidP="00600311">
      <w:pPr>
        <w:spacing w:before="120" w:after="120" w:line="240" w:lineRule="auto"/>
        <w:jc w:val="both"/>
        <w:rPr>
          <w:lang w:val="fr-CA"/>
        </w:rPr>
      </w:pPr>
      <w:r w:rsidRPr="00473B58">
        <w:rPr>
          <w:lang w:val="fr-CA"/>
        </w:rPr>
        <w:t>En fonction des faits et des circonstances propres à la mission, l’auditeur doit déterminer s’il est nécessaire de mettre en œuvre des procédures pour val</w:t>
      </w:r>
      <w:r w:rsidR="00FF10CF" w:rsidRPr="00473B58">
        <w:rPr>
          <w:lang w:val="fr-CA"/>
        </w:rPr>
        <w:t>id</w:t>
      </w:r>
      <w:r w:rsidRPr="00473B58">
        <w:rPr>
          <w:lang w:val="fr-CA"/>
        </w:rPr>
        <w:t>er sa détermination du niveau de similarité des modalités contractuelles au sein de l’ensemble de la population sélectionnée pour les tests</w:t>
      </w:r>
      <w:r w:rsidR="003F0E1D" w:rsidRPr="00473B58">
        <w:rPr>
          <w:lang w:val="fr-CA"/>
        </w:rPr>
        <w:t>.</w:t>
      </w:r>
    </w:p>
    <w:p w14:paraId="483067AD" w14:textId="77777777" w:rsidR="009D50BC" w:rsidRPr="00473B58" w:rsidRDefault="009D50BC" w:rsidP="00600311">
      <w:pPr>
        <w:spacing w:before="120" w:after="120" w:line="240" w:lineRule="auto"/>
        <w:rPr>
          <w:lang w:val="fr-CA"/>
        </w:rPr>
      </w:pPr>
      <w:r w:rsidRPr="00473B58">
        <w:rPr>
          <w:b/>
          <w:i/>
          <w:lang w:val="fr-CA"/>
        </w:rPr>
        <w:br w:type="page"/>
      </w:r>
    </w:p>
    <w:tbl>
      <w:tblPr>
        <w:tblStyle w:val="TableGrid"/>
        <w:tblW w:w="0" w:type="auto"/>
        <w:tblLook w:val="04A0" w:firstRow="1" w:lastRow="0" w:firstColumn="1" w:lastColumn="0" w:noHBand="0" w:noVBand="1"/>
      </w:tblPr>
      <w:tblGrid>
        <w:gridCol w:w="12950"/>
      </w:tblGrid>
      <w:tr w:rsidR="009946AF" w:rsidRPr="00D97151" w14:paraId="2F8EE0CF" w14:textId="77777777" w:rsidTr="009946AF">
        <w:tc>
          <w:tcPr>
            <w:tcW w:w="12950" w:type="dxa"/>
            <w:shd w:val="clear" w:color="auto" w:fill="78287A"/>
          </w:tcPr>
          <w:p w14:paraId="26874C82" w14:textId="7C4DEAA5" w:rsidR="009946AF" w:rsidRPr="00473B58" w:rsidRDefault="00AE05A3" w:rsidP="00AE05A3">
            <w:pPr>
              <w:pStyle w:val="Heading3"/>
              <w:outlineLvl w:val="2"/>
              <w:rPr>
                <w:sz w:val="21"/>
                <w:szCs w:val="21"/>
                <w:lang w:val="fr-CA"/>
              </w:rPr>
            </w:pPr>
            <w:bookmarkStart w:id="56" w:name="_Toc73001877"/>
            <w:r w:rsidRPr="00473B58">
              <w:rPr>
                <w:sz w:val="21"/>
                <w:szCs w:val="21"/>
                <w:lang w:val="fr-CA"/>
              </w:rPr>
              <w:t>J’envisage de tester les produits à l’aide de TAAO. Quelles procédures de test des opérations génératrices de produits dois-je utiliser pour documenter les tests</w:t>
            </w:r>
            <w:r w:rsidR="009946AF" w:rsidRPr="00473B58">
              <w:rPr>
                <w:sz w:val="21"/>
                <w:szCs w:val="21"/>
                <w:lang w:val="fr-CA"/>
              </w:rPr>
              <w:t>?</w:t>
            </w:r>
            <w:bookmarkEnd w:id="56"/>
          </w:p>
        </w:tc>
      </w:tr>
    </w:tbl>
    <w:p w14:paraId="0D324FD5" w14:textId="6B2B1621" w:rsidR="00965753" w:rsidRPr="00473B58" w:rsidRDefault="006B6A7A" w:rsidP="00600311">
      <w:pPr>
        <w:spacing w:before="120" w:after="120" w:line="240" w:lineRule="auto"/>
        <w:jc w:val="both"/>
        <w:rPr>
          <w:b/>
          <w:color w:val="2E74B5" w:themeColor="accent1" w:themeShade="BF"/>
          <w:lang w:val="fr-CA"/>
        </w:rPr>
      </w:pPr>
      <w:r w:rsidRPr="00473B58">
        <w:rPr>
          <w:b/>
          <w:color w:val="2E74B5" w:themeColor="accent1" w:themeShade="BF"/>
          <w:lang w:val="fr-CA"/>
        </w:rPr>
        <w:t xml:space="preserve">Il ne faut pas oublier que les TAAO pour tester les produits qui analysent les écritures au niveau du grand livre général seront efficaces uniquement dans les circonstances suivantes : </w:t>
      </w:r>
    </w:p>
    <w:p w14:paraId="5E2D68EE" w14:textId="18CC25E4" w:rsidR="00965753" w:rsidRPr="00473B58" w:rsidRDefault="006B6A7A" w:rsidP="00600311">
      <w:pPr>
        <w:pStyle w:val="ListParagraph"/>
        <w:numPr>
          <w:ilvl w:val="0"/>
          <w:numId w:val="19"/>
        </w:numPr>
        <w:tabs>
          <w:tab w:val="left" w:pos="144"/>
        </w:tabs>
        <w:spacing w:before="120" w:after="120" w:line="240" w:lineRule="auto"/>
        <w:jc w:val="both"/>
        <w:rPr>
          <w:lang w:val="fr-CA"/>
        </w:rPr>
      </w:pPr>
      <w:r w:rsidRPr="00473B58">
        <w:rPr>
          <w:lang w:val="fr-CA"/>
        </w:rPr>
        <w:t xml:space="preserve">la comptabilisation des produits et des débiteurs est simple, par exemple par type de produit </w:t>
      </w:r>
      <w:r w:rsidR="008406A3" w:rsidRPr="00473B58">
        <w:rPr>
          <w:lang w:val="fr-CA"/>
        </w:rPr>
        <w:t xml:space="preserve">avec </w:t>
      </w:r>
      <w:r w:rsidRPr="00473B58">
        <w:rPr>
          <w:lang w:val="fr-CA"/>
        </w:rPr>
        <w:t xml:space="preserve">une seule obligation de prestation </w:t>
      </w:r>
      <w:r w:rsidR="00965753" w:rsidRPr="00473B58">
        <w:rPr>
          <w:lang w:val="fr-CA"/>
        </w:rPr>
        <w:t>(</w:t>
      </w:r>
      <w:r w:rsidRPr="00473B58">
        <w:rPr>
          <w:lang w:val="fr-CA"/>
        </w:rPr>
        <w:t>par opposition à plusieurs obligations de prestation</w:t>
      </w:r>
      <w:r w:rsidR="00965753" w:rsidRPr="00473B58">
        <w:rPr>
          <w:lang w:val="fr-CA"/>
        </w:rPr>
        <w:t>);</w:t>
      </w:r>
    </w:p>
    <w:p w14:paraId="354D0330" w14:textId="595B8A9A" w:rsidR="008F3C38" w:rsidRPr="00473B58" w:rsidRDefault="006B6A7A" w:rsidP="008F3C38">
      <w:pPr>
        <w:pStyle w:val="ListParagraph"/>
        <w:numPr>
          <w:ilvl w:val="0"/>
          <w:numId w:val="19"/>
        </w:numPr>
        <w:tabs>
          <w:tab w:val="left" w:pos="144"/>
        </w:tabs>
        <w:spacing w:before="120" w:after="120" w:line="240" w:lineRule="auto"/>
        <w:jc w:val="both"/>
        <w:rPr>
          <w:lang w:val="fr-CA"/>
        </w:rPr>
      </w:pPr>
      <w:bookmarkStart w:id="57" w:name="lt_pId393"/>
      <w:r w:rsidRPr="00473B58">
        <w:rPr>
          <w:lang w:val="fr-CA"/>
        </w:rPr>
        <w:t>l</w:t>
      </w:r>
      <w:r w:rsidR="008F3C38" w:rsidRPr="00473B58">
        <w:rPr>
          <w:lang w:val="fr-CA"/>
        </w:rPr>
        <w:t xml:space="preserve">es produits sont surtout réglés </w:t>
      </w:r>
      <w:r w:rsidR="008406A3" w:rsidRPr="00473B58">
        <w:rPr>
          <w:lang w:val="fr-CA"/>
        </w:rPr>
        <w:t xml:space="preserve">par des entrées de </w:t>
      </w:r>
      <w:r w:rsidR="008F3C38" w:rsidRPr="00473B58">
        <w:rPr>
          <w:lang w:val="fr-CA"/>
        </w:rPr>
        <w:t>trésorerie et principalement dans le cadre du flux de trésorerie attendu pour les écritures de journal</w:t>
      </w:r>
      <w:r w:rsidRPr="00473B58">
        <w:rPr>
          <w:lang w:val="fr-CA"/>
        </w:rPr>
        <w:t>;</w:t>
      </w:r>
      <w:bookmarkEnd w:id="57"/>
    </w:p>
    <w:p w14:paraId="66801ADB" w14:textId="14350555" w:rsidR="008F3C38" w:rsidRPr="00473B58" w:rsidRDefault="006B6A7A" w:rsidP="008F3C38">
      <w:pPr>
        <w:pStyle w:val="ListParagraph"/>
        <w:numPr>
          <w:ilvl w:val="0"/>
          <w:numId w:val="19"/>
        </w:numPr>
        <w:tabs>
          <w:tab w:val="left" w:pos="144"/>
        </w:tabs>
        <w:spacing w:before="120" w:after="120" w:line="240" w:lineRule="auto"/>
        <w:jc w:val="both"/>
        <w:rPr>
          <w:lang w:val="fr-CA"/>
        </w:rPr>
      </w:pPr>
      <w:bookmarkStart w:id="58" w:name="lt_pId394"/>
      <w:r w:rsidRPr="00473B58">
        <w:rPr>
          <w:lang w:val="fr-CA"/>
        </w:rPr>
        <w:t>l</w:t>
      </w:r>
      <w:r w:rsidR="008F3C38" w:rsidRPr="00473B58">
        <w:rPr>
          <w:lang w:val="fr-CA"/>
        </w:rPr>
        <w:t>’auditeur</w:t>
      </w:r>
      <w:r w:rsidRPr="00473B58">
        <w:rPr>
          <w:lang w:val="fr-CA"/>
        </w:rPr>
        <w:t xml:space="preserve"> a </w:t>
      </w:r>
      <w:r w:rsidR="008F3C38" w:rsidRPr="00473B58">
        <w:rPr>
          <w:lang w:val="fr-CA"/>
        </w:rPr>
        <w:t>une compréhension approfondie du processus relatif aux produits</w:t>
      </w:r>
      <w:r w:rsidRPr="00473B58">
        <w:rPr>
          <w:lang w:val="fr-CA"/>
        </w:rPr>
        <w:t>;</w:t>
      </w:r>
      <w:bookmarkEnd w:id="58"/>
    </w:p>
    <w:p w14:paraId="5B933C44" w14:textId="42FAB34F" w:rsidR="008F3C38" w:rsidRPr="00473B58" w:rsidRDefault="006B6A7A" w:rsidP="008F3C38">
      <w:pPr>
        <w:pStyle w:val="ListParagraph"/>
        <w:numPr>
          <w:ilvl w:val="0"/>
          <w:numId w:val="19"/>
        </w:numPr>
        <w:tabs>
          <w:tab w:val="left" w:pos="144"/>
        </w:tabs>
        <w:spacing w:before="120" w:after="120" w:line="240" w:lineRule="auto"/>
        <w:jc w:val="both"/>
        <w:rPr>
          <w:lang w:val="fr-CA"/>
        </w:rPr>
      </w:pPr>
      <w:bookmarkStart w:id="59" w:name="lt_pId395"/>
      <w:r w:rsidRPr="00473B58">
        <w:rPr>
          <w:lang w:val="fr-CA"/>
        </w:rPr>
        <w:t>l</w:t>
      </w:r>
      <w:r w:rsidR="008F3C38" w:rsidRPr="00473B58">
        <w:rPr>
          <w:lang w:val="fr-CA"/>
        </w:rPr>
        <w:t>’auditeur prévoit obtenir un niveau d’éléments probants de corroboration modéré ou élevé à l’égard de la trésorerie</w:t>
      </w:r>
      <w:r w:rsidRPr="00473B58">
        <w:rPr>
          <w:lang w:val="fr-CA"/>
        </w:rPr>
        <w:t>;</w:t>
      </w:r>
      <w:bookmarkEnd w:id="59"/>
    </w:p>
    <w:p w14:paraId="3A7BEE72" w14:textId="511A4D91" w:rsidR="008F3C38" w:rsidRPr="00473B58" w:rsidRDefault="00F34CD7" w:rsidP="008F3C38">
      <w:pPr>
        <w:pStyle w:val="ListParagraph"/>
        <w:numPr>
          <w:ilvl w:val="0"/>
          <w:numId w:val="19"/>
        </w:numPr>
        <w:tabs>
          <w:tab w:val="left" w:pos="144"/>
        </w:tabs>
        <w:spacing w:before="120" w:after="120" w:line="240" w:lineRule="auto"/>
        <w:jc w:val="both"/>
        <w:rPr>
          <w:lang w:val="fr-CA"/>
        </w:rPr>
      </w:pPr>
      <w:bookmarkStart w:id="60" w:name="lt_pId396"/>
      <w:r w:rsidRPr="00473B58">
        <w:rPr>
          <w:lang w:val="fr-CA"/>
        </w:rPr>
        <w:t>l</w:t>
      </w:r>
      <w:r w:rsidR="008F3C38" w:rsidRPr="00473B58">
        <w:rPr>
          <w:lang w:val="fr-CA"/>
        </w:rPr>
        <w:t xml:space="preserve">’auditeur prévoit obtenir un niveau d’éléments probants de corroboration modéré ou élevé à l’égard </w:t>
      </w:r>
      <w:r w:rsidRPr="00473B58">
        <w:rPr>
          <w:lang w:val="fr-CA"/>
        </w:rPr>
        <w:t>des débiteurs</w:t>
      </w:r>
      <w:bookmarkEnd w:id="60"/>
      <w:r w:rsidRPr="00473B58">
        <w:rPr>
          <w:lang w:val="fr-CA"/>
        </w:rPr>
        <w:t>;</w:t>
      </w:r>
    </w:p>
    <w:p w14:paraId="3F775AEA" w14:textId="485B98A5" w:rsidR="008F3C38" w:rsidRPr="00473B58" w:rsidRDefault="00F34CD7" w:rsidP="008F3C38">
      <w:pPr>
        <w:pStyle w:val="ListParagraph"/>
        <w:numPr>
          <w:ilvl w:val="0"/>
          <w:numId w:val="19"/>
        </w:numPr>
        <w:tabs>
          <w:tab w:val="left" w:pos="144"/>
        </w:tabs>
        <w:spacing w:before="120" w:after="120" w:line="240" w:lineRule="auto"/>
        <w:jc w:val="both"/>
        <w:rPr>
          <w:lang w:val="fr-CA"/>
        </w:rPr>
      </w:pPr>
      <w:bookmarkStart w:id="61" w:name="lt_pId397"/>
      <w:r w:rsidRPr="00473B58">
        <w:rPr>
          <w:lang w:val="fr-CA"/>
        </w:rPr>
        <w:t>il y a eu peu d</w:t>
      </w:r>
      <w:r w:rsidR="00B016BB" w:rsidRPr="00473B58">
        <w:rPr>
          <w:lang w:val="fr-CA"/>
        </w:rPr>
        <w:t>e rectification</w:t>
      </w:r>
      <w:r w:rsidRPr="00473B58">
        <w:rPr>
          <w:lang w:val="fr-CA"/>
        </w:rPr>
        <w:t xml:space="preserve"> aux produits lors des audits précédents</w:t>
      </w:r>
      <w:r w:rsidR="008F3C38" w:rsidRPr="00473B58">
        <w:rPr>
          <w:lang w:val="fr-CA"/>
        </w:rPr>
        <w:t>;</w:t>
      </w:r>
      <w:bookmarkEnd w:id="61"/>
    </w:p>
    <w:p w14:paraId="50802634" w14:textId="19B6F0E2" w:rsidR="00965753" w:rsidRPr="00473B58" w:rsidRDefault="008F3C38" w:rsidP="008F3C38">
      <w:pPr>
        <w:pStyle w:val="ListParagraph"/>
        <w:numPr>
          <w:ilvl w:val="0"/>
          <w:numId w:val="19"/>
        </w:numPr>
        <w:tabs>
          <w:tab w:val="left" w:pos="144"/>
        </w:tabs>
        <w:spacing w:before="120" w:after="120" w:line="240" w:lineRule="auto"/>
        <w:jc w:val="both"/>
        <w:rPr>
          <w:lang w:val="fr-CA"/>
        </w:rPr>
      </w:pPr>
      <w:r w:rsidRPr="00473B58">
        <w:rPr>
          <w:lang w:val="fr-CA"/>
        </w:rPr>
        <w:t>aucun risque d’audit particulier n’a été identifié en plus du risque présumé de fraude dans la comptabilisation des produits et les procédures appropriées ont été mises en œuvre pour traiter le risque présumé</w:t>
      </w:r>
      <w:r w:rsidR="00965753" w:rsidRPr="00473B58">
        <w:rPr>
          <w:lang w:val="fr-CA"/>
        </w:rPr>
        <w:t>.</w:t>
      </w:r>
    </w:p>
    <w:p w14:paraId="5F4685AF" w14:textId="170A7F56" w:rsidR="00965753" w:rsidRPr="00473B58" w:rsidRDefault="00F34CD7" w:rsidP="00600311">
      <w:pPr>
        <w:spacing w:before="120" w:after="120" w:line="240" w:lineRule="auto"/>
        <w:jc w:val="both"/>
        <w:rPr>
          <w:lang w:val="fr-CA"/>
        </w:rPr>
      </w:pPr>
      <w:r w:rsidRPr="00473B58">
        <w:rPr>
          <w:lang w:val="fr-CA"/>
        </w:rPr>
        <w:t xml:space="preserve">Pour les types de produits avec plusieurs obligations de prestation ou lorsque les sommes en espèces ne correspondent pas à une approximation </w:t>
      </w:r>
      <w:r w:rsidR="008406A3" w:rsidRPr="00473B58">
        <w:rPr>
          <w:lang w:val="fr-CA"/>
        </w:rPr>
        <w:t xml:space="preserve">appropriée </w:t>
      </w:r>
      <w:r w:rsidRPr="00473B58">
        <w:rPr>
          <w:lang w:val="fr-CA"/>
        </w:rPr>
        <w:t>du montant de</w:t>
      </w:r>
      <w:r w:rsidR="008406A3" w:rsidRPr="00473B58">
        <w:rPr>
          <w:lang w:val="fr-CA"/>
        </w:rPr>
        <w:t>s</w:t>
      </w:r>
      <w:r w:rsidRPr="00473B58">
        <w:rPr>
          <w:lang w:val="fr-CA"/>
        </w:rPr>
        <w:t xml:space="preserve"> produits à comptabiliser, il peut ne pas être approprié d’utiliser les TAAO pour tester les produits puisque les </w:t>
      </w:r>
      <w:r w:rsidR="00965753" w:rsidRPr="00473B58">
        <w:rPr>
          <w:lang w:val="fr-CA"/>
        </w:rPr>
        <w:t xml:space="preserve">scripts </w:t>
      </w:r>
      <w:r w:rsidRPr="00473B58">
        <w:rPr>
          <w:lang w:val="fr-CA"/>
        </w:rPr>
        <w:t xml:space="preserve">ne sont pas conçus pour tester des obligations de prestation multiples ou valider l’exactitude d’un montant autre que </w:t>
      </w:r>
      <w:r w:rsidR="008406A3" w:rsidRPr="00473B58">
        <w:rPr>
          <w:lang w:val="fr-CA"/>
        </w:rPr>
        <w:t>d</w:t>
      </w:r>
      <w:r w:rsidRPr="00473B58">
        <w:rPr>
          <w:lang w:val="fr-CA"/>
        </w:rPr>
        <w:t xml:space="preserve">es sommes en espèces reçues. </w:t>
      </w:r>
    </w:p>
    <w:p w14:paraId="62F45709" w14:textId="2BED1232" w:rsidR="00965753" w:rsidRPr="00473B58" w:rsidRDefault="00FC66B8" w:rsidP="00600311">
      <w:pPr>
        <w:spacing w:before="120" w:after="120" w:line="240" w:lineRule="auto"/>
        <w:jc w:val="both"/>
        <w:rPr>
          <w:lang w:val="fr-CA"/>
        </w:rPr>
      </w:pPr>
      <w:r w:rsidRPr="00473B58">
        <w:rPr>
          <w:lang w:val="fr-CA"/>
        </w:rPr>
        <w:t>Par conséquent</w:t>
      </w:r>
      <w:r w:rsidR="00F34CD7" w:rsidRPr="00473B58">
        <w:rPr>
          <w:lang w:val="fr-CA"/>
        </w:rPr>
        <w:t xml:space="preserve">, il peut être approprié d’utiliser </w:t>
      </w:r>
      <w:r w:rsidR="008406A3" w:rsidRPr="00473B58">
        <w:rPr>
          <w:lang w:val="fr-CA"/>
        </w:rPr>
        <w:t>des</w:t>
      </w:r>
      <w:r w:rsidR="00F34CD7" w:rsidRPr="00473B58">
        <w:rPr>
          <w:lang w:val="fr-CA"/>
        </w:rPr>
        <w:t xml:space="preserve"> TAAO pour tester les types de produits qui ont des caractéristiques qui cadrent avec l’utilisation de la procédure «</w:t>
      </w:r>
      <w:r w:rsidR="00A352F0" w:rsidRPr="00473B58">
        <w:rPr>
          <w:lang w:val="fr-CA"/>
        </w:rPr>
        <w:t> </w:t>
      </w:r>
      <w:r w:rsidR="00F34CD7" w:rsidRPr="00473B58">
        <w:rPr>
          <w:lang w:val="fr-CA"/>
        </w:rPr>
        <w:t xml:space="preserve">Tester les opérations génératrices de produits </w:t>
      </w:r>
      <w:r w:rsidR="00965753" w:rsidRPr="00473B58">
        <w:rPr>
          <w:lang w:val="fr-CA"/>
        </w:rPr>
        <w:t>(</w:t>
      </w:r>
      <w:r w:rsidR="00F34CD7" w:rsidRPr="00473B58">
        <w:rPr>
          <w:lang w:val="fr-CA"/>
        </w:rPr>
        <w:t>Étapes</w:t>
      </w:r>
      <w:r w:rsidR="00A352F0" w:rsidRPr="00473B58">
        <w:rPr>
          <w:lang w:val="fr-CA"/>
        </w:rPr>
        <w:t> </w:t>
      </w:r>
      <w:r w:rsidR="00965753" w:rsidRPr="00473B58">
        <w:rPr>
          <w:lang w:val="fr-CA"/>
        </w:rPr>
        <w:t>1</w:t>
      </w:r>
      <w:r w:rsidR="00F34CD7" w:rsidRPr="00473B58">
        <w:rPr>
          <w:lang w:val="fr-CA"/>
        </w:rPr>
        <w:t xml:space="preserve"> à </w:t>
      </w:r>
      <w:r w:rsidR="00965753" w:rsidRPr="00473B58">
        <w:rPr>
          <w:lang w:val="fr-CA"/>
        </w:rPr>
        <w:t xml:space="preserve">5) </w:t>
      </w:r>
      <w:r w:rsidR="00A352F0" w:rsidRPr="00473B58">
        <w:rPr>
          <w:lang w:val="fr-CA"/>
        </w:rPr>
        <w:t>—</w:t>
      </w:r>
      <w:r w:rsidR="00965753" w:rsidRPr="00473B58">
        <w:rPr>
          <w:lang w:val="fr-CA"/>
        </w:rPr>
        <w:t xml:space="preserve"> </w:t>
      </w:r>
      <w:r w:rsidR="00F34CD7" w:rsidRPr="00473B58">
        <w:rPr>
          <w:lang w:val="fr-CA"/>
        </w:rPr>
        <w:t>Obligation de prestation distincte remplie à un moment précis</w:t>
      </w:r>
      <w:r w:rsidR="00471CC7" w:rsidRPr="00471CC7">
        <w:rPr>
          <w:lang w:val="fr-CA"/>
        </w:rPr>
        <w:t xml:space="preserve"> — [Type de produits] (NCA 540)</w:t>
      </w:r>
      <w:r w:rsidR="00A352F0" w:rsidRPr="00473B58">
        <w:rPr>
          <w:lang w:val="fr-CA"/>
        </w:rPr>
        <w:t> </w:t>
      </w:r>
      <w:r w:rsidR="00F34CD7" w:rsidRPr="00473B58">
        <w:rPr>
          <w:lang w:val="fr-CA"/>
        </w:rPr>
        <w:t xml:space="preserve">», mais il est moins courant d’utiliser les TAAO pour tester des types de produits pour lesquels </w:t>
      </w:r>
      <w:r w:rsidR="005A6F36" w:rsidRPr="00473B58">
        <w:rPr>
          <w:lang w:val="fr-CA"/>
        </w:rPr>
        <w:t xml:space="preserve">une des deux autres </w:t>
      </w:r>
      <w:r w:rsidR="00F34CD7" w:rsidRPr="00473B58">
        <w:rPr>
          <w:lang w:val="fr-CA"/>
        </w:rPr>
        <w:t>procédure</w:t>
      </w:r>
      <w:r w:rsidR="005A6F36" w:rsidRPr="00473B58">
        <w:rPr>
          <w:lang w:val="fr-CA"/>
        </w:rPr>
        <w:t xml:space="preserve">s de test des produits </w:t>
      </w:r>
      <w:r w:rsidR="00F34CD7" w:rsidRPr="00473B58">
        <w:rPr>
          <w:lang w:val="fr-CA"/>
        </w:rPr>
        <w:t xml:space="preserve">est appropriée </w:t>
      </w:r>
      <w:r w:rsidR="008406A3" w:rsidRPr="00473B58">
        <w:rPr>
          <w:lang w:val="fr-CA"/>
        </w:rPr>
        <w:t xml:space="preserve">compte tenu des </w:t>
      </w:r>
      <w:r w:rsidR="00F34CD7" w:rsidRPr="00473B58">
        <w:rPr>
          <w:lang w:val="fr-CA"/>
        </w:rPr>
        <w:t xml:space="preserve">circonstances. </w:t>
      </w:r>
    </w:p>
    <w:p w14:paraId="2F755668" w14:textId="40DFD74A" w:rsidR="009D50BC" w:rsidRPr="00473B58" w:rsidRDefault="00F34CD7" w:rsidP="00600311">
      <w:pPr>
        <w:spacing w:before="120" w:after="120" w:line="240" w:lineRule="auto"/>
        <w:jc w:val="both"/>
        <w:rPr>
          <w:lang w:val="fr-CA"/>
        </w:rPr>
      </w:pPr>
      <w:r w:rsidRPr="00473B58">
        <w:rPr>
          <w:lang w:val="fr-CA"/>
        </w:rPr>
        <w:t xml:space="preserve">Se reporter à la section </w:t>
      </w:r>
      <w:hyperlink r:id="rId23" w:history="1">
        <w:r w:rsidRPr="00473B58">
          <w:rPr>
            <w:rStyle w:val="Hyperlink"/>
            <w:b/>
            <w:lang w:val="fr-CA"/>
          </w:rPr>
          <w:t>BVG Audit 7593</w:t>
        </w:r>
      </w:hyperlink>
      <w:r w:rsidR="00965753" w:rsidRPr="00473B58">
        <w:rPr>
          <w:b/>
          <w:lang w:val="fr-CA"/>
        </w:rPr>
        <w:t xml:space="preserve"> </w:t>
      </w:r>
      <w:r w:rsidRPr="00473B58">
        <w:rPr>
          <w:lang w:val="fr-CA"/>
        </w:rPr>
        <w:t xml:space="preserve">pour obtenir </w:t>
      </w:r>
      <w:r w:rsidR="00FC66B8" w:rsidRPr="00473B58">
        <w:rPr>
          <w:lang w:val="fr-CA"/>
        </w:rPr>
        <w:t>d’autres informations</w:t>
      </w:r>
      <w:r w:rsidR="00965753" w:rsidRPr="00473B58">
        <w:rPr>
          <w:lang w:val="fr-CA"/>
        </w:rPr>
        <w:t>.</w:t>
      </w:r>
    </w:p>
    <w:p w14:paraId="685186BF" w14:textId="77777777" w:rsidR="00600311" w:rsidRPr="00473B58" w:rsidRDefault="00600311">
      <w:pPr>
        <w:rPr>
          <w:lang w:val="fr-CA"/>
        </w:rPr>
      </w:pPr>
      <w:r w:rsidRPr="00473B58">
        <w:rPr>
          <w:b/>
          <w:i/>
          <w:lang w:val="fr-CA"/>
        </w:rPr>
        <w:br w:type="page"/>
      </w:r>
    </w:p>
    <w:tbl>
      <w:tblPr>
        <w:tblStyle w:val="TableGrid"/>
        <w:tblW w:w="0" w:type="auto"/>
        <w:tblLook w:val="04A0" w:firstRow="1" w:lastRow="0" w:firstColumn="1" w:lastColumn="0" w:noHBand="0" w:noVBand="1"/>
      </w:tblPr>
      <w:tblGrid>
        <w:gridCol w:w="12950"/>
      </w:tblGrid>
      <w:tr w:rsidR="00725F56" w:rsidRPr="00D97151" w14:paraId="3A4F0132" w14:textId="77777777" w:rsidTr="00CD11A3">
        <w:tc>
          <w:tcPr>
            <w:tcW w:w="12950" w:type="dxa"/>
            <w:shd w:val="clear" w:color="auto" w:fill="78287A"/>
          </w:tcPr>
          <w:p w14:paraId="171FCED8" w14:textId="7E4FA09F" w:rsidR="00725F56" w:rsidRPr="00473B58" w:rsidRDefault="0070315E" w:rsidP="00626EE1">
            <w:pPr>
              <w:pStyle w:val="Heading3"/>
              <w:outlineLvl w:val="2"/>
              <w:rPr>
                <w:sz w:val="21"/>
                <w:szCs w:val="21"/>
                <w:lang w:val="fr-CA"/>
              </w:rPr>
            </w:pPr>
            <w:bookmarkStart w:id="62" w:name="_Toc73001878"/>
            <w:r w:rsidRPr="00473B58">
              <w:rPr>
                <w:sz w:val="21"/>
                <w:szCs w:val="21"/>
                <w:lang w:val="fr-CA"/>
              </w:rPr>
              <w:t>Dois-je ajouter et remplir la procédure « Tester l’ex</w:t>
            </w:r>
            <w:r w:rsidR="00626EE1">
              <w:rPr>
                <w:sz w:val="21"/>
                <w:szCs w:val="21"/>
                <w:lang w:val="fr-CA"/>
              </w:rPr>
              <w:t>haustivité</w:t>
            </w:r>
            <w:r w:rsidRPr="00473B58">
              <w:rPr>
                <w:sz w:val="21"/>
                <w:szCs w:val="21"/>
                <w:lang w:val="fr-CA"/>
              </w:rPr>
              <w:t xml:space="preserve"> des opérations génératrices de produits </w:t>
            </w:r>
            <w:r w:rsidR="00626EE1">
              <w:rPr>
                <w:sz w:val="21"/>
                <w:szCs w:val="21"/>
                <w:lang w:val="fr-CA"/>
              </w:rPr>
              <w:t>découlant de</w:t>
            </w:r>
            <w:r w:rsidRPr="00473B58">
              <w:rPr>
                <w:sz w:val="21"/>
                <w:szCs w:val="21"/>
                <w:lang w:val="fr-CA"/>
              </w:rPr>
              <w:t xml:space="preserve"> la vente de </w:t>
            </w:r>
            <w:r w:rsidR="00626EE1">
              <w:rPr>
                <w:sz w:val="21"/>
                <w:szCs w:val="21"/>
                <w:lang w:val="fr-CA"/>
              </w:rPr>
              <w:t>marchandises</w:t>
            </w:r>
            <w:r w:rsidR="00A352F0" w:rsidRPr="00473B58">
              <w:rPr>
                <w:sz w:val="21"/>
                <w:szCs w:val="21"/>
                <w:lang w:val="fr-CA"/>
              </w:rPr>
              <w:t> </w:t>
            </w:r>
            <w:r w:rsidRPr="00473B58">
              <w:rPr>
                <w:sz w:val="21"/>
                <w:szCs w:val="21"/>
                <w:lang w:val="fr-CA"/>
              </w:rPr>
              <w:t>» afin de réaliser un test de corroboration visant l’exhaustivité des produits</w:t>
            </w:r>
            <w:r w:rsidR="00725F56" w:rsidRPr="00473B58">
              <w:rPr>
                <w:sz w:val="21"/>
                <w:szCs w:val="21"/>
                <w:lang w:val="fr-CA"/>
              </w:rPr>
              <w:t>?</w:t>
            </w:r>
            <w:bookmarkEnd w:id="62"/>
          </w:p>
        </w:tc>
      </w:tr>
    </w:tbl>
    <w:p w14:paraId="671D314A" w14:textId="30F9FB38" w:rsidR="00965753" w:rsidRPr="00473B58" w:rsidRDefault="00B54427" w:rsidP="00600311">
      <w:pPr>
        <w:spacing w:before="120" w:after="120" w:line="240" w:lineRule="auto"/>
        <w:jc w:val="both"/>
        <w:rPr>
          <w:lang w:val="fr-CA"/>
        </w:rPr>
      </w:pPr>
      <w:r w:rsidRPr="00473B58">
        <w:rPr>
          <w:lang w:val="fr-CA"/>
        </w:rPr>
        <w:t xml:space="preserve">Comme pour n’importe quel </w:t>
      </w:r>
      <w:r w:rsidR="00F33BC5" w:rsidRPr="00473B58">
        <w:rPr>
          <w:lang w:val="fr-CA"/>
        </w:rPr>
        <w:t xml:space="preserve">autre </w:t>
      </w:r>
      <w:r w:rsidRPr="00473B58">
        <w:rPr>
          <w:lang w:val="fr-CA"/>
        </w:rPr>
        <w:t xml:space="preserve">poste des états financiers, la </w:t>
      </w:r>
      <w:r w:rsidR="00965753" w:rsidRPr="00473B58">
        <w:rPr>
          <w:lang w:val="fr-CA"/>
        </w:rPr>
        <w:t xml:space="preserve">nature, </w:t>
      </w:r>
      <w:r w:rsidRPr="00473B58">
        <w:rPr>
          <w:lang w:val="fr-CA"/>
        </w:rPr>
        <w:t>le calendrier et l’étendue des procédures à mettre en œuvre pour une assertion donnée dépendent des résultats de l’évaluation d</w:t>
      </w:r>
      <w:r w:rsidR="00F33BC5" w:rsidRPr="00473B58">
        <w:rPr>
          <w:lang w:val="fr-CA"/>
        </w:rPr>
        <w:t>es</w:t>
      </w:r>
      <w:r w:rsidRPr="00473B58">
        <w:rPr>
          <w:lang w:val="fr-CA"/>
        </w:rPr>
        <w:t xml:space="preserve"> risque</w:t>
      </w:r>
      <w:r w:rsidR="00F33BC5" w:rsidRPr="00473B58">
        <w:rPr>
          <w:lang w:val="fr-CA"/>
        </w:rPr>
        <w:t>s</w:t>
      </w:r>
      <w:r w:rsidRPr="00473B58">
        <w:rPr>
          <w:lang w:val="fr-CA"/>
        </w:rPr>
        <w:t xml:space="preserve"> d’anomalies significatives. </w:t>
      </w:r>
      <w:r w:rsidR="00B35B3F" w:rsidRPr="00473B58">
        <w:rPr>
          <w:lang w:val="fr-CA"/>
        </w:rPr>
        <w:t>La nature, le calendrier et l’étendue des procédures de corroboration doivent être adaptés à l’évaluation de l’auditeur du niveau du risque inhérent lié à l’exhaustivité des produits. L’auditeur doit aussi tenir compte des résultats de tous les tests réalisés sur la conception et l’efficacité du fonctionnement des contrôles pertinents en vue de déterminer le niveau de confiance qui sera accordé aux contrôles avant de planifier l’étendue de ses tests de corroboration pour vérifier l’exhaustivité des produits. Par exemple, si des contrôles comme «</w:t>
      </w:r>
      <w:r w:rsidR="00A352F0" w:rsidRPr="00473B58">
        <w:rPr>
          <w:lang w:val="fr-CA"/>
        </w:rPr>
        <w:t> </w:t>
      </w:r>
      <w:r w:rsidR="00B35B3F" w:rsidRPr="00473B58">
        <w:rPr>
          <w:lang w:val="fr-CA"/>
        </w:rPr>
        <w:t>Production automatique des factures au moment de l’expédition</w:t>
      </w:r>
      <w:r w:rsidR="00A352F0" w:rsidRPr="00473B58">
        <w:rPr>
          <w:lang w:val="fr-CA"/>
        </w:rPr>
        <w:t> </w:t>
      </w:r>
      <w:r w:rsidR="00B35B3F" w:rsidRPr="00473B58">
        <w:rPr>
          <w:lang w:val="fr-CA"/>
        </w:rPr>
        <w:t>»</w:t>
      </w:r>
      <w:r w:rsidR="00965753" w:rsidRPr="00473B58">
        <w:rPr>
          <w:lang w:val="fr-CA"/>
        </w:rPr>
        <w:t xml:space="preserve"> o</w:t>
      </w:r>
      <w:r w:rsidR="00B35B3F" w:rsidRPr="00473B58">
        <w:rPr>
          <w:lang w:val="fr-CA"/>
        </w:rPr>
        <w:t>u</w:t>
      </w:r>
      <w:r w:rsidR="00965753" w:rsidRPr="00473B58">
        <w:rPr>
          <w:lang w:val="fr-CA"/>
        </w:rPr>
        <w:t xml:space="preserve"> </w:t>
      </w:r>
      <w:r w:rsidR="00B35B3F" w:rsidRPr="00473B58">
        <w:rPr>
          <w:lang w:val="fr-CA"/>
        </w:rPr>
        <w:t>«</w:t>
      </w:r>
      <w:r w:rsidR="00A352F0" w:rsidRPr="00473B58">
        <w:rPr>
          <w:lang w:val="fr-CA"/>
        </w:rPr>
        <w:t> </w:t>
      </w:r>
      <w:r w:rsidR="00B35B3F" w:rsidRPr="00473B58">
        <w:rPr>
          <w:lang w:val="fr-CA"/>
        </w:rPr>
        <w:t>Comparaison manuelle entre, d’une part, les totaux des contrôles des factures générées, et, d’autre part, les expéditions totales</w:t>
      </w:r>
      <w:r w:rsidR="00A352F0" w:rsidRPr="00473B58">
        <w:rPr>
          <w:lang w:val="fr-CA"/>
        </w:rPr>
        <w:t> </w:t>
      </w:r>
      <w:r w:rsidR="00B35B3F" w:rsidRPr="00473B58">
        <w:rPr>
          <w:lang w:val="fr-CA"/>
        </w:rPr>
        <w:t>»</w:t>
      </w:r>
      <w:r w:rsidR="00965753" w:rsidRPr="00473B58">
        <w:rPr>
          <w:lang w:val="fr-CA"/>
        </w:rPr>
        <w:t xml:space="preserve"> </w:t>
      </w:r>
      <w:r w:rsidR="007D16D4" w:rsidRPr="00473B58">
        <w:rPr>
          <w:lang w:val="fr-CA"/>
        </w:rPr>
        <w:t>ont été mis en œuvre par l’entité et que ces contrôles fonctionnent efficacement, l’auditeur peut p</w:t>
      </w:r>
      <w:r w:rsidR="00F33BC5" w:rsidRPr="00473B58">
        <w:rPr>
          <w:lang w:val="fr-CA"/>
        </w:rPr>
        <w:t xml:space="preserve">révoir </w:t>
      </w:r>
      <w:r w:rsidR="007D16D4" w:rsidRPr="00473B58">
        <w:rPr>
          <w:lang w:val="fr-CA"/>
        </w:rPr>
        <w:t xml:space="preserve">d’obtenir un niveau d’éléments probants faible au moyen de ses tests de corroboration. Par ailleurs, lorsque l’auditeur a déterminé que l’exhaustivité des produits posait un risque élevé ou important et qu’il ne prévoit pas tester l’efficacité du fonctionnement des contrôles connexes, l’auditeur peut alors réaliser un test de détail distinct visant l’exhaustivité des produits en sélectionnant des éléments au sein de la population des documents qui sont </w:t>
      </w:r>
      <w:r w:rsidR="00F33BC5" w:rsidRPr="00473B58">
        <w:rPr>
          <w:lang w:val="fr-CA"/>
        </w:rPr>
        <w:t xml:space="preserve">la source </w:t>
      </w:r>
      <w:r w:rsidR="007D16D4" w:rsidRPr="00473B58">
        <w:rPr>
          <w:lang w:val="fr-CA"/>
        </w:rPr>
        <w:t xml:space="preserve">des opérations génératrices de produits. Lorsqu’il n’y a pas de documents de livraison/d’expédition ou de documents similaires </w:t>
      </w:r>
      <w:r w:rsidR="00965753" w:rsidRPr="00473B58">
        <w:rPr>
          <w:lang w:val="fr-CA"/>
        </w:rPr>
        <w:t>(</w:t>
      </w:r>
      <w:r w:rsidR="007D16D4" w:rsidRPr="00473B58">
        <w:rPr>
          <w:lang w:val="fr-CA"/>
        </w:rPr>
        <w:t>p. ex. une entité qui fournit des services), il faudra alors procéder à une évaluati</w:t>
      </w:r>
      <w:r w:rsidR="00FF10CF" w:rsidRPr="00473B58">
        <w:rPr>
          <w:lang w:val="fr-CA"/>
        </w:rPr>
        <w:t>o</w:t>
      </w:r>
      <w:r w:rsidR="007D16D4" w:rsidRPr="00473B58">
        <w:rPr>
          <w:lang w:val="fr-CA"/>
        </w:rPr>
        <w:t>n de la doc</w:t>
      </w:r>
      <w:r w:rsidR="00965753" w:rsidRPr="00473B58">
        <w:rPr>
          <w:lang w:val="fr-CA"/>
        </w:rPr>
        <w:t xml:space="preserve">umentation </w:t>
      </w:r>
      <w:r w:rsidR="007D16D4" w:rsidRPr="00473B58">
        <w:rPr>
          <w:lang w:val="fr-CA"/>
        </w:rPr>
        <w:t>attestant d’une vente. Par exemple, pour un cabinet d’avocats qui facture et comptabilise des produits au fur et à mesure</w:t>
      </w:r>
      <w:r w:rsidR="005A5263" w:rsidRPr="00473B58">
        <w:rPr>
          <w:lang w:val="fr-CA"/>
        </w:rPr>
        <w:t xml:space="preserve"> des heures travaillées</w:t>
      </w:r>
      <w:r w:rsidR="007D16D4" w:rsidRPr="00473B58">
        <w:rPr>
          <w:lang w:val="fr-CA"/>
        </w:rPr>
        <w:t xml:space="preserve">, </w:t>
      </w:r>
      <w:r w:rsidR="005A5263" w:rsidRPr="00473B58">
        <w:rPr>
          <w:lang w:val="fr-CA"/>
        </w:rPr>
        <w:t>l’auditeur devra peut-être, dans le cadre de son test, vérifier si les heures consignées ont été comptabilisées en produits.</w:t>
      </w:r>
    </w:p>
    <w:p w14:paraId="65F8CEF4" w14:textId="492616E9" w:rsidR="00965753" w:rsidRPr="00473B58" w:rsidRDefault="007558F0" w:rsidP="00600311">
      <w:pPr>
        <w:spacing w:before="120" w:after="120" w:line="240" w:lineRule="auto"/>
        <w:jc w:val="both"/>
        <w:rPr>
          <w:b/>
          <w:color w:val="2E74B5" w:themeColor="accent1" w:themeShade="BF"/>
          <w:lang w:val="fr-CA"/>
        </w:rPr>
      </w:pPr>
      <w:r w:rsidRPr="00473B58">
        <w:rPr>
          <w:b/>
          <w:color w:val="2E74B5" w:themeColor="accent1" w:themeShade="BF"/>
          <w:lang w:val="fr-CA"/>
        </w:rPr>
        <w:t xml:space="preserve">Selon les résultats de l’évaluation des risques et la compréhension </w:t>
      </w:r>
      <w:r w:rsidR="003D4D0F" w:rsidRPr="00473B58">
        <w:rPr>
          <w:b/>
          <w:color w:val="2E74B5" w:themeColor="accent1" w:themeShade="BF"/>
          <w:lang w:val="fr-CA"/>
        </w:rPr>
        <w:t xml:space="preserve">qu’il a </w:t>
      </w:r>
      <w:r w:rsidRPr="00473B58">
        <w:rPr>
          <w:b/>
          <w:color w:val="2E74B5" w:themeColor="accent1" w:themeShade="BF"/>
          <w:lang w:val="fr-CA"/>
        </w:rPr>
        <w:t xml:space="preserve">acquise des </w:t>
      </w:r>
      <w:r w:rsidR="003D4D0F" w:rsidRPr="00473B58">
        <w:rPr>
          <w:b/>
          <w:color w:val="2E74B5" w:themeColor="accent1" w:themeShade="BF"/>
          <w:lang w:val="fr-CA"/>
        </w:rPr>
        <w:t xml:space="preserve">flux de rentrées </w:t>
      </w:r>
      <w:r w:rsidRPr="00473B58">
        <w:rPr>
          <w:b/>
          <w:color w:val="2E74B5" w:themeColor="accent1" w:themeShade="BF"/>
          <w:lang w:val="fr-CA"/>
        </w:rPr>
        <w:t xml:space="preserve">de l’entité, l’auditeur peut envisager de mettre en œuvre une ou plusieurs des procédures de corroboration ci-après pour vérifier l’exhaustivité des produits : </w:t>
      </w:r>
    </w:p>
    <w:p w14:paraId="15285623" w14:textId="7DAAF265" w:rsidR="00965753" w:rsidRPr="00473B58" w:rsidRDefault="003D4D0F" w:rsidP="00600311">
      <w:pPr>
        <w:pStyle w:val="ListParagraph"/>
        <w:numPr>
          <w:ilvl w:val="0"/>
          <w:numId w:val="29"/>
        </w:numPr>
        <w:spacing w:before="120" w:after="120" w:line="240" w:lineRule="auto"/>
        <w:ind w:left="360"/>
        <w:jc w:val="both"/>
        <w:rPr>
          <w:lang w:val="fr-CA"/>
        </w:rPr>
      </w:pPr>
      <w:r w:rsidRPr="00473B58">
        <w:rPr>
          <w:lang w:val="fr-CA"/>
        </w:rPr>
        <w:t>Réaliser un test de détail pour vérifier l’exhaustivité des opérations génératrices de produits</w:t>
      </w:r>
      <w:r w:rsidR="004F2C72" w:rsidRPr="00473B58">
        <w:rPr>
          <w:lang w:val="fr-CA"/>
        </w:rPr>
        <w:t>. P</w:t>
      </w:r>
      <w:r w:rsidRPr="00473B58">
        <w:rPr>
          <w:lang w:val="fr-CA"/>
        </w:rPr>
        <w:t>ar exemple</w:t>
      </w:r>
      <w:r w:rsidR="004F2C72" w:rsidRPr="00473B58">
        <w:rPr>
          <w:lang w:val="fr-CA"/>
        </w:rPr>
        <w:t>, l’auditeur peut</w:t>
      </w:r>
      <w:r w:rsidRPr="00473B58">
        <w:rPr>
          <w:lang w:val="fr-CA"/>
        </w:rPr>
        <w:t xml:space="preserve"> sélectionner des éléments dans la population de </w:t>
      </w:r>
      <w:r w:rsidR="00965753" w:rsidRPr="00473B58">
        <w:rPr>
          <w:lang w:val="fr-CA"/>
        </w:rPr>
        <w:t xml:space="preserve">documents </w:t>
      </w:r>
      <w:r w:rsidRPr="00473B58">
        <w:rPr>
          <w:lang w:val="fr-CA"/>
        </w:rPr>
        <w:t xml:space="preserve">qui devraient induire la constatation de produits </w:t>
      </w:r>
      <w:r w:rsidR="00965753" w:rsidRPr="00473B58">
        <w:rPr>
          <w:lang w:val="fr-CA"/>
        </w:rPr>
        <w:t>(</w:t>
      </w:r>
      <w:r w:rsidRPr="00473B58">
        <w:rPr>
          <w:lang w:val="fr-CA"/>
        </w:rPr>
        <w:t>comme des bulletins d’expédition/documents de livraison) et vérifier qu’ils ont été enregistrés dans le compte des produits dans l</w:t>
      </w:r>
      <w:r w:rsidR="00F16DCF" w:rsidRPr="00473B58">
        <w:rPr>
          <w:lang w:val="fr-CA"/>
        </w:rPr>
        <w:t>e</w:t>
      </w:r>
      <w:r w:rsidRPr="00473B58">
        <w:rPr>
          <w:lang w:val="fr-CA"/>
        </w:rPr>
        <w:t xml:space="preserve"> grand livre général. Pour réaliser un tel test de détail, l’auditeur doit aussi vérifier l’exhaustivité de la </w:t>
      </w:r>
      <w:r w:rsidR="00965753" w:rsidRPr="00473B58">
        <w:rPr>
          <w:lang w:val="fr-CA"/>
        </w:rPr>
        <w:t xml:space="preserve">population </w:t>
      </w:r>
      <w:r w:rsidRPr="00473B58">
        <w:rPr>
          <w:lang w:val="fr-CA"/>
        </w:rPr>
        <w:t xml:space="preserve">dans laquelle il a prélevé les éléments à tester </w:t>
      </w:r>
      <w:r w:rsidR="00965753" w:rsidRPr="00473B58">
        <w:rPr>
          <w:lang w:val="fr-CA"/>
        </w:rPr>
        <w:t>(</w:t>
      </w:r>
      <w:r w:rsidRPr="00473B58">
        <w:rPr>
          <w:lang w:val="fr-CA"/>
        </w:rPr>
        <w:t>p. ex. vérifier/tester l’ordre séquentiel des bulletins d’expédition/documents de livraison</w:t>
      </w:r>
      <w:r w:rsidR="00965753" w:rsidRPr="00473B58">
        <w:rPr>
          <w:lang w:val="fr-CA"/>
        </w:rPr>
        <w:t>).</w:t>
      </w:r>
    </w:p>
    <w:p w14:paraId="477D3AFB" w14:textId="536AE428" w:rsidR="00965753" w:rsidRPr="00473B58" w:rsidRDefault="003D4D0F" w:rsidP="00600311">
      <w:pPr>
        <w:spacing w:before="120" w:after="120" w:line="240" w:lineRule="auto"/>
        <w:ind w:left="360"/>
        <w:jc w:val="both"/>
        <w:rPr>
          <w:lang w:val="fr-CA"/>
        </w:rPr>
      </w:pPr>
      <w:r w:rsidRPr="00473B58">
        <w:rPr>
          <w:lang w:val="fr-CA"/>
        </w:rPr>
        <w:t>Pour réaliser ce type de test, la méthode de sélection la plus appropriée pour un risque normal est souvent un test acceptation-rejet</w:t>
      </w:r>
      <w:r w:rsidR="00965753" w:rsidRPr="00473B58">
        <w:rPr>
          <w:lang w:val="fr-CA"/>
        </w:rPr>
        <w:t xml:space="preserve"> </w:t>
      </w:r>
      <w:r w:rsidRPr="00473B58">
        <w:rPr>
          <w:lang w:val="fr-CA"/>
        </w:rPr>
        <w:t>avec un niveau d’assurance faible, sans écart prévu, qui est documenté dans la procédure « </w:t>
      </w:r>
      <w:r w:rsidR="00A40A7F" w:rsidRPr="00473B58">
        <w:rPr>
          <w:lang w:val="fr-CA"/>
        </w:rPr>
        <w:t>Tester l’exactitude des opérations génératrices de produits pour la vente de biens ». Si un écart est relevé, l’auditeur rejette les résultats du test et demande à la direction de corriger le montant des produits qu’elle a comptabilisé, avant de refaire un nouveau test pour vérifier l’exhaustivité des produits.</w:t>
      </w:r>
    </w:p>
    <w:p w14:paraId="2A4C86DA" w14:textId="45D980EE" w:rsidR="00965753" w:rsidRPr="00473B58" w:rsidRDefault="00584CF1" w:rsidP="00600311">
      <w:pPr>
        <w:pStyle w:val="ListParagraph"/>
        <w:numPr>
          <w:ilvl w:val="0"/>
          <w:numId w:val="29"/>
        </w:numPr>
        <w:spacing w:before="120" w:after="120" w:line="240" w:lineRule="auto"/>
        <w:ind w:left="360"/>
        <w:jc w:val="both"/>
        <w:rPr>
          <w:lang w:val="fr-CA"/>
        </w:rPr>
      </w:pPr>
      <w:r w:rsidRPr="00473B58">
        <w:rPr>
          <w:lang w:val="fr-CA"/>
        </w:rPr>
        <w:t xml:space="preserve">Réaliser un examen des contrats générateurs de produits importants (pendant la planification et pendant la réalisation des tests sur les produits). </w:t>
      </w:r>
      <w:r w:rsidR="004F2C72" w:rsidRPr="00473B58">
        <w:rPr>
          <w:lang w:val="fr-CA"/>
        </w:rPr>
        <w:t>S</w:t>
      </w:r>
      <w:r w:rsidRPr="00473B58">
        <w:rPr>
          <w:lang w:val="fr-CA"/>
        </w:rPr>
        <w:t>i l’auditeur utilise cet examen pour vérifier l’exhaustivité des produits, il doit documenter ses travaux et expliquer comment son examen fournit des éléments probants concernant l’exhaustivité en fonction de sa compréhension des types de produits de l’entité.</w:t>
      </w:r>
    </w:p>
    <w:p w14:paraId="54DE209A" w14:textId="70CE7ECB" w:rsidR="00965753" w:rsidRPr="00473B58" w:rsidRDefault="004F2C72" w:rsidP="00600311">
      <w:pPr>
        <w:pStyle w:val="ListParagraph"/>
        <w:numPr>
          <w:ilvl w:val="0"/>
          <w:numId w:val="29"/>
        </w:numPr>
        <w:spacing w:before="120" w:after="120" w:line="240" w:lineRule="auto"/>
        <w:ind w:left="360"/>
        <w:jc w:val="both"/>
        <w:rPr>
          <w:lang w:val="fr-CA"/>
        </w:rPr>
      </w:pPr>
      <w:r w:rsidRPr="00473B58">
        <w:rPr>
          <w:lang w:val="fr-CA"/>
        </w:rPr>
        <w:t>Réaliser un</w:t>
      </w:r>
      <w:r w:rsidR="00584CF1" w:rsidRPr="00473B58">
        <w:rPr>
          <w:lang w:val="fr-CA"/>
        </w:rPr>
        <w:t xml:space="preserve"> test de corroboration visant l’assertion relative à la séparation des périodes. Cependant, un test relatif à la séparation des périodes ne permettra pas d’obtenir des éléments probants suffisants et appropriés concernant l’exhaustivité des opérations pour toute la période considérée, car il porte uniquement sur les opérations conclues à une date rapprochée de la date de clôture. </w:t>
      </w:r>
      <w:r w:rsidR="00965753" w:rsidRPr="00473B58">
        <w:rPr>
          <w:lang w:val="fr-CA"/>
        </w:rPr>
        <w:t xml:space="preserve"> </w:t>
      </w:r>
    </w:p>
    <w:p w14:paraId="689591C1" w14:textId="0B5DC593" w:rsidR="00965753" w:rsidRPr="00473B58" w:rsidRDefault="00584CF1" w:rsidP="00D97151">
      <w:pPr>
        <w:pStyle w:val="ListParagraph"/>
        <w:keepNext/>
        <w:keepLines/>
        <w:numPr>
          <w:ilvl w:val="0"/>
          <w:numId w:val="29"/>
        </w:numPr>
        <w:spacing w:before="120" w:after="120" w:line="240" w:lineRule="auto"/>
        <w:ind w:left="360"/>
        <w:jc w:val="both"/>
        <w:rPr>
          <w:lang w:val="fr-CA"/>
        </w:rPr>
      </w:pPr>
      <w:bookmarkStart w:id="63" w:name="lt_pId419"/>
      <w:r w:rsidRPr="00473B58">
        <w:rPr>
          <w:lang w:val="fr-CA"/>
        </w:rPr>
        <w:t>Mettre en œuvre des p</w:t>
      </w:r>
      <w:r w:rsidR="008F3C38" w:rsidRPr="00473B58">
        <w:rPr>
          <w:lang w:val="fr-CA"/>
        </w:rPr>
        <w:t>rocédures de confirmation externe</w:t>
      </w:r>
      <w:bookmarkEnd w:id="63"/>
      <w:r w:rsidR="00965753" w:rsidRPr="00473B58">
        <w:rPr>
          <w:lang w:val="fr-CA"/>
        </w:rPr>
        <w:t xml:space="preserve">. </w:t>
      </w:r>
      <w:r w:rsidRPr="00473B58">
        <w:rPr>
          <w:lang w:val="fr-CA"/>
        </w:rPr>
        <w:t xml:space="preserve">Le niveau d’éléments probants obtenus au moyen de ce type de procédure dépend d’un certain nombre de facteurs, notamment l’objet de la demande de confirmation </w:t>
      </w:r>
      <w:r w:rsidR="00965753" w:rsidRPr="00473B58">
        <w:rPr>
          <w:lang w:val="fr-CA"/>
        </w:rPr>
        <w:t>(</w:t>
      </w:r>
      <w:r w:rsidRPr="00473B58">
        <w:rPr>
          <w:lang w:val="fr-CA"/>
        </w:rPr>
        <w:t>p. ex. produits ou débiteurs</w:t>
      </w:r>
      <w:r w:rsidR="00965753" w:rsidRPr="00473B58">
        <w:rPr>
          <w:lang w:val="fr-CA"/>
        </w:rPr>
        <w:t xml:space="preserve">), </w:t>
      </w:r>
      <w:r w:rsidRPr="00473B58">
        <w:rPr>
          <w:lang w:val="fr-CA"/>
        </w:rPr>
        <w:t>le type de demande de confirmation (p. ex. demande visant un solde donné ou demande ouverte</w:t>
      </w:r>
      <w:r w:rsidR="00965753" w:rsidRPr="00473B58">
        <w:rPr>
          <w:lang w:val="fr-CA"/>
        </w:rPr>
        <w:t xml:space="preserve">) </w:t>
      </w:r>
      <w:r w:rsidRPr="00473B58">
        <w:rPr>
          <w:lang w:val="fr-CA"/>
        </w:rPr>
        <w:t xml:space="preserve">et la période visée par la demande </w:t>
      </w:r>
      <w:r w:rsidR="00965753" w:rsidRPr="00473B58">
        <w:rPr>
          <w:lang w:val="fr-CA"/>
        </w:rPr>
        <w:t>(</w:t>
      </w:r>
      <w:r w:rsidRPr="00473B58">
        <w:rPr>
          <w:lang w:val="fr-CA"/>
        </w:rPr>
        <w:t xml:space="preserve">p. ex. </w:t>
      </w:r>
      <w:r w:rsidR="00F0256B" w:rsidRPr="00473B58">
        <w:rPr>
          <w:lang w:val="fr-CA"/>
        </w:rPr>
        <w:t>les produits de toute la période ou le solde de clôture des débiteurs</w:t>
      </w:r>
      <w:r w:rsidR="00965753" w:rsidRPr="00473B58">
        <w:rPr>
          <w:lang w:val="fr-CA"/>
        </w:rPr>
        <w:t xml:space="preserve">). </w:t>
      </w:r>
      <w:r w:rsidR="00F0256B" w:rsidRPr="00473B58">
        <w:rPr>
          <w:lang w:val="fr-CA"/>
        </w:rPr>
        <w:t>Dans la plupart des cas, une confirmation ext</w:t>
      </w:r>
      <w:r w:rsidR="001E78F5" w:rsidRPr="00473B58">
        <w:rPr>
          <w:lang w:val="fr-CA"/>
        </w:rPr>
        <w:t>erne</w:t>
      </w:r>
      <w:r w:rsidR="00F0256B" w:rsidRPr="00473B58">
        <w:rPr>
          <w:lang w:val="fr-CA"/>
        </w:rPr>
        <w:t xml:space="preserve"> des débiteurs ne suffira pas à elle seule pour obtenir des éléments probants suffisants et appropriés à l’égard de l’exhaustivité des produits pour toute la période.</w:t>
      </w:r>
    </w:p>
    <w:p w14:paraId="239B3096" w14:textId="48C98762" w:rsidR="00D925D7" w:rsidRPr="00473B58" w:rsidRDefault="00584CF1" w:rsidP="00DF14C3">
      <w:pPr>
        <w:pStyle w:val="ListParagraph"/>
        <w:numPr>
          <w:ilvl w:val="0"/>
          <w:numId w:val="29"/>
        </w:numPr>
        <w:spacing w:before="120" w:after="120" w:line="240" w:lineRule="auto"/>
        <w:ind w:left="360"/>
        <w:jc w:val="both"/>
        <w:rPr>
          <w:lang w:val="fr-CA"/>
        </w:rPr>
      </w:pPr>
      <w:r w:rsidRPr="00473B58">
        <w:rPr>
          <w:lang w:val="fr-CA"/>
        </w:rPr>
        <w:t xml:space="preserve">Mettre en œuvre des </w:t>
      </w:r>
      <w:r w:rsidR="008F3C38" w:rsidRPr="00473B58">
        <w:rPr>
          <w:lang w:val="fr-CA"/>
        </w:rPr>
        <w:t>procédures analytiques de corroboration</w:t>
      </w:r>
      <w:r w:rsidRPr="00473B58">
        <w:rPr>
          <w:lang w:val="fr-CA"/>
        </w:rPr>
        <w:t>.</w:t>
      </w:r>
    </w:p>
    <w:tbl>
      <w:tblPr>
        <w:tblStyle w:val="TableGrid"/>
        <w:tblW w:w="0" w:type="auto"/>
        <w:tblLook w:val="04A0" w:firstRow="1" w:lastRow="0" w:firstColumn="1" w:lastColumn="0" w:noHBand="0" w:noVBand="1"/>
      </w:tblPr>
      <w:tblGrid>
        <w:gridCol w:w="12950"/>
      </w:tblGrid>
      <w:tr w:rsidR="00D925D7" w:rsidRPr="00D97151" w14:paraId="72BAF240" w14:textId="77777777" w:rsidTr="00D925D7">
        <w:tc>
          <w:tcPr>
            <w:tcW w:w="12950" w:type="dxa"/>
            <w:shd w:val="clear" w:color="auto" w:fill="78287A"/>
          </w:tcPr>
          <w:p w14:paraId="7B331BB5" w14:textId="6BED056A" w:rsidR="00D925D7" w:rsidRPr="00473B58" w:rsidRDefault="007558F0" w:rsidP="007558F0">
            <w:pPr>
              <w:pStyle w:val="Heading3"/>
              <w:outlineLvl w:val="2"/>
              <w:rPr>
                <w:sz w:val="21"/>
                <w:szCs w:val="21"/>
                <w:lang w:val="fr-CA"/>
              </w:rPr>
            </w:pPr>
            <w:bookmarkStart w:id="64" w:name="_Toc73001879"/>
            <w:r w:rsidRPr="00473B58">
              <w:rPr>
                <w:sz w:val="21"/>
                <w:szCs w:val="21"/>
                <w:lang w:val="fr-CA"/>
              </w:rPr>
              <w:t>Comment peut-on concevoir une stratégie de test efficace et efficiente pour les contrats à prix coûtant majoré</w:t>
            </w:r>
            <w:r w:rsidR="00D925D7" w:rsidRPr="00473B58">
              <w:rPr>
                <w:sz w:val="21"/>
                <w:szCs w:val="21"/>
                <w:lang w:val="fr-CA"/>
              </w:rPr>
              <w:t>?</w:t>
            </w:r>
            <w:bookmarkEnd w:id="64"/>
          </w:p>
        </w:tc>
      </w:tr>
    </w:tbl>
    <w:p w14:paraId="68B9AE20" w14:textId="464C0178" w:rsidR="00DF14C3" w:rsidRPr="00473B58" w:rsidRDefault="007558F0" w:rsidP="00C40F20">
      <w:pPr>
        <w:spacing w:before="120" w:after="120" w:line="240" w:lineRule="auto"/>
        <w:ind w:right="72"/>
        <w:jc w:val="both"/>
        <w:textAlignment w:val="baseline"/>
        <w:rPr>
          <w:rFonts w:eastAsia="Arial" w:cstheme="minorHAnsi"/>
          <w:color w:val="000000"/>
          <w:lang w:val="fr-CA"/>
        </w:rPr>
      </w:pPr>
      <w:r w:rsidRPr="00473B58">
        <w:rPr>
          <w:rFonts w:eastAsia="Arial" w:cstheme="minorHAnsi"/>
          <w:color w:val="000000"/>
          <w:lang w:val="fr-CA"/>
        </w:rPr>
        <w:t>Les contrats à prix coûtant majoré sont couramment utilisés au sein d’entités et entre d</w:t>
      </w:r>
      <w:r w:rsidR="000C42A8" w:rsidRPr="00473B58">
        <w:rPr>
          <w:rFonts w:eastAsia="Arial" w:cstheme="minorHAnsi"/>
          <w:color w:val="000000"/>
          <w:lang w:val="fr-CA"/>
        </w:rPr>
        <w:t xml:space="preserve">es </w:t>
      </w:r>
      <w:r w:rsidRPr="00473B58">
        <w:rPr>
          <w:rFonts w:eastAsia="Arial" w:cstheme="minorHAnsi"/>
          <w:color w:val="000000"/>
          <w:lang w:val="fr-CA"/>
        </w:rPr>
        <w:t xml:space="preserve">entités qui </w:t>
      </w:r>
      <w:r w:rsidR="00F0256B" w:rsidRPr="00473B58">
        <w:rPr>
          <w:rFonts w:eastAsia="Arial" w:cstheme="minorHAnsi"/>
          <w:color w:val="000000"/>
          <w:lang w:val="fr-CA"/>
        </w:rPr>
        <w:t xml:space="preserve">se </w:t>
      </w:r>
      <w:r w:rsidR="00F0256B" w:rsidRPr="00473B58">
        <w:rPr>
          <w:lang w:val="fr-CA"/>
        </w:rPr>
        <w:t>caractérisent par une unicité de propriété ou de contrôle</w:t>
      </w:r>
      <w:r w:rsidR="000C42A8" w:rsidRPr="00473B58">
        <w:rPr>
          <w:lang w:val="fr-CA"/>
        </w:rPr>
        <w:t xml:space="preserve">, car ces contrats leur permettent de </w:t>
      </w:r>
      <w:r w:rsidR="00F0256B" w:rsidRPr="00473B58">
        <w:rPr>
          <w:lang w:val="fr-CA"/>
        </w:rPr>
        <w:t>gérer efficacement la réparti</w:t>
      </w:r>
      <w:r w:rsidR="000C42A8" w:rsidRPr="00473B58">
        <w:rPr>
          <w:lang w:val="fr-CA"/>
        </w:rPr>
        <w:t>ti</w:t>
      </w:r>
      <w:r w:rsidR="00F0256B" w:rsidRPr="00473B58">
        <w:rPr>
          <w:lang w:val="fr-CA"/>
        </w:rPr>
        <w:t>on des bénéf</w:t>
      </w:r>
      <w:r w:rsidR="000C42A8" w:rsidRPr="00473B58">
        <w:rPr>
          <w:lang w:val="fr-CA"/>
        </w:rPr>
        <w:t>ices des activités et les straté</w:t>
      </w:r>
      <w:r w:rsidR="00F0256B" w:rsidRPr="00473B58">
        <w:rPr>
          <w:lang w:val="fr-CA"/>
        </w:rPr>
        <w:t>gies fiscales du groupe</w:t>
      </w:r>
      <w:r w:rsidR="000C42A8" w:rsidRPr="00473B58">
        <w:rPr>
          <w:lang w:val="fr-CA"/>
        </w:rPr>
        <w:t xml:space="preserve">. Ils permettent aussi de </w:t>
      </w:r>
      <w:r w:rsidR="00F0256B" w:rsidRPr="00473B58">
        <w:rPr>
          <w:lang w:val="fr-CA"/>
        </w:rPr>
        <w:t xml:space="preserve">protéger les entités </w:t>
      </w:r>
      <w:r w:rsidR="000C42A8" w:rsidRPr="00473B58">
        <w:rPr>
          <w:lang w:val="fr-CA"/>
        </w:rPr>
        <w:t>« </w:t>
      </w:r>
      <w:r w:rsidR="00F0256B" w:rsidRPr="00473B58">
        <w:rPr>
          <w:lang w:val="fr-CA"/>
        </w:rPr>
        <w:t>en aval</w:t>
      </w:r>
      <w:r w:rsidR="000C42A8" w:rsidRPr="00473B58">
        <w:rPr>
          <w:lang w:val="fr-CA"/>
        </w:rPr>
        <w:t> »</w:t>
      </w:r>
      <w:r w:rsidR="00F0256B" w:rsidRPr="00473B58">
        <w:rPr>
          <w:lang w:val="fr-CA"/>
        </w:rPr>
        <w:t xml:space="preserve"> contre les </w:t>
      </w:r>
      <w:r w:rsidR="00F0256B" w:rsidRPr="00473B58">
        <w:rPr>
          <w:rFonts w:eastAsia="Arial" w:cstheme="minorHAnsi"/>
          <w:color w:val="000000"/>
          <w:lang w:val="fr-CA"/>
        </w:rPr>
        <w:t xml:space="preserve">pertes attribuables à une conjoncture économique défavorable. </w:t>
      </w:r>
    </w:p>
    <w:p w14:paraId="3659F910" w14:textId="23A817FB" w:rsidR="00DF14C3" w:rsidRPr="00473B58" w:rsidRDefault="00F0256B" w:rsidP="00C40F20">
      <w:pPr>
        <w:spacing w:before="120" w:after="120" w:line="240" w:lineRule="auto"/>
        <w:ind w:right="72"/>
        <w:jc w:val="both"/>
        <w:textAlignment w:val="baseline"/>
        <w:rPr>
          <w:rFonts w:eastAsia="Arial" w:cstheme="minorHAnsi"/>
          <w:color w:val="000000"/>
          <w:spacing w:val="-1"/>
          <w:lang w:val="fr-CA"/>
        </w:rPr>
      </w:pPr>
      <w:r w:rsidRPr="00473B58">
        <w:rPr>
          <w:rFonts w:eastAsia="Arial" w:cstheme="minorHAnsi"/>
          <w:color w:val="000000"/>
          <w:spacing w:val="-1"/>
          <w:lang w:val="fr-CA"/>
        </w:rPr>
        <w:t>Les entités chargées de fabriquer des produits exclusivement pour le groupe auquel elles appartiennent sont un exemple courant de ce type de contrat</w:t>
      </w:r>
      <w:r w:rsidR="00DF14C3" w:rsidRPr="00473B58">
        <w:rPr>
          <w:rFonts w:eastAsia="Arial" w:cstheme="minorHAnsi"/>
          <w:color w:val="000000"/>
          <w:spacing w:val="-1"/>
          <w:lang w:val="fr-CA"/>
        </w:rPr>
        <w:t xml:space="preserve">. </w:t>
      </w:r>
      <w:r w:rsidRPr="00473B58">
        <w:rPr>
          <w:rFonts w:eastAsia="Arial" w:cstheme="minorHAnsi"/>
          <w:color w:val="000000"/>
          <w:spacing w:val="-1"/>
          <w:lang w:val="fr-CA"/>
        </w:rPr>
        <w:t xml:space="preserve">Ces entités productrices de biens peuvent </w:t>
      </w:r>
      <w:r w:rsidR="00BC792C" w:rsidRPr="00473B58">
        <w:rPr>
          <w:rFonts w:eastAsia="Arial" w:cstheme="minorHAnsi"/>
          <w:color w:val="000000"/>
          <w:spacing w:val="-1"/>
          <w:lang w:val="fr-CA"/>
        </w:rPr>
        <w:t>avoir peu ou pas d’influence sur la taille des commandes et le</w:t>
      </w:r>
      <w:r w:rsidR="000C42A8" w:rsidRPr="00473B58">
        <w:rPr>
          <w:rFonts w:eastAsia="Arial" w:cstheme="minorHAnsi"/>
          <w:color w:val="000000"/>
          <w:spacing w:val="-1"/>
          <w:lang w:val="fr-CA"/>
        </w:rPr>
        <w:t>s</w:t>
      </w:r>
      <w:r w:rsidR="00BC792C" w:rsidRPr="00473B58">
        <w:rPr>
          <w:rFonts w:eastAsia="Arial" w:cstheme="minorHAnsi"/>
          <w:color w:val="000000"/>
          <w:spacing w:val="-1"/>
          <w:lang w:val="fr-CA"/>
        </w:rPr>
        <w:t xml:space="preserve"> prix et </w:t>
      </w:r>
      <w:r w:rsidR="000C42A8" w:rsidRPr="00473B58">
        <w:rPr>
          <w:rFonts w:eastAsia="Arial" w:cstheme="minorHAnsi"/>
          <w:color w:val="000000"/>
          <w:spacing w:val="-1"/>
          <w:lang w:val="fr-CA"/>
        </w:rPr>
        <w:t xml:space="preserve">elles </w:t>
      </w:r>
      <w:r w:rsidR="00BC792C" w:rsidRPr="00473B58">
        <w:rPr>
          <w:rFonts w:eastAsia="Arial" w:cstheme="minorHAnsi"/>
          <w:color w:val="000000"/>
          <w:spacing w:val="-1"/>
          <w:lang w:val="fr-CA"/>
        </w:rPr>
        <w:t>peuvent être chargées de gérer la qualité et l’efficience des processus de fabrication et de maîtriser les coûts d’exploitation à l’échelle locale. Dans le cadre de ces contrats, il n’est pas rare que le groupe apporte un ajustement de prix à la clôture pour l’entité afin d’avoir l’assurance que celle-ci obtient la marge prévue au bu</w:t>
      </w:r>
      <w:r w:rsidR="000C42A8" w:rsidRPr="00473B58">
        <w:rPr>
          <w:rFonts w:eastAsia="Arial" w:cstheme="minorHAnsi"/>
          <w:color w:val="000000"/>
          <w:spacing w:val="-1"/>
          <w:lang w:val="fr-CA"/>
        </w:rPr>
        <w:t>d</w:t>
      </w:r>
      <w:r w:rsidR="00BC792C" w:rsidRPr="00473B58">
        <w:rPr>
          <w:rFonts w:eastAsia="Arial" w:cstheme="minorHAnsi"/>
          <w:color w:val="000000"/>
          <w:spacing w:val="-1"/>
          <w:lang w:val="fr-CA"/>
        </w:rPr>
        <w:t xml:space="preserve">get en dépit de la fluctuation des volumes et des coûts. </w:t>
      </w:r>
    </w:p>
    <w:p w14:paraId="34B4A2D2" w14:textId="77777777" w:rsidR="00DF14C3" w:rsidRPr="00473B58" w:rsidRDefault="00DF14C3" w:rsidP="00C40F20">
      <w:pPr>
        <w:spacing w:before="120" w:after="120" w:line="240" w:lineRule="auto"/>
        <w:ind w:right="72"/>
        <w:textAlignment w:val="baseline"/>
        <w:rPr>
          <w:rFonts w:eastAsia="Arial" w:cstheme="minorHAnsi"/>
          <w:color w:val="000000"/>
          <w:spacing w:val="-1"/>
          <w:lang w:val="fr-CA"/>
        </w:rPr>
      </w:pPr>
    </w:p>
    <w:p w14:paraId="10D71B1F" w14:textId="02ACB88D" w:rsidR="00DF14C3" w:rsidRPr="00473B58" w:rsidRDefault="00BC792C" w:rsidP="00C40F20">
      <w:pPr>
        <w:spacing w:before="120" w:after="120" w:line="240" w:lineRule="auto"/>
        <w:jc w:val="both"/>
        <w:rPr>
          <w:b/>
          <w:color w:val="2E74B5" w:themeColor="accent1" w:themeShade="BF"/>
          <w:lang w:val="fr-CA"/>
        </w:rPr>
      </w:pPr>
      <w:r w:rsidRPr="00473B58">
        <w:rPr>
          <w:b/>
          <w:color w:val="2E74B5" w:themeColor="accent1" w:themeShade="BF"/>
          <w:lang w:val="fr-CA"/>
        </w:rPr>
        <w:t>Si l’entité auditée présente des circonstances identiques ou similaires, l’auditeur doit examiner soigneus</w:t>
      </w:r>
      <w:r w:rsidR="000C42A8" w:rsidRPr="00473B58">
        <w:rPr>
          <w:b/>
          <w:color w:val="2E74B5" w:themeColor="accent1" w:themeShade="BF"/>
          <w:lang w:val="fr-CA"/>
        </w:rPr>
        <w:t>e</w:t>
      </w:r>
      <w:r w:rsidRPr="00473B58">
        <w:rPr>
          <w:b/>
          <w:color w:val="2E74B5" w:themeColor="accent1" w:themeShade="BF"/>
          <w:lang w:val="fr-CA"/>
        </w:rPr>
        <w:t xml:space="preserve">ment l’incidence sur son audit étant donné ce qui suit : </w:t>
      </w:r>
    </w:p>
    <w:p w14:paraId="27383D05" w14:textId="72680598" w:rsidR="00DF14C3" w:rsidRPr="00473B58" w:rsidRDefault="00BC792C" w:rsidP="00C40F20">
      <w:pPr>
        <w:pStyle w:val="ListParagraph"/>
        <w:numPr>
          <w:ilvl w:val="0"/>
          <w:numId w:val="30"/>
        </w:numPr>
        <w:spacing w:before="120" w:after="120" w:line="240" w:lineRule="auto"/>
        <w:jc w:val="both"/>
        <w:rPr>
          <w:lang w:val="fr-CA"/>
        </w:rPr>
      </w:pPr>
      <w:r w:rsidRPr="00473B58">
        <w:rPr>
          <w:lang w:val="fr-CA"/>
        </w:rPr>
        <w:t>Les produits présentés par l’entité ne correspondront pas nécessairement aux produits comptabilisés pour tout l’exercice</w:t>
      </w:r>
      <w:r w:rsidR="000C42A8" w:rsidRPr="00473B58">
        <w:rPr>
          <w:lang w:val="fr-CA"/>
        </w:rPr>
        <w:t xml:space="preserve">, en fonction </w:t>
      </w:r>
      <w:r w:rsidRPr="00473B58">
        <w:rPr>
          <w:lang w:val="fr-CA"/>
        </w:rPr>
        <w:t xml:space="preserve">uniquement des opérations </w:t>
      </w:r>
      <w:r w:rsidR="000C42A8" w:rsidRPr="00473B58">
        <w:rPr>
          <w:lang w:val="fr-CA"/>
        </w:rPr>
        <w:t xml:space="preserve">individuelles </w:t>
      </w:r>
      <w:r w:rsidRPr="00473B58">
        <w:rPr>
          <w:lang w:val="fr-CA"/>
        </w:rPr>
        <w:t xml:space="preserve">constatées au cours de l’exercice. </w:t>
      </w:r>
    </w:p>
    <w:p w14:paraId="3389AA9B" w14:textId="65280B6D" w:rsidR="00DF14C3" w:rsidRPr="00473B58" w:rsidRDefault="00BC792C" w:rsidP="00BC792C">
      <w:pPr>
        <w:pStyle w:val="ListParagraph"/>
        <w:numPr>
          <w:ilvl w:val="0"/>
          <w:numId w:val="30"/>
        </w:numPr>
        <w:spacing w:before="120" w:after="120" w:line="240" w:lineRule="auto"/>
        <w:jc w:val="both"/>
        <w:rPr>
          <w:lang w:val="fr-CA"/>
        </w:rPr>
      </w:pPr>
      <w:r w:rsidRPr="00473B58">
        <w:rPr>
          <w:lang w:val="fr-CA"/>
        </w:rPr>
        <w:t>Il n’y a pas d’approche universelle pour calculer l’ajustement prévu aux produits de l’exercice en raison de la diversité des base</w:t>
      </w:r>
      <w:r w:rsidR="004B7B89" w:rsidRPr="00473B58">
        <w:rPr>
          <w:lang w:val="fr-CA"/>
        </w:rPr>
        <w:t>s de coût</w:t>
      </w:r>
      <w:r w:rsidRPr="00473B58">
        <w:rPr>
          <w:lang w:val="fr-CA"/>
        </w:rPr>
        <w:t xml:space="preserve"> </w:t>
      </w:r>
      <w:r w:rsidR="004B7B89" w:rsidRPr="00473B58">
        <w:rPr>
          <w:lang w:val="fr-CA"/>
        </w:rPr>
        <w:t xml:space="preserve">utilisées </w:t>
      </w:r>
      <w:r w:rsidRPr="00473B58">
        <w:rPr>
          <w:lang w:val="fr-CA"/>
        </w:rPr>
        <w:t xml:space="preserve">par les différentes entités </w:t>
      </w:r>
      <w:r w:rsidR="00DF14C3" w:rsidRPr="00473B58">
        <w:rPr>
          <w:lang w:val="fr-CA"/>
        </w:rPr>
        <w:t>(</w:t>
      </w:r>
      <w:r w:rsidRPr="00473B58">
        <w:rPr>
          <w:lang w:val="fr-CA"/>
        </w:rPr>
        <w:t xml:space="preserve">p. ex. méthode de la capitalisation du coût entier </w:t>
      </w:r>
      <w:r w:rsidR="00DF14C3" w:rsidRPr="00473B58">
        <w:rPr>
          <w:lang w:val="fr-CA"/>
        </w:rPr>
        <w:t>o</w:t>
      </w:r>
      <w:r w:rsidRPr="00473B58">
        <w:rPr>
          <w:lang w:val="fr-CA"/>
        </w:rPr>
        <w:t>u calcul du coût spécifique de chaque article</w:t>
      </w:r>
      <w:r w:rsidR="00DF14C3" w:rsidRPr="00473B58">
        <w:rPr>
          <w:lang w:val="fr-CA"/>
        </w:rPr>
        <w:t>)</w:t>
      </w:r>
      <w:r w:rsidRPr="00473B58">
        <w:rPr>
          <w:lang w:val="fr-CA"/>
        </w:rPr>
        <w:t>.</w:t>
      </w:r>
    </w:p>
    <w:p w14:paraId="4362C238" w14:textId="3AD12286" w:rsidR="00DF14C3" w:rsidRPr="00473B58" w:rsidRDefault="00BC792C" w:rsidP="00C40F20">
      <w:pPr>
        <w:pStyle w:val="ListParagraph"/>
        <w:numPr>
          <w:ilvl w:val="0"/>
          <w:numId w:val="30"/>
        </w:numPr>
        <w:spacing w:before="120" w:after="120" w:line="240" w:lineRule="auto"/>
        <w:jc w:val="both"/>
        <w:rPr>
          <w:lang w:val="fr-CA"/>
        </w:rPr>
      </w:pPr>
      <w:r w:rsidRPr="00473B58">
        <w:rPr>
          <w:lang w:val="fr-CA"/>
        </w:rPr>
        <w:t>Le calcul de l’ajustement de clôture peut comporter une incertitude de mesure</w:t>
      </w:r>
      <w:r w:rsidR="00DF14C3" w:rsidRPr="00473B58">
        <w:rPr>
          <w:lang w:val="fr-CA"/>
        </w:rPr>
        <w:t xml:space="preserve"> (</w:t>
      </w:r>
      <w:r w:rsidRPr="00473B58">
        <w:rPr>
          <w:lang w:val="fr-CA"/>
        </w:rPr>
        <w:t>p. ex. en raison de la répartition des coûts</w:t>
      </w:r>
      <w:r w:rsidR="00DF14C3" w:rsidRPr="00473B58">
        <w:rPr>
          <w:lang w:val="fr-CA"/>
        </w:rPr>
        <w:t>)</w:t>
      </w:r>
      <w:r w:rsidRPr="00473B58">
        <w:rPr>
          <w:lang w:val="fr-CA"/>
        </w:rPr>
        <w:t>.</w:t>
      </w:r>
    </w:p>
    <w:p w14:paraId="6CCEA591" w14:textId="051C26A8" w:rsidR="00DF14C3" w:rsidRPr="00473B58" w:rsidRDefault="00BC792C" w:rsidP="00C40F20">
      <w:pPr>
        <w:pStyle w:val="ListParagraph"/>
        <w:numPr>
          <w:ilvl w:val="0"/>
          <w:numId w:val="30"/>
        </w:numPr>
        <w:spacing w:before="120" w:after="120" w:line="240" w:lineRule="auto"/>
        <w:jc w:val="both"/>
        <w:rPr>
          <w:lang w:val="fr-CA"/>
        </w:rPr>
      </w:pPr>
      <w:r w:rsidRPr="00473B58">
        <w:rPr>
          <w:lang w:val="fr-CA"/>
        </w:rPr>
        <w:t>L’e</w:t>
      </w:r>
      <w:r w:rsidR="00DF14C3" w:rsidRPr="00473B58">
        <w:rPr>
          <w:lang w:val="fr-CA"/>
        </w:rPr>
        <w:t xml:space="preserve">xistence </w:t>
      </w:r>
      <w:r w:rsidRPr="00473B58">
        <w:rPr>
          <w:lang w:val="fr-CA"/>
        </w:rPr>
        <w:t xml:space="preserve">de ce type de contrat peut </w:t>
      </w:r>
      <w:r w:rsidR="00E82A18" w:rsidRPr="00473B58">
        <w:rPr>
          <w:lang w:val="fr-CA"/>
        </w:rPr>
        <w:t xml:space="preserve">indiquer l’existence de structures de planification fiscale complexes. Si tel est le cas, il est généralement approprié de collaborer avec d’autres personnes, comme l’équipe d’audit du groupe ou des fiscalistes. </w:t>
      </w:r>
    </w:p>
    <w:p w14:paraId="64826B4C" w14:textId="77777777" w:rsidR="00D925D7" w:rsidRPr="00473B58" w:rsidRDefault="00D925D7" w:rsidP="00C40F20">
      <w:pPr>
        <w:spacing w:before="120" w:after="120" w:line="240" w:lineRule="auto"/>
        <w:rPr>
          <w:lang w:val="fr-CA"/>
        </w:rPr>
      </w:pPr>
    </w:p>
    <w:p w14:paraId="741FD3B9" w14:textId="77777777" w:rsidR="00D97151" w:rsidRDefault="00D97151">
      <w:pPr>
        <w:rPr>
          <w:b/>
          <w:color w:val="2E74B5" w:themeColor="accent1" w:themeShade="BF"/>
          <w:lang w:val="fr-CA"/>
        </w:rPr>
      </w:pPr>
      <w:r>
        <w:rPr>
          <w:b/>
          <w:color w:val="2E74B5" w:themeColor="accent1" w:themeShade="BF"/>
          <w:lang w:val="fr-CA"/>
        </w:rPr>
        <w:br w:type="page"/>
      </w:r>
    </w:p>
    <w:p w14:paraId="4EB29912" w14:textId="27975836" w:rsidR="006E7AF5" w:rsidRPr="00473B58" w:rsidRDefault="00E82A18" w:rsidP="00C40F20">
      <w:pPr>
        <w:spacing w:before="120" w:after="120" w:line="240" w:lineRule="auto"/>
        <w:rPr>
          <w:b/>
          <w:color w:val="2E74B5" w:themeColor="accent1" w:themeShade="BF"/>
          <w:lang w:val="fr-CA"/>
        </w:rPr>
      </w:pPr>
      <w:r w:rsidRPr="00473B58">
        <w:rPr>
          <w:b/>
          <w:color w:val="2E74B5" w:themeColor="accent1" w:themeShade="BF"/>
          <w:lang w:val="fr-CA"/>
        </w:rPr>
        <w:t xml:space="preserve">Une stratégie efficace pour auditer les produits dans ce cas de figure pour comporter ce qui suit : </w:t>
      </w:r>
    </w:p>
    <w:tbl>
      <w:tblPr>
        <w:tblStyle w:val="TableGrid"/>
        <w:tblW w:w="13036" w:type="dxa"/>
        <w:tblLook w:val="04A0" w:firstRow="1" w:lastRow="0" w:firstColumn="1" w:lastColumn="0" w:noHBand="0" w:noVBand="1"/>
      </w:tblPr>
      <w:tblGrid>
        <w:gridCol w:w="6518"/>
        <w:gridCol w:w="6518"/>
      </w:tblGrid>
      <w:tr w:rsidR="006E7AF5" w:rsidRPr="00D97151" w14:paraId="71793A72" w14:textId="77777777" w:rsidTr="00D925D7">
        <w:tc>
          <w:tcPr>
            <w:tcW w:w="6518" w:type="dxa"/>
            <w:shd w:val="clear" w:color="auto" w:fill="2E74B5" w:themeFill="accent1" w:themeFillShade="BF"/>
          </w:tcPr>
          <w:p w14:paraId="34A728DF" w14:textId="27714C68" w:rsidR="006E7AF5" w:rsidRPr="00473B58" w:rsidRDefault="00E82A18" w:rsidP="00E82A18">
            <w:pPr>
              <w:spacing w:before="120" w:after="120"/>
              <w:jc w:val="both"/>
              <w:rPr>
                <w:color w:val="C45911" w:themeColor="accent2" w:themeShade="BF"/>
                <w:lang w:val="fr-CA"/>
              </w:rPr>
            </w:pPr>
            <w:r w:rsidRPr="00473B58">
              <w:rPr>
                <w:color w:val="FFFFFF" w:themeColor="background1"/>
                <w:lang w:val="fr-CA"/>
              </w:rPr>
              <w:t>Tester les opérations génératrices de produits au niveau de chaque opération ou contrat selon l’unité d’échantillonnage retenue (voir la première question ci-dessus qui explique comment choisir une unité d’échantillonnage appropriée)</w:t>
            </w:r>
            <w:r w:rsidR="00D368D3" w:rsidRPr="00473B58">
              <w:rPr>
                <w:color w:val="FFFFFF" w:themeColor="background1"/>
                <w:lang w:val="fr-CA"/>
              </w:rPr>
              <w:t xml:space="preserve">. </w:t>
            </w:r>
            <w:r w:rsidRPr="00473B58">
              <w:rPr>
                <w:color w:val="FFFFFF" w:themeColor="background1"/>
                <w:lang w:val="fr-CA"/>
              </w:rPr>
              <w:t xml:space="preserve">Ce test serait réalisé en fonction des modalités des contrats en vigueur pendant l’exercice, sans tenir compte de l’ajustement de clôture possible aux produits. </w:t>
            </w:r>
          </w:p>
        </w:tc>
        <w:tc>
          <w:tcPr>
            <w:tcW w:w="6518" w:type="dxa"/>
            <w:shd w:val="clear" w:color="auto" w:fill="767171" w:themeFill="background2" w:themeFillShade="80"/>
          </w:tcPr>
          <w:p w14:paraId="0BD7CAFB" w14:textId="0A767719" w:rsidR="00D368D3" w:rsidRPr="00473B58" w:rsidRDefault="00E82A18" w:rsidP="00C40F20">
            <w:pPr>
              <w:spacing w:before="120" w:after="120"/>
              <w:jc w:val="both"/>
              <w:rPr>
                <w:color w:val="FFFFFF" w:themeColor="background1"/>
                <w:lang w:val="fr-CA"/>
              </w:rPr>
            </w:pPr>
            <w:r w:rsidRPr="00473B58">
              <w:rPr>
                <w:color w:val="FFFFFF" w:themeColor="background1"/>
                <w:lang w:val="fr-CA"/>
              </w:rPr>
              <w:t xml:space="preserve">Mettre en œuvre des tests supplémentaires visant l’ajustement de clôture, notamment exécuter les procédures suivantes : </w:t>
            </w:r>
          </w:p>
          <w:p w14:paraId="7092BC19" w14:textId="45C6778C" w:rsidR="00D368D3" w:rsidRPr="00473B58" w:rsidRDefault="00D368D3" w:rsidP="00C40F20">
            <w:pPr>
              <w:pStyle w:val="ListParagraph"/>
              <w:numPr>
                <w:ilvl w:val="0"/>
                <w:numId w:val="20"/>
              </w:numPr>
              <w:spacing w:before="120" w:after="120"/>
              <w:jc w:val="both"/>
              <w:rPr>
                <w:color w:val="FFFFFF" w:themeColor="background1"/>
                <w:lang w:val="fr-CA"/>
              </w:rPr>
            </w:pPr>
            <w:r w:rsidRPr="00473B58">
              <w:rPr>
                <w:color w:val="FFFFFF" w:themeColor="background1"/>
                <w:lang w:val="fr-CA"/>
              </w:rPr>
              <w:t>Test</w:t>
            </w:r>
            <w:r w:rsidR="00E82A18" w:rsidRPr="00473B58">
              <w:rPr>
                <w:color w:val="FFFFFF" w:themeColor="background1"/>
                <w:lang w:val="fr-CA"/>
              </w:rPr>
              <w:t>er</w:t>
            </w:r>
            <w:r w:rsidRPr="00473B58">
              <w:rPr>
                <w:color w:val="FFFFFF" w:themeColor="background1"/>
                <w:lang w:val="fr-CA"/>
              </w:rPr>
              <w:t xml:space="preserve"> </w:t>
            </w:r>
            <w:r w:rsidR="00E82A18" w:rsidRPr="00473B58">
              <w:rPr>
                <w:color w:val="FFFFFF" w:themeColor="background1"/>
                <w:lang w:val="fr-CA"/>
              </w:rPr>
              <w:t xml:space="preserve">la méthode utilisée pour calculer l’ajustement et déterminer si elle cadre avec les contrats. </w:t>
            </w:r>
          </w:p>
          <w:p w14:paraId="4846FEC5" w14:textId="75D74497" w:rsidR="00D368D3" w:rsidRPr="00473B58" w:rsidRDefault="00D368D3" w:rsidP="00C40F20">
            <w:pPr>
              <w:pStyle w:val="ListParagraph"/>
              <w:numPr>
                <w:ilvl w:val="0"/>
                <w:numId w:val="20"/>
              </w:numPr>
              <w:spacing w:before="120" w:after="120"/>
              <w:jc w:val="both"/>
              <w:rPr>
                <w:color w:val="FFFFFF" w:themeColor="background1"/>
                <w:lang w:val="fr-CA"/>
              </w:rPr>
            </w:pPr>
            <w:r w:rsidRPr="00473B58">
              <w:rPr>
                <w:color w:val="FFFFFF" w:themeColor="background1"/>
                <w:lang w:val="fr-CA"/>
              </w:rPr>
              <w:t>Obt</w:t>
            </w:r>
            <w:r w:rsidR="00E82A18" w:rsidRPr="00473B58">
              <w:rPr>
                <w:color w:val="FFFFFF" w:themeColor="background1"/>
                <w:lang w:val="fr-CA"/>
              </w:rPr>
              <w:t xml:space="preserve">enir le niveau approprié d’éléments probants à l’égard des données utilisées pour calculer l’ajustement de clôture. </w:t>
            </w:r>
          </w:p>
          <w:p w14:paraId="66A8B6C9" w14:textId="50E7459E" w:rsidR="006E7AF5" w:rsidRPr="00473B58" w:rsidRDefault="00E82A18" w:rsidP="00E82A18">
            <w:pPr>
              <w:pStyle w:val="ListParagraph"/>
              <w:numPr>
                <w:ilvl w:val="0"/>
                <w:numId w:val="20"/>
              </w:numPr>
              <w:spacing w:before="120" w:after="120"/>
              <w:jc w:val="both"/>
              <w:rPr>
                <w:color w:val="FFFFFF" w:themeColor="background1"/>
                <w:lang w:val="fr-CA"/>
              </w:rPr>
            </w:pPr>
            <w:r w:rsidRPr="00473B58">
              <w:rPr>
                <w:color w:val="FFFFFF" w:themeColor="background1"/>
                <w:lang w:val="fr-CA"/>
              </w:rPr>
              <w:t xml:space="preserve">Obtenir le niveau approprié d’éléments probants à l’égard des hypothèses utilisées pour calculer l’ajustement de clôture </w:t>
            </w:r>
            <w:r w:rsidR="00D368D3" w:rsidRPr="00473B58">
              <w:rPr>
                <w:color w:val="FFFFFF" w:themeColor="background1"/>
                <w:lang w:val="fr-CA"/>
              </w:rPr>
              <w:t>(</w:t>
            </w:r>
            <w:r w:rsidRPr="00473B58">
              <w:rPr>
                <w:color w:val="FFFFFF" w:themeColor="background1"/>
                <w:lang w:val="fr-CA"/>
              </w:rPr>
              <w:t>p. ex. la répartition des coûts</w:t>
            </w:r>
            <w:r w:rsidR="00D368D3" w:rsidRPr="00473B58">
              <w:rPr>
                <w:color w:val="FFFFFF" w:themeColor="background1"/>
                <w:lang w:val="fr-CA"/>
              </w:rPr>
              <w:t>).</w:t>
            </w:r>
          </w:p>
        </w:tc>
      </w:tr>
    </w:tbl>
    <w:p w14:paraId="52C42A2A" w14:textId="77777777" w:rsidR="006E7AF5" w:rsidRPr="00473B58" w:rsidRDefault="006E7AF5" w:rsidP="00C40F20">
      <w:pPr>
        <w:spacing w:before="120" w:after="120" w:line="240" w:lineRule="auto"/>
        <w:rPr>
          <w:b/>
          <w:color w:val="C45911" w:themeColor="accent2" w:themeShade="BF"/>
          <w:lang w:val="fr-CA"/>
        </w:rPr>
      </w:pPr>
    </w:p>
    <w:p w14:paraId="6D563E14" w14:textId="2BCF352D" w:rsidR="00DF14C3" w:rsidRPr="00473B58" w:rsidRDefault="00D368D3" w:rsidP="00A8759A">
      <w:pPr>
        <w:pStyle w:val="Heading1"/>
        <w:rPr>
          <w:lang w:val="fr-CA"/>
        </w:rPr>
      </w:pPr>
      <w:bookmarkStart w:id="65" w:name="_Appendix"/>
      <w:bookmarkEnd w:id="65"/>
      <w:r w:rsidRPr="00473B58">
        <w:rPr>
          <w:lang w:val="fr-CA"/>
        </w:rPr>
        <w:br w:type="page"/>
      </w:r>
      <w:bookmarkStart w:id="66" w:name="lt_pId444"/>
      <w:bookmarkStart w:id="67" w:name="_Toc73001880"/>
      <w:bookmarkEnd w:id="66"/>
      <w:r w:rsidRPr="00473B58">
        <w:rPr>
          <w:lang w:val="fr-CA"/>
        </w:rPr>
        <w:t>A</w:t>
      </w:r>
      <w:r w:rsidR="008F3C38" w:rsidRPr="00473B58">
        <w:rPr>
          <w:lang w:val="fr-CA"/>
        </w:rPr>
        <w:t>nnexe</w:t>
      </w:r>
      <w:bookmarkEnd w:id="67"/>
    </w:p>
    <w:p w14:paraId="62AFED9E" w14:textId="1D180A07" w:rsidR="00C82EDB" w:rsidRPr="00473B58" w:rsidRDefault="00D368D3" w:rsidP="00ED2D7E">
      <w:pPr>
        <w:spacing w:before="120" w:after="120" w:line="240" w:lineRule="auto"/>
        <w:rPr>
          <w:b/>
          <w:lang w:val="fr-CA"/>
        </w:rPr>
      </w:pPr>
      <w:r w:rsidRPr="00473B58">
        <w:rPr>
          <w:b/>
          <w:lang w:val="fr-CA"/>
        </w:rPr>
        <w:t>Analys</w:t>
      </w:r>
      <w:r w:rsidR="007558F0" w:rsidRPr="00473B58">
        <w:rPr>
          <w:b/>
          <w:lang w:val="fr-CA"/>
        </w:rPr>
        <w:t>e des catégories d’étapes qui composent chaque procédure de «</w:t>
      </w:r>
      <w:r w:rsidR="00A352F0" w:rsidRPr="00473B58">
        <w:rPr>
          <w:b/>
          <w:lang w:val="fr-CA"/>
        </w:rPr>
        <w:t> </w:t>
      </w:r>
      <w:r w:rsidR="007558F0" w:rsidRPr="00473B58">
        <w:rPr>
          <w:b/>
          <w:lang w:val="fr-CA"/>
        </w:rPr>
        <w:t>Tester les opérations génératrices de produits (Étapes</w:t>
      </w:r>
      <w:r w:rsidR="00A352F0" w:rsidRPr="00473B58">
        <w:rPr>
          <w:b/>
          <w:lang w:val="fr-CA"/>
        </w:rPr>
        <w:t> </w:t>
      </w:r>
      <w:r w:rsidRPr="00473B58">
        <w:rPr>
          <w:b/>
          <w:lang w:val="fr-CA"/>
        </w:rPr>
        <w:t xml:space="preserve">1 </w:t>
      </w:r>
      <w:r w:rsidR="007558F0" w:rsidRPr="00473B58">
        <w:rPr>
          <w:b/>
          <w:lang w:val="fr-CA"/>
        </w:rPr>
        <w:t xml:space="preserve">à </w:t>
      </w:r>
      <w:r w:rsidR="00BB62BF" w:rsidRPr="00473B58">
        <w:rPr>
          <w:b/>
          <w:lang w:val="fr-CA"/>
        </w:rPr>
        <w:t>5</w:t>
      </w:r>
      <w:r w:rsidRPr="00473B58">
        <w:rPr>
          <w:b/>
          <w:lang w:val="fr-CA"/>
        </w:rPr>
        <w:t>)</w:t>
      </w:r>
      <w:r w:rsidR="004B7B89" w:rsidRPr="00473B58">
        <w:rPr>
          <w:b/>
          <w:lang w:val="fr-CA"/>
        </w:rPr>
        <w:t> »</w:t>
      </w:r>
      <w:r w:rsidR="003551E5" w:rsidRPr="00473B58">
        <w:rPr>
          <w:b/>
          <w:lang w:val="fr-CA"/>
        </w:rPr>
        <w:t xml:space="preserve"> </w:t>
      </w:r>
    </w:p>
    <w:p w14:paraId="20988279" w14:textId="6F25EB24" w:rsidR="00D368D3" w:rsidRPr="00473B58" w:rsidRDefault="00D368D3" w:rsidP="00ED2D7E">
      <w:pPr>
        <w:spacing w:before="120" w:after="120" w:line="240" w:lineRule="auto"/>
        <w:jc w:val="center"/>
        <w:rPr>
          <w:b/>
          <w:u w:val="single"/>
          <w:lang w:val="fr-CA"/>
        </w:rPr>
      </w:pPr>
      <w:r w:rsidRPr="00473B58">
        <w:rPr>
          <w:b/>
          <w:u w:val="single"/>
          <w:lang w:val="fr-CA"/>
        </w:rPr>
        <w:t>Ex</w:t>
      </w:r>
      <w:r w:rsidR="007558F0" w:rsidRPr="00473B58">
        <w:rPr>
          <w:b/>
          <w:u w:val="single"/>
          <w:lang w:val="fr-CA"/>
        </w:rPr>
        <w:t>e</w:t>
      </w:r>
      <w:r w:rsidRPr="00473B58">
        <w:rPr>
          <w:b/>
          <w:u w:val="single"/>
          <w:lang w:val="fr-CA"/>
        </w:rPr>
        <w:t>mple</w:t>
      </w:r>
      <w:r w:rsidR="00FF10CF" w:rsidRPr="00473B58">
        <w:rPr>
          <w:b/>
          <w:u w:val="single"/>
          <w:lang w:val="fr-CA"/>
        </w:rPr>
        <w:t>s</w:t>
      </w:r>
      <w:r w:rsidRPr="00473B58">
        <w:rPr>
          <w:b/>
          <w:u w:val="single"/>
          <w:lang w:val="fr-CA"/>
        </w:rPr>
        <w:t xml:space="preserve"> </w:t>
      </w:r>
      <w:r w:rsidR="007558F0" w:rsidRPr="00473B58">
        <w:rPr>
          <w:b/>
          <w:u w:val="single"/>
          <w:lang w:val="fr-CA"/>
        </w:rPr>
        <w:t>de scénario</w:t>
      </w:r>
      <w:r w:rsidR="00FF10CF" w:rsidRPr="00473B58">
        <w:rPr>
          <w:b/>
          <w:u w:val="single"/>
          <w:lang w:val="fr-CA"/>
        </w:rPr>
        <w:t>s</w:t>
      </w:r>
      <w:r w:rsidR="007558F0" w:rsidRPr="00473B58">
        <w:rPr>
          <w:b/>
          <w:u w:val="single"/>
          <w:lang w:val="fr-CA"/>
        </w:rPr>
        <w:t xml:space="preserve"> pour lesquel</w:t>
      </w:r>
      <w:r w:rsidR="00FF10CF" w:rsidRPr="00473B58">
        <w:rPr>
          <w:b/>
          <w:u w:val="single"/>
          <w:lang w:val="fr-CA"/>
        </w:rPr>
        <w:t>s</w:t>
      </w:r>
      <w:r w:rsidR="004B7B89" w:rsidRPr="00473B58">
        <w:rPr>
          <w:b/>
          <w:u w:val="single"/>
          <w:lang w:val="fr-CA"/>
        </w:rPr>
        <w:t xml:space="preserve"> la</w:t>
      </w:r>
      <w:r w:rsidR="007558F0" w:rsidRPr="00473B58">
        <w:rPr>
          <w:b/>
          <w:u w:val="single"/>
          <w:lang w:val="fr-CA"/>
        </w:rPr>
        <w:t xml:space="preserve"> procédure serait applicable </w:t>
      </w:r>
    </w:p>
    <w:tbl>
      <w:tblPr>
        <w:tblStyle w:val="TableGrid"/>
        <w:tblW w:w="12474" w:type="dxa"/>
        <w:tblLook w:val="04A0" w:firstRow="1" w:lastRow="0" w:firstColumn="1" w:lastColumn="0" w:noHBand="0" w:noVBand="1"/>
      </w:tblPr>
      <w:tblGrid>
        <w:gridCol w:w="3240"/>
        <w:gridCol w:w="3240"/>
        <w:gridCol w:w="3240"/>
        <w:gridCol w:w="2754"/>
      </w:tblGrid>
      <w:tr w:rsidR="00603071" w:rsidRPr="00473B58" w14:paraId="2DAF78BA" w14:textId="279C0571" w:rsidTr="00DD6D5A">
        <w:tc>
          <w:tcPr>
            <w:tcW w:w="6480" w:type="dxa"/>
            <w:gridSpan w:val="2"/>
            <w:tcBorders>
              <w:top w:val="single" w:sz="12" w:space="0" w:color="2E74B5" w:themeColor="accent1" w:themeShade="BF"/>
              <w:left w:val="nil"/>
              <w:bottom w:val="single" w:sz="12" w:space="0" w:color="2E74B5"/>
              <w:right w:val="single" w:sz="12" w:space="0" w:color="2E74B5" w:themeColor="accent1" w:themeShade="BF"/>
            </w:tcBorders>
          </w:tcPr>
          <w:p w14:paraId="15D22384" w14:textId="115B908A" w:rsidR="00603071" w:rsidRPr="00473B58" w:rsidRDefault="005A6F36">
            <w:pPr>
              <w:spacing w:before="120" w:after="120"/>
              <w:jc w:val="center"/>
              <w:rPr>
                <w:b/>
                <w:color w:val="2E74B5" w:themeColor="accent1" w:themeShade="BF"/>
                <w:lang w:val="fr-CA"/>
              </w:rPr>
            </w:pPr>
            <w:r w:rsidRPr="006A64AC">
              <w:rPr>
                <w:b/>
                <w:color w:val="2E74B5" w:themeColor="accent1" w:themeShade="BF"/>
                <w:lang w:val="fr-CA"/>
              </w:rPr>
              <w:t xml:space="preserve">Procédure déjà en vigueur </w:t>
            </w:r>
          </w:p>
        </w:tc>
        <w:tc>
          <w:tcPr>
            <w:tcW w:w="5994" w:type="dxa"/>
            <w:gridSpan w:val="2"/>
            <w:tcBorders>
              <w:top w:val="single" w:sz="12" w:space="0" w:color="2E74B5" w:themeColor="accent1" w:themeShade="BF"/>
              <w:left w:val="single" w:sz="12" w:space="0" w:color="2E74B5" w:themeColor="accent1" w:themeShade="BF"/>
              <w:bottom w:val="single" w:sz="12" w:space="0" w:color="2E74B5"/>
              <w:right w:val="nil"/>
            </w:tcBorders>
          </w:tcPr>
          <w:p w14:paraId="278985BC" w14:textId="1482837C" w:rsidR="00603071" w:rsidRPr="00473B58" w:rsidRDefault="00603071">
            <w:pPr>
              <w:spacing w:before="120" w:after="120"/>
              <w:jc w:val="center"/>
              <w:rPr>
                <w:b/>
                <w:color w:val="2E74B5" w:themeColor="accent1" w:themeShade="BF"/>
                <w:lang w:val="fr-CA"/>
              </w:rPr>
            </w:pPr>
            <w:r w:rsidRPr="006A64AC">
              <w:rPr>
                <w:b/>
                <w:color w:val="2E74B5" w:themeColor="accent1" w:themeShade="BF"/>
                <w:lang w:val="fr-CA"/>
              </w:rPr>
              <w:t>N</w:t>
            </w:r>
            <w:r w:rsidR="005A6F36" w:rsidRPr="006A64AC">
              <w:rPr>
                <w:b/>
                <w:color w:val="2E74B5" w:themeColor="accent1" w:themeShade="BF"/>
                <w:lang w:val="fr-CA"/>
              </w:rPr>
              <w:t>ouvelle procédure</w:t>
            </w:r>
          </w:p>
        </w:tc>
      </w:tr>
      <w:tr w:rsidR="003551E5" w:rsidRPr="00D97151" w14:paraId="109086D6" w14:textId="61DC5449" w:rsidTr="00DD6D5A">
        <w:tc>
          <w:tcPr>
            <w:tcW w:w="3240" w:type="dxa"/>
            <w:tcBorders>
              <w:top w:val="single" w:sz="12" w:space="0" w:color="2E74B5"/>
              <w:left w:val="nil"/>
              <w:bottom w:val="single" w:sz="12" w:space="0" w:color="2E74B5"/>
              <w:right w:val="nil"/>
            </w:tcBorders>
            <w:vAlign w:val="bottom"/>
          </w:tcPr>
          <w:p w14:paraId="3FB7371C" w14:textId="36100CC6" w:rsidR="003551E5" w:rsidRPr="00473B58" w:rsidRDefault="008F3C38" w:rsidP="00ED2D7E">
            <w:pPr>
              <w:spacing w:before="120" w:after="120"/>
              <w:rPr>
                <w:b/>
                <w:color w:val="2E74B5" w:themeColor="accent1" w:themeShade="BF"/>
                <w:lang w:val="fr-CA"/>
              </w:rPr>
            </w:pPr>
            <w:r w:rsidRPr="00473B58">
              <w:rPr>
                <w:b/>
                <w:color w:val="2E74B5" w:themeColor="accent1" w:themeShade="BF"/>
                <w:lang w:val="fr-CA"/>
              </w:rPr>
              <w:t>Tester les opérations génératrices de produits (Étapes</w:t>
            </w:r>
            <w:r w:rsidR="00A352F0" w:rsidRPr="00473B58">
              <w:rPr>
                <w:b/>
                <w:color w:val="2E74B5" w:themeColor="accent1" w:themeShade="BF"/>
                <w:lang w:val="fr-CA"/>
              </w:rPr>
              <w:t> </w:t>
            </w:r>
            <w:r w:rsidRPr="00473B58">
              <w:rPr>
                <w:b/>
                <w:color w:val="2E74B5" w:themeColor="accent1" w:themeShade="BF"/>
                <w:lang w:val="fr-CA"/>
              </w:rPr>
              <w:t>1 à 5</w:t>
            </w:r>
            <w:r w:rsidR="003551E5" w:rsidRPr="00473B58">
              <w:rPr>
                <w:b/>
                <w:color w:val="2E74B5" w:themeColor="accent1" w:themeShade="BF"/>
                <w:lang w:val="fr-CA"/>
              </w:rPr>
              <w:t>)</w:t>
            </w:r>
            <w:r w:rsidR="00B321B2">
              <w:rPr>
                <w:b/>
                <w:color w:val="2E74B5" w:themeColor="accent1" w:themeShade="BF"/>
                <w:lang w:val="fr-CA"/>
              </w:rPr>
              <w:t xml:space="preserve"> (NCA 540)</w:t>
            </w:r>
          </w:p>
        </w:tc>
        <w:tc>
          <w:tcPr>
            <w:tcW w:w="3240" w:type="dxa"/>
            <w:tcBorders>
              <w:top w:val="single" w:sz="12" w:space="0" w:color="2E74B5"/>
              <w:left w:val="nil"/>
              <w:bottom w:val="single" w:sz="12" w:space="0" w:color="2E74B5"/>
              <w:right w:val="single" w:sz="12" w:space="0" w:color="2E74B5" w:themeColor="accent1" w:themeShade="BF"/>
            </w:tcBorders>
            <w:vAlign w:val="bottom"/>
          </w:tcPr>
          <w:p w14:paraId="72CA0835" w14:textId="09B827E6" w:rsidR="003551E5" w:rsidRPr="00473B58" w:rsidRDefault="008F3C38" w:rsidP="00ED2D7E">
            <w:pPr>
              <w:spacing w:before="120" w:after="120"/>
              <w:rPr>
                <w:b/>
                <w:color w:val="2E74B5" w:themeColor="accent1" w:themeShade="BF"/>
                <w:lang w:val="fr-CA"/>
              </w:rPr>
            </w:pPr>
            <w:r w:rsidRPr="00473B58">
              <w:rPr>
                <w:b/>
                <w:color w:val="2E74B5" w:themeColor="accent1" w:themeShade="BF"/>
                <w:lang w:val="fr-CA"/>
              </w:rPr>
              <w:t>Tester les opérations génératrices de produits (Étapes</w:t>
            </w:r>
            <w:r w:rsidR="00A352F0" w:rsidRPr="00473B58">
              <w:rPr>
                <w:b/>
                <w:color w:val="2E74B5" w:themeColor="accent1" w:themeShade="BF"/>
                <w:lang w:val="fr-CA"/>
              </w:rPr>
              <w:t> </w:t>
            </w:r>
            <w:r w:rsidRPr="00473B58">
              <w:rPr>
                <w:b/>
                <w:color w:val="2E74B5" w:themeColor="accent1" w:themeShade="BF"/>
                <w:lang w:val="fr-CA"/>
              </w:rPr>
              <w:t xml:space="preserve">1 à 5) </w:t>
            </w:r>
            <w:r w:rsidR="00FF10CF" w:rsidRPr="00473B58">
              <w:rPr>
                <w:b/>
                <w:color w:val="2E74B5" w:themeColor="accent1" w:themeShade="BF"/>
                <w:lang w:val="fr-CA"/>
              </w:rPr>
              <w:t>—</w:t>
            </w:r>
            <w:r w:rsidRPr="00473B58">
              <w:rPr>
                <w:b/>
                <w:color w:val="2E74B5" w:themeColor="accent1" w:themeShade="BF"/>
                <w:lang w:val="fr-CA"/>
              </w:rPr>
              <w:t xml:space="preserve"> Obligation de prestation distincte remplie à un moment précis</w:t>
            </w:r>
            <w:r w:rsidR="00B321B2" w:rsidRPr="00B321B2">
              <w:rPr>
                <w:b/>
                <w:color w:val="2E74B5" w:themeColor="accent1" w:themeShade="BF"/>
                <w:lang w:val="fr-CA"/>
              </w:rPr>
              <w:t xml:space="preserve"> — [Type de produits] (NCA 540)</w:t>
            </w:r>
          </w:p>
        </w:tc>
        <w:tc>
          <w:tcPr>
            <w:tcW w:w="3240" w:type="dxa"/>
            <w:tcBorders>
              <w:top w:val="single" w:sz="12" w:space="0" w:color="2E74B5"/>
              <w:left w:val="single" w:sz="12" w:space="0" w:color="2E74B5" w:themeColor="accent1" w:themeShade="BF"/>
              <w:bottom w:val="single" w:sz="12" w:space="0" w:color="2E74B5"/>
              <w:right w:val="nil"/>
            </w:tcBorders>
          </w:tcPr>
          <w:p w14:paraId="4A64EFDF" w14:textId="6D7A5B90" w:rsidR="003551E5" w:rsidRPr="00473B58" w:rsidRDefault="005A6F36">
            <w:pPr>
              <w:spacing w:before="120" w:after="120"/>
              <w:rPr>
                <w:b/>
                <w:color w:val="2E74B5" w:themeColor="accent1" w:themeShade="BF"/>
                <w:lang w:val="fr-CA"/>
              </w:rPr>
            </w:pPr>
            <w:r w:rsidRPr="006A64AC">
              <w:rPr>
                <w:b/>
                <w:color w:val="2E74B5" w:themeColor="accent1" w:themeShade="BF"/>
                <w:lang w:val="fr-CA"/>
              </w:rPr>
              <w:t xml:space="preserve">Tester les opérations génératrices de produits (Étapes 1 à 5) — Obligation de prestation distincte (ou série de biens ou de services distincts) remplie progressivement </w:t>
            </w:r>
            <w:r w:rsidR="00B321B2" w:rsidRPr="00B321B2">
              <w:rPr>
                <w:b/>
                <w:color w:val="2E74B5" w:themeColor="accent1" w:themeShade="BF"/>
                <w:lang w:val="fr-CA"/>
              </w:rPr>
              <w:t>— [Type de produits] (NCA 540)</w:t>
            </w:r>
          </w:p>
        </w:tc>
        <w:tc>
          <w:tcPr>
            <w:tcW w:w="2754" w:type="dxa"/>
            <w:tcBorders>
              <w:top w:val="single" w:sz="12" w:space="0" w:color="2E74B5"/>
              <w:left w:val="nil"/>
              <w:bottom w:val="single" w:sz="12" w:space="0" w:color="2E74B5"/>
              <w:right w:val="nil"/>
            </w:tcBorders>
          </w:tcPr>
          <w:p w14:paraId="5C9A704D" w14:textId="28B9665E" w:rsidR="003551E5" w:rsidRPr="00473B58" w:rsidRDefault="003551E5" w:rsidP="003551E5">
            <w:pPr>
              <w:spacing w:before="120" w:after="120"/>
              <w:rPr>
                <w:b/>
                <w:color w:val="2E74B5" w:themeColor="accent1" w:themeShade="BF"/>
                <w:lang w:val="fr-CA"/>
              </w:rPr>
            </w:pPr>
          </w:p>
        </w:tc>
      </w:tr>
      <w:tr w:rsidR="003551E5" w:rsidRPr="00D97151" w14:paraId="0D4A32B6" w14:textId="2BD31683" w:rsidTr="00DD6D5A">
        <w:trPr>
          <w:trHeight w:val="60"/>
        </w:trPr>
        <w:tc>
          <w:tcPr>
            <w:tcW w:w="3240" w:type="dxa"/>
            <w:tcBorders>
              <w:top w:val="single" w:sz="12" w:space="0" w:color="2E74B5"/>
              <w:left w:val="nil"/>
              <w:bottom w:val="single" w:sz="12" w:space="0" w:color="2E74B5"/>
              <w:right w:val="nil"/>
            </w:tcBorders>
          </w:tcPr>
          <w:p w14:paraId="5AF4023C" w14:textId="7DE7385D" w:rsidR="003551E5" w:rsidRPr="00473B58" w:rsidRDefault="005371A7">
            <w:pPr>
              <w:spacing w:before="120" w:after="120"/>
              <w:rPr>
                <w:lang w:val="fr-CA"/>
              </w:rPr>
            </w:pPr>
            <w:r w:rsidRPr="00473B58">
              <w:rPr>
                <w:lang w:val="fr-CA"/>
              </w:rPr>
              <w:t>Utilisée dans tous les cas qui ne sont pas couverts par l</w:t>
            </w:r>
            <w:r w:rsidR="005A6F36" w:rsidRPr="00473B58">
              <w:rPr>
                <w:lang w:val="fr-CA"/>
              </w:rPr>
              <w:t xml:space="preserve">es </w:t>
            </w:r>
            <w:r w:rsidRPr="00473B58">
              <w:rPr>
                <w:lang w:val="fr-CA"/>
              </w:rPr>
              <w:t>autre</w:t>
            </w:r>
            <w:r w:rsidR="005A6F36" w:rsidRPr="00473B58">
              <w:rPr>
                <w:lang w:val="fr-CA"/>
              </w:rPr>
              <w:t>s</w:t>
            </w:r>
            <w:r w:rsidRPr="00473B58">
              <w:rPr>
                <w:lang w:val="fr-CA"/>
              </w:rPr>
              <w:t xml:space="preserve"> pro</w:t>
            </w:r>
            <w:r w:rsidR="004B7B89" w:rsidRPr="00473B58">
              <w:rPr>
                <w:lang w:val="fr-CA"/>
              </w:rPr>
              <w:t>cédure</w:t>
            </w:r>
            <w:r w:rsidR="005A6F36" w:rsidRPr="00473B58">
              <w:rPr>
                <w:lang w:val="fr-CA"/>
              </w:rPr>
              <w:t>s</w:t>
            </w:r>
            <w:r w:rsidR="004B7B89" w:rsidRPr="00473B58">
              <w:rPr>
                <w:lang w:val="fr-CA"/>
              </w:rPr>
              <w:t xml:space="preserve"> de test des produits (p. </w:t>
            </w:r>
            <w:r w:rsidRPr="00473B58">
              <w:rPr>
                <w:lang w:val="fr-CA"/>
              </w:rPr>
              <w:t>ex. obligation de prestation distincte remplie à un moment précis ou d’autres contrats générateurs de produits particuliers</w:t>
            </w:r>
            <w:r w:rsidR="003551E5" w:rsidRPr="00473B58">
              <w:rPr>
                <w:lang w:val="fr-CA"/>
              </w:rPr>
              <w:t>)</w:t>
            </w:r>
            <w:r w:rsidR="004B7B89" w:rsidRPr="00473B58">
              <w:rPr>
                <w:lang w:val="fr-CA"/>
              </w:rPr>
              <w:t>.</w:t>
            </w:r>
          </w:p>
        </w:tc>
        <w:tc>
          <w:tcPr>
            <w:tcW w:w="3240" w:type="dxa"/>
            <w:tcBorders>
              <w:top w:val="single" w:sz="12" w:space="0" w:color="2E74B5"/>
              <w:left w:val="nil"/>
              <w:bottom w:val="single" w:sz="12" w:space="0" w:color="2E74B5"/>
              <w:right w:val="single" w:sz="12" w:space="0" w:color="2E74B5" w:themeColor="accent1" w:themeShade="BF"/>
            </w:tcBorders>
          </w:tcPr>
          <w:p w14:paraId="5E069262" w14:textId="496C7105" w:rsidR="003551E5" w:rsidRPr="00473B58" w:rsidRDefault="005371A7" w:rsidP="00ED2D7E">
            <w:pPr>
              <w:spacing w:before="120" w:after="120"/>
              <w:rPr>
                <w:lang w:val="fr-CA"/>
              </w:rPr>
            </w:pPr>
            <w:r w:rsidRPr="00473B58">
              <w:rPr>
                <w:lang w:val="fr-CA"/>
              </w:rPr>
              <w:t>Une entité fabrique et vend des produits particuliers qui sont considérés comme une obligation de prestation distincte remplie à un moment précis, à savoir la livraison au client</w:t>
            </w:r>
            <w:r w:rsidR="003551E5" w:rsidRPr="00473B58">
              <w:rPr>
                <w:lang w:val="fr-CA"/>
              </w:rPr>
              <w:t>.</w:t>
            </w:r>
          </w:p>
          <w:p w14:paraId="3D2AAA98" w14:textId="1C83A2F9" w:rsidR="003551E5" w:rsidRPr="00473B58" w:rsidRDefault="005371A7" w:rsidP="005371A7">
            <w:pPr>
              <w:spacing w:before="120" w:after="120"/>
              <w:rPr>
                <w:lang w:val="fr-CA"/>
              </w:rPr>
            </w:pPr>
            <w:r w:rsidRPr="00473B58">
              <w:rPr>
                <w:lang w:val="fr-CA"/>
              </w:rPr>
              <w:t xml:space="preserve">Les activités de livraison et de manutention sont du ressort de l’entité et le contrôle des biens n’est pas transféré au client tant qu’il ne reçoit pas les biens </w:t>
            </w:r>
            <w:r w:rsidR="003551E5" w:rsidRPr="00473B58">
              <w:rPr>
                <w:lang w:val="fr-CA"/>
              </w:rPr>
              <w:t>(</w:t>
            </w:r>
            <w:r w:rsidRPr="00473B58">
              <w:rPr>
                <w:lang w:val="fr-CA"/>
              </w:rPr>
              <w:t xml:space="preserve">p. ex. les activités de livraison et de manutention ne sont pas considérées comme une obligation de prestation distincte). </w:t>
            </w:r>
          </w:p>
        </w:tc>
        <w:tc>
          <w:tcPr>
            <w:tcW w:w="3240" w:type="dxa"/>
            <w:tcBorders>
              <w:top w:val="single" w:sz="12" w:space="0" w:color="2E74B5"/>
              <w:left w:val="single" w:sz="12" w:space="0" w:color="2E74B5" w:themeColor="accent1" w:themeShade="BF"/>
              <w:bottom w:val="single" w:sz="12" w:space="0" w:color="2E74B5"/>
              <w:right w:val="nil"/>
            </w:tcBorders>
          </w:tcPr>
          <w:p w14:paraId="05ACECE3" w14:textId="09099E5B" w:rsidR="00603071" w:rsidRPr="006A64AC" w:rsidRDefault="005A6F36" w:rsidP="00603071">
            <w:pPr>
              <w:spacing w:before="120" w:after="120"/>
              <w:rPr>
                <w:b/>
                <w:lang w:val="fr-CA"/>
              </w:rPr>
            </w:pPr>
            <w:r w:rsidRPr="006A64AC">
              <w:rPr>
                <w:b/>
                <w:lang w:val="fr-CA"/>
              </w:rPr>
              <w:t>O</w:t>
            </w:r>
            <w:r w:rsidR="00603071" w:rsidRPr="006A64AC">
              <w:rPr>
                <w:b/>
                <w:lang w:val="fr-CA"/>
              </w:rPr>
              <w:t xml:space="preserve">bligation </w:t>
            </w:r>
            <w:r w:rsidR="00194EB6" w:rsidRPr="006A64AC">
              <w:rPr>
                <w:b/>
                <w:lang w:val="fr-CA"/>
              </w:rPr>
              <w:t xml:space="preserve">de prestation </w:t>
            </w:r>
            <w:r w:rsidR="00C62D82">
              <w:rPr>
                <w:b/>
                <w:lang w:val="fr-CA"/>
              </w:rPr>
              <w:t>distincte r</w:t>
            </w:r>
            <w:r w:rsidR="00194EB6" w:rsidRPr="006A64AC">
              <w:rPr>
                <w:b/>
                <w:lang w:val="fr-CA"/>
              </w:rPr>
              <w:t xml:space="preserve">emplie progressivement </w:t>
            </w:r>
            <w:r w:rsidR="00603071" w:rsidRPr="006A64AC">
              <w:rPr>
                <w:b/>
                <w:lang w:val="fr-CA"/>
              </w:rPr>
              <w:t xml:space="preserve">: </w:t>
            </w:r>
            <w:r w:rsidR="00F26058" w:rsidRPr="00473B58">
              <w:rPr>
                <w:lang w:val="fr-CA"/>
              </w:rPr>
              <w:t>Une compagnie de chemin de fer de marchandises conclut un contrat avec un</w:t>
            </w:r>
            <w:r w:rsidR="00335CDF" w:rsidRPr="00473B58">
              <w:rPr>
                <w:lang w:val="fr-CA"/>
              </w:rPr>
              <w:t xml:space="preserve"> expéditeur pour transporter des marchandises du point A au point B. L’expéditeur a </w:t>
            </w:r>
            <w:r w:rsidR="00335CDF" w:rsidRPr="006A64AC">
              <w:rPr>
                <w:lang w:val="fr-CA"/>
              </w:rPr>
              <w:t>l’obligation inconditionnelle de payer la compagnie pour les services de transport une fois que la m</w:t>
            </w:r>
            <w:r w:rsidR="00C62D82">
              <w:rPr>
                <w:lang w:val="fr-CA"/>
              </w:rPr>
              <w:t>archandise est arrivée à destination (au point</w:t>
            </w:r>
            <w:r w:rsidR="00C62D82" w:rsidRPr="006A64AC">
              <w:rPr>
                <w:lang w:val="fr-CA"/>
              </w:rPr>
              <w:t xml:space="preserve"> </w:t>
            </w:r>
            <w:r w:rsidR="00603071" w:rsidRPr="006A64AC">
              <w:rPr>
                <w:lang w:val="fr-CA"/>
              </w:rPr>
              <w:t>B</w:t>
            </w:r>
            <w:r w:rsidR="00C62D82">
              <w:rPr>
                <w:lang w:val="fr-CA"/>
              </w:rPr>
              <w:t>)</w:t>
            </w:r>
            <w:r w:rsidR="00603071" w:rsidRPr="006A64AC">
              <w:rPr>
                <w:lang w:val="fr-CA"/>
              </w:rPr>
              <w:t>.</w:t>
            </w:r>
            <w:r w:rsidR="00603071" w:rsidRPr="006A64AC">
              <w:rPr>
                <w:b/>
                <w:lang w:val="fr-CA"/>
              </w:rPr>
              <w:t xml:space="preserve"> </w:t>
            </w:r>
          </w:p>
          <w:p w14:paraId="1978E457" w14:textId="2A6A5421" w:rsidR="003551E5" w:rsidRPr="00473B58" w:rsidRDefault="00603071">
            <w:pPr>
              <w:spacing w:before="120" w:after="120"/>
              <w:rPr>
                <w:lang w:val="fr-CA"/>
              </w:rPr>
            </w:pPr>
            <w:r w:rsidRPr="006A64AC">
              <w:rPr>
                <w:b/>
                <w:lang w:val="fr-CA"/>
              </w:rPr>
              <w:t>S</w:t>
            </w:r>
            <w:r w:rsidR="00194EB6" w:rsidRPr="006A64AC">
              <w:rPr>
                <w:b/>
                <w:lang w:val="fr-CA"/>
              </w:rPr>
              <w:t xml:space="preserve">érie de biens distincts </w:t>
            </w:r>
            <w:r w:rsidRPr="006A64AC">
              <w:rPr>
                <w:b/>
                <w:lang w:val="fr-CA"/>
              </w:rPr>
              <w:t>:</w:t>
            </w:r>
            <w:r w:rsidR="00335CDF" w:rsidRPr="00473B58">
              <w:rPr>
                <w:lang w:val="fr-CA"/>
              </w:rPr>
              <w:t xml:space="preserve"> Une entité a conclu un contrat pour produire et livrer </w:t>
            </w:r>
            <w:r w:rsidRPr="006A64AC">
              <w:rPr>
                <w:lang w:val="fr-CA"/>
              </w:rPr>
              <w:t xml:space="preserve">50 trains </w:t>
            </w:r>
            <w:r w:rsidR="00335CDF" w:rsidRPr="00473B58">
              <w:rPr>
                <w:lang w:val="fr-CA"/>
              </w:rPr>
              <w:t xml:space="preserve">sur une période de 36 mois. Le produit est entièrement développé, de sorte que les services de conception ne sont pas inclus dans le contrat. </w:t>
            </w:r>
            <w:r w:rsidR="00C62D82">
              <w:rPr>
                <w:lang w:val="fr-CA"/>
              </w:rPr>
              <w:t xml:space="preserve">On </w:t>
            </w:r>
            <w:r w:rsidR="00335CDF" w:rsidRPr="00473B58">
              <w:rPr>
                <w:lang w:val="fr-CA"/>
              </w:rPr>
              <w:t xml:space="preserve">conclut que chaque unité est un bien distinct. </w:t>
            </w:r>
            <w:r w:rsidR="00A95C9A" w:rsidRPr="00473B58">
              <w:rPr>
                <w:lang w:val="fr-CA"/>
              </w:rPr>
              <w:t>Une unité individuelle satisfait aux critères de comptabilisation progressive des produit</w:t>
            </w:r>
            <w:r w:rsidR="0091295C">
              <w:rPr>
                <w:lang w:val="fr-CA"/>
              </w:rPr>
              <w:t>s</w:t>
            </w:r>
            <w:r w:rsidR="00A95C9A" w:rsidRPr="00473B58">
              <w:rPr>
                <w:lang w:val="fr-CA"/>
              </w:rPr>
              <w:t>, car</w:t>
            </w:r>
            <w:r w:rsidR="00A95C9A" w:rsidRPr="006A64AC">
              <w:rPr>
                <w:lang w:val="fr-CA"/>
              </w:rPr>
              <w:t xml:space="preserve"> </w:t>
            </w:r>
            <w:r w:rsidR="00C62D82">
              <w:rPr>
                <w:lang w:val="fr-CA"/>
              </w:rPr>
              <w:t xml:space="preserve">la </w:t>
            </w:r>
            <w:r w:rsidR="00A95C9A" w:rsidRPr="00473B58">
              <w:rPr>
                <w:lang w:val="fr-CA"/>
              </w:rPr>
              <w:t xml:space="preserve">prestation ne crée pas un actif qui pourrait être utilisé autrement et le fabricant </w:t>
            </w:r>
            <w:r w:rsidR="00A95C9A" w:rsidRPr="006A64AC">
              <w:rPr>
                <w:lang w:val="fr-CA"/>
              </w:rPr>
              <w:t>a un droit exécutoire à un paiement au titre de la prestation effectuée jusqu</w:t>
            </w:r>
            <w:r w:rsidR="0091295C">
              <w:rPr>
                <w:lang w:val="fr-CA"/>
              </w:rPr>
              <w:t>’</w:t>
            </w:r>
            <w:r w:rsidR="00A95C9A" w:rsidRPr="006A64AC">
              <w:rPr>
                <w:lang w:val="fr-CA"/>
              </w:rPr>
              <w:t>à la date considérée</w:t>
            </w:r>
            <w:r w:rsidR="00A95C9A" w:rsidRPr="00473B58">
              <w:rPr>
                <w:lang w:val="fr-CA"/>
              </w:rPr>
              <w:t xml:space="preserve"> </w:t>
            </w:r>
            <w:r w:rsidRPr="006A64AC">
              <w:rPr>
                <w:lang w:val="fr-CA"/>
              </w:rPr>
              <w:t>(</w:t>
            </w:r>
            <w:r w:rsidR="00A95C9A" w:rsidRPr="006A64AC">
              <w:rPr>
                <w:lang w:val="fr-CA"/>
              </w:rPr>
              <w:t>c.-à-d. le droit au paiement à mesure que les biens sont fabriqués</w:t>
            </w:r>
            <w:r w:rsidR="00C62D82">
              <w:rPr>
                <w:lang w:val="fr-CA"/>
              </w:rPr>
              <w:t>)</w:t>
            </w:r>
            <w:r w:rsidRPr="006A64AC">
              <w:rPr>
                <w:lang w:val="fr-CA"/>
              </w:rPr>
              <w:t>.</w:t>
            </w:r>
          </w:p>
        </w:tc>
        <w:tc>
          <w:tcPr>
            <w:tcW w:w="2754" w:type="dxa"/>
            <w:tcBorders>
              <w:top w:val="single" w:sz="12" w:space="0" w:color="2E74B5"/>
              <w:left w:val="nil"/>
              <w:bottom w:val="single" w:sz="12" w:space="0" w:color="2E74B5"/>
              <w:right w:val="nil"/>
            </w:tcBorders>
          </w:tcPr>
          <w:p w14:paraId="5C135F94" w14:textId="07E8B3C7" w:rsidR="003551E5" w:rsidRPr="00473B58" w:rsidRDefault="003551E5" w:rsidP="00CA4675">
            <w:pPr>
              <w:spacing w:before="120" w:after="120"/>
              <w:rPr>
                <w:lang w:val="fr-CA"/>
              </w:rPr>
            </w:pPr>
          </w:p>
        </w:tc>
      </w:tr>
    </w:tbl>
    <w:p w14:paraId="2E712B19" w14:textId="77777777" w:rsidR="00902A2D" w:rsidRPr="00473B58" w:rsidRDefault="00902A2D" w:rsidP="00ED2D7E">
      <w:pPr>
        <w:spacing w:before="120" w:after="120" w:line="240" w:lineRule="auto"/>
        <w:rPr>
          <w:lang w:val="fr-CA"/>
        </w:rPr>
      </w:pPr>
      <w:r w:rsidRPr="00473B58">
        <w:rPr>
          <w:lang w:val="fr-CA"/>
        </w:rPr>
        <w:br w:type="page"/>
      </w:r>
    </w:p>
    <w:tbl>
      <w:tblPr>
        <w:tblStyle w:val="TableGrid"/>
        <w:tblW w:w="12960" w:type="dxa"/>
        <w:tblLook w:val="04A0" w:firstRow="1" w:lastRow="0" w:firstColumn="1" w:lastColumn="0" w:noHBand="0" w:noVBand="1"/>
      </w:tblPr>
      <w:tblGrid>
        <w:gridCol w:w="2525"/>
        <w:gridCol w:w="567"/>
        <w:gridCol w:w="2296"/>
        <w:gridCol w:w="32"/>
        <w:gridCol w:w="3950"/>
        <w:gridCol w:w="40"/>
        <w:gridCol w:w="3550"/>
      </w:tblGrid>
      <w:tr w:rsidR="00603071" w:rsidRPr="00D97151" w14:paraId="67B80BC1" w14:textId="5A5F75DA" w:rsidTr="00D97151">
        <w:tc>
          <w:tcPr>
            <w:tcW w:w="3092" w:type="dxa"/>
            <w:gridSpan w:val="2"/>
            <w:tcBorders>
              <w:top w:val="single" w:sz="12" w:space="0" w:color="2E74B5" w:themeColor="accent1" w:themeShade="BF"/>
              <w:left w:val="nil"/>
              <w:bottom w:val="single" w:sz="12" w:space="0" w:color="2E74B5" w:themeColor="accent1" w:themeShade="BF"/>
              <w:right w:val="nil"/>
            </w:tcBorders>
          </w:tcPr>
          <w:p w14:paraId="0A0615E9" w14:textId="0547CC31" w:rsidR="00603071" w:rsidRPr="00473B58" w:rsidRDefault="00603071" w:rsidP="005371A7">
            <w:pPr>
              <w:spacing w:before="120" w:after="120"/>
              <w:jc w:val="center"/>
              <w:rPr>
                <w:lang w:val="fr-CA"/>
              </w:rPr>
            </w:pPr>
          </w:p>
        </w:tc>
        <w:tc>
          <w:tcPr>
            <w:tcW w:w="2296" w:type="dxa"/>
            <w:tcBorders>
              <w:top w:val="single" w:sz="12" w:space="0" w:color="2E74B5" w:themeColor="accent1" w:themeShade="BF"/>
              <w:left w:val="nil"/>
              <w:bottom w:val="single" w:sz="12" w:space="0" w:color="2E74B5" w:themeColor="accent1" w:themeShade="BF"/>
              <w:right w:val="nil"/>
            </w:tcBorders>
            <w:vAlign w:val="bottom"/>
          </w:tcPr>
          <w:p w14:paraId="26833B13" w14:textId="01041D36" w:rsidR="00603071" w:rsidRPr="00473B58" w:rsidRDefault="00603071" w:rsidP="005371A7">
            <w:pPr>
              <w:spacing w:before="120" w:after="120"/>
              <w:rPr>
                <w:color w:val="2E74B5" w:themeColor="accent1" w:themeShade="BF"/>
                <w:lang w:val="fr-CA"/>
              </w:rPr>
            </w:pPr>
            <w:r w:rsidRPr="00473B58">
              <w:rPr>
                <w:b/>
                <w:color w:val="2E74B5" w:themeColor="accent1" w:themeShade="BF"/>
                <w:lang w:val="fr-CA"/>
              </w:rPr>
              <w:t>Tester les opérations génératrices de produits (Étapes 1 à 5)</w:t>
            </w:r>
            <w:r w:rsidR="00BE578B">
              <w:rPr>
                <w:b/>
                <w:color w:val="2E74B5" w:themeColor="accent1" w:themeShade="BF"/>
                <w:lang w:val="fr-CA"/>
              </w:rPr>
              <w:t xml:space="preserve"> (NCA 540)</w:t>
            </w:r>
          </w:p>
        </w:tc>
        <w:tc>
          <w:tcPr>
            <w:tcW w:w="4022" w:type="dxa"/>
            <w:gridSpan w:val="3"/>
            <w:tcBorders>
              <w:top w:val="single" w:sz="12" w:space="0" w:color="2E74B5" w:themeColor="accent1" w:themeShade="BF"/>
              <w:left w:val="nil"/>
              <w:bottom w:val="single" w:sz="12" w:space="0" w:color="2E74B5" w:themeColor="accent1" w:themeShade="BF"/>
              <w:right w:val="nil"/>
            </w:tcBorders>
            <w:vAlign w:val="bottom"/>
          </w:tcPr>
          <w:p w14:paraId="137E20EC" w14:textId="14B33A45" w:rsidR="00603071" w:rsidRPr="00473B58" w:rsidRDefault="00603071" w:rsidP="005371A7">
            <w:pPr>
              <w:spacing w:before="120" w:after="120"/>
              <w:rPr>
                <w:color w:val="2E74B5" w:themeColor="accent1" w:themeShade="BF"/>
                <w:lang w:val="fr-CA"/>
              </w:rPr>
            </w:pPr>
            <w:r w:rsidRPr="00473B58">
              <w:rPr>
                <w:b/>
                <w:color w:val="2E74B5" w:themeColor="accent1" w:themeShade="BF"/>
                <w:lang w:val="fr-CA"/>
              </w:rPr>
              <w:t>Tester les opérations génératrices de produits (Étapes 1 à 5) — Obligation de prestation distincte remplie à un moment précis</w:t>
            </w:r>
            <w:r w:rsidR="00BE578B">
              <w:rPr>
                <w:b/>
                <w:color w:val="2E74B5" w:themeColor="accent1" w:themeShade="BF"/>
                <w:lang w:val="fr-CA"/>
              </w:rPr>
              <w:t xml:space="preserve"> </w:t>
            </w:r>
            <w:r w:rsidR="00BE578B" w:rsidRPr="00B321B2">
              <w:rPr>
                <w:b/>
                <w:color w:val="2E74B5" w:themeColor="accent1" w:themeShade="BF"/>
                <w:lang w:val="fr-CA"/>
              </w:rPr>
              <w:t>— [Type de produits] (NCA 540)</w:t>
            </w:r>
          </w:p>
        </w:tc>
        <w:tc>
          <w:tcPr>
            <w:tcW w:w="3550" w:type="dxa"/>
            <w:tcBorders>
              <w:top w:val="single" w:sz="12" w:space="0" w:color="2E74B5" w:themeColor="accent1" w:themeShade="BF"/>
              <w:left w:val="nil"/>
              <w:bottom w:val="single" w:sz="12" w:space="0" w:color="2E74B5" w:themeColor="accent1" w:themeShade="BF"/>
              <w:right w:val="nil"/>
            </w:tcBorders>
          </w:tcPr>
          <w:p w14:paraId="1B391FD0" w14:textId="2C654016" w:rsidR="00603071" w:rsidRPr="00473B58" w:rsidRDefault="00A95C9A">
            <w:pPr>
              <w:spacing w:before="120" w:after="120"/>
              <w:rPr>
                <w:b/>
                <w:color w:val="2E74B5" w:themeColor="accent1" w:themeShade="BF"/>
                <w:lang w:val="fr-CA"/>
              </w:rPr>
            </w:pPr>
            <w:r w:rsidRPr="006A64AC">
              <w:rPr>
                <w:b/>
                <w:color w:val="2E74B5" w:themeColor="accent1" w:themeShade="BF"/>
                <w:lang w:val="fr-CA"/>
              </w:rPr>
              <w:t xml:space="preserve">Tester les opérations génératrices de produits (Étapes 1 à 5) — Obligation de prestation distincte (ou série de biens ou de services distincts) remplie progressivement </w:t>
            </w:r>
            <w:r w:rsidR="00BE578B" w:rsidRPr="00B321B2">
              <w:rPr>
                <w:b/>
                <w:color w:val="2E74B5" w:themeColor="accent1" w:themeShade="BF"/>
                <w:lang w:val="fr-CA"/>
              </w:rPr>
              <w:t>— [Type de produits] (NCA 540)</w:t>
            </w:r>
          </w:p>
        </w:tc>
      </w:tr>
      <w:tr w:rsidR="00603071" w:rsidRPr="00D97151" w14:paraId="77B1AF52" w14:textId="79862C73" w:rsidTr="00D97151">
        <w:tc>
          <w:tcPr>
            <w:tcW w:w="9410" w:type="dxa"/>
            <w:gridSpan w:val="6"/>
            <w:tcBorders>
              <w:top w:val="single" w:sz="12" w:space="0" w:color="2E74B5" w:themeColor="accent1" w:themeShade="BF"/>
              <w:left w:val="nil"/>
              <w:right w:val="nil"/>
            </w:tcBorders>
          </w:tcPr>
          <w:p w14:paraId="1BF5D539" w14:textId="0B3FD41B" w:rsidR="00603071" w:rsidRPr="00473B58" w:rsidRDefault="00603071" w:rsidP="005371A7">
            <w:pPr>
              <w:spacing w:before="120" w:after="120"/>
              <w:ind w:right="-60"/>
              <w:rPr>
                <w:color w:val="2E74B5" w:themeColor="accent1" w:themeShade="BF"/>
                <w:lang w:val="fr-CA"/>
              </w:rPr>
            </w:pPr>
            <w:r w:rsidRPr="00473B58">
              <w:rPr>
                <w:color w:val="2E74B5" w:themeColor="accent1" w:themeShade="BF"/>
                <w:lang w:val="fr-CA"/>
              </w:rPr>
              <w:t xml:space="preserve">Résumé des cas visés par chaque procédure </w:t>
            </w:r>
          </w:p>
        </w:tc>
        <w:tc>
          <w:tcPr>
            <w:tcW w:w="3550" w:type="dxa"/>
            <w:tcBorders>
              <w:top w:val="single" w:sz="12" w:space="0" w:color="2E74B5" w:themeColor="accent1" w:themeShade="BF"/>
              <w:left w:val="nil"/>
              <w:right w:val="nil"/>
            </w:tcBorders>
          </w:tcPr>
          <w:p w14:paraId="2B643954" w14:textId="77777777" w:rsidR="00603071" w:rsidRPr="00473B58" w:rsidRDefault="00603071" w:rsidP="005371A7">
            <w:pPr>
              <w:spacing w:before="120" w:after="120"/>
              <w:ind w:right="-60"/>
              <w:rPr>
                <w:color w:val="2E74B5" w:themeColor="accent1" w:themeShade="BF"/>
                <w:lang w:val="fr-CA"/>
              </w:rPr>
            </w:pPr>
          </w:p>
        </w:tc>
      </w:tr>
      <w:tr w:rsidR="00603071" w:rsidRPr="00473B58" w14:paraId="536D60AD" w14:textId="3EF8279A" w:rsidTr="00D97151">
        <w:tc>
          <w:tcPr>
            <w:tcW w:w="3092" w:type="dxa"/>
            <w:gridSpan w:val="2"/>
            <w:tcBorders>
              <w:top w:val="single" w:sz="4" w:space="0" w:color="auto"/>
              <w:left w:val="nil"/>
              <w:bottom w:val="single" w:sz="4" w:space="0" w:color="auto"/>
              <w:right w:val="nil"/>
            </w:tcBorders>
          </w:tcPr>
          <w:p w14:paraId="769FC3E3" w14:textId="4AEA5DD8" w:rsidR="00603071" w:rsidRPr="00473B58" w:rsidRDefault="00603071" w:rsidP="005371A7">
            <w:pPr>
              <w:spacing w:before="120" w:after="120"/>
              <w:rPr>
                <w:b/>
                <w:lang w:val="fr-CA"/>
              </w:rPr>
            </w:pPr>
            <w:r w:rsidRPr="00473B58">
              <w:rPr>
                <w:b/>
                <w:lang w:val="fr-CA"/>
              </w:rPr>
              <w:t>Obligations de prestation remplies à un moment précis</w:t>
            </w:r>
          </w:p>
        </w:tc>
        <w:tc>
          <w:tcPr>
            <w:tcW w:w="2296" w:type="dxa"/>
            <w:tcBorders>
              <w:top w:val="single" w:sz="4" w:space="0" w:color="auto"/>
              <w:left w:val="nil"/>
              <w:bottom w:val="single" w:sz="4" w:space="0" w:color="auto"/>
              <w:right w:val="nil"/>
            </w:tcBorders>
            <w:shd w:val="clear" w:color="auto" w:fill="auto"/>
          </w:tcPr>
          <w:p w14:paraId="6A2AD944" w14:textId="3227880F" w:rsidR="00603071" w:rsidRPr="00473B58" w:rsidRDefault="00A95C9A" w:rsidP="006A64AC">
            <w:pPr>
              <w:spacing w:before="120" w:after="120"/>
              <w:rPr>
                <w:lang w:val="fr-CA"/>
              </w:rPr>
            </w:pPr>
            <w:r w:rsidRPr="00473B58">
              <w:rPr>
                <w:lang w:val="fr-CA"/>
              </w:rPr>
              <w:t>Obligation</w:t>
            </w:r>
            <w:r w:rsidR="00C62D82">
              <w:rPr>
                <w:lang w:val="fr-CA"/>
              </w:rPr>
              <w:t>s</w:t>
            </w:r>
            <w:r w:rsidRPr="00473B58">
              <w:rPr>
                <w:lang w:val="fr-CA"/>
              </w:rPr>
              <w:t xml:space="preserve"> de prestation multiples</w:t>
            </w:r>
          </w:p>
        </w:tc>
        <w:tc>
          <w:tcPr>
            <w:tcW w:w="4022" w:type="dxa"/>
            <w:gridSpan w:val="3"/>
            <w:tcBorders>
              <w:top w:val="single" w:sz="4" w:space="0" w:color="auto"/>
              <w:left w:val="nil"/>
              <w:bottom w:val="single" w:sz="4" w:space="0" w:color="auto"/>
              <w:right w:val="nil"/>
            </w:tcBorders>
          </w:tcPr>
          <w:p w14:paraId="08DE0503" w14:textId="4B062E77" w:rsidR="00603071" w:rsidRPr="00473B58" w:rsidRDefault="00603071" w:rsidP="005371A7">
            <w:pPr>
              <w:spacing w:before="120" w:after="120"/>
              <w:rPr>
                <w:lang w:val="fr-CA"/>
              </w:rPr>
            </w:pPr>
            <w:r w:rsidRPr="00473B58">
              <w:rPr>
                <w:lang w:val="fr-CA"/>
              </w:rPr>
              <w:t>Obligation de prestation distincte</w:t>
            </w:r>
          </w:p>
        </w:tc>
        <w:tc>
          <w:tcPr>
            <w:tcW w:w="3550" w:type="dxa"/>
            <w:tcBorders>
              <w:top w:val="single" w:sz="4" w:space="0" w:color="auto"/>
              <w:left w:val="nil"/>
              <w:bottom w:val="single" w:sz="4" w:space="0" w:color="auto"/>
              <w:right w:val="nil"/>
            </w:tcBorders>
            <w:shd w:val="clear" w:color="auto" w:fill="767171" w:themeFill="background2" w:themeFillShade="80"/>
          </w:tcPr>
          <w:p w14:paraId="511421DA" w14:textId="77777777" w:rsidR="00603071" w:rsidRPr="00473B58" w:rsidRDefault="00603071" w:rsidP="005371A7">
            <w:pPr>
              <w:spacing w:before="120" w:after="120"/>
              <w:rPr>
                <w:lang w:val="fr-CA"/>
              </w:rPr>
            </w:pPr>
          </w:p>
        </w:tc>
      </w:tr>
      <w:tr w:rsidR="00603071" w:rsidRPr="00473B58" w14:paraId="12909627" w14:textId="0C63790C" w:rsidTr="00D97151">
        <w:tc>
          <w:tcPr>
            <w:tcW w:w="3092" w:type="dxa"/>
            <w:gridSpan w:val="2"/>
            <w:tcBorders>
              <w:top w:val="single" w:sz="4" w:space="0" w:color="auto"/>
              <w:left w:val="nil"/>
              <w:bottom w:val="single" w:sz="4" w:space="0" w:color="auto"/>
              <w:right w:val="nil"/>
            </w:tcBorders>
          </w:tcPr>
          <w:p w14:paraId="2622A9E9" w14:textId="6C540770" w:rsidR="00603071" w:rsidRPr="00473B58" w:rsidRDefault="00603071" w:rsidP="005371A7">
            <w:pPr>
              <w:spacing w:before="120" w:after="120"/>
              <w:rPr>
                <w:b/>
                <w:lang w:val="fr-CA"/>
              </w:rPr>
            </w:pPr>
            <w:r w:rsidRPr="00473B58">
              <w:rPr>
                <w:b/>
                <w:lang w:val="fr-CA"/>
              </w:rPr>
              <w:t>Obligations de prestation (ou séries de biens ou de services distincts) remplies progressivement</w:t>
            </w:r>
          </w:p>
        </w:tc>
        <w:tc>
          <w:tcPr>
            <w:tcW w:w="2296" w:type="dxa"/>
            <w:tcBorders>
              <w:top w:val="single" w:sz="4" w:space="0" w:color="auto"/>
              <w:left w:val="nil"/>
              <w:bottom w:val="single" w:sz="4" w:space="0" w:color="auto"/>
              <w:right w:val="nil"/>
            </w:tcBorders>
          </w:tcPr>
          <w:p w14:paraId="1ADD1A0D" w14:textId="4BCBB347" w:rsidR="00603071" w:rsidRPr="00473B58" w:rsidRDefault="00603071" w:rsidP="005371A7">
            <w:pPr>
              <w:spacing w:before="120" w:after="120"/>
              <w:rPr>
                <w:lang w:val="fr-CA"/>
              </w:rPr>
            </w:pPr>
            <w:r w:rsidRPr="00473B58">
              <w:rPr>
                <w:lang w:val="fr-CA"/>
              </w:rPr>
              <w:t xml:space="preserve">Obligations de prestation multiples </w:t>
            </w:r>
          </w:p>
        </w:tc>
        <w:tc>
          <w:tcPr>
            <w:tcW w:w="4022" w:type="dxa"/>
            <w:gridSpan w:val="3"/>
            <w:tcBorders>
              <w:top w:val="single" w:sz="4" w:space="0" w:color="auto"/>
              <w:left w:val="nil"/>
              <w:bottom w:val="single" w:sz="4" w:space="0" w:color="auto"/>
              <w:right w:val="nil"/>
            </w:tcBorders>
            <w:shd w:val="clear" w:color="auto" w:fill="767171" w:themeFill="background2" w:themeFillShade="80"/>
          </w:tcPr>
          <w:p w14:paraId="2F3D265C" w14:textId="77777777" w:rsidR="00603071" w:rsidRPr="00473B58" w:rsidRDefault="00603071" w:rsidP="003551E5">
            <w:pPr>
              <w:spacing w:before="120" w:after="120"/>
              <w:rPr>
                <w:lang w:val="fr-CA"/>
              </w:rPr>
            </w:pPr>
          </w:p>
        </w:tc>
        <w:tc>
          <w:tcPr>
            <w:tcW w:w="3550" w:type="dxa"/>
            <w:tcBorders>
              <w:top w:val="single" w:sz="4" w:space="0" w:color="auto"/>
              <w:left w:val="nil"/>
              <w:bottom w:val="single" w:sz="4" w:space="0" w:color="auto"/>
              <w:right w:val="nil"/>
            </w:tcBorders>
            <w:shd w:val="clear" w:color="auto" w:fill="FFFFFF" w:themeFill="background1"/>
          </w:tcPr>
          <w:p w14:paraId="5F277475" w14:textId="70E2ED45" w:rsidR="00603071" w:rsidRPr="00473B58" w:rsidRDefault="00A95C9A" w:rsidP="003551E5">
            <w:pPr>
              <w:spacing w:before="120" w:after="120"/>
              <w:rPr>
                <w:lang w:val="fr-CA"/>
              </w:rPr>
            </w:pPr>
            <w:r w:rsidRPr="00473B58">
              <w:rPr>
                <w:lang w:val="fr-CA"/>
              </w:rPr>
              <w:t>Obligation de prestation distincte</w:t>
            </w:r>
          </w:p>
        </w:tc>
      </w:tr>
      <w:tr w:rsidR="00603071" w:rsidRPr="00473B58" w14:paraId="114A8204" w14:textId="07ABA810" w:rsidTr="00D97151">
        <w:tc>
          <w:tcPr>
            <w:tcW w:w="3092" w:type="dxa"/>
            <w:gridSpan w:val="2"/>
            <w:tcBorders>
              <w:top w:val="single" w:sz="4" w:space="0" w:color="auto"/>
              <w:left w:val="nil"/>
              <w:bottom w:val="single" w:sz="4" w:space="0" w:color="auto"/>
              <w:right w:val="nil"/>
            </w:tcBorders>
          </w:tcPr>
          <w:p w14:paraId="4FDD1568" w14:textId="6E1EE65F" w:rsidR="00603071" w:rsidRPr="00473B58" w:rsidRDefault="00603071" w:rsidP="005371A7">
            <w:pPr>
              <w:spacing w:before="120" w:after="120"/>
              <w:rPr>
                <w:b/>
                <w:lang w:val="fr-CA"/>
              </w:rPr>
            </w:pPr>
            <w:r w:rsidRPr="00473B58">
              <w:rPr>
                <w:b/>
                <w:lang w:val="fr-CA"/>
              </w:rPr>
              <w:t xml:space="preserve">Regroupement d’obligations de prestation remplies à un moment précis et progressivement en une seule opération </w:t>
            </w:r>
          </w:p>
        </w:tc>
        <w:tc>
          <w:tcPr>
            <w:tcW w:w="2296" w:type="dxa"/>
            <w:tcBorders>
              <w:top w:val="single" w:sz="4" w:space="0" w:color="auto"/>
              <w:left w:val="nil"/>
              <w:bottom w:val="single" w:sz="4" w:space="0" w:color="auto"/>
              <w:right w:val="nil"/>
            </w:tcBorders>
          </w:tcPr>
          <w:p w14:paraId="6F8B1C4E" w14:textId="7141EF57" w:rsidR="00603071" w:rsidRPr="00473B58" w:rsidRDefault="00603071" w:rsidP="003551E5">
            <w:pPr>
              <w:spacing w:before="120" w:after="120"/>
              <w:rPr>
                <w:lang w:val="fr-CA"/>
              </w:rPr>
            </w:pPr>
            <w:r w:rsidRPr="00473B58">
              <w:rPr>
                <w:lang w:val="fr-CA"/>
              </w:rPr>
              <w:t>Obligations de prestation multiples</w:t>
            </w:r>
          </w:p>
        </w:tc>
        <w:tc>
          <w:tcPr>
            <w:tcW w:w="4022" w:type="dxa"/>
            <w:gridSpan w:val="3"/>
            <w:tcBorders>
              <w:top w:val="single" w:sz="4" w:space="0" w:color="auto"/>
              <w:left w:val="nil"/>
              <w:bottom w:val="single" w:sz="4" w:space="0" w:color="auto"/>
              <w:right w:val="nil"/>
            </w:tcBorders>
            <w:shd w:val="clear" w:color="auto" w:fill="767171" w:themeFill="background2" w:themeFillShade="80"/>
          </w:tcPr>
          <w:p w14:paraId="46C9E142" w14:textId="77777777" w:rsidR="00603071" w:rsidRPr="00473B58" w:rsidRDefault="00603071" w:rsidP="003551E5">
            <w:pPr>
              <w:spacing w:before="120" w:after="120"/>
              <w:jc w:val="center"/>
              <w:rPr>
                <w:lang w:val="fr-CA"/>
              </w:rPr>
            </w:pPr>
          </w:p>
        </w:tc>
        <w:tc>
          <w:tcPr>
            <w:tcW w:w="3550" w:type="dxa"/>
            <w:tcBorders>
              <w:top w:val="single" w:sz="4" w:space="0" w:color="auto"/>
              <w:left w:val="nil"/>
              <w:bottom w:val="single" w:sz="4" w:space="0" w:color="auto"/>
              <w:right w:val="nil"/>
            </w:tcBorders>
            <w:shd w:val="clear" w:color="auto" w:fill="767171" w:themeFill="background2" w:themeFillShade="80"/>
          </w:tcPr>
          <w:p w14:paraId="5F5B3571" w14:textId="77777777" w:rsidR="00603071" w:rsidRPr="00473B58" w:rsidRDefault="00603071" w:rsidP="003551E5">
            <w:pPr>
              <w:spacing w:before="120" w:after="120"/>
              <w:jc w:val="center"/>
              <w:rPr>
                <w:lang w:val="fr-CA"/>
              </w:rPr>
            </w:pPr>
          </w:p>
        </w:tc>
      </w:tr>
      <w:tr w:rsidR="00603071" w:rsidRPr="00473B58" w14:paraId="28EDA182" w14:textId="491E22C4" w:rsidTr="00D97151">
        <w:tc>
          <w:tcPr>
            <w:tcW w:w="9410" w:type="dxa"/>
            <w:gridSpan w:val="6"/>
            <w:tcBorders>
              <w:top w:val="single" w:sz="4" w:space="0" w:color="auto"/>
              <w:left w:val="nil"/>
              <w:bottom w:val="single" w:sz="4" w:space="0" w:color="auto"/>
              <w:right w:val="nil"/>
            </w:tcBorders>
          </w:tcPr>
          <w:p w14:paraId="606F4D19" w14:textId="2AB8D6FE" w:rsidR="00603071" w:rsidRPr="00473B58" w:rsidRDefault="00603071" w:rsidP="005371A7">
            <w:pPr>
              <w:spacing w:before="120" w:after="120"/>
              <w:rPr>
                <w:color w:val="2E74B5" w:themeColor="accent1" w:themeShade="BF"/>
                <w:lang w:val="fr-CA"/>
              </w:rPr>
            </w:pPr>
            <w:r w:rsidRPr="00473B58">
              <w:rPr>
                <w:color w:val="2E74B5" w:themeColor="accent1" w:themeShade="BF"/>
                <w:lang w:val="fr-CA"/>
              </w:rPr>
              <w:t xml:space="preserve">Procédures générales </w:t>
            </w:r>
          </w:p>
        </w:tc>
        <w:tc>
          <w:tcPr>
            <w:tcW w:w="3550" w:type="dxa"/>
            <w:tcBorders>
              <w:top w:val="single" w:sz="4" w:space="0" w:color="auto"/>
              <w:left w:val="nil"/>
              <w:bottom w:val="single" w:sz="4" w:space="0" w:color="auto"/>
              <w:right w:val="nil"/>
            </w:tcBorders>
          </w:tcPr>
          <w:p w14:paraId="24289691" w14:textId="77777777" w:rsidR="00603071" w:rsidRPr="00473B58" w:rsidRDefault="00603071" w:rsidP="005371A7">
            <w:pPr>
              <w:spacing w:before="120" w:after="120"/>
              <w:rPr>
                <w:color w:val="2E74B5" w:themeColor="accent1" w:themeShade="BF"/>
                <w:lang w:val="fr-CA"/>
              </w:rPr>
            </w:pPr>
          </w:p>
        </w:tc>
      </w:tr>
      <w:tr w:rsidR="00603071" w:rsidRPr="00473B58" w14:paraId="44BF0348" w14:textId="4424F897" w:rsidTr="00D97151">
        <w:tc>
          <w:tcPr>
            <w:tcW w:w="3092" w:type="dxa"/>
            <w:gridSpan w:val="2"/>
            <w:tcBorders>
              <w:top w:val="single" w:sz="4" w:space="0" w:color="auto"/>
              <w:left w:val="nil"/>
              <w:bottom w:val="single" w:sz="4" w:space="0" w:color="auto"/>
              <w:right w:val="nil"/>
            </w:tcBorders>
          </w:tcPr>
          <w:p w14:paraId="50C7CDDB" w14:textId="72F3AB75" w:rsidR="00603071" w:rsidRPr="00473B58" w:rsidRDefault="00603071" w:rsidP="005371A7">
            <w:pPr>
              <w:spacing w:before="120" w:after="120"/>
              <w:rPr>
                <w:b/>
                <w:lang w:val="fr-CA"/>
              </w:rPr>
            </w:pPr>
            <w:r w:rsidRPr="00473B58">
              <w:rPr>
                <w:b/>
                <w:lang w:val="fr-CA"/>
              </w:rPr>
              <w:t xml:space="preserve">Obtenir la liste détaillée, rapprocher les totaux et vérifier l’exactitude arithmétique </w:t>
            </w:r>
          </w:p>
          <w:p w14:paraId="6EC95655" w14:textId="3FB2A4AC" w:rsidR="00603071" w:rsidRPr="00473B58" w:rsidRDefault="00603071" w:rsidP="003551E5">
            <w:pPr>
              <w:spacing w:before="120" w:after="120"/>
              <w:rPr>
                <w:b/>
                <w:lang w:val="fr-CA"/>
              </w:rPr>
            </w:pPr>
          </w:p>
        </w:tc>
        <w:tc>
          <w:tcPr>
            <w:tcW w:w="2296" w:type="dxa"/>
            <w:tcBorders>
              <w:top w:val="single" w:sz="4" w:space="0" w:color="auto"/>
              <w:left w:val="nil"/>
              <w:bottom w:val="single" w:sz="4" w:space="0" w:color="auto"/>
              <w:right w:val="nil"/>
            </w:tcBorders>
          </w:tcPr>
          <w:p w14:paraId="3D01DD09" w14:textId="4E223173" w:rsidR="00603071" w:rsidRPr="00473B58" w:rsidRDefault="00603071" w:rsidP="008F3C38">
            <w:pPr>
              <w:spacing w:before="120" w:after="120"/>
              <w:rPr>
                <w:lang w:val="fr-CA"/>
              </w:rPr>
            </w:pPr>
            <w:r w:rsidRPr="00473B58">
              <w:rPr>
                <w:lang w:val="fr-CA"/>
              </w:rPr>
              <w:t>Oui</w:t>
            </w:r>
          </w:p>
        </w:tc>
        <w:tc>
          <w:tcPr>
            <w:tcW w:w="4022" w:type="dxa"/>
            <w:gridSpan w:val="3"/>
            <w:tcBorders>
              <w:top w:val="single" w:sz="4" w:space="0" w:color="auto"/>
              <w:left w:val="nil"/>
              <w:bottom w:val="single" w:sz="4" w:space="0" w:color="auto"/>
              <w:right w:val="nil"/>
            </w:tcBorders>
          </w:tcPr>
          <w:p w14:paraId="0B897A50" w14:textId="49179A5B" w:rsidR="00603071" w:rsidRPr="00473B58" w:rsidRDefault="00603071" w:rsidP="008F3C38">
            <w:pPr>
              <w:spacing w:before="120" w:after="120"/>
              <w:rPr>
                <w:lang w:val="fr-CA"/>
              </w:rPr>
            </w:pPr>
            <w:r w:rsidRPr="00473B58">
              <w:rPr>
                <w:lang w:val="fr-CA"/>
              </w:rPr>
              <w:t>Oui</w:t>
            </w:r>
          </w:p>
        </w:tc>
        <w:tc>
          <w:tcPr>
            <w:tcW w:w="3550" w:type="dxa"/>
            <w:tcBorders>
              <w:top w:val="single" w:sz="4" w:space="0" w:color="auto"/>
              <w:left w:val="nil"/>
              <w:bottom w:val="single" w:sz="4" w:space="0" w:color="auto"/>
              <w:right w:val="nil"/>
            </w:tcBorders>
          </w:tcPr>
          <w:p w14:paraId="5961905F" w14:textId="050D7970" w:rsidR="00603071" w:rsidRPr="00473B58" w:rsidRDefault="00603071" w:rsidP="008F3C38">
            <w:pPr>
              <w:spacing w:before="120" w:after="120"/>
              <w:rPr>
                <w:lang w:val="fr-CA"/>
              </w:rPr>
            </w:pPr>
            <w:r w:rsidRPr="00473B58">
              <w:rPr>
                <w:lang w:val="fr-CA"/>
              </w:rPr>
              <w:t>Oui</w:t>
            </w:r>
          </w:p>
        </w:tc>
      </w:tr>
      <w:tr w:rsidR="00B321B2" w:rsidRPr="00D97151" w14:paraId="3553AFF1" w14:textId="0EEC6C59" w:rsidTr="00D97151">
        <w:tc>
          <w:tcPr>
            <w:tcW w:w="3092" w:type="dxa"/>
            <w:gridSpan w:val="2"/>
            <w:tcBorders>
              <w:top w:val="single" w:sz="4" w:space="0" w:color="auto"/>
              <w:left w:val="nil"/>
              <w:bottom w:val="single" w:sz="4" w:space="0" w:color="auto"/>
              <w:right w:val="nil"/>
            </w:tcBorders>
          </w:tcPr>
          <w:p w14:paraId="3C710C41" w14:textId="05AD70B6" w:rsidR="00B321B2" w:rsidRPr="00473B58" w:rsidRDefault="00B321B2" w:rsidP="005371A7">
            <w:pPr>
              <w:spacing w:before="120" w:after="120"/>
              <w:rPr>
                <w:b/>
                <w:lang w:val="fr-CA"/>
              </w:rPr>
            </w:pPr>
            <w:r w:rsidRPr="00473B58">
              <w:rPr>
                <w:b/>
                <w:lang w:val="fr-CA"/>
              </w:rPr>
              <w:t xml:space="preserve">Vérifier l’exhaustivité </w:t>
            </w:r>
          </w:p>
        </w:tc>
        <w:tc>
          <w:tcPr>
            <w:tcW w:w="2296" w:type="dxa"/>
            <w:tcBorders>
              <w:top w:val="single" w:sz="4" w:space="0" w:color="auto"/>
              <w:left w:val="nil"/>
              <w:bottom w:val="single" w:sz="4" w:space="0" w:color="auto"/>
              <w:right w:val="nil"/>
            </w:tcBorders>
          </w:tcPr>
          <w:p w14:paraId="57EFEE48" w14:textId="1083BC74" w:rsidR="00B321B2" w:rsidRPr="00473B58" w:rsidRDefault="00B321B2" w:rsidP="008F3C38">
            <w:pPr>
              <w:spacing w:before="120" w:after="120"/>
              <w:rPr>
                <w:lang w:val="fr-CA"/>
              </w:rPr>
            </w:pPr>
            <w:r w:rsidRPr="00473B58">
              <w:rPr>
                <w:lang w:val="fr-CA"/>
              </w:rPr>
              <w:t>Oui</w:t>
            </w:r>
          </w:p>
        </w:tc>
        <w:tc>
          <w:tcPr>
            <w:tcW w:w="7572" w:type="dxa"/>
            <w:gridSpan w:val="4"/>
            <w:tcBorders>
              <w:top w:val="single" w:sz="4" w:space="0" w:color="auto"/>
              <w:left w:val="nil"/>
              <w:bottom w:val="single" w:sz="4" w:space="0" w:color="auto"/>
              <w:right w:val="nil"/>
            </w:tcBorders>
          </w:tcPr>
          <w:p w14:paraId="1F055206" w14:textId="528D517D" w:rsidR="00B321B2" w:rsidRPr="00473B58" w:rsidRDefault="00B321B2" w:rsidP="00E82A18">
            <w:pPr>
              <w:spacing w:before="120" w:after="120"/>
              <w:rPr>
                <w:lang w:val="fr-CA"/>
              </w:rPr>
            </w:pPr>
            <w:r w:rsidRPr="00473B58">
              <w:rPr>
                <w:lang w:val="fr-CA"/>
              </w:rPr>
              <w:t>Aucune étape précise pour chaque procédure. Les étapes qui sont prévues dans ces procédures exigent que l’auditeur effectue un rapprochement entre la liste détaillée et le grand livre général pour vérifier l’exhaustivité de la liste détaillée à tester.</w:t>
            </w:r>
          </w:p>
        </w:tc>
      </w:tr>
      <w:tr w:rsidR="00BE578B" w:rsidRPr="00D97151" w14:paraId="608485B8" w14:textId="2A2872CB" w:rsidTr="00D97151">
        <w:tc>
          <w:tcPr>
            <w:tcW w:w="3092" w:type="dxa"/>
            <w:gridSpan w:val="2"/>
            <w:tcBorders>
              <w:top w:val="single" w:sz="4" w:space="0" w:color="auto"/>
              <w:left w:val="nil"/>
              <w:bottom w:val="single" w:sz="12" w:space="0" w:color="2E74B5"/>
              <w:right w:val="nil"/>
            </w:tcBorders>
          </w:tcPr>
          <w:p w14:paraId="0874ADE3" w14:textId="5DC82422" w:rsidR="00BE578B" w:rsidRPr="00473B58" w:rsidRDefault="00BE578B" w:rsidP="005371A7">
            <w:pPr>
              <w:spacing w:before="120" w:after="120"/>
              <w:rPr>
                <w:b/>
                <w:lang w:val="fr-CA"/>
              </w:rPr>
            </w:pPr>
            <w:r w:rsidRPr="00473B58">
              <w:rPr>
                <w:b/>
                <w:lang w:val="fr-CA"/>
              </w:rPr>
              <w:t xml:space="preserve">Déterminer une unité d’échantillonnage </w:t>
            </w:r>
          </w:p>
        </w:tc>
        <w:tc>
          <w:tcPr>
            <w:tcW w:w="2296" w:type="dxa"/>
            <w:tcBorders>
              <w:top w:val="single" w:sz="4" w:space="0" w:color="auto"/>
              <w:left w:val="nil"/>
              <w:bottom w:val="single" w:sz="12" w:space="0" w:color="2E74B5"/>
              <w:right w:val="nil"/>
            </w:tcBorders>
          </w:tcPr>
          <w:p w14:paraId="7F3F846D" w14:textId="1564EDB1" w:rsidR="00BE578B" w:rsidRPr="00473B58" w:rsidRDefault="00BE578B" w:rsidP="008F3C38">
            <w:pPr>
              <w:spacing w:before="120" w:after="120"/>
              <w:rPr>
                <w:lang w:val="fr-CA"/>
              </w:rPr>
            </w:pPr>
            <w:r w:rsidRPr="00473B58">
              <w:rPr>
                <w:lang w:val="fr-CA"/>
              </w:rPr>
              <w:t>Oui</w:t>
            </w:r>
          </w:p>
        </w:tc>
        <w:tc>
          <w:tcPr>
            <w:tcW w:w="7572" w:type="dxa"/>
            <w:gridSpan w:val="4"/>
            <w:tcBorders>
              <w:top w:val="single" w:sz="4" w:space="0" w:color="auto"/>
              <w:left w:val="nil"/>
              <w:bottom w:val="single" w:sz="12" w:space="0" w:color="2E74B5"/>
              <w:right w:val="nil"/>
            </w:tcBorders>
          </w:tcPr>
          <w:p w14:paraId="6CC89B94" w14:textId="09C1BDAE" w:rsidR="00BE578B" w:rsidRPr="00473B58" w:rsidRDefault="00BE578B" w:rsidP="00E82A18">
            <w:pPr>
              <w:spacing w:before="120" w:after="120"/>
              <w:ind w:right="143"/>
              <w:rPr>
                <w:lang w:val="fr-CA"/>
              </w:rPr>
            </w:pPr>
            <w:r w:rsidRPr="00473B58">
              <w:rPr>
                <w:lang w:val="fr-CA"/>
              </w:rPr>
              <w:t xml:space="preserve">Aucune étape précise, mais </w:t>
            </w:r>
            <w:r>
              <w:rPr>
                <w:lang w:val="fr-CA"/>
              </w:rPr>
              <w:t>l</w:t>
            </w:r>
            <w:r w:rsidRPr="00473B58">
              <w:rPr>
                <w:lang w:val="fr-CA"/>
              </w:rPr>
              <w:t>es procédures couvrent les tests au niveau des factures individuelles et des contrats.</w:t>
            </w:r>
          </w:p>
        </w:tc>
      </w:tr>
      <w:tr w:rsidR="00603071" w:rsidRPr="00D97151" w14:paraId="493F1C85" w14:textId="670561B1" w:rsidTr="00D97151">
        <w:tc>
          <w:tcPr>
            <w:tcW w:w="3092" w:type="dxa"/>
            <w:gridSpan w:val="2"/>
            <w:tcBorders>
              <w:top w:val="single" w:sz="12" w:space="0" w:color="2E74B5" w:themeColor="accent1" w:themeShade="BF"/>
              <w:left w:val="nil"/>
              <w:bottom w:val="single" w:sz="12" w:space="0" w:color="2E74B5"/>
              <w:right w:val="nil"/>
            </w:tcBorders>
          </w:tcPr>
          <w:p w14:paraId="096678BF" w14:textId="77777777" w:rsidR="00603071" w:rsidRPr="00473B58" w:rsidRDefault="00603071" w:rsidP="005371A7">
            <w:pPr>
              <w:spacing w:before="120" w:after="120"/>
              <w:rPr>
                <w:rFonts w:cstheme="minorHAnsi"/>
                <w:lang w:val="fr-CA"/>
              </w:rPr>
            </w:pPr>
          </w:p>
        </w:tc>
        <w:tc>
          <w:tcPr>
            <w:tcW w:w="2296" w:type="dxa"/>
            <w:tcBorders>
              <w:top w:val="single" w:sz="12" w:space="0" w:color="2E74B5" w:themeColor="accent1" w:themeShade="BF"/>
              <w:left w:val="nil"/>
              <w:bottom w:val="single" w:sz="12" w:space="0" w:color="2E74B5"/>
              <w:right w:val="nil"/>
            </w:tcBorders>
            <w:vAlign w:val="bottom"/>
          </w:tcPr>
          <w:p w14:paraId="3B32E77E" w14:textId="070227F8" w:rsidR="00603071" w:rsidRPr="00473B58" w:rsidRDefault="00603071" w:rsidP="005371A7">
            <w:pPr>
              <w:spacing w:before="120" w:after="120"/>
              <w:rPr>
                <w:rFonts w:cstheme="minorHAnsi"/>
                <w:color w:val="2E74B5" w:themeColor="accent1" w:themeShade="BF"/>
                <w:lang w:val="fr-CA"/>
              </w:rPr>
            </w:pPr>
            <w:r w:rsidRPr="00473B58">
              <w:rPr>
                <w:b/>
                <w:color w:val="2E74B5" w:themeColor="accent1" w:themeShade="BF"/>
                <w:lang w:val="fr-CA"/>
              </w:rPr>
              <w:t>Tester les opérations génératrices de produits (Étapes 1 à 5)</w:t>
            </w:r>
            <w:r w:rsidR="00BE578B">
              <w:rPr>
                <w:b/>
                <w:color w:val="2E74B5" w:themeColor="accent1" w:themeShade="BF"/>
                <w:lang w:val="fr-CA"/>
              </w:rPr>
              <w:t xml:space="preserve"> (NCA 540)</w:t>
            </w:r>
          </w:p>
        </w:tc>
        <w:tc>
          <w:tcPr>
            <w:tcW w:w="4022" w:type="dxa"/>
            <w:gridSpan w:val="3"/>
            <w:tcBorders>
              <w:top w:val="single" w:sz="12" w:space="0" w:color="2E74B5" w:themeColor="accent1" w:themeShade="BF"/>
              <w:left w:val="nil"/>
              <w:bottom w:val="single" w:sz="12" w:space="0" w:color="2E74B5"/>
              <w:right w:val="nil"/>
            </w:tcBorders>
            <w:vAlign w:val="bottom"/>
          </w:tcPr>
          <w:p w14:paraId="2AE797C7" w14:textId="274A0C9C" w:rsidR="00603071" w:rsidRPr="00473B58" w:rsidRDefault="00603071" w:rsidP="005371A7">
            <w:pPr>
              <w:spacing w:before="120" w:after="120"/>
              <w:rPr>
                <w:rFonts w:cstheme="minorHAnsi"/>
                <w:color w:val="2E74B5" w:themeColor="accent1" w:themeShade="BF"/>
                <w:lang w:val="fr-CA"/>
              </w:rPr>
            </w:pPr>
            <w:r w:rsidRPr="00473B58">
              <w:rPr>
                <w:b/>
                <w:color w:val="2E74B5" w:themeColor="accent1" w:themeShade="BF"/>
                <w:lang w:val="fr-CA"/>
              </w:rPr>
              <w:t>Tester les opérations génératrices de produits (Étapes 1 à 5) — Obligation de prestation distincte remplie à un moment précis</w:t>
            </w:r>
            <w:r w:rsidR="00BE578B">
              <w:rPr>
                <w:b/>
                <w:color w:val="2E74B5" w:themeColor="accent1" w:themeShade="BF"/>
                <w:lang w:val="fr-CA"/>
              </w:rPr>
              <w:t xml:space="preserve"> </w:t>
            </w:r>
            <w:r w:rsidR="00BE578B" w:rsidRPr="00B321B2">
              <w:rPr>
                <w:b/>
                <w:color w:val="2E74B5" w:themeColor="accent1" w:themeShade="BF"/>
                <w:lang w:val="fr-CA"/>
              </w:rPr>
              <w:t>— [Type de produits] (NCA 540)</w:t>
            </w:r>
          </w:p>
        </w:tc>
        <w:tc>
          <w:tcPr>
            <w:tcW w:w="3550" w:type="dxa"/>
            <w:tcBorders>
              <w:top w:val="single" w:sz="12" w:space="0" w:color="2E74B5" w:themeColor="accent1" w:themeShade="BF"/>
              <w:left w:val="nil"/>
              <w:bottom w:val="single" w:sz="12" w:space="0" w:color="2E74B5"/>
              <w:right w:val="nil"/>
            </w:tcBorders>
          </w:tcPr>
          <w:p w14:paraId="5481B6EA" w14:textId="5FA5EC21" w:rsidR="00603071" w:rsidRPr="00473B58" w:rsidRDefault="00A95C9A">
            <w:pPr>
              <w:spacing w:before="120" w:after="120"/>
              <w:rPr>
                <w:b/>
                <w:color w:val="2E74B5" w:themeColor="accent1" w:themeShade="BF"/>
                <w:lang w:val="fr-CA"/>
              </w:rPr>
            </w:pPr>
            <w:r w:rsidRPr="006A64AC">
              <w:rPr>
                <w:b/>
                <w:color w:val="2E74B5" w:themeColor="accent1" w:themeShade="BF"/>
                <w:lang w:val="fr-CA"/>
              </w:rPr>
              <w:t xml:space="preserve">Tester les opérations génératrices de produits (Étapes 1 à 5) — Obligation de prestation distincte (ou série de biens ou de services distincts) remplie progressivement </w:t>
            </w:r>
            <w:r w:rsidR="00BE578B" w:rsidRPr="00B321B2">
              <w:rPr>
                <w:b/>
                <w:color w:val="2E74B5" w:themeColor="accent1" w:themeShade="BF"/>
                <w:lang w:val="fr-CA"/>
              </w:rPr>
              <w:t>— [Type de produits] (NCA 540)</w:t>
            </w:r>
          </w:p>
        </w:tc>
      </w:tr>
      <w:tr w:rsidR="00603071" w:rsidRPr="00473B58" w14:paraId="03A6C135" w14:textId="0F531344" w:rsidTr="00D97151">
        <w:trPr>
          <w:trHeight w:val="496"/>
        </w:trPr>
        <w:tc>
          <w:tcPr>
            <w:tcW w:w="9410" w:type="dxa"/>
            <w:gridSpan w:val="6"/>
            <w:tcBorders>
              <w:top w:val="single" w:sz="12" w:space="0" w:color="2E74B5"/>
              <w:left w:val="nil"/>
              <w:bottom w:val="single" w:sz="4" w:space="0" w:color="auto"/>
              <w:right w:val="nil"/>
            </w:tcBorders>
          </w:tcPr>
          <w:p w14:paraId="760A4931" w14:textId="5E3DA3B1" w:rsidR="00603071" w:rsidRPr="00473B58" w:rsidRDefault="00D97151" w:rsidP="003551E5">
            <w:pPr>
              <w:spacing w:before="120" w:after="120"/>
              <w:rPr>
                <w:rFonts w:cstheme="minorHAnsi"/>
                <w:color w:val="2E74B5" w:themeColor="accent1" w:themeShade="BF"/>
                <w:lang w:val="fr-CA"/>
              </w:rPr>
            </w:pPr>
            <w:hyperlink w:anchor="_Results_Template_(Step" w:history="1">
              <w:r w:rsidR="00603071" w:rsidRPr="00473B58">
                <w:rPr>
                  <w:rStyle w:val="Hyperlink"/>
                  <w:rFonts w:cstheme="minorHAnsi"/>
                  <w:color w:val="034990" w:themeColor="hyperlink" w:themeShade="BF"/>
                  <w:lang w:val="fr-CA"/>
                </w:rPr>
                <w:t>Étape 1 – Identifier le contrat</w:t>
              </w:r>
            </w:hyperlink>
          </w:p>
        </w:tc>
        <w:tc>
          <w:tcPr>
            <w:tcW w:w="3550" w:type="dxa"/>
            <w:tcBorders>
              <w:top w:val="single" w:sz="12" w:space="0" w:color="2E74B5"/>
              <w:left w:val="nil"/>
              <w:bottom w:val="single" w:sz="4" w:space="0" w:color="auto"/>
              <w:right w:val="nil"/>
            </w:tcBorders>
          </w:tcPr>
          <w:p w14:paraId="0116CC88" w14:textId="77777777" w:rsidR="00603071" w:rsidRPr="00473B58" w:rsidRDefault="00603071" w:rsidP="003551E5">
            <w:pPr>
              <w:spacing w:before="120" w:after="120"/>
              <w:rPr>
                <w:rStyle w:val="Hyperlink"/>
                <w:rFonts w:cstheme="minorHAnsi"/>
                <w:color w:val="034990" w:themeColor="hyperlink" w:themeShade="BF"/>
                <w:lang w:val="fr-CA"/>
              </w:rPr>
            </w:pPr>
          </w:p>
        </w:tc>
      </w:tr>
      <w:tr w:rsidR="00603071" w:rsidRPr="00473B58" w14:paraId="47685DEE" w14:textId="62B1330E" w:rsidTr="00D97151">
        <w:tc>
          <w:tcPr>
            <w:tcW w:w="3092" w:type="dxa"/>
            <w:gridSpan w:val="2"/>
            <w:tcBorders>
              <w:top w:val="single" w:sz="4" w:space="0" w:color="auto"/>
              <w:left w:val="nil"/>
              <w:bottom w:val="single" w:sz="4" w:space="0" w:color="auto"/>
              <w:right w:val="nil"/>
            </w:tcBorders>
          </w:tcPr>
          <w:p w14:paraId="2F4ED104" w14:textId="1AC50326" w:rsidR="00603071" w:rsidRPr="00473B58" w:rsidRDefault="00603071" w:rsidP="008F3C38">
            <w:pPr>
              <w:spacing w:before="120" w:after="120"/>
              <w:rPr>
                <w:rFonts w:cstheme="minorHAnsi"/>
                <w:lang w:val="fr-CA"/>
              </w:rPr>
            </w:pPr>
            <w:r w:rsidRPr="00473B58">
              <w:rPr>
                <w:rFonts w:cstheme="minorHAnsi"/>
                <w:b/>
                <w:bCs/>
                <w:lang w:val="fr-CA"/>
              </w:rPr>
              <w:t>Identification du contrat</w:t>
            </w:r>
          </w:p>
        </w:tc>
        <w:tc>
          <w:tcPr>
            <w:tcW w:w="2296" w:type="dxa"/>
            <w:tcBorders>
              <w:top w:val="single" w:sz="4" w:space="0" w:color="auto"/>
              <w:left w:val="nil"/>
              <w:bottom w:val="single" w:sz="4" w:space="0" w:color="auto"/>
              <w:right w:val="nil"/>
            </w:tcBorders>
          </w:tcPr>
          <w:p w14:paraId="7DB55A38" w14:textId="6CD27111" w:rsidR="00603071" w:rsidRPr="00473B58" w:rsidRDefault="00603071" w:rsidP="003551E5">
            <w:pPr>
              <w:spacing w:before="120" w:after="120"/>
              <w:rPr>
                <w:rFonts w:cstheme="minorHAnsi"/>
                <w:lang w:val="fr-CA"/>
              </w:rPr>
            </w:pPr>
            <w:r w:rsidRPr="00473B58">
              <w:rPr>
                <w:rFonts w:cstheme="minorHAnsi"/>
                <w:lang w:val="fr-CA"/>
              </w:rPr>
              <w:t>Oui</w:t>
            </w:r>
          </w:p>
        </w:tc>
        <w:tc>
          <w:tcPr>
            <w:tcW w:w="4022" w:type="dxa"/>
            <w:gridSpan w:val="3"/>
            <w:tcBorders>
              <w:top w:val="single" w:sz="4" w:space="0" w:color="auto"/>
              <w:left w:val="nil"/>
              <w:bottom w:val="single" w:sz="4" w:space="0" w:color="auto"/>
              <w:right w:val="nil"/>
            </w:tcBorders>
          </w:tcPr>
          <w:p w14:paraId="31531965" w14:textId="59B2CCB2" w:rsidR="00603071" w:rsidRPr="00473B58" w:rsidRDefault="00603071" w:rsidP="003551E5">
            <w:pPr>
              <w:spacing w:before="120" w:after="120"/>
              <w:rPr>
                <w:rFonts w:cstheme="minorHAnsi"/>
                <w:lang w:val="fr-CA"/>
              </w:rPr>
            </w:pPr>
            <w:r w:rsidRPr="00473B58">
              <w:rPr>
                <w:rFonts w:cstheme="minorHAnsi"/>
                <w:lang w:val="fr-CA"/>
              </w:rPr>
              <w:t>Oui</w:t>
            </w:r>
          </w:p>
        </w:tc>
        <w:tc>
          <w:tcPr>
            <w:tcW w:w="3550" w:type="dxa"/>
            <w:tcBorders>
              <w:top w:val="single" w:sz="4" w:space="0" w:color="auto"/>
              <w:left w:val="nil"/>
              <w:bottom w:val="single" w:sz="4" w:space="0" w:color="auto"/>
              <w:right w:val="nil"/>
            </w:tcBorders>
          </w:tcPr>
          <w:p w14:paraId="43007C06" w14:textId="7C484907" w:rsidR="00603071" w:rsidRPr="00473B58" w:rsidRDefault="00603071" w:rsidP="003551E5">
            <w:pPr>
              <w:spacing w:before="120" w:after="120"/>
              <w:rPr>
                <w:rFonts w:cstheme="minorHAnsi"/>
                <w:lang w:val="fr-CA"/>
              </w:rPr>
            </w:pPr>
            <w:r w:rsidRPr="00473B58">
              <w:rPr>
                <w:rFonts w:cstheme="minorHAnsi"/>
                <w:lang w:val="fr-CA"/>
              </w:rPr>
              <w:t>Oui</w:t>
            </w:r>
          </w:p>
        </w:tc>
      </w:tr>
      <w:tr w:rsidR="00BE578B" w:rsidRPr="00D97151" w14:paraId="7EE95103" w14:textId="04A2D29E" w:rsidTr="00D97151">
        <w:tc>
          <w:tcPr>
            <w:tcW w:w="3092" w:type="dxa"/>
            <w:gridSpan w:val="2"/>
            <w:tcBorders>
              <w:top w:val="single" w:sz="4" w:space="0" w:color="auto"/>
              <w:left w:val="nil"/>
              <w:bottom w:val="single" w:sz="4" w:space="0" w:color="auto"/>
              <w:right w:val="nil"/>
            </w:tcBorders>
          </w:tcPr>
          <w:p w14:paraId="5D2AA829" w14:textId="38DB3527" w:rsidR="00BE578B" w:rsidRPr="00473B58" w:rsidRDefault="00BE578B" w:rsidP="0016618F">
            <w:pPr>
              <w:spacing w:before="120" w:after="120"/>
              <w:rPr>
                <w:rFonts w:cstheme="minorHAnsi"/>
                <w:b/>
                <w:bCs/>
                <w:lang w:val="fr-CA"/>
              </w:rPr>
            </w:pPr>
            <w:r w:rsidRPr="00473B58">
              <w:rPr>
                <w:rFonts w:cstheme="minorHAnsi"/>
                <w:b/>
                <w:bCs/>
                <w:lang w:val="fr-CA"/>
              </w:rPr>
              <w:t>Identification des composantes qui n’entrent pas dans le champ d’application de l’IFRS 15</w:t>
            </w:r>
          </w:p>
        </w:tc>
        <w:tc>
          <w:tcPr>
            <w:tcW w:w="2296" w:type="dxa"/>
            <w:tcBorders>
              <w:top w:val="single" w:sz="4" w:space="0" w:color="auto"/>
              <w:left w:val="nil"/>
              <w:bottom w:val="single" w:sz="4" w:space="0" w:color="auto"/>
              <w:right w:val="nil"/>
            </w:tcBorders>
          </w:tcPr>
          <w:p w14:paraId="48820A7B" w14:textId="7877DF5E" w:rsidR="00BE578B" w:rsidRPr="00473B58" w:rsidRDefault="00BE578B" w:rsidP="003551E5">
            <w:pPr>
              <w:spacing w:before="120" w:after="120"/>
              <w:rPr>
                <w:rFonts w:cstheme="minorHAnsi"/>
                <w:lang w:val="fr-CA"/>
              </w:rPr>
            </w:pPr>
            <w:r w:rsidRPr="00473B58">
              <w:rPr>
                <w:rFonts w:cstheme="minorHAnsi"/>
                <w:lang w:val="fr-CA"/>
              </w:rPr>
              <w:t>Oui</w:t>
            </w:r>
          </w:p>
        </w:tc>
        <w:tc>
          <w:tcPr>
            <w:tcW w:w="7572" w:type="dxa"/>
            <w:gridSpan w:val="4"/>
            <w:tcBorders>
              <w:top w:val="single" w:sz="4" w:space="0" w:color="auto"/>
              <w:left w:val="nil"/>
              <w:bottom w:val="single" w:sz="4" w:space="0" w:color="auto"/>
              <w:right w:val="nil"/>
            </w:tcBorders>
          </w:tcPr>
          <w:p w14:paraId="7576A21B" w14:textId="6F44793A" w:rsidR="00BE578B" w:rsidRPr="00473B58" w:rsidRDefault="00BE578B" w:rsidP="003551E5">
            <w:pPr>
              <w:spacing w:before="120" w:after="120"/>
              <w:ind w:right="-38"/>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603071" w:rsidRPr="00473B58" w14:paraId="697D3B2A" w14:textId="6335D42D" w:rsidTr="00D97151">
        <w:tc>
          <w:tcPr>
            <w:tcW w:w="3092" w:type="dxa"/>
            <w:gridSpan w:val="2"/>
            <w:tcBorders>
              <w:top w:val="single" w:sz="4" w:space="0" w:color="auto"/>
              <w:left w:val="nil"/>
              <w:bottom w:val="single" w:sz="4" w:space="0" w:color="auto"/>
              <w:right w:val="nil"/>
            </w:tcBorders>
          </w:tcPr>
          <w:p w14:paraId="64E910B4" w14:textId="7F8C467C" w:rsidR="00603071" w:rsidRPr="00473B58" w:rsidRDefault="00603071" w:rsidP="0016618F">
            <w:pPr>
              <w:spacing w:before="120" w:after="120"/>
              <w:rPr>
                <w:rFonts w:cstheme="minorHAnsi"/>
                <w:b/>
                <w:bCs/>
                <w:lang w:val="fr-CA"/>
              </w:rPr>
            </w:pPr>
            <w:r w:rsidRPr="00473B58">
              <w:rPr>
                <w:rFonts w:cstheme="minorHAnsi"/>
                <w:b/>
                <w:bCs/>
                <w:lang w:val="fr-CA"/>
              </w:rPr>
              <w:t>Regroupement de contrats</w:t>
            </w:r>
          </w:p>
        </w:tc>
        <w:tc>
          <w:tcPr>
            <w:tcW w:w="2296" w:type="dxa"/>
            <w:tcBorders>
              <w:top w:val="single" w:sz="4" w:space="0" w:color="auto"/>
              <w:left w:val="nil"/>
              <w:bottom w:val="single" w:sz="4" w:space="0" w:color="auto"/>
              <w:right w:val="nil"/>
            </w:tcBorders>
          </w:tcPr>
          <w:p w14:paraId="5C32AF11" w14:textId="70160218" w:rsidR="00603071" w:rsidRPr="00473B58" w:rsidRDefault="00603071" w:rsidP="003551E5">
            <w:pPr>
              <w:spacing w:before="120" w:after="120"/>
              <w:rPr>
                <w:rFonts w:cstheme="minorHAnsi"/>
                <w:lang w:val="fr-CA"/>
              </w:rPr>
            </w:pPr>
            <w:r w:rsidRPr="00473B58">
              <w:rPr>
                <w:rFonts w:cstheme="minorHAnsi"/>
                <w:lang w:val="fr-CA"/>
              </w:rPr>
              <w:t>Oui</w:t>
            </w:r>
          </w:p>
        </w:tc>
        <w:tc>
          <w:tcPr>
            <w:tcW w:w="4022" w:type="dxa"/>
            <w:gridSpan w:val="3"/>
            <w:tcBorders>
              <w:top w:val="single" w:sz="4" w:space="0" w:color="auto"/>
              <w:left w:val="nil"/>
              <w:bottom w:val="single" w:sz="4" w:space="0" w:color="auto"/>
              <w:right w:val="nil"/>
            </w:tcBorders>
          </w:tcPr>
          <w:p w14:paraId="1F730BAD" w14:textId="20C35086" w:rsidR="00603071" w:rsidRPr="00473B58" w:rsidRDefault="00603071" w:rsidP="003551E5">
            <w:pPr>
              <w:spacing w:before="120" w:after="120"/>
              <w:rPr>
                <w:rFonts w:cstheme="minorHAnsi"/>
                <w:lang w:val="fr-CA"/>
              </w:rPr>
            </w:pPr>
            <w:r w:rsidRPr="00473B58">
              <w:rPr>
                <w:rFonts w:cstheme="minorHAnsi"/>
                <w:lang w:val="fr-CA"/>
              </w:rPr>
              <w:t>Oui</w:t>
            </w:r>
          </w:p>
        </w:tc>
        <w:tc>
          <w:tcPr>
            <w:tcW w:w="3550" w:type="dxa"/>
            <w:tcBorders>
              <w:top w:val="single" w:sz="4" w:space="0" w:color="auto"/>
              <w:left w:val="nil"/>
              <w:bottom w:val="single" w:sz="4" w:space="0" w:color="auto"/>
              <w:right w:val="nil"/>
            </w:tcBorders>
          </w:tcPr>
          <w:p w14:paraId="2319B19E" w14:textId="6B9BA19F" w:rsidR="00603071" w:rsidRPr="00473B58" w:rsidRDefault="00603071" w:rsidP="003551E5">
            <w:pPr>
              <w:spacing w:before="120" w:after="120"/>
              <w:rPr>
                <w:rFonts w:cstheme="minorHAnsi"/>
                <w:lang w:val="fr-CA"/>
              </w:rPr>
            </w:pPr>
            <w:r w:rsidRPr="00473B58">
              <w:rPr>
                <w:rFonts w:cstheme="minorHAnsi"/>
                <w:lang w:val="fr-CA"/>
              </w:rPr>
              <w:t>Oui</w:t>
            </w:r>
          </w:p>
        </w:tc>
      </w:tr>
      <w:tr w:rsidR="00BE578B" w:rsidRPr="00D97151" w14:paraId="46A0D79B" w14:textId="2BBFCA20" w:rsidTr="00D97151">
        <w:tc>
          <w:tcPr>
            <w:tcW w:w="3092" w:type="dxa"/>
            <w:gridSpan w:val="2"/>
            <w:tcBorders>
              <w:top w:val="single" w:sz="4" w:space="0" w:color="auto"/>
              <w:left w:val="nil"/>
              <w:bottom w:val="single" w:sz="4" w:space="0" w:color="auto"/>
              <w:right w:val="nil"/>
            </w:tcBorders>
          </w:tcPr>
          <w:p w14:paraId="7DF23540" w14:textId="654E23AB" w:rsidR="00BE578B" w:rsidRPr="00473B58" w:rsidRDefault="00BE578B" w:rsidP="004B7B89">
            <w:pPr>
              <w:spacing w:before="120" w:after="120"/>
              <w:rPr>
                <w:rFonts w:cstheme="minorHAnsi"/>
                <w:b/>
                <w:bCs/>
                <w:lang w:val="fr-CA"/>
              </w:rPr>
            </w:pPr>
            <w:r w:rsidRPr="00473B58">
              <w:rPr>
                <w:rFonts w:cstheme="minorHAnsi"/>
                <w:b/>
                <w:bCs/>
                <w:lang w:val="fr-CA"/>
              </w:rPr>
              <w:t>Modifications de contrat</w:t>
            </w:r>
          </w:p>
        </w:tc>
        <w:tc>
          <w:tcPr>
            <w:tcW w:w="2296" w:type="dxa"/>
            <w:tcBorders>
              <w:top w:val="single" w:sz="4" w:space="0" w:color="auto"/>
              <w:left w:val="nil"/>
              <w:bottom w:val="single" w:sz="4" w:space="0" w:color="auto"/>
              <w:right w:val="nil"/>
            </w:tcBorders>
          </w:tcPr>
          <w:p w14:paraId="4FF1D89A" w14:textId="6F1DE7D0" w:rsidR="00BE578B" w:rsidRPr="00473B58" w:rsidRDefault="00BE578B" w:rsidP="003551E5">
            <w:pPr>
              <w:spacing w:before="120" w:after="120"/>
              <w:rPr>
                <w:rFonts w:cstheme="minorHAnsi"/>
                <w:lang w:val="fr-CA"/>
              </w:rPr>
            </w:pPr>
            <w:r w:rsidRPr="00473B58">
              <w:rPr>
                <w:rFonts w:cstheme="minorHAnsi"/>
                <w:lang w:val="fr-CA"/>
              </w:rPr>
              <w:t>Oui</w:t>
            </w:r>
          </w:p>
        </w:tc>
        <w:tc>
          <w:tcPr>
            <w:tcW w:w="7572" w:type="dxa"/>
            <w:gridSpan w:val="4"/>
            <w:tcBorders>
              <w:top w:val="single" w:sz="4" w:space="0" w:color="auto"/>
              <w:left w:val="nil"/>
              <w:bottom w:val="single" w:sz="4" w:space="0" w:color="auto"/>
              <w:right w:val="nil"/>
            </w:tcBorders>
          </w:tcPr>
          <w:p w14:paraId="77B9EB4A" w14:textId="58AA7BF4" w:rsidR="00BE578B" w:rsidRPr="00473B58" w:rsidRDefault="00BE578B" w:rsidP="00DD6D5A">
            <w:pPr>
              <w:spacing w:before="120" w:after="120"/>
              <w:ind w:right="-38"/>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BE578B" w:rsidRPr="00D97151" w14:paraId="6ACBBF15" w14:textId="32846288" w:rsidTr="00D97151">
        <w:tc>
          <w:tcPr>
            <w:tcW w:w="3092" w:type="dxa"/>
            <w:gridSpan w:val="2"/>
            <w:tcBorders>
              <w:top w:val="single" w:sz="4" w:space="0" w:color="auto"/>
              <w:left w:val="nil"/>
              <w:bottom w:val="single" w:sz="4" w:space="0" w:color="auto"/>
              <w:right w:val="nil"/>
            </w:tcBorders>
          </w:tcPr>
          <w:p w14:paraId="2B16B445" w14:textId="39437DF0" w:rsidR="00BE578B" w:rsidRPr="00473B58" w:rsidRDefault="00BE578B" w:rsidP="0016618F">
            <w:pPr>
              <w:spacing w:before="120" w:after="120"/>
              <w:rPr>
                <w:rFonts w:cstheme="minorHAnsi"/>
                <w:b/>
                <w:bCs/>
                <w:lang w:val="fr-CA"/>
              </w:rPr>
            </w:pPr>
            <w:r w:rsidRPr="00473B58">
              <w:rPr>
                <w:rFonts w:cstheme="minorHAnsi"/>
                <w:b/>
                <w:bCs/>
                <w:lang w:val="fr-CA"/>
              </w:rPr>
              <w:t>Identification de contrats de licence</w:t>
            </w:r>
          </w:p>
        </w:tc>
        <w:tc>
          <w:tcPr>
            <w:tcW w:w="2296" w:type="dxa"/>
            <w:tcBorders>
              <w:top w:val="single" w:sz="4" w:space="0" w:color="auto"/>
              <w:left w:val="nil"/>
              <w:bottom w:val="single" w:sz="4" w:space="0" w:color="auto"/>
              <w:right w:val="nil"/>
            </w:tcBorders>
          </w:tcPr>
          <w:p w14:paraId="210E846C" w14:textId="31B484F0" w:rsidR="00BE578B" w:rsidRPr="00473B58" w:rsidRDefault="00BE578B" w:rsidP="003551E5">
            <w:pPr>
              <w:spacing w:before="120" w:after="120"/>
              <w:rPr>
                <w:rFonts w:cstheme="minorHAnsi"/>
                <w:lang w:val="fr-CA"/>
              </w:rPr>
            </w:pPr>
            <w:r w:rsidRPr="00473B58">
              <w:rPr>
                <w:rFonts w:cstheme="minorHAnsi"/>
                <w:lang w:val="fr-CA"/>
              </w:rPr>
              <w:t>Oui</w:t>
            </w:r>
          </w:p>
        </w:tc>
        <w:tc>
          <w:tcPr>
            <w:tcW w:w="7572" w:type="dxa"/>
            <w:gridSpan w:val="4"/>
            <w:tcBorders>
              <w:top w:val="single" w:sz="4" w:space="0" w:color="auto"/>
              <w:left w:val="nil"/>
              <w:bottom w:val="single" w:sz="4" w:space="0" w:color="auto"/>
              <w:right w:val="nil"/>
            </w:tcBorders>
          </w:tcPr>
          <w:p w14:paraId="1BC4BD92" w14:textId="36214E3B" w:rsidR="00BE578B" w:rsidRPr="00473B58" w:rsidRDefault="00BE578B" w:rsidP="00DD6D5A">
            <w:pPr>
              <w:spacing w:before="120" w:after="120"/>
              <w:ind w:right="104"/>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603071" w:rsidRPr="00473B58" w14:paraId="24F06474" w14:textId="65A94C6C" w:rsidTr="00D97151">
        <w:tc>
          <w:tcPr>
            <w:tcW w:w="3092" w:type="dxa"/>
            <w:gridSpan w:val="2"/>
            <w:tcBorders>
              <w:top w:val="single" w:sz="4" w:space="0" w:color="auto"/>
              <w:left w:val="nil"/>
              <w:bottom w:val="single" w:sz="4" w:space="0" w:color="auto"/>
              <w:right w:val="nil"/>
            </w:tcBorders>
          </w:tcPr>
          <w:p w14:paraId="1D41EED4" w14:textId="2F4B637C" w:rsidR="00603071" w:rsidRPr="00473B58" w:rsidRDefault="00603071" w:rsidP="00E82A18">
            <w:pPr>
              <w:spacing w:before="120" w:after="120"/>
              <w:rPr>
                <w:rFonts w:cstheme="minorHAnsi"/>
                <w:b/>
                <w:bCs/>
                <w:lang w:val="fr-CA"/>
              </w:rPr>
            </w:pPr>
            <w:r w:rsidRPr="00473B58">
              <w:rPr>
                <w:rFonts w:cstheme="minorHAnsi"/>
                <w:b/>
                <w:bCs/>
                <w:lang w:val="fr-CA"/>
              </w:rPr>
              <w:t>Entité qui agit pour son compte ou comme mandataire</w:t>
            </w:r>
          </w:p>
        </w:tc>
        <w:tc>
          <w:tcPr>
            <w:tcW w:w="2296" w:type="dxa"/>
            <w:tcBorders>
              <w:top w:val="single" w:sz="4" w:space="0" w:color="auto"/>
              <w:left w:val="nil"/>
              <w:bottom w:val="single" w:sz="4" w:space="0" w:color="auto"/>
              <w:right w:val="nil"/>
            </w:tcBorders>
          </w:tcPr>
          <w:p w14:paraId="0573EEA5" w14:textId="7FBAF4D8" w:rsidR="00603071" w:rsidRPr="00473B58" w:rsidRDefault="00603071" w:rsidP="003551E5">
            <w:pPr>
              <w:spacing w:before="120" w:after="120"/>
              <w:rPr>
                <w:rFonts w:cstheme="minorHAnsi"/>
                <w:lang w:val="fr-CA"/>
              </w:rPr>
            </w:pPr>
            <w:r w:rsidRPr="00473B58">
              <w:rPr>
                <w:rFonts w:cstheme="minorHAnsi"/>
                <w:lang w:val="fr-CA"/>
              </w:rPr>
              <w:t>Oui</w:t>
            </w:r>
          </w:p>
        </w:tc>
        <w:tc>
          <w:tcPr>
            <w:tcW w:w="4022" w:type="dxa"/>
            <w:gridSpan w:val="3"/>
            <w:tcBorders>
              <w:top w:val="single" w:sz="4" w:space="0" w:color="auto"/>
              <w:left w:val="nil"/>
              <w:bottom w:val="single" w:sz="4" w:space="0" w:color="auto"/>
              <w:right w:val="nil"/>
            </w:tcBorders>
          </w:tcPr>
          <w:p w14:paraId="4B96E930" w14:textId="13F341AE" w:rsidR="00603071" w:rsidRPr="00473B58" w:rsidRDefault="00603071" w:rsidP="003551E5">
            <w:pPr>
              <w:spacing w:before="120" w:after="120"/>
              <w:rPr>
                <w:rFonts w:cstheme="minorHAnsi"/>
                <w:lang w:val="fr-CA"/>
              </w:rPr>
            </w:pPr>
            <w:r w:rsidRPr="00473B58">
              <w:rPr>
                <w:rFonts w:cstheme="minorHAnsi"/>
                <w:lang w:val="fr-CA"/>
              </w:rPr>
              <w:t>Oui</w:t>
            </w:r>
          </w:p>
        </w:tc>
        <w:tc>
          <w:tcPr>
            <w:tcW w:w="3550" w:type="dxa"/>
            <w:tcBorders>
              <w:top w:val="single" w:sz="4" w:space="0" w:color="auto"/>
              <w:left w:val="nil"/>
              <w:bottom w:val="single" w:sz="4" w:space="0" w:color="auto"/>
              <w:right w:val="nil"/>
            </w:tcBorders>
          </w:tcPr>
          <w:p w14:paraId="2AE5C8E4" w14:textId="6E410483" w:rsidR="00603071" w:rsidRPr="00473B58" w:rsidRDefault="00603071" w:rsidP="003551E5">
            <w:pPr>
              <w:spacing w:before="120" w:after="120"/>
              <w:rPr>
                <w:rFonts w:cstheme="minorHAnsi"/>
                <w:lang w:val="fr-CA"/>
              </w:rPr>
            </w:pPr>
            <w:r w:rsidRPr="00473B58">
              <w:rPr>
                <w:rFonts w:cstheme="minorHAnsi"/>
                <w:lang w:val="fr-CA"/>
              </w:rPr>
              <w:t>Oui</w:t>
            </w:r>
          </w:p>
        </w:tc>
      </w:tr>
      <w:tr w:rsidR="00603071" w:rsidRPr="00D97151" w14:paraId="12B873D8" w14:textId="4C589DC2" w:rsidTr="00D97151">
        <w:tc>
          <w:tcPr>
            <w:tcW w:w="9410" w:type="dxa"/>
            <w:gridSpan w:val="6"/>
            <w:tcBorders>
              <w:top w:val="single" w:sz="4" w:space="0" w:color="auto"/>
              <w:left w:val="nil"/>
              <w:bottom w:val="single" w:sz="4" w:space="0" w:color="auto"/>
              <w:right w:val="nil"/>
            </w:tcBorders>
          </w:tcPr>
          <w:p w14:paraId="7C7E420A" w14:textId="7086AD47" w:rsidR="00603071" w:rsidRPr="00473B58" w:rsidRDefault="00D97151" w:rsidP="003551E5">
            <w:pPr>
              <w:spacing w:before="120" w:after="120"/>
              <w:rPr>
                <w:rFonts w:cstheme="minorHAnsi"/>
                <w:bCs/>
                <w:color w:val="2E74B5" w:themeColor="accent1" w:themeShade="BF"/>
                <w:lang w:val="fr-CA"/>
              </w:rPr>
            </w:pPr>
            <w:hyperlink w:anchor="_Results_Template_(Step_5" w:history="1">
              <w:r w:rsidR="00603071" w:rsidRPr="00473B58">
                <w:rPr>
                  <w:rStyle w:val="Hyperlink"/>
                  <w:rFonts w:cstheme="minorHAnsi"/>
                  <w:bCs/>
                  <w:color w:val="034990" w:themeColor="hyperlink" w:themeShade="BF"/>
                  <w:lang w:val="fr-CA"/>
                </w:rPr>
                <w:t>Étape 2 – Identifier les obligations de prestation dans le contrat</w:t>
              </w:r>
            </w:hyperlink>
          </w:p>
        </w:tc>
        <w:tc>
          <w:tcPr>
            <w:tcW w:w="3550" w:type="dxa"/>
            <w:tcBorders>
              <w:top w:val="single" w:sz="4" w:space="0" w:color="auto"/>
              <w:left w:val="nil"/>
              <w:bottom w:val="single" w:sz="4" w:space="0" w:color="auto"/>
              <w:right w:val="nil"/>
            </w:tcBorders>
          </w:tcPr>
          <w:p w14:paraId="7EA8E786" w14:textId="77777777" w:rsidR="00603071" w:rsidRPr="00473B58" w:rsidRDefault="00603071" w:rsidP="003551E5">
            <w:pPr>
              <w:spacing w:before="120" w:after="120"/>
              <w:rPr>
                <w:rStyle w:val="Hyperlink"/>
                <w:rFonts w:cstheme="minorHAnsi"/>
                <w:bCs/>
                <w:color w:val="034990" w:themeColor="hyperlink" w:themeShade="BF"/>
                <w:lang w:val="fr-CA"/>
              </w:rPr>
            </w:pPr>
          </w:p>
        </w:tc>
      </w:tr>
      <w:tr w:rsidR="00603071" w:rsidRPr="00473B58" w14:paraId="5F155AD0" w14:textId="30C70DE5" w:rsidTr="00D97151">
        <w:tc>
          <w:tcPr>
            <w:tcW w:w="3092" w:type="dxa"/>
            <w:gridSpan w:val="2"/>
            <w:tcBorders>
              <w:top w:val="single" w:sz="4" w:space="0" w:color="auto"/>
              <w:left w:val="nil"/>
              <w:bottom w:val="single" w:sz="4" w:space="0" w:color="auto"/>
              <w:right w:val="nil"/>
            </w:tcBorders>
          </w:tcPr>
          <w:p w14:paraId="00E7E1F0" w14:textId="7AABD2EA" w:rsidR="00603071" w:rsidRPr="00473B58" w:rsidRDefault="00603071" w:rsidP="00FD78F8">
            <w:pPr>
              <w:spacing w:before="120" w:after="120"/>
              <w:rPr>
                <w:rFonts w:cstheme="minorHAnsi"/>
                <w:b/>
                <w:bCs/>
                <w:lang w:val="fr-CA"/>
              </w:rPr>
            </w:pPr>
            <w:r w:rsidRPr="00473B58">
              <w:rPr>
                <w:rFonts w:cstheme="minorHAnsi"/>
                <w:b/>
                <w:bCs/>
                <w:lang w:val="fr-CA"/>
              </w:rPr>
              <w:t xml:space="preserve">Identification des obligations de prestation </w:t>
            </w:r>
          </w:p>
        </w:tc>
        <w:tc>
          <w:tcPr>
            <w:tcW w:w="2296" w:type="dxa"/>
            <w:tcBorders>
              <w:top w:val="single" w:sz="4" w:space="0" w:color="auto"/>
              <w:left w:val="nil"/>
              <w:bottom w:val="single" w:sz="4" w:space="0" w:color="auto"/>
              <w:right w:val="nil"/>
            </w:tcBorders>
          </w:tcPr>
          <w:p w14:paraId="5AD36198" w14:textId="7C062CCD" w:rsidR="00603071" w:rsidRPr="00473B58" w:rsidRDefault="00603071" w:rsidP="003551E5">
            <w:pPr>
              <w:spacing w:before="120" w:after="120"/>
              <w:rPr>
                <w:rFonts w:cstheme="minorHAnsi"/>
                <w:lang w:val="fr-CA"/>
              </w:rPr>
            </w:pPr>
            <w:r w:rsidRPr="00473B58">
              <w:rPr>
                <w:rFonts w:cstheme="minorHAnsi"/>
                <w:lang w:val="fr-CA"/>
              </w:rPr>
              <w:t>Oui</w:t>
            </w:r>
          </w:p>
        </w:tc>
        <w:tc>
          <w:tcPr>
            <w:tcW w:w="4022" w:type="dxa"/>
            <w:gridSpan w:val="3"/>
            <w:tcBorders>
              <w:top w:val="single" w:sz="4" w:space="0" w:color="auto"/>
              <w:left w:val="nil"/>
              <w:bottom w:val="single" w:sz="4" w:space="0" w:color="auto"/>
              <w:right w:val="nil"/>
            </w:tcBorders>
          </w:tcPr>
          <w:p w14:paraId="7A53E0E7" w14:textId="3A11E994" w:rsidR="00603071" w:rsidRPr="00473B58" w:rsidRDefault="00603071" w:rsidP="003551E5">
            <w:pPr>
              <w:spacing w:before="120" w:after="120"/>
              <w:rPr>
                <w:rFonts w:cstheme="minorHAnsi"/>
                <w:lang w:val="fr-CA"/>
              </w:rPr>
            </w:pPr>
            <w:r w:rsidRPr="00473B58">
              <w:rPr>
                <w:rFonts w:cstheme="minorHAnsi"/>
                <w:lang w:val="fr-CA"/>
              </w:rPr>
              <w:t>Oui</w:t>
            </w:r>
          </w:p>
        </w:tc>
        <w:tc>
          <w:tcPr>
            <w:tcW w:w="3550" w:type="dxa"/>
            <w:tcBorders>
              <w:top w:val="single" w:sz="4" w:space="0" w:color="auto"/>
              <w:left w:val="nil"/>
              <w:bottom w:val="single" w:sz="4" w:space="0" w:color="auto"/>
              <w:right w:val="nil"/>
            </w:tcBorders>
          </w:tcPr>
          <w:p w14:paraId="5F6CDABD" w14:textId="5AA401CD" w:rsidR="00603071" w:rsidRPr="00473B58" w:rsidRDefault="00603071" w:rsidP="003551E5">
            <w:pPr>
              <w:spacing w:before="120" w:after="120"/>
              <w:rPr>
                <w:rFonts w:cstheme="minorHAnsi"/>
                <w:lang w:val="fr-CA"/>
              </w:rPr>
            </w:pPr>
            <w:r w:rsidRPr="00473B58">
              <w:rPr>
                <w:rFonts w:cstheme="minorHAnsi"/>
                <w:lang w:val="fr-CA"/>
              </w:rPr>
              <w:t>Oui</w:t>
            </w:r>
          </w:p>
        </w:tc>
      </w:tr>
      <w:tr w:rsidR="00603071" w:rsidRPr="00473B58" w14:paraId="647E001A" w14:textId="6E10689D" w:rsidTr="00D97151">
        <w:tc>
          <w:tcPr>
            <w:tcW w:w="3092" w:type="dxa"/>
            <w:gridSpan w:val="2"/>
            <w:tcBorders>
              <w:top w:val="single" w:sz="4" w:space="0" w:color="auto"/>
              <w:left w:val="nil"/>
              <w:bottom w:val="single" w:sz="4" w:space="0" w:color="auto"/>
              <w:right w:val="nil"/>
            </w:tcBorders>
          </w:tcPr>
          <w:p w14:paraId="17543054" w14:textId="20BA613E" w:rsidR="00603071" w:rsidRPr="00473B58" w:rsidRDefault="00603071" w:rsidP="00C16790">
            <w:pPr>
              <w:spacing w:before="120" w:after="120"/>
              <w:rPr>
                <w:rFonts w:cstheme="minorHAnsi"/>
                <w:b/>
                <w:bCs/>
                <w:lang w:val="fr-CA"/>
              </w:rPr>
            </w:pPr>
            <w:r w:rsidRPr="00473B58">
              <w:rPr>
                <w:rFonts w:cstheme="minorHAnsi"/>
                <w:b/>
                <w:bCs/>
                <w:lang w:val="fr-CA"/>
              </w:rPr>
              <w:t>Tester le caractère approprié des activités de livraison et de manutention</w:t>
            </w:r>
          </w:p>
        </w:tc>
        <w:tc>
          <w:tcPr>
            <w:tcW w:w="2296" w:type="dxa"/>
            <w:tcBorders>
              <w:top w:val="single" w:sz="4" w:space="0" w:color="auto"/>
              <w:left w:val="nil"/>
              <w:bottom w:val="single" w:sz="4" w:space="0" w:color="auto"/>
              <w:right w:val="nil"/>
            </w:tcBorders>
          </w:tcPr>
          <w:p w14:paraId="13CEBB0B" w14:textId="51D169EB" w:rsidR="00603071" w:rsidRPr="00473B58" w:rsidRDefault="00603071" w:rsidP="003551E5">
            <w:pPr>
              <w:spacing w:before="120" w:after="120"/>
              <w:rPr>
                <w:rFonts w:cstheme="minorHAnsi"/>
                <w:lang w:val="fr-CA"/>
              </w:rPr>
            </w:pPr>
            <w:r w:rsidRPr="00473B58">
              <w:rPr>
                <w:rFonts w:cstheme="minorHAnsi"/>
                <w:lang w:val="fr-CA"/>
              </w:rPr>
              <w:t>Oui</w:t>
            </w:r>
          </w:p>
        </w:tc>
        <w:tc>
          <w:tcPr>
            <w:tcW w:w="4022" w:type="dxa"/>
            <w:gridSpan w:val="3"/>
            <w:tcBorders>
              <w:top w:val="single" w:sz="4" w:space="0" w:color="auto"/>
              <w:left w:val="nil"/>
              <w:bottom w:val="single" w:sz="4" w:space="0" w:color="auto"/>
              <w:right w:val="nil"/>
            </w:tcBorders>
          </w:tcPr>
          <w:p w14:paraId="7CEA5522" w14:textId="5073FF96" w:rsidR="00603071" w:rsidRPr="00473B58" w:rsidRDefault="00603071" w:rsidP="003551E5">
            <w:pPr>
              <w:spacing w:before="120" w:after="120"/>
              <w:rPr>
                <w:rFonts w:cstheme="minorHAnsi"/>
                <w:lang w:val="fr-CA"/>
              </w:rPr>
            </w:pPr>
            <w:r w:rsidRPr="00473B58">
              <w:rPr>
                <w:rFonts w:cstheme="minorHAnsi"/>
                <w:lang w:val="fr-CA"/>
              </w:rPr>
              <w:t>Oui</w:t>
            </w:r>
          </w:p>
        </w:tc>
        <w:tc>
          <w:tcPr>
            <w:tcW w:w="3550" w:type="dxa"/>
            <w:tcBorders>
              <w:top w:val="single" w:sz="4" w:space="0" w:color="auto"/>
              <w:left w:val="nil"/>
              <w:bottom w:val="single" w:sz="4" w:space="0" w:color="auto"/>
              <w:right w:val="nil"/>
            </w:tcBorders>
          </w:tcPr>
          <w:p w14:paraId="068A34B7" w14:textId="70A292EF" w:rsidR="00603071" w:rsidRPr="00473B58" w:rsidRDefault="00603071">
            <w:pPr>
              <w:spacing w:before="120" w:after="120"/>
              <w:rPr>
                <w:rFonts w:cstheme="minorHAnsi"/>
                <w:lang w:val="fr-CA"/>
              </w:rPr>
            </w:pPr>
            <w:r w:rsidRPr="00473B58">
              <w:rPr>
                <w:rFonts w:cstheme="minorHAnsi"/>
                <w:lang w:val="fr-CA"/>
              </w:rPr>
              <w:t>O</w:t>
            </w:r>
            <w:r w:rsidR="00A95C9A" w:rsidRPr="00473B58">
              <w:rPr>
                <w:rFonts w:cstheme="minorHAnsi"/>
                <w:lang w:val="fr-CA"/>
              </w:rPr>
              <w:t>u</w:t>
            </w:r>
            <w:r w:rsidRPr="00473B58">
              <w:rPr>
                <w:rFonts w:cstheme="minorHAnsi"/>
                <w:lang w:val="fr-CA"/>
              </w:rPr>
              <w:t>i</w:t>
            </w:r>
          </w:p>
        </w:tc>
      </w:tr>
      <w:tr w:rsidR="00BE578B" w:rsidRPr="00D97151" w14:paraId="7D4E5C48" w14:textId="7F1516AF" w:rsidTr="00D97151">
        <w:tc>
          <w:tcPr>
            <w:tcW w:w="3092" w:type="dxa"/>
            <w:gridSpan w:val="2"/>
            <w:tcBorders>
              <w:top w:val="single" w:sz="4" w:space="0" w:color="auto"/>
              <w:left w:val="nil"/>
              <w:bottom w:val="single" w:sz="12" w:space="0" w:color="2E74B5"/>
              <w:right w:val="nil"/>
            </w:tcBorders>
          </w:tcPr>
          <w:p w14:paraId="600D0C45" w14:textId="3FFCC602" w:rsidR="00BE578B" w:rsidRPr="00473B58" w:rsidRDefault="00BE578B" w:rsidP="00C16790">
            <w:pPr>
              <w:spacing w:before="120" w:after="120"/>
              <w:rPr>
                <w:rFonts w:cstheme="minorHAnsi"/>
                <w:b/>
                <w:bCs/>
                <w:lang w:val="fr-CA"/>
              </w:rPr>
            </w:pPr>
            <w:r w:rsidRPr="00473B58">
              <w:rPr>
                <w:rFonts w:cstheme="minorHAnsi"/>
                <w:b/>
                <w:bCs/>
                <w:lang w:val="fr-CA"/>
              </w:rPr>
              <w:t>Tester les contrats de licence</w:t>
            </w:r>
          </w:p>
        </w:tc>
        <w:tc>
          <w:tcPr>
            <w:tcW w:w="2296" w:type="dxa"/>
            <w:tcBorders>
              <w:top w:val="single" w:sz="4" w:space="0" w:color="auto"/>
              <w:left w:val="nil"/>
              <w:bottom w:val="single" w:sz="12" w:space="0" w:color="2E74B5"/>
              <w:right w:val="nil"/>
            </w:tcBorders>
          </w:tcPr>
          <w:p w14:paraId="6F9C9DE9" w14:textId="44CBA8E7" w:rsidR="00BE578B" w:rsidRPr="00473B58" w:rsidRDefault="00BE578B" w:rsidP="003551E5">
            <w:pPr>
              <w:spacing w:before="120" w:after="120"/>
              <w:rPr>
                <w:rFonts w:cstheme="minorHAnsi"/>
                <w:lang w:val="fr-CA"/>
              </w:rPr>
            </w:pPr>
            <w:r w:rsidRPr="00473B58">
              <w:rPr>
                <w:rFonts w:cstheme="minorHAnsi"/>
                <w:lang w:val="fr-CA"/>
              </w:rPr>
              <w:t>Oui</w:t>
            </w:r>
          </w:p>
        </w:tc>
        <w:tc>
          <w:tcPr>
            <w:tcW w:w="7572" w:type="dxa"/>
            <w:gridSpan w:val="4"/>
            <w:tcBorders>
              <w:top w:val="single" w:sz="4" w:space="0" w:color="auto"/>
              <w:left w:val="nil"/>
              <w:bottom w:val="single" w:sz="12" w:space="0" w:color="2E74B5"/>
              <w:right w:val="nil"/>
            </w:tcBorders>
          </w:tcPr>
          <w:p w14:paraId="67143F58" w14:textId="6F68C339" w:rsidR="00BE578B" w:rsidRPr="00473B58" w:rsidRDefault="00BE578B" w:rsidP="003551E5">
            <w:pPr>
              <w:spacing w:before="120" w:after="120"/>
              <w:ind w:right="-38"/>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A95C9A" w:rsidRPr="00D97151" w14:paraId="47A95DB8" w14:textId="1A1913E3" w:rsidTr="00D97151">
        <w:tc>
          <w:tcPr>
            <w:tcW w:w="2525" w:type="dxa"/>
            <w:tcBorders>
              <w:top w:val="single" w:sz="12" w:space="0" w:color="2E74B5" w:themeColor="accent1" w:themeShade="BF"/>
              <w:left w:val="nil"/>
              <w:bottom w:val="single" w:sz="12" w:space="0" w:color="2E74B5" w:themeColor="accent1" w:themeShade="BF"/>
              <w:right w:val="nil"/>
            </w:tcBorders>
          </w:tcPr>
          <w:p w14:paraId="0E19B39E" w14:textId="01E00699" w:rsidR="00A95C9A" w:rsidRPr="00473B58" w:rsidRDefault="00A95C9A" w:rsidP="00A95C9A">
            <w:pPr>
              <w:spacing w:before="120" w:after="120"/>
              <w:rPr>
                <w:lang w:val="fr-CA"/>
              </w:rPr>
            </w:pPr>
            <w:bookmarkStart w:id="68" w:name="_GoBack"/>
            <w:bookmarkEnd w:id="68"/>
          </w:p>
        </w:tc>
        <w:tc>
          <w:tcPr>
            <w:tcW w:w="2895" w:type="dxa"/>
            <w:gridSpan w:val="3"/>
            <w:tcBorders>
              <w:top w:val="single" w:sz="12" w:space="0" w:color="2E74B5" w:themeColor="accent1" w:themeShade="BF"/>
              <w:left w:val="nil"/>
              <w:bottom w:val="single" w:sz="12" w:space="0" w:color="2E74B5" w:themeColor="accent1" w:themeShade="BF"/>
              <w:right w:val="nil"/>
            </w:tcBorders>
            <w:vAlign w:val="bottom"/>
          </w:tcPr>
          <w:p w14:paraId="0B0C7417" w14:textId="0E1F1704" w:rsidR="00A95C9A" w:rsidRPr="00473B58" w:rsidRDefault="00A95C9A" w:rsidP="00A95C9A">
            <w:pPr>
              <w:spacing w:before="120" w:after="120"/>
              <w:rPr>
                <w:lang w:val="fr-CA"/>
              </w:rPr>
            </w:pPr>
            <w:r w:rsidRPr="00473B58">
              <w:rPr>
                <w:b/>
                <w:color w:val="2E74B5" w:themeColor="accent1" w:themeShade="BF"/>
                <w:lang w:val="fr-CA"/>
              </w:rPr>
              <w:t>Tester les opérations génératrices de produits (Étapes 1 à 5)</w:t>
            </w:r>
            <w:r w:rsidR="0061499C">
              <w:rPr>
                <w:b/>
                <w:color w:val="2E74B5" w:themeColor="accent1" w:themeShade="BF"/>
                <w:lang w:val="fr-CA"/>
              </w:rPr>
              <w:t xml:space="preserve"> (NCA 540)</w:t>
            </w:r>
          </w:p>
        </w:tc>
        <w:tc>
          <w:tcPr>
            <w:tcW w:w="3950" w:type="dxa"/>
            <w:tcBorders>
              <w:top w:val="single" w:sz="12" w:space="0" w:color="2E74B5" w:themeColor="accent1" w:themeShade="BF"/>
              <w:left w:val="nil"/>
              <w:bottom w:val="single" w:sz="12" w:space="0" w:color="2E74B5" w:themeColor="accent1" w:themeShade="BF"/>
              <w:right w:val="nil"/>
            </w:tcBorders>
            <w:vAlign w:val="bottom"/>
          </w:tcPr>
          <w:p w14:paraId="77CE58F7" w14:textId="78182BCB" w:rsidR="00A95C9A" w:rsidRPr="00473B58" w:rsidRDefault="00A95C9A" w:rsidP="00A95C9A">
            <w:pPr>
              <w:spacing w:before="120" w:after="120"/>
              <w:rPr>
                <w:lang w:val="fr-CA"/>
              </w:rPr>
            </w:pPr>
            <w:r w:rsidRPr="00473B58">
              <w:rPr>
                <w:b/>
                <w:color w:val="2E74B5" w:themeColor="accent1" w:themeShade="BF"/>
                <w:lang w:val="fr-CA"/>
              </w:rPr>
              <w:t>Tester les opérations génératrices de produits (Étapes 1 à 5) — Obligation de prestation distincte remplie à un moment précis</w:t>
            </w:r>
            <w:r w:rsidR="0061499C">
              <w:rPr>
                <w:b/>
                <w:color w:val="2E74B5" w:themeColor="accent1" w:themeShade="BF"/>
                <w:lang w:val="fr-CA"/>
              </w:rPr>
              <w:t xml:space="preserve"> </w:t>
            </w:r>
            <w:r w:rsidR="0061499C" w:rsidRPr="00B321B2">
              <w:rPr>
                <w:b/>
                <w:color w:val="2E74B5" w:themeColor="accent1" w:themeShade="BF"/>
                <w:lang w:val="fr-CA"/>
              </w:rPr>
              <w:t>— [Type de produits] (NCA 540)</w:t>
            </w:r>
          </w:p>
        </w:tc>
        <w:tc>
          <w:tcPr>
            <w:tcW w:w="3585" w:type="dxa"/>
            <w:gridSpan w:val="2"/>
            <w:tcBorders>
              <w:top w:val="single" w:sz="12" w:space="0" w:color="2E74B5" w:themeColor="accent1" w:themeShade="BF"/>
              <w:left w:val="nil"/>
              <w:bottom w:val="single" w:sz="12" w:space="0" w:color="2E74B5" w:themeColor="accent1" w:themeShade="BF"/>
              <w:right w:val="nil"/>
            </w:tcBorders>
          </w:tcPr>
          <w:p w14:paraId="4F1CA4B6" w14:textId="2116679B" w:rsidR="00A95C9A" w:rsidRPr="00473B58" w:rsidRDefault="00A95C9A" w:rsidP="00A95C9A">
            <w:pPr>
              <w:spacing w:before="120" w:after="120"/>
              <w:rPr>
                <w:b/>
                <w:color w:val="2E74B5" w:themeColor="accent1" w:themeShade="BF"/>
                <w:lang w:val="fr-CA"/>
              </w:rPr>
            </w:pPr>
            <w:r w:rsidRPr="006A64AC">
              <w:rPr>
                <w:b/>
                <w:color w:val="2E74B5" w:themeColor="accent1" w:themeShade="BF"/>
                <w:lang w:val="fr-CA"/>
              </w:rPr>
              <w:t>Tester les opérations génératrices de produits (Étapes 1 à 5) — Obligation de prestation distincte (ou série de biens ou de services distincts) remplie progressivement</w:t>
            </w:r>
            <w:r w:rsidR="0061499C">
              <w:rPr>
                <w:b/>
                <w:color w:val="2E74B5" w:themeColor="accent1" w:themeShade="BF"/>
                <w:lang w:val="fr-CA"/>
              </w:rPr>
              <w:t xml:space="preserve"> </w:t>
            </w:r>
            <w:r w:rsidR="0061499C" w:rsidRPr="00B321B2">
              <w:rPr>
                <w:b/>
                <w:color w:val="2E74B5" w:themeColor="accent1" w:themeShade="BF"/>
                <w:lang w:val="fr-CA"/>
              </w:rPr>
              <w:t>— [Type de produits] (NCA 540)</w:t>
            </w:r>
          </w:p>
        </w:tc>
      </w:tr>
      <w:tr w:rsidR="00A95C9A" w:rsidRPr="00D97151" w14:paraId="7ED1B786" w14:textId="18E7AB44" w:rsidTr="00D97151">
        <w:tc>
          <w:tcPr>
            <w:tcW w:w="9370" w:type="dxa"/>
            <w:gridSpan w:val="5"/>
            <w:tcBorders>
              <w:top w:val="single" w:sz="12" w:space="0" w:color="2E74B5" w:themeColor="accent1" w:themeShade="BF"/>
              <w:left w:val="nil"/>
              <w:bottom w:val="single" w:sz="4" w:space="0" w:color="auto"/>
              <w:right w:val="nil"/>
            </w:tcBorders>
          </w:tcPr>
          <w:p w14:paraId="11AEED49" w14:textId="21DA46FF" w:rsidR="00A95C9A" w:rsidRPr="00473B58" w:rsidRDefault="00D97151" w:rsidP="00A95C9A">
            <w:pPr>
              <w:spacing w:before="120" w:after="120"/>
              <w:rPr>
                <w:color w:val="2E74B5" w:themeColor="accent1" w:themeShade="BF"/>
                <w:lang w:val="fr-CA"/>
              </w:rPr>
            </w:pPr>
            <w:hyperlink w:anchor="_Results_Template_(Step_2" w:history="1">
              <w:r w:rsidR="00A95C9A" w:rsidRPr="00473B58">
                <w:rPr>
                  <w:rStyle w:val="Hyperlink"/>
                  <w:color w:val="034990" w:themeColor="hyperlink" w:themeShade="BF"/>
                  <w:lang w:val="fr-CA"/>
                </w:rPr>
                <w:t xml:space="preserve">Étape 3 — Déterminer le prix de transaction </w:t>
              </w:r>
            </w:hyperlink>
          </w:p>
        </w:tc>
        <w:tc>
          <w:tcPr>
            <w:tcW w:w="3585" w:type="dxa"/>
            <w:gridSpan w:val="2"/>
            <w:tcBorders>
              <w:top w:val="single" w:sz="12" w:space="0" w:color="2E74B5" w:themeColor="accent1" w:themeShade="BF"/>
              <w:left w:val="nil"/>
              <w:bottom w:val="single" w:sz="4" w:space="0" w:color="auto"/>
              <w:right w:val="nil"/>
            </w:tcBorders>
          </w:tcPr>
          <w:p w14:paraId="0AA21EAE" w14:textId="77777777" w:rsidR="00A95C9A" w:rsidRPr="00473B58" w:rsidRDefault="00A95C9A" w:rsidP="00A95C9A">
            <w:pPr>
              <w:spacing w:before="120" w:after="120"/>
              <w:rPr>
                <w:rStyle w:val="Hyperlink"/>
                <w:color w:val="034990" w:themeColor="hyperlink" w:themeShade="BF"/>
                <w:lang w:val="fr-CA"/>
              </w:rPr>
            </w:pPr>
          </w:p>
        </w:tc>
      </w:tr>
      <w:tr w:rsidR="00A95C9A" w:rsidRPr="00473B58" w14:paraId="4A11991D" w14:textId="087FBDED" w:rsidTr="00D97151">
        <w:tc>
          <w:tcPr>
            <w:tcW w:w="2525" w:type="dxa"/>
            <w:tcBorders>
              <w:top w:val="single" w:sz="4" w:space="0" w:color="auto"/>
              <w:left w:val="nil"/>
              <w:bottom w:val="single" w:sz="4" w:space="0" w:color="auto"/>
              <w:right w:val="nil"/>
            </w:tcBorders>
          </w:tcPr>
          <w:p w14:paraId="4E7A7DC0" w14:textId="58B5BF65" w:rsidR="00A95C9A" w:rsidRPr="00473B58" w:rsidRDefault="00A95C9A" w:rsidP="00A95C9A">
            <w:pPr>
              <w:spacing w:before="120" w:after="120"/>
              <w:rPr>
                <w:b/>
                <w:lang w:val="fr-CA"/>
              </w:rPr>
            </w:pPr>
            <w:r w:rsidRPr="00473B58">
              <w:rPr>
                <w:b/>
                <w:lang w:val="fr-CA"/>
              </w:rPr>
              <w:t>Contrepartie fixe</w:t>
            </w:r>
          </w:p>
        </w:tc>
        <w:tc>
          <w:tcPr>
            <w:tcW w:w="2895" w:type="dxa"/>
            <w:gridSpan w:val="3"/>
            <w:tcBorders>
              <w:top w:val="single" w:sz="4" w:space="0" w:color="auto"/>
              <w:left w:val="nil"/>
              <w:bottom w:val="single" w:sz="4" w:space="0" w:color="auto"/>
              <w:right w:val="nil"/>
            </w:tcBorders>
          </w:tcPr>
          <w:p w14:paraId="4C370225" w14:textId="40990946" w:rsidR="00A95C9A" w:rsidRPr="00473B58" w:rsidRDefault="00A95C9A" w:rsidP="00A95C9A">
            <w:pPr>
              <w:spacing w:before="120" w:after="120"/>
              <w:rPr>
                <w:lang w:val="fr-CA"/>
              </w:rPr>
            </w:pPr>
            <w:r w:rsidRPr="00473B58">
              <w:rPr>
                <w:lang w:val="fr-CA"/>
              </w:rPr>
              <w:t>Oui</w:t>
            </w:r>
          </w:p>
        </w:tc>
        <w:tc>
          <w:tcPr>
            <w:tcW w:w="3950" w:type="dxa"/>
            <w:tcBorders>
              <w:top w:val="single" w:sz="4" w:space="0" w:color="auto"/>
              <w:left w:val="nil"/>
              <w:bottom w:val="single" w:sz="4" w:space="0" w:color="auto"/>
              <w:right w:val="nil"/>
            </w:tcBorders>
          </w:tcPr>
          <w:p w14:paraId="755A25A5" w14:textId="5548A93A" w:rsidR="00A95C9A" w:rsidRPr="00473B58" w:rsidRDefault="00A95C9A" w:rsidP="00A95C9A">
            <w:pPr>
              <w:spacing w:before="120" w:after="120"/>
              <w:rPr>
                <w:lang w:val="fr-CA"/>
              </w:rPr>
            </w:pPr>
            <w:r w:rsidRPr="00473B58">
              <w:rPr>
                <w:lang w:val="fr-CA"/>
              </w:rPr>
              <w:t>Oui</w:t>
            </w:r>
          </w:p>
        </w:tc>
        <w:tc>
          <w:tcPr>
            <w:tcW w:w="3585" w:type="dxa"/>
            <w:gridSpan w:val="2"/>
            <w:tcBorders>
              <w:top w:val="single" w:sz="4" w:space="0" w:color="auto"/>
              <w:left w:val="nil"/>
              <w:bottom w:val="single" w:sz="4" w:space="0" w:color="auto"/>
              <w:right w:val="nil"/>
            </w:tcBorders>
          </w:tcPr>
          <w:p w14:paraId="27A5CFDE" w14:textId="0672B707" w:rsidR="00A95C9A" w:rsidRPr="00473B58" w:rsidRDefault="00A95C9A" w:rsidP="00A95C9A">
            <w:pPr>
              <w:spacing w:before="120" w:after="120"/>
              <w:rPr>
                <w:lang w:val="fr-CA"/>
              </w:rPr>
            </w:pPr>
            <w:r w:rsidRPr="00473B58">
              <w:rPr>
                <w:lang w:val="fr-CA"/>
              </w:rPr>
              <w:t>Oui</w:t>
            </w:r>
          </w:p>
        </w:tc>
      </w:tr>
      <w:tr w:rsidR="00A95C9A" w:rsidRPr="00473B58" w14:paraId="06D4EC2B" w14:textId="1F2435EB" w:rsidTr="00D97151">
        <w:tc>
          <w:tcPr>
            <w:tcW w:w="2525" w:type="dxa"/>
            <w:tcBorders>
              <w:top w:val="single" w:sz="4" w:space="0" w:color="auto"/>
              <w:left w:val="nil"/>
              <w:bottom w:val="single" w:sz="4" w:space="0" w:color="auto"/>
              <w:right w:val="nil"/>
            </w:tcBorders>
          </w:tcPr>
          <w:p w14:paraId="202BBCBD" w14:textId="43D7EBC1" w:rsidR="00A95C9A" w:rsidRPr="00473B58" w:rsidRDefault="00A95C9A" w:rsidP="00A95C9A">
            <w:pPr>
              <w:spacing w:before="120" w:after="120"/>
              <w:rPr>
                <w:b/>
                <w:lang w:val="fr-CA"/>
              </w:rPr>
            </w:pPr>
            <w:r w:rsidRPr="00473B58">
              <w:rPr>
                <w:b/>
                <w:lang w:val="fr-CA"/>
              </w:rPr>
              <w:t>Contrepartie variable (explicite et implicite)</w:t>
            </w:r>
          </w:p>
        </w:tc>
        <w:tc>
          <w:tcPr>
            <w:tcW w:w="2895" w:type="dxa"/>
            <w:gridSpan w:val="3"/>
            <w:tcBorders>
              <w:top w:val="single" w:sz="4" w:space="0" w:color="auto"/>
              <w:left w:val="nil"/>
              <w:bottom w:val="single" w:sz="4" w:space="0" w:color="auto"/>
              <w:right w:val="nil"/>
            </w:tcBorders>
          </w:tcPr>
          <w:p w14:paraId="48F451E9" w14:textId="58C612FE" w:rsidR="00A95C9A" w:rsidRPr="00473B58" w:rsidRDefault="00A95C9A" w:rsidP="00A95C9A">
            <w:pPr>
              <w:spacing w:before="120" w:after="120"/>
              <w:rPr>
                <w:lang w:val="fr-CA"/>
              </w:rPr>
            </w:pPr>
            <w:r w:rsidRPr="00473B58">
              <w:rPr>
                <w:lang w:val="fr-CA"/>
              </w:rPr>
              <w:t>Oui</w:t>
            </w:r>
          </w:p>
        </w:tc>
        <w:tc>
          <w:tcPr>
            <w:tcW w:w="3950" w:type="dxa"/>
            <w:tcBorders>
              <w:top w:val="single" w:sz="4" w:space="0" w:color="auto"/>
              <w:left w:val="nil"/>
              <w:bottom w:val="single" w:sz="4" w:space="0" w:color="auto"/>
              <w:right w:val="nil"/>
            </w:tcBorders>
          </w:tcPr>
          <w:p w14:paraId="5FF73AC6" w14:textId="6AC38F8E" w:rsidR="00A95C9A" w:rsidRPr="00473B58" w:rsidRDefault="00A95C9A" w:rsidP="00A95C9A">
            <w:pPr>
              <w:spacing w:before="120" w:after="120"/>
              <w:rPr>
                <w:lang w:val="fr-CA"/>
              </w:rPr>
            </w:pPr>
            <w:r w:rsidRPr="00473B58">
              <w:rPr>
                <w:lang w:val="fr-CA"/>
              </w:rPr>
              <w:t>Oui</w:t>
            </w:r>
          </w:p>
        </w:tc>
        <w:tc>
          <w:tcPr>
            <w:tcW w:w="3585" w:type="dxa"/>
            <w:gridSpan w:val="2"/>
            <w:tcBorders>
              <w:top w:val="single" w:sz="4" w:space="0" w:color="auto"/>
              <w:left w:val="nil"/>
              <w:bottom w:val="single" w:sz="4" w:space="0" w:color="auto"/>
              <w:right w:val="nil"/>
            </w:tcBorders>
          </w:tcPr>
          <w:p w14:paraId="4B3529AC" w14:textId="41FE5468" w:rsidR="00A95C9A" w:rsidRPr="00473B58" w:rsidRDefault="00A95C9A" w:rsidP="00A95C9A">
            <w:pPr>
              <w:spacing w:before="120" w:after="120"/>
              <w:rPr>
                <w:lang w:val="fr-CA"/>
              </w:rPr>
            </w:pPr>
            <w:r w:rsidRPr="00473B58">
              <w:rPr>
                <w:lang w:val="fr-CA"/>
              </w:rPr>
              <w:t>Oui</w:t>
            </w:r>
          </w:p>
        </w:tc>
      </w:tr>
      <w:tr w:rsidR="0061499C" w:rsidRPr="00D97151" w14:paraId="5DE9D434" w14:textId="518C9941" w:rsidTr="00D97151">
        <w:tc>
          <w:tcPr>
            <w:tcW w:w="2525" w:type="dxa"/>
            <w:tcBorders>
              <w:top w:val="single" w:sz="4" w:space="0" w:color="auto"/>
              <w:left w:val="nil"/>
              <w:bottom w:val="single" w:sz="4" w:space="0" w:color="auto"/>
              <w:right w:val="nil"/>
            </w:tcBorders>
          </w:tcPr>
          <w:p w14:paraId="7C76FCC0" w14:textId="09A99ACE" w:rsidR="0061499C" w:rsidRPr="00473B58" w:rsidRDefault="0061499C" w:rsidP="00A95C9A">
            <w:pPr>
              <w:spacing w:before="120" w:after="120"/>
              <w:rPr>
                <w:b/>
                <w:lang w:val="fr-CA"/>
              </w:rPr>
            </w:pPr>
            <w:r w:rsidRPr="00473B58">
              <w:rPr>
                <w:b/>
                <w:lang w:val="fr-CA"/>
              </w:rPr>
              <w:t>Tester la composante financement importante</w:t>
            </w:r>
          </w:p>
        </w:tc>
        <w:tc>
          <w:tcPr>
            <w:tcW w:w="2895" w:type="dxa"/>
            <w:gridSpan w:val="3"/>
            <w:tcBorders>
              <w:top w:val="single" w:sz="4" w:space="0" w:color="auto"/>
              <w:left w:val="nil"/>
              <w:bottom w:val="single" w:sz="4" w:space="0" w:color="auto"/>
              <w:right w:val="nil"/>
            </w:tcBorders>
          </w:tcPr>
          <w:p w14:paraId="7BCB58B1" w14:textId="6F926838" w:rsidR="0061499C" w:rsidRPr="00473B58" w:rsidRDefault="0061499C" w:rsidP="00A95C9A">
            <w:pPr>
              <w:spacing w:before="120" w:after="120"/>
              <w:rPr>
                <w:lang w:val="fr-CA"/>
              </w:rPr>
            </w:pPr>
            <w:r w:rsidRPr="00473B58">
              <w:rPr>
                <w:lang w:val="fr-CA"/>
              </w:rPr>
              <w:t>Oui</w:t>
            </w:r>
          </w:p>
        </w:tc>
        <w:tc>
          <w:tcPr>
            <w:tcW w:w="7535" w:type="dxa"/>
            <w:gridSpan w:val="3"/>
            <w:tcBorders>
              <w:top w:val="single" w:sz="4" w:space="0" w:color="auto"/>
              <w:left w:val="nil"/>
              <w:bottom w:val="single" w:sz="4" w:space="0" w:color="auto"/>
              <w:right w:val="nil"/>
            </w:tcBorders>
          </w:tcPr>
          <w:p w14:paraId="19E0306D" w14:textId="2D71C161" w:rsidR="0061499C" w:rsidRPr="00473B58" w:rsidRDefault="0061499C" w:rsidP="00A95C9A">
            <w:pPr>
              <w:spacing w:before="120" w:after="120"/>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61499C" w:rsidRPr="00D97151" w14:paraId="1C805EE5" w14:textId="48AE88F5" w:rsidTr="00D97151">
        <w:tc>
          <w:tcPr>
            <w:tcW w:w="2525" w:type="dxa"/>
            <w:tcBorders>
              <w:top w:val="single" w:sz="4" w:space="0" w:color="auto"/>
              <w:left w:val="nil"/>
              <w:bottom w:val="single" w:sz="4" w:space="0" w:color="auto"/>
              <w:right w:val="nil"/>
            </w:tcBorders>
          </w:tcPr>
          <w:p w14:paraId="03342D1E" w14:textId="5AF3CE0A" w:rsidR="0061499C" w:rsidRPr="00473B58" w:rsidRDefault="0061499C" w:rsidP="00A95C9A">
            <w:pPr>
              <w:spacing w:before="120" w:after="120"/>
              <w:rPr>
                <w:b/>
                <w:lang w:val="fr-CA"/>
              </w:rPr>
            </w:pPr>
            <w:r w:rsidRPr="00473B58">
              <w:rPr>
                <w:b/>
                <w:lang w:val="fr-CA"/>
              </w:rPr>
              <w:t xml:space="preserve">Contrepartie fixe autre qu’en trésorerie </w:t>
            </w:r>
          </w:p>
        </w:tc>
        <w:tc>
          <w:tcPr>
            <w:tcW w:w="2895" w:type="dxa"/>
            <w:gridSpan w:val="3"/>
            <w:tcBorders>
              <w:top w:val="single" w:sz="4" w:space="0" w:color="auto"/>
              <w:left w:val="nil"/>
              <w:bottom w:val="single" w:sz="4" w:space="0" w:color="auto"/>
              <w:right w:val="nil"/>
            </w:tcBorders>
          </w:tcPr>
          <w:p w14:paraId="03B37CB1" w14:textId="66C8909F" w:rsidR="0061499C" w:rsidRPr="00473B58" w:rsidRDefault="0061499C" w:rsidP="00A95C9A">
            <w:pPr>
              <w:spacing w:before="120" w:after="120"/>
              <w:rPr>
                <w:lang w:val="fr-CA"/>
              </w:rPr>
            </w:pPr>
            <w:r w:rsidRPr="00473B58">
              <w:rPr>
                <w:lang w:val="fr-CA"/>
              </w:rPr>
              <w:t>Oui</w:t>
            </w:r>
          </w:p>
        </w:tc>
        <w:tc>
          <w:tcPr>
            <w:tcW w:w="7535" w:type="dxa"/>
            <w:gridSpan w:val="3"/>
            <w:tcBorders>
              <w:top w:val="single" w:sz="4" w:space="0" w:color="auto"/>
              <w:left w:val="nil"/>
              <w:bottom w:val="single" w:sz="4" w:space="0" w:color="auto"/>
              <w:right w:val="nil"/>
            </w:tcBorders>
          </w:tcPr>
          <w:p w14:paraId="6AC90428" w14:textId="29B0FCE9" w:rsidR="0061499C" w:rsidRPr="00473B58" w:rsidRDefault="0061499C" w:rsidP="00A95C9A">
            <w:pPr>
              <w:spacing w:before="120" w:after="120"/>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61499C" w:rsidRPr="00D97151" w14:paraId="13769110" w14:textId="3CB1549D" w:rsidTr="00D97151">
        <w:tc>
          <w:tcPr>
            <w:tcW w:w="2525" w:type="dxa"/>
            <w:tcBorders>
              <w:top w:val="single" w:sz="4" w:space="0" w:color="auto"/>
              <w:left w:val="nil"/>
              <w:bottom w:val="single" w:sz="4" w:space="0" w:color="auto"/>
              <w:right w:val="nil"/>
            </w:tcBorders>
          </w:tcPr>
          <w:p w14:paraId="539E278F" w14:textId="2D09910C" w:rsidR="0061499C" w:rsidRPr="00473B58" w:rsidRDefault="0061499C" w:rsidP="00A95C9A">
            <w:pPr>
              <w:spacing w:before="120" w:after="120"/>
              <w:rPr>
                <w:b/>
                <w:lang w:val="fr-CA"/>
              </w:rPr>
            </w:pPr>
            <w:r w:rsidRPr="00473B58">
              <w:rPr>
                <w:b/>
                <w:lang w:val="fr-CA"/>
              </w:rPr>
              <w:t>Contrepartie variable autre qu’en trésorerie</w:t>
            </w:r>
          </w:p>
        </w:tc>
        <w:tc>
          <w:tcPr>
            <w:tcW w:w="2895" w:type="dxa"/>
            <w:gridSpan w:val="3"/>
            <w:tcBorders>
              <w:top w:val="single" w:sz="4" w:space="0" w:color="auto"/>
              <w:left w:val="nil"/>
              <w:bottom w:val="single" w:sz="4" w:space="0" w:color="auto"/>
              <w:right w:val="nil"/>
            </w:tcBorders>
          </w:tcPr>
          <w:p w14:paraId="756070B0" w14:textId="23B377A8" w:rsidR="0061499C" w:rsidRPr="00473B58" w:rsidRDefault="0061499C" w:rsidP="00A95C9A">
            <w:pPr>
              <w:spacing w:before="120" w:after="120"/>
              <w:rPr>
                <w:lang w:val="fr-CA"/>
              </w:rPr>
            </w:pPr>
            <w:r w:rsidRPr="00473B58">
              <w:rPr>
                <w:lang w:val="fr-CA"/>
              </w:rPr>
              <w:t>Oui</w:t>
            </w:r>
          </w:p>
        </w:tc>
        <w:tc>
          <w:tcPr>
            <w:tcW w:w="7535" w:type="dxa"/>
            <w:gridSpan w:val="3"/>
            <w:tcBorders>
              <w:top w:val="single" w:sz="4" w:space="0" w:color="auto"/>
              <w:left w:val="nil"/>
              <w:bottom w:val="single" w:sz="4" w:space="0" w:color="auto"/>
              <w:right w:val="nil"/>
            </w:tcBorders>
          </w:tcPr>
          <w:p w14:paraId="7A07DC08" w14:textId="11860A09" w:rsidR="0061499C" w:rsidRPr="00473B58" w:rsidRDefault="0061499C" w:rsidP="00A95C9A">
            <w:pPr>
              <w:spacing w:before="120" w:after="120"/>
              <w:rPr>
                <w:lang w:val="fr-CA"/>
              </w:rPr>
            </w:pPr>
            <w:r w:rsidRPr="00473B58">
              <w:rPr>
                <w:lang w:val="fr-CA"/>
              </w:rPr>
              <w:t>Hors du champ d’application de ce</w:t>
            </w:r>
            <w:r>
              <w:rPr>
                <w:lang w:val="fr-CA"/>
              </w:rPr>
              <w:t>s</w:t>
            </w:r>
            <w:r w:rsidRPr="00473B58">
              <w:rPr>
                <w:lang w:val="fr-CA"/>
              </w:rPr>
              <w:t xml:space="preserve"> procédure</w:t>
            </w:r>
            <w:r>
              <w:rPr>
                <w:lang w:val="fr-CA"/>
              </w:rPr>
              <w:t>s</w:t>
            </w:r>
            <w:r w:rsidRPr="00473B58">
              <w:rPr>
                <w:lang w:val="fr-CA"/>
              </w:rPr>
              <w:t xml:space="preserve"> selon les conditions préalables à l’utilisation de </w:t>
            </w:r>
            <w:r>
              <w:rPr>
                <w:lang w:val="fr-CA"/>
              </w:rPr>
              <w:t>ces</w:t>
            </w:r>
            <w:r w:rsidRPr="00473B58">
              <w:rPr>
                <w:lang w:val="fr-CA"/>
              </w:rPr>
              <w:t xml:space="preserve"> procédure</w:t>
            </w:r>
            <w:r>
              <w:rPr>
                <w:lang w:val="fr-CA"/>
              </w:rPr>
              <w:t>s</w:t>
            </w:r>
          </w:p>
        </w:tc>
      </w:tr>
      <w:tr w:rsidR="00A95C9A" w:rsidRPr="00473B58" w14:paraId="001D0F73" w14:textId="1A91064F" w:rsidTr="00D97151">
        <w:tc>
          <w:tcPr>
            <w:tcW w:w="9370" w:type="dxa"/>
            <w:gridSpan w:val="5"/>
            <w:tcBorders>
              <w:top w:val="nil"/>
              <w:left w:val="nil"/>
              <w:bottom w:val="nil"/>
              <w:right w:val="nil"/>
            </w:tcBorders>
          </w:tcPr>
          <w:p w14:paraId="6AE02FEB" w14:textId="4DB1A88F" w:rsidR="00A95C9A" w:rsidRPr="00473B58" w:rsidRDefault="00D97151" w:rsidP="00A95C9A">
            <w:pPr>
              <w:spacing w:before="120" w:after="120"/>
              <w:rPr>
                <w:color w:val="2E74B5" w:themeColor="accent1" w:themeShade="BF"/>
                <w:lang w:val="fr-CA"/>
              </w:rPr>
            </w:pPr>
            <w:hyperlink w:anchor="_Results_Template_(Step_3" w:history="1">
              <w:r w:rsidR="00A95C9A" w:rsidRPr="00473B58">
                <w:rPr>
                  <w:rStyle w:val="Hyperlink"/>
                  <w:color w:val="034990" w:themeColor="hyperlink" w:themeShade="BF"/>
                  <w:lang w:val="fr-CA"/>
                </w:rPr>
                <w:t>Étape 4 – Répartir le prix de transaction entre les obligations de prestation</w:t>
              </w:r>
            </w:hyperlink>
          </w:p>
          <w:p w14:paraId="44EE2C0F" w14:textId="09FF914E" w:rsidR="00A95C9A" w:rsidRPr="00473B58" w:rsidRDefault="00D97151" w:rsidP="00A95C9A">
            <w:pPr>
              <w:spacing w:before="120" w:after="120"/>
              <w:rPr>
                <w:b/>
                <w:lang w:val="fr-CA"/>
              </w:rPr>
            </w:pPr>
            <w:r>
              <w:rPr>
                <w:rFonts w:cstheme="minorHAnsi"/>
                <w:b/>
                <w:color w:val="C45911" w:themeColor="accent2" w:themeShade="BF"/>
                <w:lang w:val="fr-CA"/>
              </w:rPr>
              <w:pict w14:anchorId="62F271AB">
                <v:rect id="_x0000_i1025" style="width:0;height:1.5pt" o:hrstd="t" o:hr="t" fillcolor="#a0a0a0" stroked="f"/>
              </w:pict>
            </w:r>
          </w:p>
        </w:tc>
        <w:tc>
          <w:tcPr>
            <w:tcW w:w="3585" w:type="dxa"/>
            <w:gridSpan w:val="2"/>
            <w:tcBorders>
              <w:top w:val="nil"/>
              <w:left w:val="nil"/>
              <w:bottom w:val="nil"/>
              <w:right w:val="nil"/>
            </w:tcBorders>
          </w:tcPr>
          <w:p w14:paraId="48ABD1A6" w14:textId="77777777" w:rsidR="00A95C9A" w:rsidRPr="00473B58" w:rsidRDefault="00A95C9A" w:rsidP="00A95C9A">
            <w:pPr>
              <w:spacing w:before="120" w:after="120"/>
              <w:rPr>
                <w:rStyle w:val="Hyperlink"/>
                <w:color w:val="034990" w:themeColor="hyperlink" w:themeShade="BF"/>
                <w:lang w:val="fr-CA"/>
              </w:rPr>
            </w:pPr>
          </w:p>
        </w:tc>
      </w:tr>
      <w:tr w:rsidR="00A95C9A" w:rsidRPr="00D97151" w14:paraId="6B7D0DA4" w14:textId="0296BC0E" w:rsidTr="00D97151">
        <w:tc>
          <w:tcPr>
            <w:tcW w:w="2525" w:type="dxa"/>
            <w:tcBorders>
              <w:top w:val="nil"/>
              <w:left w:val="nil"/>
              <w:bottom w:val="single" w:sz="12" w:space="0" w:color="2E74B5" w:themeColor="accent1" w:themeShade="BF"/>
              <w:right w:val="nil"/>
            </w:tcBorders>
          </w:tcPr>
          <w:p w14:paraId="45A362B9" w14:textId="0BEC4047" w:rsidR="00A95C9A" w:rsidRPr="00473B58" w:rsidRDefault="00A95C9A" w:rsidP="00A95C9A">
            <w:pPr>
              <w:spacing w:before="120" w:after="120"/>
              <w:rPr>
                <w:b/>
                <w:lang w:val="fr-CA"/>
              </w:rPr>
            </w:pPr>
            <w:r w:rsidRPr="00473B58">
              <w:rPr>
                <w:b/>
                <w:lang w:val="fr-CA"/>
              </w:rPr>
              <w:t>Tester le prix de vente spécifique</w:t>
            </w:r>
          </w:p>
        </w:tc>
        <w:tc>
          <w:tcPr>
            <w:tcW w:w="2895" w:type="dxa"/>
            <w:gridSpan w:val="3"/>
            <w:tcBorders>
              <w:top w:val="nil"/>
              <w:left w:val="nil"/>
              <w:bottom w:val="single" w:sz="12" w:space="0" w:color="2E74B5" w:themeColor="accent1" w:themeShade="BF"/>
              <w:right w:val="nil"/>
            </w:tcBorders>
          </w:tcPr>
          <w:p w14:paraId="280F24F5" w14:textId="68D1A5C8" w:rsidR="00A95C9A" w:rsidRPr="00473B58" w:rsidRDefault="00A95C9A" w:rsidP="00A95C9A">
            <w:pPr>
              <w:spacing w:before="120" w:after="120"/>
              <w:rPr>
                <w:lang w:val="fr-CA"/>
              </w:rPr>
            </w:pPr>
            <w:r w:rsidRPr="00473B58">
              <w:rPr>
                <w:lang w:val="fr-CA"/>
              </w:rPr>
              <w:t>Oui</w:t>
            </w:r>
          </w:p>
        </w:tc>
        <w:tc>
          <w:tcPr>
            <w:tcW w:w="3950" w:type="dxa"/>
            <w:tcBorders>
              <w:top w:val="nil"/>
              <w:left w:val="nil"/>
              <w:bottom w:val="single" w:sz="12" w:space="0" w:color="2E74B5" w:themeColor="accent1" w:themeShade="BF"/>
              <w:right w:val="nil"/>
            </w:tcBorders>
          </w:tcPr>
          <w:p w14:paraId="680984FF" w14:textId="56FAC9C0" w:rsidR="00A95C9A" w:rsidRPr="00473B58" w:rsidRDefault="00A95C9A" w:rsidP="00A95C9A">
            <w:pPr>
              <w:spacing w:before="120" w:after="120"/>
              <w:rPr>
                <w:lang w:val="fr-CA"/>
              </w:rPr>
            </w:pPr>
            <w:r w:rsidRPr="00473B58">
              <w:rPr>
                <w:lang w:val="fr-CA"/>
              </w:rPr>
              <w:t>Hors du champ d’application de cette procédure selon les conditions préalables à l’utilisation de la procédure</w:t>
            </w:r>
          </w:p>
        </w:tc>
        <w:tc>
          <w:tcPr>
            <w:tcW w:w="3585" w:type="dxa"/>
            <w:gridSpan w:val="2"/>
            <w:tcBorders>
              <w:top w:val="nil"/>
              <w:left w:val="nil"/>
              <w:bottom w:val="single" w:sz="12" w:space="0" w:color="2E74B5" w:themeColor="accent1" w:themeShade="BF"/>
              <w:right w:val="nil"/>
            </w:tcBorders>
          </w:tcPr>
          <w:p w14:paraId="6BB90407" w14:textId="2F1F55FF" w:rsidR="00A95C9A" w:rsidRPr="00473B58" w:rsidRDefault="00B30D4A">
            <w:pPr>
              <w:spacing w:before="120" w:after="120"/>
              <w:rPr>
                <w:lang w:val="fr-CA"/>
              </w:rPr>
            </w:pPr>
            <w:r w:rsidRPr="006A64AC">
              <w:rPr>
                <w:lang w:val="fr-CA"/>
              </w:rPr>
              <w:t xml:space="preserve">Oui </w:t>
            </w:r>
            <w:r w:rsidR="00A95C9A" w:rsidRPr="006A64AC">
              <w:rPr>
                <w:lang w:val="fr-CA"/>
              </w:rPr>
              <w:t xml:space="preserve">– </w:t>
            </w:r>
            <w:r w:rsidRPr="006A64AC">
              <w:rPr>
                <w:lang w:val="fr-CA"/>
              </w:rPr>
              <w:t>seulement pour répartir la contrepartie variable pour une série de biens et de services distincts</w:t>
            </w:r>
          </w:p>
        </w:tc>
      </w:tr>
    </w:tbl>
    <w:p w14:paraId="65045633" w14:textId="5C2D911E" w:rsidR="0000396B" w:rsidRPr="00473B58" w:rsidRDefault="0000396B" w:rsidP="003551E5">
      <w:pPr>
        <w:spacing w:before="120" w:after="120" w:line="240" w:lineRule="auto"/>
        <w:rPr>
          <w:lang w:val="fr-CA"/>
        </w:rPr>
      </w:pPr>
    </w:p>
    <w:p w14:paraId="5B251851" w14:textId="77777777" w:rsidR="0000396B" w:rsidRPr="00473B58" w:rsidRDefault="0000396B" w:rsidP="003551E5">
      <w:pPr>
        <w:spacing w:before="120" w:after="120" w:line="240" w:lineRule="auto"/>
        <w:rPr>
          <w:lang w:val="fr-CA"/>
        </w:rPr>
      </w:pPr>
      <w:r w:rsidRPr="00473B58">
        <w:rPr>
          <w:lang w:val="fr-CA"/>
        </w:rPr>
        <w:br w:type="page"/>
      </w:r>
    </w:p>
    <w:tbl>
      <w:tblPr>
        <w:tblStyle w:val="TableGrid"/>
        <w:tblW w:w="0" w:type="auto"/>
        <w:tblInd w:w="5" w:type="dxa"/>
        <w:tblLook w:val="04A0" w:firstRow="1" w:lastRow="0" w:firstColumn="1" w:lastColumn="0" w:noHBand="0" w:noVBand="1"/>
      </w:tblPr>
      <w:tblGrid>
        <w:gridCol w:w="2639"/>
        <w:gridCol w:w="2986"/>
        <w:gridCol w:w="3848"/>
        <w:gridCol w:w="3482"/>
      </w:tblGrid>
      <w:tr w:rsidR="00B30D4A" w:rsidRPr="00D97151" w14:paraId="7EABC628" w14:textId="13F8F447" w:rsidTr="006A64AC">
        <w:tc>
          <w:tcPr>
            <w:tcW w:w="2639" w:type="dxa"/>
            <w:tcBorders>
              <w:top w:val="single" w:sz="12" w:space="0" w:color="2E74B5"/>
              <w:left w:val="nil"/>
              <w:bottom w:val="single" w:sz="12" w:space="0" w:color="2E74B5"/>
              <w:right w:val="nil"/>
            </w:tcBorders>
          </w:tcPr>
          <w:p w14:paraId="1F9A1595" w14:textId="77777777" w:rsidR="00B30D4A" w:rsidRPr="00473B58" w:rsidRDefault="00B30D4A" w:rsidP="00B30D4A">
            <w:pPr>
              <w:spacing w:before="120" w:after="120"/>
              <w:rPr>
                <w:lang w:val="fr-CA"/>
              </w:rPr>
            </w:pPr>
          </w:p>
        </w:tc>
        <w:tc>
          <w:tcPr>
            <w:tcW w:w="2986" w:type="dxa"/>
            <w:tcBorders>
              <w:top w:val="single" w:sz="12" w:space="0" w:color="2E74B5"/>
              <w:left w:val="nil"/>
              <w:bottom w:val="single" w:sz="12" w:space="0" w:color="2E74B5"/>
              <w:right w:val="nil"/>
            </w:tcBorders>
            <w:vAlign w:val="bottom"/>
          </w:tcPr>
          <w:p w14:paraId="753ACA52" w14:textId="1AEAD00F" w:rsidR="00B30D4A" w:rsidRPr="00473B58" w:rsidRDefault="00B30D4A" w:rsidP="00B30D4A">
            <w:pPr>
              <w:spacing w:before="120" w:after="120"/>
              <w:rPr>
                <w:lang w:val="fr-CA"/>
              </w:rPr>
            </w:pPr>
            <w:r w:rsidRPr="00473B58">
              <w:rPr>
                <w:b/>
                <w:color w:val="2E74B5" w:themeColor="accent1" w:themeShade="BF"/>
                <w:lang w:val="fr-CA"/>
              </w:rPr>
              <w:t>Tester les opérations génératrices de produits (Étapes 1 à 5)</w:t>
            </w:r>
            <w:r w:rsidR="0061499C">
              <w:rPr>
                <w:b/>
                <w:color w:val="2E74B5" w:themeColor="accent1" w:themeShade="BF"/>
                <w:lang w:val="fr-CA"/>
              </w:rPr>
              <w:t xml:space="preserve"> (NCA 540)</w:t>
            </w:r>
          </w:p>
        </w:tc>
        <w:tc>
          <w:tcPr>
            <w:tcW w:w="3848" w:type="dxa"/>
            <w:tcBorders>
              <w:top w:val="single" w:sz="12" w:space="0" w:color="2E74B5"/>
              <w:left w:val="nil"/>
              <w:bottom w:val="single" w:sz="12" w:space="0" w:color="2E74B5"/>
              <w:right w:val="nil"/>
            </w:tcBorders>
            <w:vAlign w:val="bottom"/>
          </w:tcPr>
          <w:p w14:paraId="6B7099C8" w14:textId="2280CA3D" w:rsidR="00B30D4A" w:rsidRPr="00473B58" w:rsidRDefault="00B30D4A" w:rsidP="00B30D4A">
            <w:pPr>
              <w:spacing w:before="120" w:after="120"/>
              <w:rPr>
                <w:lang w:val="fr-CA"/>
              </w:rPr>
            </w:pPr>
            <w:r w:rsidRPr="00473B58">
              <w:rPr>
                <w:b/>
                <w:color w:val="2E74B5" w:themeColor="accent1" w:themeShade="BF"/>
                <w:lang w:val="fr-CA"/>
              </w:rPr>
              <w:t>Tester les opérations génératrices de produits (Étapes 1 à 5) — Obligation de prestation distincte remplie à un moment précis</w:t>
            </w:r>
            <w:r w:rsidR="0061499C">
              <w:rPr>
                <w:b/>
                <w:color w:val="2E74B5" w:themeColor="accent1" w:themeShade="BF"/>
                <w:lang w:val="fr-CA"/>
              </w:rPr>
              <w:t xml:space="preserve"> </w:t>
            </w:r>
            <w:r w:rsidR="0061499C" w:rsidRPr="00B321B2">
              <w:rPr>
                <w:b/>
                <w:color w:val="2E74B5" w:themeColor="accent1" w:themeShade="BF"/>
                <w:lang w:val="fr-CA"/>
              </w:rPr>
              <w:t>— [Type de produits] (NCA 540)</w:t>
            </w:r>
          </w:p>
        </w:tc>
        <w:tc>
          <w:tcPr>
            <w:tcW w:w="3482" w:type="dxa"/>
            <w:tcBorders>
              <w:top w:val="single" w:sz="12" w:space="0" w:color="2E74B5"/>
              <w:left w:val="nil"/>
              <w:bottom w:val="single" w:sz="12" w:space="0" w:color="2E74B5"/>
              <w:right w:val="nil"/>
            </w:tcBorders>
          </w:tcPr>
          <w:p w14:paraId="50BFF6D9" w14:textId="27C56888" w:rsidR="00B30D4A" w:rsidRPr="00473B58" w:rsidRDefault="00B30D4A" w:rsidP="00B30D4A">
            <w:pPr>
              <w:spacing w:before="120" w:after="120"/>
              <w:rPr>
                <w:b/>
                <w:color w:val="2E74B5" w:themeColor="accent1" w:themeShade="BF"/>
                <w:lang w:val="fr-CA"/>
              </w:rPr>
            </w:pPr>
            <w:r w:rsidRPr="006A64AC">
              <w:rPr>
                <w:b/>
                <w:color w:val="2E74B5" w:themeColor="accent1" w:themeShade="BF"/>
                <w:lang w:val="fr-CA"/>
              </w:rPr>
              <w:t xml:space="preserve">Tester les opérations génératrices de produits (Étapes 1 à 5) — Obligation de prestation distincte (ou série de biens ou de services distincts) remplie progressivement </w:t>
            </w:r>
            <w:r w:rsidR="0061499C" w:rsidRPr="00B321B2">
              <w:rPr>
                <w:b/>
                <w:color w:val="2E74B5" w:themeColor="accent1" w:themeShade="BF"/>
                <w:lang w:val="fr-CA"/>
              </w:rPr>
              <w:t>— [Type de produits] (NCA 540)</w:t>
            </w:r>
          </w:p>
        </w:tc>
      </w:tr>
      <w:tr w:rsidR="00B30D4A" w:rsidRPr="00473B58" w14:paraId="53851247" w14:textId="6F6DBF5E" w:rsidTr="006A64AC">
        <w:tc>
          <w:tcPr>
            <w:tcW w:w="9473" w:type="dxa"/>
            <w:gridSpan w:val="3"/>
            <w:tcBorders>
              <w:top w:val="single" w:sz="12" w:space="0" w:color="2E74B5"/>
              <w:left w:val="nil"/>
              <w:bottom w:val="single" w:sz="4" w:space="0" w:color="auto"/>
              <w:right w:val="nil"/>
            </w:tcBorders>
          </w:tcPr>
          <w:p w14:paraId="09C7DD65" w14:textId="0E464EB7" w:rsidR="00B30D4A" w:rsidRPr="00473B58" w:rsidRDefault="00D97151" w:rsidP="00B30D4A">
            <w:pPr>
              <w:spacing w:before="120" w:after="120"/>
              <w:rPr>
                <w:color w:val="2E74B5" w:themeColor="accent1" w:themeShade="BF"/>
                <w:lang w:val="fr-CA"/>
              </w:rPr>
            </w:pPr>
            <w:hyperlink w:anchor="_Results_Template_(Step_4" w:history="1">
              <w:r w:rsidR="00B30D4A" w:rsidRPr="00473B58">
                <w:rPr>
                  <w:rStyle w:val="Hyperlink"/>
                  <w:color w:val="034990" w:themeColor="hyperlink" w:themeShade="BF"/>
                  <w:lang w:val="fr-CA"/>
                </w:rPr>
                <w:t xml:space="preserve">Étape 5 – Comptabiliser les produits </w:t>
              </w:r>
            </w:hyperlink>
          </w:p>
        </w:tc>
        <w:tc>
          <w:tcPr>
            <w:tcW w:w="3482" w:type="dxa"/>
            <w:tcBorders>
              <w:top w:val="single" w:sz="12" w:space="0" w:color="2E74B5"/>
              <w:left w:val="nil"/>
              <w:bottom w:val="single" w:sz="4" w:space="0" w:color="auto"/>
              <w:right w:val="nil"/>
            </w:tcBorders>
          </w:tcPr>
          <w:p w14:paraId="60535F80" w14:textId="77777777" w:rsidR="00B30D4A" w:rsidRPr="00473B58" w:rsidRDefault="00B30D4A" w:rsidP="00B30D4A">
            <w:pPr>
              <w:spacing w:before="120" w:after="120"/>
              <w:rPr>
                <w:rStyle w:val="Hyperlink"/>
                <w:color w:val="034990" w:themeColor="hyperlink" w:themeShade="BF"/>
                <w:lang w:val="fr-CA"/>
              </w:rPr>
            </w:pPr>
          </w:p>
        </w:tc>
      </w:tr>
      <w:tr w:rsidR="00B30D4A" w:rsidRPr="00473B58" w14:paraId="408EC8D3" w14:textId="79839022" w:rsidTr="006A64AC">
        <w:tc>
          <w:tcPr>
            <w:tcW w:w="2639" w:type="dxa"/>
            <w:tcBorders>
              <w:top w:val="single" w:sz="4" w:space="0" w:color="auto"/>
              <w:left w:val="nil"/>
              <w:bottom w:val="single" w:sz="4" w:space="0" w:color="auto"/>
              <w:right w:val="nil"/>
            </w:tcBorders>
          </w:tcPr>
          <w:p w14:paraId="331B1C8A" w14:textId="14C83362" w:rsidR="00B30D4A" w:rsidRPr="00473B58" w:rsidRDefault="00B30D4A" w:rsidP="00B30D4A">
            <w:pPr>
              <w:spacing w:before="120" w:after="120"/>
              <w:rPr>
                <w:b/>
                <w:lang w:val="fr-CA"/>
              </w:rPr>
            </w:pPr>
            <w:r w:rsidRPr="00473B58">
              <w:rPr>
                <w:b/>
                <w:lang w:val="fr-CA"/>
              </w:rPr>
              <w:t>Obligations de prestation remplies progressivement</w:t>
            </w:r>
          </w:p>
        </w:tc>
        <w:tc>
          <w:tcPr>
            <w:tcW w:w="2986" w:type="dxa"/>
            <w:tcBorders>
              <w:top w:val="single" w:sz="4" w:space="0" w:color="auto"/>
              <w:left w:val="nil"/>
              <w:bottom w:val="single" w:sz="4" w:space="0" w:color="auto"/>
              <w:right w:val="nil"/>
            </w:tcBorders>
          </w:tcPr>
          <w:p w14:paraId="32229F71" w14:textId="06D4E7D1" w:rsidR="00B30D4A" w:rsidRPr="00473B58" w:rsidRDefault="00B30D4A" w:rsidP="00B30D4A">
            <w:pPr>
              <w:spacing w:before="120" w:after="120"/>
              <w:rPr>
                <w:lang w:val="fr-CA"/>
              </w:rPr>
            </w:pPr>
            <w:r w:rsidRPr="00473B58">
              <w:rPr>
                <w:lang w:val="fr-CA"/>
              </w:rPr>
              <w:t>Oui</w:t>
            </w:r>
          </w:p>
        </w:tc>
        <w:tc>
          <w:tcPr>
            <w:tcW w:w="3848" w:type="dxa"/>
            <w:tcBorders>
              <w:top w:val="single" w:sz="4" w:space="0" w:color="auto"/>
              <w:left w:val="nil"/>
              <w:bottom w:val="single" w:sz="4" w:space="0" w:color="auto"/>
              <w:right w:val="nil"/>
            </w:tcBorders>
          </w:tcPr>
          <w:p w14:paraId="754B8C90" w14:textId="72A38A93" w:rsidR="00B30D4A" w:rsidRPr="00473B58" w:rsidRDefault="00B30D4A" w:rsidP="00B30D4A">
            <w:pPr>
              <w:spacing w:before="120" w:after="120"/>
              <w:rPr>
                <w:lang w:val="fr-CA"/>
              </w:rPr>
            </w:pPr>
            <w:r w:rsidRPr="00473B58">
              <w:rPr>
                <w:lang w:val="fr-CA"/>
              </w:rPr>
              <w:t xml:space="preserve">Hors du champ d’application de cette procédure selon les conditions préalables à l’utilisation de la procédure </w:t>
            </w:r>
          </w:p>
        </w:tc>
        <w:tc>
          <w:tcPr>
            <w:tcW w:w="3482" w:type="dxa"/>
            <w:tcBorders>
              <w:top w:val="single" w:sz="4" w:space="0" w:color="auto"/>
              <w:left w:val="nil"/>
              <w:bottom w:val="single" w:sz="4" w:space="0" w:color="auto"/>
              <w:right w:val="nil"/>
            </w:tcBorders>
          </w:tcPr>
          <w:p w14:paraId="473D5200" w14:textId="579FE64A" w:rsidR="00B30D4A" w:rsidRPr="00473B58" w:rsidRDefault="00B30D4A" w:rsidP="00B30D4A">
            <w:pPr>
              <w:spacing w:before="120" w:after="120"/>
              <w:rPr>
                <w:lang w:val="fr-CA"/>
              </w:rPr>
            </w:pPr>
            <w:r w:rsidRPr="00473B58">
              <w:rPr>
                <w:lang w:val="fr-CA"/>
              </w:rPr>
              <w:t>Oui</w:t>
            </w:r>
          </w:p>
        </w:tc>
      </w:tr>
      <w:tr w:rsidR="00B30D4A" w:rsidRPr="00D97151" w14:paraId="09BBA05D" w14:textId="167FA856" w:rsidTr="006A64AC">
        <w:tc>
          <w:tcPr>
            <w:tcW w:w="2639" w:type="dxa"/>
            <w:tcBorders>
              <w:top w:val="single" w:sz="4" w:space="0" w:color="auto"/>
              <w:left w:val="nil"/>
              <w:bottom w:val="single" w:sz="4" w:space="0" w:color="auto"/>
              <w:right w:val="nil"/>
            </w:tcBorders>
          </w:tcPr>
          <w:p w14:paraId="40BB1BEC" w14:textId="3332346B" w:rsidR="00B30D4A" w:rsidRPr="00473B58" w:rsidRDefault="00B30D4A" w:rsidP="00B30D4A">
            <w:pPr>
              <w:spacing w:before="120" w:after="120"/>
              <w:rPr>
                <w:b/>
                <w:lang w:val="fr-CA"/>
              </w:rPr>
            </w:pPr>
            <w:r w:rsidRPr="00473B58">
              <w:rPr>
                <w:b/>
                <w:lang w:val="fr-CA"/>
              </w:rPr>
              <w:t>Obligations de prestation remplies à un moment précis</w:t>
            </w:r>
          </w:p>
        </w:tc>
        <w:tc>
          <w:tcPr>
            <w:tcW w:w="2986" w:type="dxa"/>
            <w:tcBorders>
              <w:top w:val="single" w:sz="4" w:space="0" w:color="auto"/>
              <w:left w:val="nil"/>
              <w:bottom w:val="single" w:sz="4" w:space="0" w:color="auto"/>
              <w:right w:val="nil"/>
            </w:tcBorders>
          </w:tcPr>
          <w:p w14:paraId="652AFB55" w14:textId="672D955B" w:rsidR="00B30D4A" w:rsidRPr="00473B58" w:rsidRDefault="00B30D4A" w:rsidP="00B30D4A">
            <w:pPr>
              <w:spacing w:before="120" w:after="120"/>
              <w:rPr>
                <w:lang w:val="fr-CA"/>
              </w:rPr>
            </w:pPr>
            <w:r w:rsidRPr="00473B58">
              <w:rPr>
                <w:lang w:val="fr-CA"/>
              </w:rPr>
              <w:t>Oui</w:t>
            </w:r>
          </w:p>
        </w:tc>
        <w:tc>
          <w:tcPr>
            <w:tcW w:w="3848" w:type="dxa"/>
            <w:tcBorders>
              <w:top w:val="single" w:sz="4" w:space="0" w:color="auto"/>
              <w:left w:val="nil"/>
              <w:bottom w:val="single" w:sz="4" w:space="0" w:color="auto"/>
              <w:right w:val="nil"/>
            </w:tcBorders>
          </w:tcPr>
          <w:p w14:paraId="3CF8DA79" w14:textId="3A120EEC" w:rsidR="00B30D4A" w:rsidRPr="00473B58" w:rsidRDefault="00B30D4A" w:rsidP="00B30D4A">
            <w:pPr>
              <w:spacing w:before="120" w:after="120"/>
              <w:rPr>
                <w:lang w:val="fr-CA"/>
              </w:rPr>
            </w:pPr>
            <w:r w:rsidRPr="00473B58">
              <w:rPr>
                <w:lang w:val="fr-CA"/>
              </w:rPr>
              <w:t>Oui</w:t>
            </w:r>
          </w:p>
        </w:tc>
        <w:tc>
          <w:tcPr>
            <w:tcW w:w="3482" w:type="dxa"/>
            <w:tcBorders>
              <w:top w:val="single" w:sz="4" w:space="0" w:color="auto"/>
              <w:left w:val="nil"/>
              <w:bottom w:val="single" w:sz="4" w:space="0" w:color="auto"/>
              <w:right w:val="nil"/>
            </w:tcBorders>
          </w:tcPr>
          <w:p w14:paraId="3A69B905" w14:textId="29119B47" w:rsidR="00B30D4A" w:rsidRPr="00473B58" w:rsidRDefault="00B30D4A" w:rsidP="00B30D4A">
            <w:pPr>
              <w:spacing w:before="120" w:after="120"/>
              <w:rPr>
                <w:lang w:val="fr-CA"/>
              </w:rPr>
            </w:pPr>
            <w:r w:rsidRPr="00473B58">
              <w:rPr>
                <w:lang w:val="fr-CA"/>
              </w:rPr>
              <w:t>Hors du champ d’application de cette procédure selon les conditions préalables à l’utilisation de la procédure</w:t>
            </w:r>
          </w:p>
        </w:tc>
      </w:tr>
      <w:tr w:rsidR="0061499C" w:rsidRPr="00D97151" w14:paraId="1CF154D7" w14:textId="04EBBD20" w:rsidTr="00BF563C">
        <w:tc>
          <w:tcPr>
            <w:tcW w:w="2639" w:type="dxa"/>
            <w:tcBorders>
              <w:top w:val="single" w:sz="4" w:space="0" w:color="auto"/>
              <w:left w:val="nil"/>
              <w:bottom w:val="single" w:sz="4" w:space="0" w:color="auto"/>
              <w:right w:val="nil"/>
            </w:tcBorders>
          </w:tcPr>
          <w:p w14:paraId="40D9D213" w14:textId="720EBA2A" w:rsidR="0061499C" w:rsidRPr="00473B58" w:rsidRDefault="0061499C" w:rsidP="00B30D4A">
            <w:pPr>
              <w:spacing w:before="120" w:after="120"/>
              <w:rPr>
                <w:b/>
                <w:lang w:val="fr-CA"/>
              </w:rPr>
            </w:pPr>
            <w:r w:rsidRPr="00473B58">
              <w:rPr>
                <w:b/>
                <w:lang w:val="fr-CA"/>
              </w:rPr>
              <w:t>Licences</w:t>
            </w:r>
          </w:p>
        </w:tc>
        <w:tc>
          <w:tcPr>
            <w:tcW w:w="2986" w:type="dxa"/>
            <w:tcBorders>
              <w:top w:val="single" w:sz="4" w:space="0" w:color="auto"/>
              <w:left w:val="nil"/>
              <w:bottom w:val="single" w:sz="4" w:space="0" w:color="auto"/>
              <w:right w:val="nil"/>
            </w:tcBorders>
          </w:tcPr>
          <w:p w14:paraId="7F5CF984" w14:textId="00628874" w:rsidR="0061499C" w:rsidRPr="00473B58" w:rsidRDefault="0061499C" w:rsidP="00B30D4A">
            <w:pPr>
              <w:spacing w:before="120" w:after="120"/>
              <w:rPr>
                <w:lang w:val="fr-CA"/>
              </w:rPr>
            </w:pPr>
            <w:r w:rsidRPr="00473B58">
              <w:rPr>
                <w:lang w:val="fr-CA"/>
              </w:rPr>
              <w:t>Oui</w:t>
            </w:r>
          </w:p>
        </w:tc>
        <w:tc>
          <w:tcPr>
            <w:tcW w:w="7330" w:type="dxa"/>
            <w:gridSpan w:val="2"/>
            <w:tcBorders>
              <w:top w:val="single" w:sz="4" w:space="0" w:color="auto"/>
              <w:left w:val="nil"/>
              <w:bottom w:val="single" w:sz="4" w:space="0" w:color="auto"/>
              <w:right w:val="nil"/>
            </w:tcBorders>
          </w:tcPr>
          <w:p w14:paraId="62C332F7" w14:textId="36517D53" w:rsidR="0061499C" w:rsidRPr="00473B58" w:rsidRDefault="0061499C" w:rsidP="00B30D4A">
            <w:pPr>
              <w:spacing w:before="120" w:after="120"/>
              <w:rPr>
                <w:lang w:val="fr-CA"/>
              </w:rPr>
            </w:pPr>
            <w:r w:rsidRPr="00473B58">
              <w:rPr>
                <w:lang w:val="fr-CA"/>
              </w:rPr>
              <w:t>Hors du champ d’application de cette procédure selon les conditions préalables à l’utilisation de la procédure</w:t>
            </w:r>
          </w:p>
        </w:tc>
      </w:tr>
      <w:tr w:rsidR="0061499C" w:rsidRPr="00D97151" w14:paraId="2AE0D68B" w14:textId="75870C5D" w:rsidTr="00BF563C">
        <w:tc>
          <w:tcPr>
            <w:tcW w:w="2639" w:type="dxa"/>
            <w:tcBorders>
              <w:top w:val="single" w:sz="4" w:space="0" w:color="auto"/>
              <w:left w:val="nil"/>
              <w:bottom w:val="single" w:sz="12" w:space="0" w:color="2E74B5" w:themeColor="accent1" w:themeShade="BF"/>
              <w:right w:val="nil"/>
            </w:tcBorders>
          </w:tcPr>
          <w:p w14:paraId="5CCFA3CB" w14:textId="024B1012" w:rsidR="0061499C" w:rsidRPr="00473B58" w:rsidRDefault="0061499C" w:rsidP="00B30D4A">
            <w:pPr>
              <w:spacing w:before="120" w:after="120"/>
              <w:rPr>
                <w:b/>
                <w:lang w:val="fr-CA"/>
              </w:rPr>
            </w:pPr>
            <w:r w:rsidRPr="00473B58">
              <w:rPr>
                <w:b/>
                <w:lang w:val="fr-CA"/>
              </w:rPr>
              <w:t xml:space="preserve">Redevances </w:t>
            </w:r>
          </w:p>
        </w:tc>
        <w:tc>
          <w:tcPr>
            <w:tcW w:w="2986" w:type="dxa"/>
            <w:tcBorders>
              <w:top w:val="single" w:sz="4" w:space="0" w:color="auto"/>
              <w:left w:val="nil"/>
              <w:bottom w:val="single" w:sz="12" w:space="0" w:color="2E74B5" w:themeColor="accent1" w:themeShade="BF"/>
              <w:right w:val="nil"/>
            </w:tcBorders>
          </w:tcPr>
          <w:p w14:paraId="24CB9A1C" w14:textId="6D7F6464" w:rsidR="0061499C" w:rsidRPr="00473B58" w:rsidRDefault="0061499C" w:rsidP="00B30D4A">
            <w:pPr>
              <w:spacing w:before="120" w:after="120"/>
              <w:rPr>
                <w:lang w:val="fr-CA"/>
              </w:rPr>
            </w:pPr>
            <w:r w:rsidRPr="00473B58">
              <w:rPr>
                <w:lang w:val="fr-CA"/>
              </w:rPr>
              <w:t>Oui</w:t>
            </w:r>
          </w:p>
        </w:tc>
        <w:tc>
          <w:tcPr>
            <w:tcW w:w="7330" w:type="dxa"/>
            <w:gridSpan w:val="2"/>
            <w:tcBorders>
              <w:top w:val="single" w:sz="4" w:space="0" w:color="auto"/>
              <w:left w:val="nil"/>
              <w:bottom w:val="single" w:sz="12" w:space="0" w:color="2E74B5" w:themeColor="accent1" w:themeShade="BF"/>
              <w:right w:val="nil"/>
            </w:tcBorders>
          </w:tcPr>
          <w:p w14:paraId="58F2356F" w14:textId="4C85086A" w:rsidR="0061499C" w:rsidRPr="00473B58" w:rsidRDefault="0061499C" w:rsidP="00B30D4A">
            <w:pPr>
              <w:spacing w:before="120" w:after="120"/>
              <w:rPr>
                <w:lang w:val="fr-CA"/>
              </w:rPr>
            </w:pPr>
            <w:r w:rsidRPr="00473B58">
              <w:rPr>
                <w:lang w:val="fr-CA"/>
              </w:rPr>
              <w:t>Hors du champ d’application de cette procédure selon les conditions préalables à l’utilisation de la procédure</w:t>
            </w:r>
          </w:p>
        </w:tc>
      </w:tr>
    </w:tbl>
    <w:p w14:paraId="74AE7DF8" w14:textId="77777777" w:rsidR="00791230" w:rsidRPr="00473B58" w:rsidRDefault="00791230" w:rsidP="009530F0">
      <w:pPr>
        <w:rPr>
          <w:lang w:val="fr-CA"/>
        </w:rPr>
      </w:pPr>
    </w:p>
    <w:sectPr w:rsidR="00791230" w:rsidRPr="00473B58" w:rsidSect="00D97151">
      <w:footerReference w:type="default" r:id="rId24"/>
      <w:pgSz w:w="15840" w:h="12240" w:orient="landscape"/>
      <w:pgMar w:top="1440" w:right="1440" w:bottom="72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DF320" w14:textId="77777777" w:rsidR="00BF563C" w:rsidRDefault="00BF563C" w:rsidP="003F1943">
      <w:pPr>
        <w:spacing w:after="0" w:line="240" w:lineRule="auto"/>
      </w:pPr>
      <w:r>
        <w:separator/>
      </w:r>
    </w:p>
  </w:endnote>
  <w:endnote w:type="continuationSeparator" w:id="0">
    <w:p w14:paraId="72F89089" w14:textId="77777777" w:rsidR="00BF563C" w:rsidRDefault="00BF563C" w:rsidP="003F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60443"/>
      <w:docPartObj>
        <w:docPartGallery w:val="Page Numbers (Bottom of Page)"/>
        <w:docPartUnique/>
      </w:docPartObj>
    </w:sdtPr>
    <w:sdtEndPr>
      <w:rPr>
        <w:noProof/>
      </w:rPr>
    </w:sdtEndPr>
    <w:sdtContent>
      <w:p w14:paraId="265C4ECB" w14:textId="77777777" w:rsidR="00BF563C" w:rsidRDefault="00BF563C">
        <w:pPr>
          <w:pStyle w:val="Footer"/>
          <w:jc w:val="right"/>
        </w:pPr>
        <w:r>
          <w:fldChar w:fldCharType="begin"/>
        </w:r>
        <w:r>
          <w:instrText xml:space="preserve"> PAGE   \* MERGEFORMAT </w:instrText>
        </w:r>
        <w:r>
          <w:fldChar w:fldCharType="separate"/>
        </w:r>
        <w:r w:rsidR="00D97151">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B1290" w14:textId="77777777" w:rsidR="00BF563C" w:rsidRDefault="00BF563C" w:rsidP="003F1943">
      <w:pPr>
        <w:spacing w:after="0" w:line="240" w:lineRule="auto"/>
      </w:pPr>
      <w:r>
        <w:separator/>
      </w:r>
    </w:p>
  </w:footnote>
  <w:footnote w:type="continuationSeparator" w:id="0">
    <w:p w14:paraId="12FFE4F7" w14:textId="77777777" w:rsidR="00BF563C" w:rsidRDefault="00BF563C" w:rsidP="003F1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8CA"/>
    <w:multiLevelType w:val="hybridMultilevel"/>
    <w:tmpl w:val="D7EAE0D2"/>
    <w:lvl w:ilvl="0" w:tplc="6A0CB508">
      <w:start w:val="1"/>
      <w:numFmt w:val="decimal"/>
      <w:pStyle w:val="Heading1"/>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32F4B"/>
    <w:multiLevelType w:val="multilevel"/>
    <w:tmpl w:val="0DD0302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D2255"/>
    <w:multiLevelType w:val="hybridMultilevel"/>
    <w:tmpl w:val="7D242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F340A7"/>
    <w:multiLevelType w:val="hybridMultilevel"/>
    <w:tmpl w:val="26E2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64057"/>
    <w:multiLevelType w:val="multilevel"/>
    <w:tmpl w:val="0DD03022"/>
    <w:lvl w:ilvl="0">
      <w:numFmt w:val="bullet"/>
      <w:lvlText w:val="·"/>
      <w:lvlJc w:val="left"/>
      <w:pPr>
        <w:tabs>
          <w:tab w:val="left" w:pos="144"/>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62D40"/>
    <w:multiLevelType w:val="hybridMultilevel"/>
    <w:tmpl w:val="39A8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F6002"/>
    <w:multiLevelType w:val="hybridMultilevel"/>
    <w:tmpl w:val="D7DEE7D8"/>
    <w:lvl w:ilvl="0" w:tplc="E3C48712">
      <w:start w:val="1"/>
      <w:numFmt w:val="decimal"/>
      <w:pStyle w:val="Heading3"/>
      <w:lvlText w:val="%1."/>
      <w:lvlJc w:val="left"/>
      <w:pPr>
        <w:ind w:left="360" w:hanging="360"/>
      </w:pPr>
      <w:rPr>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7944040"/>
    <w:multiLevelType w:val="hybridMultilevel"/>
    <w:tmpl w:val="DA4EA098"/>
    <w:lvl w:ilvl="0" w:tplc="6576F372">
      <w:start w:val="1"/>
      <w:numFmt w:val="decimal"/>
      <w:lvlText w:val="%1."/>
      <w:lvlJc w:val="left"/>
      <w:pPr>
        <w:ind w:left="360" w:hanging="360"/>
      </w:pPr>
      <w:rPr>
        <w:b/>
        <w:color w:val="2E74B5"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8D43DA1"/>
    <w:multiLevelType w:val="hybridMultilevel"/>
    <w:tmpl w:val="08946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037FE1"/>
    <w:multiLevelType w:val="hybridMultilevel"/>
    <w:tmpl w:val="76144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501FE0"/>
    <w:multiLevelType w:val="hybridMultilevel"/>
    <w:tmpl w:val="1C486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3F1EB1"/>
    <w:multiLevelType w:val="hybridMultilevel"/>
    <w:tmpl w:val="62140B60"/>
    <w:lvl w:ilvl="0" w:tplc="C5FE20D8">
      <w:start w:val="1"/>
      <w:numFmt w:val="decimal"/>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6A212A"/>
    <w:multiLevelType w:val="hybridMultilevel"/>
    <w:tmpl w:val="15A24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A32062"/>
    <w:multiLevelType w:val="hybridMultilevel"/>
    <w:tmpl w:val="398056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4E74D19"/>
    <w:multiLevelType w:val="hybridMultilevel"/>
    <w:tmpl w:val="06B0E6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7672F25"/>
    <w:multiLevelType w:val="hybridMultilevel"/>
    <w:tmpl w:val="CB68D4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BC2BA3"/>
    <w:multiLevelType w:val="hybridMultilevel"/>
    <w:tmpl w:val="7C2C1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33528C"/>
    <w:multiLevelType w:val="hybridMultilevel"/>
    <w:tmpl w:val="D6EE0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685625"/>
    <w:multiLevelType w:val="hybridMultilevel"/>
    <w:tmpl w:val="12522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714B42"/>
    <w:multiLevelType w:val="hybridMultilevel"/>
    <w:tmpl w:val="8E560E5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7D7EB9"/>
    <w:multiLevelType w:val="hybridMultilevel"/>
    <w:tmpl w:val="C3EE1E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7301B41"/>
    <w:multiLevelType w:val="hybridMultilevel"/>
    <w:tmpl w:val="AACE39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A5A69AE"/>
    <w:multiLevelType w:val="hybridMultilevel"/>
    <w:tmpl w:val="02A4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D93FAC"/>
    <w:multiLevelType w:val="hybridMultilevel"/>
    <w:tmpl w:val="A5DA396A"/>
    <w:lvl w:ilvl="0" w:tplc="FD621B7E">
      <w:start w:val="1"/>
      <w:numFmt w:val="decimal"/>
      <w:lvlText w:val="%1."/>
      <w:lvlJc w:val="left"/>
      <w:pPr>
        <w:ind w:left="720" w:hanging="360"/>
      </w:pPr>
      <w:rPr>
        <w:b/>
        <w:color w:val="2E74B5"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9B621C"/>
    <w:multiLevelType w:val="hybridMultilevel"/>
    <w:tmpl w:val="20C0AFB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4AD1DE1"/>
    <w:multiLevelType w:val="hybridMultilevel"/>
    <w:tmpl w:val="2F0AE9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FF25889"/>
    <w:multiLevelType w:val="hybridMultilevel"/>
    <w:tmpl w:val="7CD8C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A678A"/>
    <w:multiLevelType w:val="hybridMultilevel"/>
    <w:tmpl w:val="DC487A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89C5D79"/>
    <w:multiLevelType w:val="hybridMultilevel"/>
    <w:tmpl w:val="5F1AE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7B76D7"/>
    <w:multiLevelType w:val="hybridMultilevel"/>
    <w:tmpl w:val="BEEE2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17"/>
  </w:num>
  <w:num w:numId="5">
    <w:abstractNumId w:val="19"/>
  </w:num>
  <w:num w:numId="6">
    <w:abstractNumId w:val="27"/>
  </w:num>
  <w:num w:numId="7">
    <w:abstractNumId w:val="16"/>
  </w:num>
  <w:num w:numId="8">
    <w:abstractNumId w:val="18"/>
  </w:num>
  <w:num w:numId="9">
    <w:abstractNumId w:val="29"/>
  </w:num>
  <w:num w:numId="10">
    <w:abstractNumId w:val="28"/>
  </w:num>
  <w:num w:numId="11">
    <w:abstractNumId w:val="3"/>
  </w:num>
  <w:num w:numId="12">
    <w:abstractNumId w:val="2"/>
  </w:num>
  <w:num w:numId="13">
    <w:abstractNumId w:val="8"/>
  </w:num>
  <w:num w:numId="14">
    <w:abstractNumId w:val="26"/>
  </w:num>
  <w:num w:numId="15">
    <w:abstractNumId w:val="12"/>
  </w:num>
  <w:num w:numId="16">
    <w:abstractNumId w:val="1"/>
  </w:num>
  <w:num w:numId="17">
    <w:abstractNumId w:val="4"/>
  </w:num>
  <w:num w:numId="18">
    <w:abstractNumId w:val="14"/>
  </w:num>
  <w:num w:numId="19">
    <w:abstractNumId w:val="5"/>
  </w:num>
  <w:num w:numId="20">
    <w:abstractNumId w:val="9"/>
  </w:num>
  <w:num w:numId="21">
    <w:abstractNumId w:val="11"/>
  </w:num>
  <w:num w:numId="22">
    <w:abstractNumId w:val="15"/>
  </w:num>
  <w:num w:numId="23">
    <w:abstractNumId w:val="13"/>
  </w:num>
  <w:num w:numId="24">
    <w:abstractNumId w:val="0"/>
  </w:num>
  <w:num w:numId="25">
    <w:abstractNumId w:val="24"/>
  </w:num>
  <w:num w:numId="26">
    <w:abstractNumId w:val="21"/>
  </w:num>
  <w:num w:numId="27">
    <w:abstractNumId w:val="20"/>
  </w:num>
  <w:num w:numId="28">
    <w:abstractNumId w:val="6"/>
  </w:num>
  <w:num w:numId="29">
    <w:abstractNumId w:val="23"/>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91"/>
    <w:rsid w:val="00001587"/>
    <w:rsid w:val="00002450"/>
    <w:rsid w:val="00003234"/>
    <w:rsid w:val="0000396B"/>
    <w:rsid w:val="00007470"/>
    <w:rsid w:val="00010538"/>
    <w:rsid w:val="00012943"/>
    <w:rsid w:val="000232B2"/>
    <w:rsid w:val="00026230"/>
    <w:rsid w:val="0003759C"/>
    <w:rsid w:val="000438DE"/>
    <w:rsid w:val="00045F18"/>
    <w:rsid w:val="00060897"/>
    <w:rsid w:val="00065678"/>
    <w:rsid w:val="00066534"/>
    <w:rsid w:val="00066CC2"/>
    <w:rsid w:val="0007261C"/>
    <w:rsid w:val="0007420A"/>
    <w:rsid w:val="00077CF5"/>
    <w:rsid w:val="00091BB2"/>
    <w:rsid w:val="00092171"/>
    <w:rsid w:val="00094084"/>
    <w:rsid w:val="000B1A36"/>
    <w:rsid w:val="000B42BA"/>
    <w:rsid w:val="000C42A8"/>
    <w:rsid w:val="000C61A9"/>
    <w:rsid w:val="000D5A1E"/>
    <w:rsid w:val="000D64BF"/>
    <w:rsid w:val="000F481E"/>
    <w:rsid w:val="00103914"/>
    <w:rsid w:val="00106F02"/>
    <w:rsid w:val="00110856"/>
    <w:rsid w:val="00123A8A"/>
    <w:rsid w:val="00126EE5"/>
    <w:rsid w:val="00135187"/>
    <w:rsid w:val="00137D40"/>
    <w:rsid w:val="0016162B"/>
    <w:rsid w:val="0016277B"/>
    <w:rsid w:val="00165E2A"/>
    <w:rsid w:val="0016618F"/>
    <w:rsid w:val="00171B81"/>
    <w:rsid w:val="001864C5"/>
    <w:rsid w:val="00194EB6"/>
    <w:rsid w:val="0019727C"/>
    <w:rsid w:val="001978D4"/>
    <w:rsid w:val="001A00B2"/>
    <w:rsid w:val="001A17AB"/>
    <w:rsid w:val="001A636A"/>
    <w:rsid w:val="001C230E"/>
    <w:rsid w:val="001C2C54"/>
    <w:rsid w:val="001C4748"/>
    <w:rsid w:val="001D3390"/>
    <w:rsid w:val="001D735A"/>
    <w:rsid w:val="001E78F5"/>
    <w:rsid w:val="001F7B65"/>
    <w:rsid w:val="00202779"/>
    <w:rsid w:val="002056A2"/>
    <w:rsid w:val="00206996"/>
    <w:rsid w:val="00206EF1"/>
    <w:rsid w:val="002143E0"/>
    <w:rsid w:val="00216AD7"/>
    <w:rsid w:val="0025092A"/>
    <w:rsid w:val="00251E49"/>
    <w:rsid w:val="00253DB4"/>
    <w:rsid w:val="00260D72"/>
    <w:rsid w:val="00267682"/>
    <w:rsid w:val="00276614"/>
    <w:rsid w:val="00277CA7"/>
    <w:rsid w:val="00291580"/>
    <w:rsid w:val="00295526"/>
    <w:rsid w:val="00297EC5"/>
    <w:rsid w:val="002C1905"/>
    <w:rsid w:val="002D031B"/>
    <w:rsid w:val="002D414C"/>
    <w:rsid w:val="002E6B87"/>
    <w:rsid w:val="002F1B6E"/>
    <w:rsid w:val="002F5920"/>
    <w:rsid w:val="002F5CA0"/>
    <w:rsid w:val="00302CDB"/>
    <w:rsid w:val="003108BD"/>
    <w:rsid w:val="00325379"/>
    <w:rsid w:val="00333C33"/>
    <w:rsid w:val="003340D0"/>
    <w:rsid w:val="00335CDF"/>
    <w:rsid w:val="0034617D"/>
    <w:rsid w:val="003551E5"/>
    <w:rsid w:val="00356859"/>
    <w:rsid w:val="00380440"/>
    <w:rsid w:val="00382E99"/>
    <w:rsid w:val="003831E5"/>
    <w:rsid w:val="00384EFF"/>
    <w:rsid w:val="0039108E"/>
    <w:rsid w:val="00394DC7"/>
    <w:rsid w:val="003B05AF"/>
    <w:rsid w:val="003B6084"/>
    <w:rsid w:val="003D4D0F"/>
    <w:rsid w:val="003E4D4C"/>
    <w:rsid w:val="003E7DEB"/>
    <w:rsid w:val="003F0E1D"/>
    <w:rsid w:val="003F170B"/>
    <w:rsid w:val="003F1943"/>
    <w:rsid w:val="003F2DE2"/>
    <w:rsid w:val="003F5F42"/>
    <w:rsid w:val="003F6E97"/>
    <w:rsid w:val="00403C1F"/>
    <w:rsid w:val="0041111C"/>
    <w:rsid w:val="00412F06"/>
    <w:rsid w:val="004164EB"/>
    <w:rsid w:val="00423594"/>
    <w:rsid w:val="00432362"/>
    <w:rsid w:val="00453CF5"/>
    <w:rsid w:val="0045526A"/>
    <w:rsid w:val="0045777D"/>
    <w:rsid w:val="00466E72"/>
    <w:rsid w:val="00471CC7"/>
    <w:rsid w:val="00473B58"/>
    <w:rsid w:val="00480FC2"/>
    <w:rsid w:val="0048232B"/>
    <w:rsid w:val="00487947"/>
    <w:rsid w:val="00490971"/>
    <w:rsid w:val="004918D2"/>
    <w:rsid w:val="004926B5"/>
    <w:rsid w:val="004A0669"/>
    <w:rsid w:val="004A35AC"/>
    <w:rsid w:val="004A47D6"/>
    <w:rsid w:val="004A7D51"/>
    <w:rsid w:val="004B437B"/>
    <w:rsid w:val="004B7B89"/>
    <w:rsid w:val="004C2881"/>
    <w:rsid w:val="004C6327"/>
    <w:rsid w:val="004D097C"/>
    <w:rsid w:val="004D0A40"/>
    <w:rsid w:val="004D6C25"/>
    <w:rsid w:val="004E11C6"/>
    <w:rsid w:val="004F2C72"/>
    <w:rsid w:val="004F3274"/>
    <w:rsid w:val="004F340A"/>
    <w:rsid w:val="004F3B7D"/>
    <w:rsid w:val="0050412C"/>
    <w:rsid w:val="00513B06"/>
    <w:rsid w:val="00513F3D"/>
    <w:rsid w:val="00517765"/>
    <w:rsid w:val="0053156F"/>
    <w:rsid w:val="005371A7"/>
    <w:rsid w:val="005378D0"/>
    <w:rsid w:val="00544F63"/>
    <w:rsid w:val="0056707E"/>
    <w:rsid w:val="00567A88"/>
    <w:rsid w:val="005705CE"/>
    <w:rsid w:val="005765C9"/>
    <w:rsid w:val="00584CF1"/>
    <w:rsid w:val="00586822"/>
    <w:rsid w:val="00590B60"/>
    <w:rsid w:val="00590D6A"/>
    <w:rsid w:val="005975FE"/>
    <w:rsid w:val="005A2F0B"/>
    <w:rsid w:val="005A5263"/>
    <w:rsid w:val="005A6616"/>
    <w:rsid w:val="005A6F36"/>
    <w:rsid w:val="005B0077"/>
    <w:rsid w:val="005C5399"/>
    <w:rsid w:val="005E648B"/>
    <w:rsid w:val="005E75B0"/>
    <w:rsid w:val="005F5C67"/>
    <w:rsid w:val="005F5DB4"/>
    <w:rsid w:val="00600311"/>
    <w:rsid w:val="00600B2E"/>
    <w:rsid w:val="00603071"/>
    <w:rsid w:val="0061499C"/>
    <w:rsid w:val="00626EE1"/>
    <w:rsid w:val="00627016"/>
    <w:rsid w:val="00631C80"/>
    <w:rsid w:val="0063531F"/>
    <w:rsid w:val="0063534E"/>
    <w:rsid w:val="00637403"/>
    <w:rsid w:val="0064217C"/>
    <w:rsid w:val="00647CC6"/>
    <w:rsid w:val="00664CD0"/>
    <w:rsid w:val="00672372"/>
    <w:rsid w:val="0067477A"/>
    <w:rsid w:val="0068394E"/>
    <w:rsid w:val="006912C1"/>
    <w:rsid w:val="006975A6"/>
    <w:rsid w:val="006A64AC"/>
    <w:rsid w:val="006B360A"/>
    <w:rsid w:val="006B3A27"/>
    <w:rsid w:val="006B69DF"/>
    <w:rsid w:val="006B6A7A"/>
    <w:rsid w:val="006B759E"/>
    <w:rsid w:val="006C065A"/>
    <w:rsid w:val="006C3CD7"/>
    <w:rsid w:val="006D2985"/>
    <w:rsid w:val="006D2CEA"/>
    <w:rsid w:val="006D51B8"/>
    <w:rsid w:val="006E52BA"/>
    <w:rsid w:val="006E7AF5"/>
    <w:rsid w:val="006F1FFF"/>
    <w:rsid w:val="0070315E"/>
    <w:rsid w:val="00710762"/>
    <w:rsid w:val="00715176"/>
    <w:rsid w:val="007211A3"/>
    <w:rsid w:val="00721DE4"/>
    <w:rsid w:val="00725F56"/>
    <w:rsid w:val="00732A1D"/>
    <w:rsid w:val="00733045"/>
    <w:rsid w:val="007364E8"/>
    <w:rsid w:val="0074321C"/>
    <w:rsid w:val="00752F81"/>
    <w:rsid w:val="0075403D"/>
    <w:rsid w:val="007558F0"/>
    <w:rsid w:val="007575B4"/>
    <w:rsid w:val="00763E95"/>
    <w:rsid w:val="007673F5"/>
    <w:rsid w:val="0077206A"/>
    <w:rsid w:val="00791230"/>
    <w:rsid w:val="007B0582"/>
    <w:rsid w:val="007B094F"/>
    <w:rsid w:val="007B61DC"/>
    <w:rsid w:val="007C3231"/>
    <w:rsid w:val="007C50D3"/>
    <w:rsid w:val="007D03B2"/>
    <w:rsid w:val="007D16D4"/>
    <w:rsid w:val="007D2E6D"/>
    <w:rsid w:val="007E023C"/>
    <w:rsid w:val="007E1F08"/>
    <w:rsid w:val="007E4A6E"/>
    <w:rsid w:val="007F36FD"/>
    <w:rsid w:val="008006C8"/>
    <w:rsid w:val="00802681"/>
    <w:rsid w:val="00802D99"/>
    <w:rsid w:val="008054EC"/>
    <w:rsid w:val="00806D6F"/>
    <w:rsid w:val="00806E74"/>
    <w:rsid w:val="00806EE9"/>
    <w:rsid w:val="00812C17"/>
    <w:rsid w:val="008209C5"/>
    <w:rsid w:val="008223AF"/>
    <w:rsid w:val="008248C4"/>
    <w:rsid w:val="00824F61"/>
    <w:rsid w:val="008406A3"/>
    <w:rsid w:val="00841B78"/>
    <w:rsid w:val="00845AB8"/>
    <w:rsid w:val="008500A4"/>
    <w:rsid w:val="0085530B"/>
    <w:rsid w:val="008616C8"/>
    <w:rsid w:val="00864823"/>
    <w:rsid w:val="00865BA2"/>
    <w:rsid w:val="00867F45"/>
    <w:rsid w:val="00871CEB"/>
    <w:rsid w:val="0087316D"/>
    <w:rsid w:val="00877C6E"/>
    <w:rsid w:val="00880589"/>
    <w:rsid w:val="008A3E10"/>
    <w:rsid w:val="008A61CF"/>
    <w:rsid w:val="008B6F1A"/>
    <w:rsid w:val="008C3767"/>
    <w:rsid w:val="008C6812"/>
    <w:rsid w:val="008D2C21"/>
    <w:rsid w:val="008D5069"/>
    <w:rsid w:val="008D57BA"/>
    <w:rsid w:val="008E0152"/>
    <w:rsid w:val="008E7A76"/>
    <w:rsid w:val="008F2F11"/>
    <w:rsid w:val="008F3C38"/>
    <w:rsid w:val="008F4DE7"/>
    <w:rsid w:val="008F7084"/>
    <w:rsid w:val="00902A2D"/>
    <w:rsid w:val="009059B6"/>
    <w:rsid w:val="009127CD"/>
    <w:rsid w:val="0091295C"/>
    <w:rsid w:val="00914005"/>
    <w:rsid w:val="00915471"/>
    <w:rsid w:val="00916118"/>
    <w:rsid w:val="0094282F"/>
    <w:rsid w:val="00944A1D"/>
    <w:rsid w:val="00944D25"/>
    <w:rsid w:val="009500A5"/>
    <w:rsid w:val="00951079"/>
    <w:rsid w:val="009530F0"/>
    <w:rsid w:val="00953AAA"/>
    <w:rsid w:val="009564F4"/>
    <w:rsid w:val="00957DA3"/>
    <w:rsid w:val="00965753"/>
    <w:rsid w:val="00970852"/>
    <w:rsid w:val="00972A16"/>
    <w:rsid w:val="00980C40"/>
    <w:rsid w:val="009946AF"/>
    <w:rsid w:val="009A508C"/>
    <w:rsid w:val="009B17B6"/>
    <w:rsid w:val="009B2B36"/>
    <w:rsid w:val="009B3470"/>
    <w:rsid w:val="009C16AF"/>
    <w:rsid w:val="009C1A6A"/>
    <w:rsid w:val="009C30B4"/>
    <w:rsid w:val="009C6002"/>
    <w:rsid w:val="009D2AAE"/>
    <w:rsid w:val="009D3E65"/>
    <w:rsid w:val="009D50BC"/>
    <w:rsid w:val="009E0A64"/>
    <w:rsid w:val="009E1E73"/>
    <w:rsid w:val="009E1E90"/>
    <w:rsid w:val="009E37CD"/>
    <w:rsid w:val="009E72E5"/>
    <w:rsid w:val="009F05DC"/>
    <w:rsid w:val="009F533C"/>
    <w:rsid w:val="00A04CAC"/>
    <w:rsid w:val="00A05D6E"/>
    <w:rsid w:val="00A10082"/>
    <w:rsid w:val="00A13391"/>
    <w:rsid w:val="00A14296"/>
    <w:rsid w:val="00A20CD5"/>
    <w:rsid w:val="00A31EBA"/>
    <w:rsid w:val="00A330F0"/>
    <w:rsid w:val="00A352F0"/>
    <w:rsid w:val="00A40622"/>
    <w:rsid w:val="00A40A7F"/>
    <w:rsid w:val="00A42526"/>
    <w:rsid w:val="00A44DFE"/>
    <w:rsid w:val="00A46039"/>
    <w:rsid w:val="00A46C2C"/>
    <w:rsid w:val="00A52106"/>
    <w:rsid w:val="00A52C94"/>
    <w:rsid w:val="00A53441"/>
    <w:rsid w:val="00A549DC"/>
    <w:rsid w:val="00A54D50"/>
    <w:rsid w:val="00A56478"/>
    <w:rsid w:val="00A6257C"/>
    <w:rsid w:val="00A66681"/>
    <w:rsid w:val="00A731F8"/>
    <w:rsid w:val="00A739AD"/>
    <w:rsid w:val="00A8116D"/>
    <w:rsid w:val="00A82B82"/>
    <w:rsid w:val="00A87522"/>
    <w:rsid w:val="00A8759A"/>
    <w:rsid w:val="00A95C9A"/>
    <w:rsid w:val="00AA29D7"/>
    <w:rsid w:val="00AA58E2"/>
    <w:rsid w:val="00AA5B51"/>
    <w:rsid w:val="00AA697E"/>
    <w:rsid w:val="00AB26B8"/>
    <w:rsid w:val="00AB3F47"/>
    <w:rsid w:val="00AB5A75"/>
    <w:rsid w:val="00AD0FB6"/>
    <w:rsid w:val="00AD449B"/>
    <w:rsid w:val="00AD655C"/>
    <w:rsid w:val="00AD67E0"/>
    <w:rsid w:val="00AE05A3"/>
    <w:rsid w:val="00AE0683"/>
    <w:rsid w:val="00AE42F5"/>
    <w:rsid w:val="00AE469C"/>
    <w:rsid w:val="00AE594E"/>
    <w:rsid w:val="00AE66CA"/>
    <w:rsid w:val="00AF07C5"/>
    <w:rsid w:val="00AF5BB9"/>
    <w:rsid w:val="00AF7F70"/>
    <w:rsid w:val="00B012AD"/>
    <w:rsid w:val="00B016BB"/>
    <w:rsid w:val="00B018CF"/>
    <w:rsid w:val="00B16045"/>
    <w:rsid w:val="00B16156"/>
    <w:rsid w:val="00B2228F"/>
    <w:rsid w:val="00B30D4A"/>
    <w:rsid w:val="00B321B2"/>
    <w:rsid w:val="00B35B3F"/>
    <w:rsid w:val="00B44721"/>
    <w:rsid w:val="00B45168"/>
    <w:rsid w:val="00B54427"/>
    <w:rsid w:val="00B54AAF"/>
    <w:rsid w:val="00B55B42"/>
    <w:rsid w:val="00B55E13"/>
    <w:rsid w:val="00B61ACB"/>
    <w:rsid w:val="00B6658D"/>
    <w:rsid w:val="00B90604"/>
    <w:rsid w:val="00B90EE5"/>
    <w:rsid w:val="00B91175"/>
    <w:rsid w:val="00BB62BF"/>
    <w:rsid w:val="00BC792C"/>
    <w:rsid w:val="00BD6265"/>
    <w:rsid w:val="00BE0235"/>
    <w:rsid w:val="00BE256B"/>
    <w:rsid w:val="00BE578B"/>
    <w:rsid w:val="00BF563C"/>
    <w:rsid w:val="00BF5923"/>
    <w:rsid w:val="00C07A1D"/>
    <w:rsid w:val="00C100B5"/>
    <w:rsid w:val="00C1621B"/>
    <w:rsid w:val="00C16790"/>
    <w:rsid w:val="00C1693C"/>
    <w:rsid w:val="00C23ED2"/>
    <w:rsid w:val="00C319CE"/>
    <w:rsid w:val="00C32DEB"/>
    <w:rsid w:val="00C36202"/>
    <w:rsid w:val="00C40F20"/>
    <w:rsid w:val="00C50079"/>
    <w:rsid w:val="00C5056A"/>
    <w:rsid w:val="00C52032"/>
    <w:rsid w:val="00C567B7"/>
    <w:rsid w:val="00C56AC4"/>
    <w:rsid w:val="00C6186F"/>
    <w:rsid w:val="00C62D82"/>
    <w:rsid w:val="00C71C0A"/>
    <w:rsid w:val="00C71EC0"/>
    <w:rsid w:val="00C74485"/>
    <w:rsid w:val="00C7503A"/>
    <w:rsid w:val="00C777BE"/>
    <w:rsid w:val="00C82EDB"/>
    <w:rsid w:val="00C8533A"/>
    <w:rsid w:val="00C85AA2"/>
    <w:rsid w:val="00C9041C"/>
    <w:rsid w:val="00C92A43"/>
    <w:rsid w:val="00C97581"/>
    <w:rsid w:val="00CA2363"/>
    <w:rsid w:val="00CA4675"/>
    <w:rsid w:val="00CB0D4F"/>
    <w:rsid w:val="00CB12C9"/>
    <w:rsid w:val="00CB555A"/>
    <w:rsid w:val="00CC49A4"/>
    <w:rsid w:val="00CC7116"/>
    <w:rsid w:val="00CD11A3"/>
    <w:rsid w:val="00CE10C1"/>
    <w:rsid w:val="00CF7699"/>
    <w:rsid w:val="00D04068"/>
    <w:rsid w:val="00D1500C"/>
    <w:rsid w:val="00D15F4D"/>
    <w:rsid w:val="00D177CD"/>
    <w:rsid w:val="00D20F22"/>
    <w:rsid w:val="00D2576A"/>
    <w:rsid w:val="00D30091"/>
    <w:rsid w:val="00D368D3"/>
    <w:rsid w:val="00D4777C"/>
    <w:rsid w:val="00D52AA3"/>
    <w:rsid w:val="00D55AA4"/>
    <w:rsid w:val="00D70B97"/>
    <w:rsid w:val="00D70F5A"/>
    <w:rsid w:val="00D740E0"/>
    <w:rsid w:val="00D778D5"/>
    <w:rsid w:val="00D81AE1"/>
    <w:rsid w:val="00D84C9C"/>
    <w:rsid w:val="00D87E51"/>
    <w:rsid w:val="00D90841"/>
    <w:rsid w:val="00D925D7"/>
    <w:rsid w:val="00D97151"/>
    <w:rsid w:val="00DA0C6C"/>
    <w:rsid w:val="00DA61E9"/>
    <w:rsid w:val="00DD1342"/>
    <w:rsid w:val="00DD670E"/>
    <w:rsid w:val="00DD6D5A"/>
    <w:rsid w:val="00DE0909"/>
    <w:rsid w:val="00DE18DF"/>
    <w:rsid w:val="00DE6729"/>
    <w:rsid w:val="00DF14C3"/>
    <w:rsid w:val="00DF282F"/>
    <w:rsid w:val="00E11C86"/>
    <w:rsid w:val="00E11EF4"/>
    <w:rsid w:val="00E14B8C"/>
    <w:rsid w:val="00E230AA"/>
    <w:rsid w:val="00E2446F"/>
    <w:rsid w:val="00E3348C"/>
    <w:rsid w:val="00E3411A"/>
    <w:rsid w:val="00E451C8"/>
    <w:rsid w:val="00E54B92"/>
    <w:rsid w:val="00E64B95"/>
    <w:rsid w:val="00E64EF9"/>
    <w:rsid w:val="00E76A6D"/>
    <w:rsid w:val="00E82A18"/>
    <w:rsid w:val="00E91F1A"/>
    <w:rsid w:val="00EA0BC5"/>
    <w:rsid w:val="00EA50FF"/>
    <w:rsid w:val="00EB3DFE"/>
    <w:rsid w:val="00EB52DB"/>
    <w:rsid w:val="00EB60D1"/>
    <w:rsid w:val="00EC40C4"/>
    <w:rsid w:val="00EC6459"/>
    <w:rsid w:val="00EC7DEC"/>
    <w:rsid w:val="00ED2ABD"/>
    <w:rsid w:val="00ED2D7E"/>
    <w:rsid w:val="00EE08E1"/>
    <w:rsid w:val="00EE1372"/>
    <w:rsid w:val="00EF7B74"/>
    <w:rsid w:val="00F0256B"/>
    <w:rsid w:val="00F11C75"/>
    <w:rsid w:val="00F12EC8"/>
    <w:rsid w:val="00F1330F"/>
    <w:rsid w:val="00F15004"/>
    <w:rsid w:val="00F16DCF"/>
    <w:rsid w:val="00F26058"/>
    <w:rsid w:val="00F31B4B"/>
    <w:rsid w:val="00F33BC5"/>
    <w:rsid w:val="00F34CD7"/>
    <w:rsid w:val="00F37384"/>
    <w:rsid w:val="00F42D27"/>
    <w:rsid w:val="00F45AA3"/>
    <w:rsid w:val="00F63C5E"/>
    <w:rsid w:val="00F650DF"/>
    <w:rsid w:val="00F7590F"/>
    <w:rsid w:val="00F96DCC"/>
    <w:rsid w:val="00FA120F"/>
    <w:rsid w:val="00FA21AD"/>
    <w:rsid w:val="00FA367D"/>
    <w:rsid w:val="00FB4A21"/>
    <w:rsid w:val="00FB6DD3"/>
    <w:rsid w:val="00FC66B8"/>
    <w:rsid w:val="00FD0130"/>
    <w:rsid w:val="00FD4652"/>
    <w:rsid w:val="00FD4F03"/>
    <w:rsid w:val="00FD6EE3"/>
    <w:rsid w:val="00FD78F8"/>
    <w:rsid w:val="00FE00C3"/>
    <w:rsid w:val="00FE0E20"/>
    <w:rsid w:val="00FF10CF"/>
    <w:rsid w:val="00FF6734"/>
    <w:rsid w:val="00FF703B"/>
    <w:rsid w:val="00FF7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50E4CA"/>
  <w15:chartTrackingRefBased/>
  <w15:docId w15:val="{1731CB43-C274-49F3-84BA-365D4015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23"/>
  </w:style>
  <w:style w:type="paragraph" w:styleId="Heading1">
    <w:name w:val="heading 1"/>
    <w:basedOn w:val="Normal"/>
    <w:next w:val="Normal"/>
    <w:link w:val="Heading1Char"/>
    <w:uiPriority w:val="9"/>
    <w:qFormat/>
    <w:rsid w:val="00A8759A"/>
    <w:pPr>
      <w:keepNext/>
      <w:keepLines/>
      <w:numPr>
        <w:numId w:val="24"/>
      </w:numPr>
      <w:spacing w:before="320" w:after="80" w:line="240" w:lineRule="auto"/>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0438D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D50BC"/>
    <w:pPr>
      <w:keepNext/>
      <w:keepLines/>
      <w:numPr>
        <w:numId w:val="28"/>
      </w:numPr>
      <w:spacing w:before="120" w:after="120" w:line="240" w:lineRule="auto"/>
      <w:outlineLvl w:val="2"/>
    </w:pPr>
    <w:rPr>
      <w:rFonts w:asciiTheme="majorHAnsi" w:eastAsiaTheme="majorEastAsia" w:hAnsiTheme="majorHAnsi" w:cstheme="majorBidi"/>
      <w:b/>
      <w:i/>
      <w:color w:val="FFFFFF" w:themeColor="background1"/>
      <w:sz w:val="24"/>
      <w:szCs w:val="24"/>
    </w:rPr>
  </w:style>
  <w:style w:type="paragraph" w:styleId="Heading4">
    <w:name w:val="heading 4"/>
    <w:basedOn w:val="Normal"/>
    <w:next w:val="Normal"/>
    <w:link w:val="Heading4Char"/>
    <w:uiPriority w:val="9"/>
    <w:semiHidden/>
    <w:unhideWhenUsed/>
    <w:qFormat/>
    <w:rsid w:val="000438D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438D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438D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438D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438D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438D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8D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438D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438D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438DE"/>
    <w:rPr>
      <w:color w:val="44546A" w:themeColor="text2"/>
      <w:sz w:val="28"/>
      <w:szCs w:val="28"/>
    </w:rPr>
  </w:style>
  <w:style w:type="character" w:customStyle="1" w:styleId="Heading1Char">
    <w:name w:val="Heading 1 Char"/>
    <w:basedOn w:val="DefaultParagraphFont"/>
    <w:link w:val="Heading1"/>
    <w:uiPriority w:val="9"/>
    <w:rsid w:val="00A8759A"/>
    <w:rPr>
      <w:rFonts w:asciiTheme="majorHAnsi" w:eastAsiaTheme="majorEastAsia" w:hAnsiTheme="majorHAnsi" w:cstheme="majorBidi"/>
      <w:b/>
      <w:color w:val="2E74B5" w:themeColor="accent1" w:themeShade="BF"/>
      <w:sz w:val="40"/>
      <w:szCs w:val="40"/>
    </w:rPr>
  </w:style>
  <w:style w:type="paragraph" w:styleId="TOCHeading">
    <w:name w:val="TOC Heading"/>
    <w:basedOn w:val="Heading1"/>
    <w:next w:val="Normal"/>
    <w:uiPriority w:val="39"/>
    <w:unhideWhenUsed/>
    <w:qFormat/>
    <w:rsid w:val="000438DE"/>
    <w:pPr>
      <w:outlineLvl w:val="9"/>
    </w:pPr>
  </w:style>
  <w:style w:type="paragraph" w:styleId="ListParagraph">
    <w:name w:val="List Paragraph"/>
    <w:basedOn w:val="Normal"/>
    <w:uiPriority w:val="34"/>
    <w:qFormat/>
    <w:rsid w:val="00A13391"/>
    <w:pPr>
      <w:ind w:left="720"/>
      <w:contextualSpacing/>
    </w:pPr>
  </w:style>
  <w:style w:type="character" w:customStyle="1" w:styleId="Heading2Char">
    <w:name w:val="Heading 2 Char"/>
    <w:basedOn w:val="DefaultParagraphFont"/>
    <w:link w:val="Heading2"/>
    <w:uiPriority w:val="9"/>
    <w:rsid w:val="000438DE"/>
    <w:rPr>
      <w:rFonts w:asciiTheme="majorHAnsi" w:eastAsiaTheme="majorEastAsia" w:hAnsiTheme="majorHAnsi" w:cstheme="majorBidi"/>
      <w:sz w:val="32"/>
      <w:szCs w:val="32"/>
    </w:rPr>
  </w:style>
  <w:style w:type="paragraph" w:styleId="TOC1">
    <w:name w:val="toc 1"/>
    <w:basedOn w:val="Normal"/>
    <w:next w:val="Normal"/>
    <w:autoRedefine/>
    <w:uiPriority w:val="39"/>
    <w:unhideWhenUsed/>
    <w:rsid w:val="00DA0C6C"/>
    <w:pPr>
      <w:tabs>
        <w:tab w:val="left" w:pos="420"/>
        <w:tab w:val="right" w:leader="dot" w:pos="12950"/>
      </w:tabs>
      <w:spacing w:after="100"/>
    </w:pPr>
  </w:style>
  <w:style w:type="character" w:styleId="Hyperlink">
    <w:name w:val="Hyperlink"/>
    <w:basedOn w:val="DefaultParagraphFont"/>
    <w:uiPriority w:val="99"/>
    <w:unhideWhenUsed/>
    <w:rsid w:val="00A13391"/>
    <w:rPr>
      <w:color w:val="0563C1" w:themeColor="hyperlink"/>
      <w:u w:val="single"/>
    </w:rPr>
  </w:style>
  <w:style w:type="table" w:styleId="TableGrid">
    <w:name w:val="Table Grid"/>
    <w:basedOn w:val="TableNormal"/>
    <w:uiPriority w:val="39"/>
    <w:rsid w:val="0000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C6"/>
    <w:rPr>
      <w:rFonts w:ascii="Segoe UI" w:hAnsi="Segoe UI" w:cs="Segoe UI"/>
      <w:sz w:val="18"/>
      <w:szCs w:val="18"/>
    </w:rPr>
  </w:style>
  <w:style w:type="paragraph" w:styleId="Header">
    <w:name w:val="header"/>
    <w:basedOn w:val="Normal"/>
    <w:link w:val="HeaderChar"/>
    <w:uiPriority w:val="99"/>
    <w:unhideWhenUsed/>
    <w:rsid w:val="003F1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943"/>
  </w:style>
  <w:style w:type="paragraph" w:styleId="Footer">
    <w:name w:val="footer"/>
    <w:basedOn w:val="Normal"/>
    <w:link w:val="FooterChar"/>
    <w:uiPriority w:val="99"/>
    <w:unhideWhenUsed/>
    <w:rsid w:val="003F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943"/>
  </w:style>
  <w:style w:type="character" w:styleId="CommentReference">
    <w:name w:val="annotation reference"/>
    <w:basedOn w:val="DefaultParagraphFont"/>
    <w:uiPriority w:val="99"/>
    <w:semiHidden/>
    <w:unhideWhenUsed/>
    <w:rsid w:val="00F37384"/>
    <w:rPr>
      <w:sz w:val="16"/>
      <w:szCs w:val="16"/>
    </w:rPr>
  </w:style>
  <w:style w:type="paragraph" w:styleId="CommentText">
    <w:name w:val="annotation text"/>
    <w:basedOn w:val="Normal"/>
    <w:link w:val="CommentTextChar"/>
    <w:uiPriority w:val="99"/>
    <w:semiHidden/>
    <w:unhideWhenUsed/>
    <w:rsid w:val="00F37384"/>
    <w:pPr>
      <w:spacing w:line="240" w:lineRule="auto"/>
    </w:pPr>
    <w:rPr>
      <w:sz w:val="20"/>
      <w:szCs w:val="20"/>
    </w:rPr>
  </w:style>
  <w:style w:type="character" w:customStyle="1" w:styleId="CommentTextChar">
    <w:name w:val="Comment Text Char"/>
    <w:basedOn w:val="DefaultParagraphFont"/>
    <w:link w:val="CommentText"/>
    <w:uiPriority w:val="99"/>
    <w:semiHidden/>
    <w:rsid w:val="00F37384"/>
    <w:rPr>
      <w:sz w:val="20"/>
      <w:szCs w:val="20"/>
    </w:rPr>
  </w:style>
  <w:style w:type="paragraph" w:styleId="CommentSubject">
    <w:name w:val="annotation subject"/>
    <w:basedOn w:val="CommentText"/>
    <w:next w:val="CommentText"/>
    <w:link w:val="CommentSubjectChar"/>
    <w:uiPriority w:val="99"/>
    <w:semiHidden/>
    <w:unhideWhenUsed/>
    <w:rsid w:val="00F37384"/>
    <w:rPr>
      <w:b/>
      <w:bCs/>
    </w:rPr>
  </w:style>
  <w:style w:type="character" w:customStyle="1" w:styleId="CommentSubjectChar">
    <w:name w:val="Comment Subject Char"/>
    <w:basedOn w:val="CommentTextChar"/>
    <w:link w:val="CommentSubject"/>
    <w:uiPriority w:val="99"/>
    <w:semiHidden/>
    <w:rsid w:val="00F37384"/>
    <w:rPr>
      <w:b/>
      <w:bCs/>
      <w:sz w:val="20"/>
      <w:szCs w:val="20"/>
    </w:rPr>
  </w:style>
  <w:style w:type="character" w:styleId="FollowedHyperlink">
    <w:name w:val="FollowedHyperlink"/>
    <w:basedOn w:val="DefaultParagraphFont"/>
    <w:uiPriority w:val="99"/>
    <w:semiHidden/>
    <w:unhideWhenUsed/>
    <w:rsid w:val="00715176"/>
    <w:rPr>
      <w:color w:val="954F72" w:themeColor="followedHyperlink"/>
      <w:u w:val="single"/>
    </w:rPr>
  </w:style>
  <w:style w:type="character" w:customStyle="1" w:styleId="Heading3Char">
    <w:name w:val="Heading 3 Char"/>
    <w:basedOn w:val="DefaultParagraphFont"/>
    <w:link w:val="Heading3"/>
    <w:uiPriority w:val="9"/>
    <w:rsid w:val="009D50BC"/>
    <w:rPr>
      <w:rFonts w:asciiTheme="majorHAnsi" w:eastAsiaTheme="majorEastAsia" w:hAnsiTheme="majorHAnsi" w:cstheme="majorBidi"/>
      <w:b/>
      <w:i/>
      <w:color w:val="FFFFFF" w:themeColor="background1"/>
      <w:sz w:val="24"/>
      <w:szCs w:val="24"/>
    </w:rPr>
  </w:style>
  <w:style w:type="character" w:customStyle="1" w:styleId="Heading4Char">
    <w:name w:val="Heading 4 Char"/>
    <w:basedOn w:val="DefaultParagraphFont"/>
    <w:link w:val="Heading4"/>
    <w:uiPriority w:val="9"/>
    <w:semiHidden/>
    <w:rsid w:val="000438D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438D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438D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438D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438D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438DE"/>
    <w:rPr>
      <w:b/>
      <w:bCs/>
      <w:i/>
      <w:iCs/>
    </w:rPr>
  </w:style>
  <w:style w:type="paragraph" w:styleId="Caption">
    <w:name w:val="caption"/>
    <w:basedOn w:val="Normal"/>
    <w:next w:val="Normal"/>
    <w:uiPriority w:val="35"/>
    <w:semiHidden/>
    <w:unhideWhenUsed/>
    <w:qFormat/>
    <w:rsid w:val="000438DE"/>
    <w:pPr>
      <w:spacing w:line="240" w:lineRule="auto"/>
    </w:pPr>
    <w:rPr>
      <w:b/>
      <w:bCs/>
      <w:color w:val="404040" w:themeColor="text1" w:themeTint="BF"/>
      <w:sz w:val="16"/>
      <w:szCs w:val="16"/>
    </w:rPr>
  </w:style>
  <w:style w:type="character" w:styleId="Strong">
    <w:name w:val="Strong"/>
    <w:basedOn w:val="DefaultParagraphFont"/>
    <w:uiPriority w:val="22"/>
    <w:qFormat/>
    <w:rsid w:val="000438DE"/>
    <w:rPr>
      <w:b/>
      <w:bCs/>
    </w:rPr>
  </w:style>
  <w:style w:type="character" w:styleId="Emphasis">
    <w:name w:val="Emphasis"/>
    <w:basedOn w:val="DefaultParagraphFont"/>
    <w:uiPriority w:val="20"/>
    <w:qFormat/>
    <w:rsid w:val="000438DE"/>
    <w:rPr>
      <w:i/>
      <w:iCs/>
      <w:color w:val="000000" w:themeColor="text1"/>
    </w:rPr>
  </w:style>
  <w:style w:type="paragraph" w:styleId="NoSpacing">
    <w:name w:val="No Spacing"/>
    <w:uiPriority w:val="1"/>
    <w:qFormat/>
    <w:rsid w:val="000438DE"/>
    <w:pPr>
      <w:spacing w:after="0" w:line="240" w:lineRule="auto"/>
    </w:pPr>
  </w:style>
  <w:style w:type="paragraph" w:styleId="Quote">
    <w:name w:val="Quote"/>
    <w:basedOn w:val="Normal"/>
    <w:next w:val="Normal"/>
    <w:link w:val="QuoteChar"/>
    <w:uiPriority w:val="29"/>
    <w:qFormat/>
    <w:rsid w:val="000438D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438DE"/>
    <w:rPr>
      <w:i/>
      <w:iCs/>
      <w:color w:val="7B7B7B" w:themeColor="accent3" w:themeShade="BF"/>
      <w:sz w:val="24"/>
      <w:szCs w:val="24"/>
    </w:rPr>
  </w:style>
  <w:style w:type="paragraph" w:styleId="IntenseQuote">
    <w:name w:val="Intense Quote"/>
    <w:basedOn w:val="Normal"/>
    <w:next w:val="Normal"/>
    <w:link w:val="IntenseQuoteChar"/>
    <w:uiPriority w:val="30"/>
    <w:qFormat/>
    <w:rsid w:val="000438DE"/>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438DE"/>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438DE"/>
    <w:rPr>
      <w:i/>
      <w:iCs/>
      <w:color w:val="595959" w:themeColor="text1" w:themeTint="A6"/>
    </w:rPr>
  </w:style>
  <w:style w:type="character" w:styleId="IntenseEmphasis">
    <w:name w:val="Intense Emphasis"/>
    <w:basedOn w:val="DefaultParagraphFont"/>
    <w:uiPriority w:val="21"/>
    <w:qFormat/>
    <w:rsid w:val="000438DE"/>
    <w:rPr>
      <w:b/>
      <w:bCs/>
      <w:i/>
      <w:iCs/>
      <w:color w:val="auto"/>
    </w:rPr>
  </w:style>
  <w:style w:type="character" w:styleId="SubtleReference">
    <w:name w:val="Subtle Reference"/>
    <w:basedOn w:val="DefaultParagraphFont"/>
    <w:uiPriority w:val="31"/>
    <w:qFormat/>
    <w:rsid w:val="000438D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438DE"/>
    <w:rPr>
      <w:b/>
      <w:bCs/>
      <w:caps w:val="0"/>
      <w:smallCaps/>
      <w:color w:val="auto"/>
      <w:spacing w:val="0"/>
      <w:u w:val="single"/>
    </w:rPr>
  </w:style>
  <w:style w:type="character" w:styleId="BookTitle">
    <w:name w:val="Book Title"/>
    <w:basedOn w:val="DefaultParagraphFont"/>
    <w:uiPriority w:val="33"/>
    <w:qFormat/>
    <w:rsid w:val="000438DE"/>
    <w:rPr>
      <w:b/>
      <w:bCs/>
      <w:caps w:val="0"/>
      <w:smallCaps/>
      <w:spacing w:val="0"/>
    </w:rPr>
  </w:style>
  <w:style w:type="paragraph" w:styleId="TOC2">
    <w:name w:val="toc 2"/>
    <w:basedOn w:val="Normal"/>
    <w:next w:val="Normal"/>
    <w:autoRedefine/>
    <w:uiPriority w:val="39"/>
    <w:unhideWhenUsed/>
    <w:rsid w:val="00AA5B51"/>
    <w:pPr>
      <w:spacing w:after="100"/>
      <w:ind w:left="210"/>
    </w:pPr>
  </w:style>
  <w:style w:type="paragraph" w:styleId="TOC3">
    <w:name w:val="toc 3"/>
    <w:basedOn w:val="Normal"/>
    <w:next w:val="Normal"/>
    <w:autoRedefine/>
    <w:uiPriority w:val="39"/>
    <w:unhideWhenUsed/>
    <w:rsid w:val="00E54B92"/>
    <w:pPr>
      <w:spacing w:after="100"/>
      <w:ind w:left="420"/>
    </w:pPr>
  </w:style>
  <w:style w:type="paragraph" w:styleId="Revision">
    <w:name w:val="Revision"/>
    <w:hidden/>
    <w:uiPriority w:val="99"/>
    <w:semiHidden/>
    <w:rsid w:val="00FD4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ocalhost/intranet/verification-financiere/manuel/7044-1.shtm" TargetMode="External"/><Relationship Id="rId20" Type="http://schemas.openxmlformats.org/officeDocument/2006/relationships/hyperlink" Target="http://localhost/intranet/verification-financiere/manuel/7044-1.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audit/documents/Accounting_and_Financial_Reporting_Guide_for_Revenue_from_Contracts_with_Customer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ocalhost/intranet/verification-financiere/manuel/7040.shtm" TargetMode="External"/><Relationship Id="rId23" Type="http://schemas.openxmlformats.org/officeDocument/2006/relationships/hyperlink" Target="http://localhost/intranet/verification-financiere/manuel/7593.shtm"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ocalhost/intranet/verification-financiere/manuel/7044-1.shtm" TargetMode="External"/><Relationship Id="rId22" Type="http://schemas.openxmlformats.org/officeDocument/2006/relationships/hyperlink" Target="http://localhost/intranet/verification-financiere/manuel/7044-1.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D5F2-03A6-4516-B75B-79BAC6C1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10082</Words>
  <Characters>57471</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67419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Lalonde, Dominique</dc:creator>
  <cp:keywords/>
  <dc:description/>
  <cp:lastModifiedBy>Gauthier, Julie</cp:lastModifiedBy>
  <cp:revision>4</cp:revision>
  <dcterms:created xsi:type="dcterms:W3CDTF">2021-10-08T17:21:00Z</dcterms:created>
  <dcterms:modified xsi:type="dcterms:W3CDTF">2021-10-12T18:24:00Z</dcterms:modified>
</cp:coreProperties>
</file>