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6DAA" w14:textId="7F2B16AD" w:rsidR="00E92CB8" w:rsidRPr="00257B5A" w:rsidRDefault="000F055C" w:rsidP="009B6FF9">
      <w:pPr>
        <w:spacing w:before="150" w:after="150" w:line="240" w:lineRule="auto"/>
        <w:ind w:right="150"/>
        <w:rPr>
          <w:rFonts w:ascii="Arial" w:eastAsia="Times New Roman" w:hAnsi="Arial" w:cs="Arial"/>
          <w:color w:val="000000"/>
          <w:kern w:val="36"/>
          <w:sz w:val="33"/>
          <w:szCs w:val="33"/>
          <w:lang w:val="fr-CA" w:eastAsia="en-CA"/>
        </w:rPr>
      </w:pPr>
      <w:bookmarkStart w:id="0" w:name="lt_pId000"/>
      <w:r w:rsidRPr="00257B5A">
        <w:rPr>
          <w:rFonts w:ascii="Arial" w:eastAsia="Times New Roman" w:hAnsi="Arial" w:cs="Arial"/>
          <w:color w:val="000000"/>
          <w:kern w:val="36"/>
          <w:sz w:val="33"/>
          <w:szCs w:val="33"/>
          <w:lang w:val="fr-CA" w:eastAsia="en-CA"/>
        </w:rPr>
        <w:t>Directives</w:t>
      </w:r>
      <w:r w:rsidR="00266734" w:rsidRPr="00257B5A">
        <w:rPr>
          <w:rFonts w:ascii="Arial" w:eastAsia="Times New Roman" w:hAnsi="Arial" w:cs="Arial"/>
          <w:color w:val="000000"/>
          <w:kern w:val="36"/>
          <w:sz w:val="33"/>
          <w:szCs w:val="33"/>
          <w:lang w:val="fr-CA" w:eastAsia="en-CA"/>
        </w:rPr>
        <w:t xml:space="preserve"> annuelles </w:t>
      </w:r>
      <w:r w:rsidR="005B1F7A" w:rsidRPr="00257B5A">
        <w:rPr>
          <w:rFonts w:ascii="Arial" w:eastAsia="Times New Roman" w:hAnsi="Arial" w:cs="Arial"/>
          <w:color w:val="000000"/>
          <w:kern w:val="36"/>
          <w:sz w:val="33"/>
          <w:szCs w:val="33"/>
          <w:lang w:val="fr-CA" w:eastAsia="en-CA"/>
        </w:rPr>
        <w:t>sur</w:t>
      </w:r>
      <w:r w:rsidR="00266734" w:rsidRPr="00257B5A">
        <w:rPr>
          <w:rFonts w:ascii="Arial" w:eastAsia="Times New Roman" w:hAnsi="Arial" w:cs="Arial"/>
          <w:color w:val="000000"/>
          <w:kern w:val="36"/>
          <w:sz w:val="33"/>
          <w:szCs w:val="33"/>
          <w:lang w:val="fr-CA" w:eastAsia="en-CA"/>
        </w:rPr>
        <w:t xml:space="preserve"> le </w:t>
      </w:r>
      <w:r w:rsidR="000304B3" w:rsidRPr="00257B5A">
        <w:rPr>
          <w:rFonts w:ascii="Arial" w:eastAsia="Times New Roman" w:hAnsi="Arial" w:cs="Arial"/>
          <w:color w:val="000000"/>
          <w:kern w:val="36"/>
          <w:sz w:val="33"/>
          <w:szCs w:val="33"/>
          <w:lang w:val="fr-CA" w:eastAsia="en-CA"/>
        </w:rPr>
        <w:t>taux d</w:t>
      </w:r>
      <w:r w:rsidR="00257B5A" w:rsidRPr="00257B5A">
        <w:rPr>
          <w:rFonts w:ascii="Arial" w:eastAsia="Times New Roman" w:hAnsi="Arial" w:cs="Arial"/>
          <w:color w:val="000000"/>
          <w:kern w:val="36"/>
          <w:sz w:val="33"/>
          <w:szCs w:val="33"/>
          <w:lang w:val="fr-CA" w:eastAsia="en-CA"/>
        </w:rPr>
        <w:t>’</w:t>
      </w:r>
      <w:r w:rsidR="000304B3" w:rsidRPr="00257B5A">
        <w:rPr>
          <w:rFonts w:ascii="Arial" w:eastAsia="Times New Roman" w:hAnsi="Arial" w:cs="Arial"/>
          <w:color w:val="000000"/>
          <w:kern w:val="36"/>
          <w:sz w:val="33"/>
          <w:szCs w:val="33"/>
          <w:lang w:val="fr-CA" w:eastAsia="en-CA"/>
        </w:rPr>
        <w:t>actualisation</w:t>
      </w:r>
      <w:bookmarkEnd w:id="0"/>
    </w:p>
    <w:p w14:paraId="7EB0EF11" w14:textId="54530388" w:rsidR="00AA00E5" w:rsidRPr="00257B5A" w:rsidRDefault="001C7F7C" w:rsidP="009B6FF9">
      <w:pPr>
        <w:spacing w:before="150" w:after="150" w:line="240" w:lineRule="auto"/>
        <w:ind w:right="150"/>
        <w:rPr>
          <w:rFonts w:ascii="Arial" w:eastAsia="Times New Roman" w:hAnsi="Arial" w:cs="Arial"/>
          <w:color w:val="000000"/>
          <w:sz w:val="19"/>
          <w:szCs w:val="19"/>
          <w:lang w:val="fr-CA" w:eastAsia="en-CA"/>
        </w:rPr>
      </w:pPr>
      <w:bookmarkStart w:id="1" w:name="lt_pId001"/>
      <w:r>
        <w:rPr>
          <w:rFonts w:ascii="Arial" w:eastAsia="Times New Roman" w:hAnsi="Arial" w:cs="Arial"/>
          <w:color w:val="000000"/>
          <w:sz w:val="19"/>
          <w:szCs w:val="19"/>
          <w:lang w:val="fr-CA" w:eastAsia="en-CA"/>
        </w:rPr>
        <w:t>La présente section</w:t>
      </w:r>
      <w:r w:rsidR="000304B3" w:rsidRPr="00257B5A">
        <w:rPr>
          <w:rFonts w:ascii="Arial" w:eastAsia="Times New Roman" w:hAnsi="Arial" w:cs="Arial"/>
          <w:color w:val="000000"/>
          <w:sz w:val="19"/>
          <w:szCs w:val="19"/>
          <w:lang w:val="fr-CA" w:eastAsia="en-CA"/>
        </w:rPr>
        <w:t xml:space="preserve"> fournit </w:t>
      </w:r>
      <w:r w:rsidR="00266734" w:rsidRPr="00257B5A">
        <w:rPr>
          <w:rFonts w:ascii="Arial" w:eastAsia="Times New Roman" w:hAnsi="Arial" w:cs="Arial"/>
          <w:color w:val="000000"/>
          <w:sz w:val="19"/>
          <w:szCs w:val="19"/>
          <w:lang w:val="fr-CA" w:eastAsia="en-CA"/>
        </w:rPr>
        <w:t>au</w:t>
      </w:r>
      <w:r w:rsidR="00A81BCE">
        <w:rPr>
          <w:rFonts w:ascii="Arial" w:eastAsia="Times New Roman" w:hAnsi="Arial" w:cs="Arial"/>
          <w:color w:val="000000"/>
          <w:sz w:val="19"/>
          <w:szCs w:val="19"/>
          <w:lang w:val="fr-CA" w:eastAsia="en-CA"/>
        </w:rPr>
        <w:t>x auditrices et auditeurs</w:t>
      </w:r>
      <w:r w:rsidR="00266734" w:rsidRPr="00257B5A">
        <w:rPr>
          <w:rFonts w:ascii="Arial" w:eastAsia="Times New Roman" w:hAnsi="Arial" w:cs="Arial"/>
          <w:color w:val="000000"/>
          <w:sz w:val="19"/>
          <w:szCs w:val="19"/>
          <w:lang w:val="fr-CA" w:eastAsia="en-CA"/>
        </w:rPr>
        <w:t xml:space="preserve"> </w:t>
      </w:r>
      <w:r w:rsidR="000304B3" w:rsidRPr="00257B5A">
        <w:rPr>
          <w:rFonts w:ascii="Arial" w:eastAsia="Times New Roman" w:hAnsi="Arial" w:cs="Arial"/>
          <w:color w:val="000000"/>
          <w:sz w:val="19"/>
          <w:szCs w:val="19"/>
          <w:lang w:val="fr-CA" w:eastAsia="en-CA"/>
        </w:rPr>
        <w:t xml:space="preserve">des </w:t>
      </w:r>
      <w:r w:rsidR="008B42C1">
        <w:rPr>
          <w:rFonts w:ascii="Arial" w:eastAsia="Times New Roman" w:hAnsi="Arial" w:cs="Arial"/>
          <w:color w:val="000000"/>
          <w:sz w:val="19"/>
          <w:szCs w:val="19"/>
          <w:lang w:val="fr-CA" w:eastAsia="en-CA"/>
        </w:rPr>
        <w:t>directives</w:t>
      </w:r>
      <w:r w:rsidR="000304B3" w:rsidRPr="00257B5A">
        <w:rPr>
          <w:rFonts w:ascii="Arial" w:eastAsia="Times New Roman" w:hAnsi="Arial" w:cs="Arial"/>
          <w:color w:val="000000"/>
          <w:sz w:val="19"/>
          <w:szCs w:val="19"/>
          <w:lang w:val="fr-CA" w:eastAsia="en-CA"/>
        </w:rPr>
        <w:t xml:space="preserve"> sur l</w:t>
      </w:r>
      <w:r w:rsidR="00257B5A" w:rsidRPr="00257B5A">
        <w:rPr>
          <w:rFonts w:ascii="Arial" w:eastAsia="Times New Roman" w:hAnsi="Arial" w:cs="Arial"/>
          <w:color w:val="000000"/>
          <w:sz w:val="19"/>
          <w:szCs w:val="19"/>
          <w:lang w:val="fr-CA" w:eastAsia="en-CA"/>
        </w:rPr>
        <w:t>’</w:t>
      </w:r>
      <w:r w:rsidR="000304B3" w:rsidRPr="00257B5A">
        <w:rPr>
          <w:rFonts w:ascii="Arial" w:eastAsia="Times New Roman" w:hAnsi="Arial" w:cs="Arial"/>
          <w:color w:val="000000"/>
          <w:sz w:val="19"/>
          <w:szCs w:val="19"/>
          <w:lang w:val="fr-CA" w:eastAsia="en-CA"/>
        </w:rPr>
        <w:t>évaluation du taux d</w:t>
      </w:r>
      <w:r w:rsidR="00257B5A" w:rsidRPr="00257B5A">
        <w:rPr>
          <w:rFonts w:ascii="Arial" w:eastAsia="Times New Roman" w:hAnsi="Arial" w:cs="Arial"/>
          <w:color w:val="000000"/>
          <w:sz w:val="19"/>
          <w:szCs w:val="19"/>
          <w:lang w:val="fr-CA" w:eastAsia="en-CA"/>
        </w:rPr>
        <w:t>’</w:t>
      </w:r>
      <w:r w:rsidR="000304B3" w:rsidRPr="00257B5A">
        <w:rPr>
          <w:rFonts w:ascii="Arial" w:eastAsia="Times New Roman" w:hAnsi="Arial" w:cs="Arial"/>
          <w:color w:val="000000"/>
          <w:sz w:val="19"/>
          <w:szCs w:val="19"/>
          <w:lang w:val="fr-CA" w:eastAsia="en-CA"/>
        </w:rPr>
        <w:t>actualisation comptable utilisé dans le calcul de l</w:t>
      </w:r>
      <w:r w:rsidR="00257B5A" w:rsidRPr="00257B5A">
        <w:rPr>
          <w:rFonts w:ascii="Arial" w:eastAsia="Times New Roman" w:hAnsi="Arial" w:cs="Arial"/>
          <w:color w:val="000000"/>
          <w:sz w:val="19"/>
          <w:szCs w:val="19"/>
          <w:lang w:val="fr-CA" w:eastAsia="en-CA"/>
        </w:rPr>
        <w:t>’</w:t>
      </w:r>
      <w:r w:rsidR="000304B3" w:rsidRPr="00257B5A">
        <w:rPr>
          <w:rFonts w:ascii="Arial" w:eastAsia="Times New Roman" w:hAnsi="Arial" w:cs="Arial"/>
          <w:color w:val="000000"/>
          <w:sz w:val="19"/>
          <w:szCs w:val="19"/>
          <w:lang w:val="fr-CA" w:eastAsia="en-CA"/>
        </w:rPr>
        <w:t xml:space="preserve">obligation au titre des régimes à prestations définies pour les </w:t>
      </w:r>
      <w:r w:rsidR="00266734" w:rsidRPr="00257B5A">
        <w:rPr>
          <w:rFonts w:ascii="Arial" w:eastAsia="Times New Roman" w:hAnsi="Arial" w:cs="Arial"/>
          <w:color w:val="000000"/>
          <w:sz w:val="19"/>
          <w:szCs w:val="19"/>
          <w:lang w:val="fr-CA" w:eastAsia="en-CA"/>
        </w:rPr>
        <w:t xml:space="preserve">employées et </w:t>
      </w:r>
      <w:r w:rsidR="000304B3" w:rsidRPr="00257B5A">
        <w:rPr>
          <w:rFonts w:ascii="Arial" w:eastAsia="Times New Roman" w:hAnsi="Arial" w:cs="Arial"/>
          <w:color w:val="000000"/>
          <w:sz w:val="19"/>
          <w:szCs w:val="19"/>
          <w:lang w:val="fr-CA" w:eastAsia="en-CA"/>
        </w:rPr>
        <w:t>employés canadiens lorsque celle-ci est déterminée en fonction d</w:t>
      </w:r>
      <w:r w:rsidR="00257B5A" w:rsidRPr="00257B5A">
        <w:rPr>
          <w:rFonts w:ascii="Arial" w:eastAsia="Times New Roman" w:hAnsi="Arial" w:cs="Arial"/>
          <w:color w:val="000000"/>
          <w:sz w:val="19"/>
          <w:szCs w:val="19"/>
          <w:lang w:val="fr-CA" w:eastAsia="en-CA"/>
        </w:rPr>
        <w:t>’</w:t>
      </w:r>
      <w:r w:rsidR="000304B3" w:rsidRPr="00257B5A">
        <w:rPr>
          <w:rFonts w:ascii="Arial" w:eastAsia="Times New Roman" w:hAnsi="Arial" w:cs="Arial"/>
          <w:color w:val="000000"/>
          <w:sz w:val="19"/>
          <w:szCs w:val="19"/>
          <w:lang w:val="fr-CA" w:eastAsia="en-CA"/>
        </w:rPr>
        <w:t>obligations de sociétés de qualité supérieure (ou de titres de créance de qualité supérieure), conformément aux normes comptables suivantes (collectivement appelées les « normes comptables » dans le présent document)</w:t>
      </w:r>
      <w:r w:rsidR="00266734" w:rsidRPr="00257B5A">
        <w:rPr>
          <w:rFonts w:ascii="Arial" w:eastAsia="Times New Roman" w:hAnsi="Arial" w:cs="Arial"/>
          <w:color w:val="000000"/>
          <w:sz w:val="19"/>
          <w:szCs w:val="19"/>
          <w:lang w:val="fr-CA" w:eastAsia="en-CA"/>
        </w:rPr>
        <w:t> </w:t>
      </w:r>
      <w:r w:rsidR="000304B3" w:rsidRPr="00257B5A">
        <w:rPr>
          <w:rFonts w:ascii="Arial" w:eastAsia="Times New Roman" w:hAnsi="Arial" w:cs="Arial"/>
          <w:color w:val="000000"/>
          <w:sz w:val="19"/>
          <w:szCs w:val="19"/>
          <w:lang w:val="fr-CA" w:eastAsia="en-CA"/>
        </w:rPr>
        <w:t>:</w:t>
      </w:r>
      <w:bookmarkEnd w:id="1"/>
    </w:p>
    <w:p w14:paraId="64D056FC" w14:textId="5D7AFD94" w:rsidR="00AA00E5" w:rsidRPr="00257B5A" w:rsidRDefault="000304B3" w:rsidP="00AA00E5">
      <w:pPr>
        <w:numPr>
          <w:ilvl w:val="0"/>
          <w:numId w:val="1"/>
        </w:numPr>
        <w:spacing w:before="150" w:after="150" w:line="240" w:lineRule="auto"/>
        <w:ind w:left="750" w:right="300"/>
        <w:rPr>
          <w:rFonts w:ascii="Arial" w:eastAsia="Times New Roman" w:hAnsi="Arial" w:cs="Arial"/>
          <w:color w:val="000000"/>
          <w:sz w:val="19"/>
          <w:szCs w:val="19"/>
          <w:lang w:val="fr-CA" w:eastAsia="en-CA"/>
        </w:rPr>
      </w:pPr>
      <w:bookmarkStart w:id="2" w:name="lt_pId002"/>
      <w:r w:rsidRPr="00257B5A">
        <w:rPr>
          <w:rFonts w:ascii="Arial" w:eastAsia="Times New Roman" w:hAnsi="Arial" w:cs="Arial"/>
          <w:color w:val="000000"/>
          <w:sz w:val="19"/>
          <w:szCs w:val="19"/>
          <w:lang w:val="fr-CA" w:eastAsia="en-CA"/>
        </w:rPr>
        <w:t xml:space="preserve">la </w:t>
      </w:r>
      <w:r w:rsidR="00266734" w:rsidRPr="00257B5A">
        <w:rPr>
          <w:rFonts w:ascii="Arial" w:eastAsia="Times New Roman" w:hAnsi="Arial" w:cs="Arial"/>
          <w:color w:val="000000"/>
          <w:sz w:val="19"/>
          <w:szCs w:val="19"/>
          <w:lang w:val="fr-CA" w:eastAsia="en-CA"/>
        </w:rPr>
        <w:t>n</w:t>
      </w:r>
      <w:r w:rsidRPr="00257B5A">
        <w:rPr>
          <w:rFonts w:ascii="Arial" w:eastAsia="Times New Roman" w:hAnsi="Arial" w:cs="Arial"/>
          <w:color w:val="000000"/>
          <w:sz w:val="19"/>
          <w:szCs w:val="19"/>
          <w:lang w:val="fr-CA" w:eastAsia="en-CA"/>
        </w:rPr>
        <w:t xml:space="preserve">orme IAS </w:t>
      </w:r>
      <w:r w:rsidRPr="00257B5A">
        <w:rPr>
          <w:rFonts w:ascii="Arial" w:eastAsia="Times New Roman" w:hAnsi="Arial" w:cs="Arial"/>
          <w:color w:val="000000"/>
          <w:sz w:val="19"/>
          <w:szCs w:val="19"/>
          <w:lang w:val="fr-CA" w:eastAsia="en-CA"/>
        </w:rPr>
        <w:t xml:space="preserve">19 </w:t>
      </w:r>
      <w:r w:rsidR="000764F9" w:rsidRPr="00257B5A">
        <w:rPr>
          <w:rFonts w:ascii="Arial" w:eastAsia="Times New Roman" w:hAnsi="Arial" w:cs="Arial"/>
          <w:color w:val="000000"/>
          <w:sz w:val="19"/>
          <w:szCs w:val="19"/>
          <w:lang w:val="fr-CA" w:eastAsia="en-CA"/>
        </w:rPr>
        <w:t xml:space="preserve">au titre des </w:t>
      </w:r>
      <w:r w:rsidRPr="00257B5A">
        <w:rPr>
          <w:rFonts w:ascii="Arial" w:eastAsia="Times New Roman" w:hAnsi="Arial" w:cs="Arial"/>
          <w:color w:val="000000"/>
          <w:sz w:val="19"/>
          <w:szCs w:val="19"/>
          <w:lang w:val="fr-CA" w:eastAsia="en-CA"/>
        </w:rPr>
        <w:t>IFRS;</w:t>
      </w:r>
      <w:bookmarkEnd w:id="2"/>
    </w:p>
    <w:p w14:paraId="4BF2B8C7" w14:textId="6885BD21" w:rsidR="009B6FF9" w:rsidRPr="00257B5A" w:rsidRDefault="000304B3" w:rsidP="009B6FF9">
      <w:pPr>
        <w:pStyle w:val="NormalWeb"/>
        <w:numPr>
          <w:ilvl w:val="0"/>
          <w:numId w:val="1"/>
        </w:numPr>
        <w:spacing w:before="150" w:beforeAutospacing="0" w:after="150" w:afterAutospacing="0"/>
        <w:ind w:right="300"/>
        <w:rPr>
          <w:rFonts w:ascii="Arial" w:hAnsi="Arial" w:cs="Arial"/>
          <w:color w:val="000000"/>
          <w:sz w:val="19"/>
          <w:szCs w:val="19"/>
          <w:lang w:val="fr-CA"/>
        </w:rPr>
      </w:pPr>
      <w:bookmarkStart w:id="3" w:name="lt_pId003"/>
      <w:r w:rsidRPr="00257B5A">
        <w:rPr>
          <w:rFonts w:ascii="Arial" w:hAnsi="Arial" w:cs="Arial"/>
          <w:color w:val="000000"/>
          <w:sz w:val="19"/>
          <w:szCs w:val="19"/>
          <w:lang w:val="fr-CA"/>
        </w:rPr>
        <w:t>le chapitre 4600 de la Partie IV (Normes comptables pour les régimes de retraite) du Manuel lorsque, selon le paragraphe 22, le régime de retraite doit évaluer l</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obligation au titre des prestations de retraite au montant de l</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obligation au titre des prestations définies déterminé par le promoteur du régime lorsque les états financiers du promoteur du régime sont préparés selon les</w:t>
      </w:r>
      <w:r w:rsidR="000764F9" w:rsidRPr="00257B5A">
        <w:rPr>
          <w:rFonts w:ascii="Arial" w:hAnsi="Arial" w:cs="Arial"/>
          <w:color w:val="000000"/>
          <w:sz w:val="19"/>
          <w:szCs w:val="19"/>
          <w:lang w:val="fr-CA"/>
        </w:rPr>
        <w:t> </w:t>
      </w:r>
      <w:r w:rsidRPr="00257B5A">
        <w:rPr>
          <w:rFonts w:ascii="Arial" w:hAnsi="Arial" w:cs="Arial"/>
          <w:color w:val="000000"/>
          <w:sz w:val="19"/>
          <w:szCs w:val="19"/>
          <w:lang w:val="fr-CA"/>
        </w:rPr>
        <w:t>IFRS.</w:t>
      </w:r>
      <w:bookmarkEnd w:id="3"/>
    </w:p>
    <w:p w14:paraId="05A19B6F" w14:textId="6849786A" w:rsidR="009B6FF9" w:rsidRPr="00257B5A" w:rsidRDefault="000304B3" w:rsidP="009B6FF9">
      <w:pPr>
        <w:pStyle w:val="NormalWeb"/>
        <w:spacing w:before="150" w:beforeAutospacing="0" w:after="150" w:afterAutospacing="0"/>
        <w:ind w:right="150"/>
        <w:rPr>
          <w:rFonts w:ascii="Arial" w:hAnsi="Arial" w:cs="Arial"/>
          <w:color w:val="000000"/>
          <w:u w:val="single"/>
          <w:lang w:val="fr-CA"/>
        </w:rPr>
      </w:pPr>
      <w:bookmarkStart w:id="4" w:name="lt_pId004"/>
      <w:r w:rsidRPr="00257B5A">
        <w:rPr>
          <w:rFonts w:ascii="Arial" w:hAnsi="Arial" w:cs="Arial"/>
          <w:color w:val="000000"/>
          <w:u w:val="single"/>
          <w:lang w:val="fr-CA"/>
        </w:rPr>
        <w:t>Sélection du taux d</w:t>
      </w:r>
      <w:r w:rsidR="00257B5A" w:rsidRPr="00257B5A">
        <w:rPr>
          <w:rFonts w:ascii="Arial" w:hAnsi="Arial" w:cs="Arial"/>
          <w:color w:val="000000"/>
          <w:u w:val="single"/>
          <w:lang w:val="fr-CA"/>
        </w:rPr>
        <w:t>’</w:t>
      </w:r>
      <w:r w:rsidRPr="00257B5A">
        <w:rPr>
          <w:rFonts w:ascii="Arial" w:hAnsi="Arial" w:cs="Arial"/>
          <w:color w:val="000000"/>
          <w:u w:val="single"/>
          <w:lang w:val="fr-CA"/>
        </w:rPr>
        <w:t>actualisation comptable</w:t>
      </w:r>
      <w:bookmarkEnd w:id="4"/>
    </w:p>
    <w:p w14:paraId="4B36D84A" w14:textId="3BEFCCC8" w:rsidR="009B6FF9" w:rsidRPr="00257B5A" w:rsidRDefault="000304B3" w:rsidP="009B6FF9">
      <w:pPr>
        <w:pStyle w:val="NormalWeb"/>
        <w:spacing w:before="150" w:beforeAutospacing="0" w:after="150" w:afterAutospacing="0"/>
        <w:ind w:right="150"/>
        <w:rPr>
          <w:rFonts w:ascii="Arial" w:hAnsi="Arial" w:cs="Arial"/>
          <w:color w:val="000000"/>
          <w:sz w:val="19"/>
          <w:szCs w:val="19"/>
          <w:lang w:val="fr-CA"/>
        </w:rPr>
      </w:pPr>
      <w:bookmarkStart w:id="5" w:name="lt_pId005"/>
      <w:r w:rsidRPr="00257B5A">
        <w:rPr>
          <w:rFonts w:ascii="Arial" w:hAnsi="Arial" w:cs="Arial"/>
          <w:color w:val="000000"/>
          <w:sz w:val="19"/>
          <w:szCs w:val="19"/>
          <w:lang w:val="fr-CA"/>
        </w:rPr>
        <w:t>Selon les normes comptables susmentionnées, le taux d</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actualisation approprié doit être déterminé par référence au rendement des obligations de sociétés de qualité supérieure et doit être réévalué à chaque date d</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évaluation.</w:t>
      </w:r>
      <w:bookmarkEnd w:id="5"/>
      <w:r w:rsidRPr="00257B5A">
        <w:rPr>
          <w:rFonts w:ascii="Arial" w:hAnsi="Arial" w:cs="Arial"/>
          <w:color w:val="000000"/>
          <w:sz w:val="19"/>
          <w:szCs w:val="19"/>
          <w:lang w:val="fr-CA"/>
        </w:rPr>
        <w:t xml:space="preserve"> </w:t>
      </w:r>
      <w:bookmarkStart w:id="6" w:name="lt_pId006"/>
      <w:r w:rsidRPr="00257B5A">
        <w:rPr>
          <w:rFonts w:ascii="Arial" w:hAnsi="Arial" w:cs="Arial"/>
          <w:color w:val="000000"/>
          <w:sz w:val="19"/>
          <w:szCs w:val="19"/>
          <w:lang w:val="fr-CA"/>
        </w:rPr>
        <w:t>En cas de hausse ou de baisse des taux d</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intérêt à long terme, le taux d</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actualisation comptable suit la même tendance.</w:t>
      </w:r>
      <w:bookmarkEnd w:id="6"/>
      <w:r w:rsidRPr="00257B5A">
        <w:rPr>
          <w:rFonts w:ascii="Arial" w:hAnsi="Arial" w:cs="Arial"/>
          <w:color w:val="000000"/>
          <w:sz w:val="19"/>
          <w:szCs w:val="19"/>
          <w:lang w:val="fr-CA"/>
        </w:rPr>
        <w:t xml:space="preserve"> </w:t>
      </w:r>
      <w:bookmarkStart w:id="7" w:name="lt_pId007"/>
      <w:r w:rsidRPr="00257B5A">
        <w:rPr>
          <w:rFonts w:ascii="Arial" w:hAnsi="Arial" w:cs="Arial"/>
          <w:color w:val="000000"/>
          <w:sz w:val="19"/>
          <w:szCs w:val="19"/>
          <w:lang w:val="fr-CA"/>
        </w:rPr>
        <w:t>Il n</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est donc pas permis à une entité de déterminer une fourchette de taux d</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actualisation chaque année et de continuer d</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utiliser le taux d</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actualisation de l</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année précédente en présumant qu</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il se situe dans cette fourchette.</w:t>
      </w:r>
      <w:bookmarkEnd w:id="7"/>
    </w:p>
    <w:p w14:paraId="12147A2F" w14:textId="6D71E80D" w:rsidR="009B6FF9" w:rsidRPr="00257B5A" w:rsidRDefault="000304B3" w:rsidP="009B6FF9">
      <w:pPr>
        <w:pStyle w:val="NormalWeb"/>
        <w:spacing w:before="150" w:beforeAutospacing="0" w:after="150" w:afterAutospacing="0"/>
        <w:ind w:right="150"/>
        <w:rPr>
          <w:rFonts w:ascii="Arial" w:hAnsi="Arial" w:cs="Arial"/>
          <w:color w:val="000000"/>
          <w:sz w:val="19"/>
          <w:szCs w:val="19"/>
          <w:lang w:val="fr-CA"/>
        </w:rPr>
      </w:pPr>
      <w:bookmarkStart w:id="8" w:name="lt_pId008"/>
      <w:r w:rsidRPr="00257B5A">
        <w:rPr>
          <w:rFonts w:ascii="Arial" w:hAnsi="Arial" w:cs="Arial"/>
          <w:color w:val="000000"/>
          <w:sz w:val="19"/>
          <w:szCs w:val="19"/>
          <w:lang w:val="fr-CA"/>
        </w:rPr>
        <w:t>De plus, il n</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est </w:t>
      </w:r>
      <w:r w:rsidRPr="00257B5A">
        <w:rPr>
          <w:rFonts w:ascii="Arial" w:hAnsi="Arial" w:cs="Arial"/>
          <w:b/>
          <w:bCs/>
          <w:color w:val="000000"/>
          <w:sz w:val="19"/>
          <w:szCs w:val="19"/>
          <w:lang w:val="fr-CA"/>
        </w:rPr>
        <w:t>pas</w:t>
      </w:r>
      <w:r w:rsidRPr="00257B5A">
        <w:rPr>
          <w:rFonts w:ascii="Arial" w:hAnsi="Arial" w:cs="Arial"/>
          <w:color w:val="000000"/>
          <w:sz w:val="19"/>
          <w:szCs w:val="19"/>
          <w:lang w:val="fr-CA"/>
        </w:rPr>
        <w:t xml:space="preserve"> permis non plus à l</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entité d</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établir une fourchette de taux d</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actualisation pour ensuite sélectionner arbitrairement le taux d</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actualisation à appliquer dans cette fourchette.</w:t>
      </w:r>
      <w:bookmarkEnd w:id="8"/>
      <w:r w:rsidR="00150F94" w:rsidRPr="00257B5A">
        <w:rPr>
          <w:rFonts w:ascii="Arial" w:hAnsi="Arial" w:cs="Arial"/>
          <w:color w:val="000000"/>
          <w:sz w:val="19"/>
          <w:szCs w:val="19"/>
          <w:lang w:val="fr-CA"/>
        </w:rPr>
        <w:t xml:space="preserve"> </w:t>
      </w:r>
      <w:bookmarkStart w:id="9" w:name="lt_pId010"/>
      <w:r w:rsidR="000764F9" w:rsidRPr="00257B5A">
        <w:rPr>
          <w:rFonts w:ascii="Arial" w:hAnsi="Arial" w:cs="Arial"/>
          <w:color w:val="000000"/>
          <w:sz w:val="19"/>
          <w:szCs w:val="19"/>
          <w:lang w:val="fr-CA"/>
        </w:rPr>
        <w:t>L</w:t>
      </w:r>
      <w:r w:rsidR="00257B5A" w:rsidRPr="00257B5A">
        <w:rPr>
          <w:rFonts w:ascii="Arial" w:hAnsi="Arial" w:cs="Arial"/>
          <w:color w:val="000000"/>
          <w:sz w:val="19"/>
          <w:szCs w:val="19"/>
          <w:lang w:val="fr-CA"/>
        </w:rPr>
        <w:t>’</w:t>
      </w:r>
      <w:r w:rsidR="000764F9" w:rsidRPr="00257B5A">
        <w:rPr>
          <w:rFonts w:ascii="Arial" w:hAnsi="Arial" w:cs="Arial"/>
          <w:color w:val="000000"/>
          <w:sz w:val="19"/>
          <w:szCs w:val="19"/>
          <w:lang w:val="fr-CA"/>
        </w:rPr>
        <w:t>entité doit disposer d</w:t>
      </w:r>
      <w:r w:rsidR="00257B5A" w:rsidRPr="00257B5A">
        <w:rPr>
          <w:rFonts w:ascii="Arial" w:hAnsi="Arial" w:cs="Arial"/>
          <w:color w:val="000000"/>
          <w:sz w:val="19"/>
          <w:szCs w:val="19"/>
          <w:lang w:val="fr-CA"/>
        </w:rPr>
        <w:t>’</w:t>
      </w:r>
      <w:r w:rsidR="000764F9" w:rsidRPr="00257B5A">
        <w:rPr>
          <w:rFonts w:ascii="Arial" w:hAnsi="Arial" w:cs="Arial"/>
          <w:color w:val="000000"/>
          <w:sz w:val="19"/>
          <w:szCs w:val="19"/>
          <w:lang w:val="fr-CA"/>
        </w:rPr>
        <w:t>une méthodologie définie et l</w:t>
      </w:r>
      <w:r w:rsidR="00257B5A" w:rsidRPr="00257B5A">
        <w:rPr>
          <w:rFonts w:ascii="Arial" w:hAnsi="Arial" w:cs="Arial"/>
          <w:color w:val="000000"/>
          <w:sz w:val="19"/>
          <w:szCs w:val="19"/>
          <w:lang w:val="fr-CA"/>
        </w:rPr>
        <w:t>’</w:t>
      </w:r>
      <w:r w:rsidR="000764F9" w:rsidRPr="00257B5A">
        <w:rPr>
          <w:rFonts w:ascii="Arial" w:hAnsi="Arial" w:cs="Arial"/>
          <w:color w:val="000000"/>
          <w:sz w:val="19"/>
          <w:szCs w:val="19"/>
          <w:lang w:val="fr-CA"/>
        </w:rPr>
        <w:t xml:space="preserve">appliquer de manière </w:t>
      </w:r>
      <w:r w:rsidR="008964F3" w:rsidRPr="00257B5A">
        <w:rPr>
          <w:rFonts w:ascii="Arial" w:hAnsi="Arial" w:cs="Arial"/>
          <w:color w:val="000000"/>
          <w:sz w:val="19"/>
          <w:szCs w:val="19"/>
          <w:lang w:val="fr-CA"/>
        </w:rPr>
        <w:t>uniforme</w:t>
      </w:r>
      <w:r w:rsidR="000764F9" w:rsidRPr="00257B5A">
        <w:rPr>
          <w:rFonts w:ascii="Arial" w:hAnsi="Arial" w:cs="Arial"/>
          <w:color w:val="000000"/>
          <w:sz w:val="19"/>
          <w:szCs w:val="19"/>
          <w:lang w:val="fr-CA"/>
        </w:rPr>
        <w:t xml:space="preserve"> d</w:t>
      </w:r>
      <w:r w:rsidR="00257B5A" w:rsidRPr="00257B5A">
        <w:rPr>
          <w:rFonts w:ascii="Arial" w:hAnsi="Arial" w:cs="Arial"/>
          <w:color w:val="000000"/>
          <w:sz w:val="19"/>
          <w:szCs w:val="19"/>
          <w:lang w:val="fr-CA"/>
        </w:rPr>
        <w:t>’</w:t>
      </w:r>
      <w:r w:rsidR="000764F9" w:rsidRPr="00257B5A">
        <w:rPr>
          <w:rFonts w:ascii="Arial" w:hAnsi="Arial" w:cs="Arial"/>
          <w:color w:val="000000"/>
          <w:sz w:val="19"/>
          <w:szCs w:val="19"/>
          <w:lang w:val="fr-CA"/>
        </w:rPr>
        <w:t>une année à l</w:t>
      </w:r>
      <w:r w:rsidR="00257B5A" w:rsidRPr="00257B5A">
        <w:rPr>
          <w:rFonts w:ascii="Arial" w:hAnsi="Arial" w:cs="Arial"/>
          <w:color w:val="000000"/>
          <w:sz w:val="19"/>
          <w:szCs w:val="19"/>
          <w:lang w:val="fr-CA"/>
        </w:rPr>
        <w:t>’</w:t>
      </w:r>
      <w:r w:rsidR="000764F9" w:rsidRPr="00257B5A">
        <w:rPr>
          <w:rFonts w:ascii="Arial" w:hAnsi="Arial" w:cs="Arial"/>
          <w:color w:val="000000"/>
          <w:sz w:val="19"/>
          <w:szCs w:val="19"/>
          <w:lang w:val="fr-CA"/>
        </w:rPr>
        <w:t xml:space="preserve">autre. </w:t>
      </w:r>
      <w:r w:rsidR="00150F94" w:rsidRPr="00257B5A">
        <w:rPr>
          <w:rFonts w:ascii="Arial" w:hAnsi="Arial" w:cs="Arial"/>
          <w:color w:val="000000"/>
          <w:sz w:val="19"/>
          <w:szCs w:val="19"/>
          <w:lang w:val="fr-CA"/>
        </w:rPr>
        <w:t>Les fourchettes raisonnables ci-après s</w:t>
      </w:r>
      <w:r w:rsidR="00257B5A" w:rsidRPr="00257B5A">
        <w:rPr>
          <w:rFonts w:ascii="Arial" w:hAnsi="Arial" w:cs="Arial"/>
          <w:color w:val="000000"/>
          <w:sz w:val="19"/>
          <w:szCs w:val="19"/>
          <w:lang w:val="fr-CA"/>
        </w:rPr>
        <w:t>’</w:t>
      </w:r>
      <w:r w:rsidR="00150F94" w:rsidRPr="00257B5A">
        <w:rPr>
          <w:rFonts w:ascii="Arial" w:hAnsi="Arial" w:cs="Arial"/>
          <w:color w:val="000000"/>
          <w:sz w:val="19"/>
          <w:szCs w:val="19"/>
          <w:lang w:val="fr-CA"/>
        </w:rPr>
        <w:t xml:space="preserve">appliqueront généralement à un grand nombre de régimes de retraite qui utilisent le taux des obligations de sociétés de qualité supérieure pour établir </w:t>
      </w:r>
      <w:r w:rsidR="000F3693" w:rsidRPr="00257B5A">
        <w:rPr>
          <w:rFonts w:ascii="Arial" w:hAnsi="Arial" w:cs="Arial"/>
          <w:color w:val="000000"/>
          <w:sz w:val="19"/>
          <w:szCs w:val="19"/>
          <w:lang w:val="fr-CA"/>
        </w:rPr>
        <w:t>le</w:t>
      </w:r>
      <w:r w:rsidR="00150F94" w:rsidRPr="00257B5A">
        <w:rPr>
          <w:rFonts w:ascii="Arial" w:hAnsi="Arial" w:cs="Arial"/>
          <w:color w:val="000000"/>
          <w:sz w:val="19"/>
          <w:szCs w:val="19"/>
          <w:lang w:val="fr-CA"/>
        </w:rPr>
        <w:t xml:space="preserve"> taux d</w:t>
      </w:r>
      <w:r w:rsidR="00257B5A" w:rsidRPr="00257B5A">
        <w:rPr>
          <w:rFonts w:ascii="Arial" w:hAnsi="Arial" w:cs="Arial"/>
          <w:color w:val="000000"/>
          <w:sz w:val="19"/>
          <w:szCs w:val="19"/>
          <w:lang w:val="fr-CA"/>
        </w:rPr>
        <w:t>’</w:t>
      </w:r>
      <w:r w:rsidR="00150F94" w:rsidRPr="00257B5A">
        <w:rPr>
          <w:rFonts w:ascii="Arial" w:hAnsi="Arial" w:cs="Arial"/>
          <w:color w:val="000000"/>
          <w:sz w:val="19"/>
          <w:szCs w:val="19"/>
          <w:lang w:val="fr-CA"/>
        </w:rPr>
        <w:t>actualisation.</w:t>
      </w:r>
      <w:bookmarkEnd w:id="9"/>
      <w:r w:rsidR="00150F94" w:rsidRPr="00257B5A">
        <w:rPr>
          <w:rFonts w:ascii="Arial" w:hAnsi="Arial" w:cs="Arial"/>
          <w:color w:val="000000"/>
          <w:sz w:val="19"/>
          <w:szCs w:val="19"/>
          <w:lang w:val="fr-CA"/>
        </w:rPr>
        <w:t xml:space="preserve"> </w:t>
      </w:r>
      <w:bookmarkStart w:id="10" w:name="lt_pId011"/>
      <w:r w:rsidR="00150F94" w:rsidRPr="00257B5A">
        <w:rPr>
          <w:rFonts w:ascii="Arial" w:hAnsi="Arial" w:cs="Arial"/>
          <w:color w:val="000000"/>
          <w:sz w:val="19"/>
          <w:szCs w:val="19"/>
          <w:lang w:val="fr-CA"/>
        </w:rPr>
        <w:t>Dans le cas où un</w:t>
      </w:r>
      <w:r w:rsidR="000F3693" w:rsidRPr="00257B5A">
        <w:rPr>
          <w:rFonts w:ascii="Arial" w:hAnsi="Arial" w:cs="Arial"/>
          <w:color w:val="000000"/>
          <w:sz w:val="19"/>
          <w:szCs w:val="19"/>
          <w:lang w:val="fr-CA"/>
        </w:rPr>
        <w:t>e</w:t>
      </w:r>
      <w:r w:rsidR="00150F94" w:rsidRPr="00257B5A">
        <w:rPr>
          <w:rFonts w:ascii="Arial" w:hAnsi="Arial" w:cs="Arial"/>
          <w:color w:val="000000"/>
          <w:sz w:val="19"/>
          <w:szCs w:val="19"/>
          <w:lang w:val="fr-CA"/>
        </w:rPr>
        <w:t xml:space="preserve"> </w:t>
      </w:r>
      <w:r w:rsidR="000F3693" w:rsidRPr="00257B5A">
        <w:rPr>
          <w:rFonts w:ascii="Arial" w:hAnsi="Arial" w:cs="Arial"/>
          <w:color w:val="000000"/>
          <w:sz w:val="19"/>
          <w:szCs w:val="19"/>
          <w:lang w:val="fr-CA"/>
        </w:rPr>
        <w:t xml:space="preserve">entité </w:t>
      </w:r>
      <w:r w:rsidR="00150F94" w:rsidRPr="00257B5A">
        <w:rPr>
          <w:rFonts w:ascii="Arial" w:hAnsi="Arial" w:cs="Arial"/>
          <w:color w:val="000000"/>
          <w:sz w:val="19"/>
          <w:szCs w:val="19"/>
          <w:lang w:val="fr-CA"/>
        </w:rPr>
        <w:t>s</w:t>
      </w:r>
      <w:r w:rsidR="00257B5A" w:rsidRPr="00257B5A">
        <w:rPr>
          <w:rFonts w:ascii="Arial" w:hAnsi="Arial" w:cs="Arial"/>
          <w:color w:val="000000"/>
          <w:sz w:val="19"/>
          <w:szCs w:val="19"/>
          <w:lang w:val="fr-CA"/>
        </w:rPr>
        <w:t>’</w:t>
      </w:r>
      <w:r w:rsidR="00150F94" w:rsidRPr="00257B5A">
        <w:rPr>
          <w:rFonts w:ascii="Arial" w:hAnsi="Arial" w:cs="Arial"/>
          <w:color w:val="000000"/>
          <w:sz w:val="19"/>
          <w:szCs w:val="19"/>
          <w:lang w:val="fr-CA"/>
        </w:rPr>
        <w:t>attend à sélectionner un taux d</w:t>
      </w:r>
      <w:r w:rsidR="00257B5A" w:rsidRPr="00257B5A">
        <w:rPr>
          <w:rFonts w:ascii="Arial" w:hAnsi="Arial" w:cs="Arial"/>
          <w:color w:val="000000"/>
          <w:sz w:val="19"/>
          <w:szCs w:val="19"/>
          <w:lang w:val="fr-CA"/>
        </w:rPr>
        <w:t>’</w:t>
      </w:r>
      <w:r w:rsidR="00150F94" w:rsidRPr="00257B5A">
        <w:rPr>
          <w:rFonts w:ascii="Arial" w:hAnsi="Arial" w:cs="Arial"/>
          <w:color w:val="000000"/>
          <w:sz w:val="19"/>
          <w:szCs w:val="19"/>
          <w:lang w:val="fr-CA"/>
        </w:rPr>
        <w:t>actualisation qui ne s</w:t>
      </w:r>
      <w:r w:rsidR="00257B5A" w:rsidRPr="00257B5A">
        <w:rPr>
          <w:rFonts w:ascii="Arial" w:hAnsi="Arial" w:cs="Arial"/>
          <w:color w:val="000000"/>
          <w:sz w:val="19"/>
          <w:szCs w:val="19"/>
          <w:lang w:val="fr-CA"/>
        </w:rPr>
        <w:t>’</w:t>
      </w:r>
      <w:r w:rsidR="00150F94" w:rsidRPr="00257B5A">
        <w:rPr>
          <w:rFonts w:ascii="Arial" w:hAnsi="Arial" w:cs="Arial"/>
          <w:color w:val="000000"/>
          <w:sz w:val="19"/>
          <w:szCs w:val="19"/>
          <w:lang w:val="fr-CA"/>
        </w:rPr>
        <w:t xml:space="preserve">inscrit pas dans cette fourchette raisonnable, </w:t>
      </w:r>
      <w:r w:rsidR="000F3693" w:rsidRPr="00257B5A">
        <w:rPr>
          <w:rFonts w:ascii="Arial" w:hAnsi="Arial" w:cs="Arial"/>
          <w:color w:val="000000"/>
          <w:sz w:val="19"/>
          <w:szCs w:val="19"/>
          <w:lang w:val="fr-CA"/>
        </w:rPr>
        <w:t xml:space="preserve">elle devrait </w:t>
      </w:r>
      <w:r w:rsidR="00150F94" w:rsidRPr="00257B5A">
        <w:rPr>
          <w:rFonts w:ascii="Arial" w:hAnsi="Arial" w:cs="Arial"/>
          <w:color w:val="000000"/>
          <w:sz w:val="19"/>
          <w:szCs w:val="19"/>
          <w:lang w:val="fr-CA"/>
        </w:rPr>
        <w:t>étayer son choix au moyen d</w:t>
      </w:r>
      <w:r w:rsidR="00257B5A" w:rsidRPr="00257B5A">
        <w:rPr>
          <w:rFonts w:ascii="Arial" w:hAnsi="Arial" w:cs="Arial"/>
          <w:color w:val="000000"/>
          <w:sz w:val="19"/>
          <w:szCs w:val="19"/>
          <w:lang w:val="fr-CA"/>
        </w:rPr>
        <w:t>’</w:t>
      </w:r>
      <w:r w:rsidR="00150F94" w:rsidRPr="00257B5A">
        <w:rPr>
          <w:rFonts w:ascii="Arial" w:hAnsi="Arial" w:cs="Arial"/>
          <w:color w:val="000000"/>
          <w:sz w:val="19"/>
          <w:szCs w:val="19"/>
          <w:lang w:val="fr-CA"/>
        </w:rPr>
        <w:t>une analyse qui met en correspondance le portefeuille d</w:t>
      </w:r>
      <w:r w:rsidR="00257B5A" w:rsidRPr="00257B5A">
        <w:rPr>
          <w:rFonts w:ascii="Arial" w:hAnsi="Arial" w:cs="Arial"/>
          <w:color w:val="000000"/>
          <w:sz w:val="19"/>
          <w:szCs w:val="19"/>
          <w:lang w:val="fr-CA"/>
        </w:rPr>
        <w:t>’</w:t>
      </w:r>
      <w:r w:rsidR="00150F94" w:rsidRPr="00257B5A">
        <w:rPr>
          <w:rFonts w:ascii="Arial" w:hAnsi="Arial" w:cs="Arial"/>
          <w:color w:val="000000"/>
          <w:sz w:val="19"/>
          <w:szCs w:val="19"/>
          <w:lang w:val="fr-CA"/>
        </w:rPr>
        <w:t>obligation retenu et les flux de trésorerie liés à l</w:t>
      </w:r>
      <w:r w:rsidR="00257B5A" w:rsidRPr="00257B5A">
        <w:rPr>
          <w:rFonts w:ascii="Arial" w:hAnsi="Arial" w:cs="Arial"/>
          <w:color w:val="000000"/>
          <w:sz w:val="19"/>
          <w:szCs w:val="19"/>
          <w:lang w:val="fr-CA"/>
        </w:rPr>
        <w:t>’</w:t>
      </w:r>
      <w:r w:rsidR="00150F94" w:rsidRPr="00257B5A">
        <w:rPr>
          <w:rFonts w:ascii="Arial" w:hAnsi="Arial" w:cs="Arial"/>
          <w:color w:val="000000"/>
          <w:sz w:val="19"/>
          <w:szCs w:val="19"/>
          <w:lang w:val="fr-CA"/>
        </w:rPr>
        <w:t>obligation.</w:t>
      </w:r>
      <w:bookmarkEnd w:id="10"/>
      <w:r w:rsidR="00150F94" w:rsidRPr="00257B5A">
        <w:rPr>
          <w:rFonts w:ascii="Arial" w:hAnsi="Arial" w:cs="Arial"/>
          <w:color w:val="000000"/>
          <w:sz w:val="19"/>
          <w:szCs w:val="19"/>
          <w:lang w:val="fr-CA"/>
        </w:rPr>
        <w:t xml:space="preserve"> </w:t>
      </w:r>
      <w:r w:rsidR="000F3693" w:rsidRPr="00257B5A">
        <w:rPr>
          <w:rFonts w:ascii="Arial" w:hAnsi="Arial" w:cs="Arial"/>
          <w:color w:val="000000"/>
          <w:sz w:val="19"/>
          <w:szCs w:val="19"/>
          <w:lang w:val="fr-CA"/>
        </w:rPr>
        <w:t>L</w:t>
      </w:r>
      <w:r w:rsidR="008964F3" w:rsidRPr="00257B5A">
        <w:rPr>
          <w:rFonts w:ascii="Arial" w:hAnsi="Arial" w:cs="Arial"/>
          <w:color w:val="000000"/>
          <w:sz w:val="19"/>
          <w:szCs w:val="19"/>
          <w:lang w:val="fr-CA"/>
        </w:rPr>
        <w:t xml:space="preserve">a sélection du </w:t>
      </w:r>
      <w:r w:rsidR="000F3693" w:rsidRPr="00257B5A">
        <w:rPr>
          <w:rFonts w:ascii="Arial" w:hAnsi="Arial" w:cs="Arial"/>
          <w:color w:val="000000"/>
          <w:sz w:val="19"/>
          <w:szCs w:val="19"/>
          <w:lang w:val="fr-CA"/>
        </w:rPr>
        <w:t>taux d</w:t>
      </w:r>
      <w:r w:rsidR="00257B5A" w:rsidRPr="00257B5A">
        <w:rPr>
          <w:rFonts w:ascii="Arial" w:hAnsi="Arial" w:cs="Arial"/>
          <w:color w:val="000000"/>
          <w:sz w:val="19"/>
          <w:szCs w:val="19"/>
          <w:lang w:val="fr-CA"/>
        </w:rPr>
        <w:t>’</w:t>
      </w:r>
      <w:r w:rsidR="000F3693" w:rsidRPr="00257B5A">
        <w:rPr>
          <w:rFonts w:ascii="Arial" w:hAnsi="Arial" w:cs="Arial"/>
          <w:color w:val="000000"/>
          <w:sz w:val="19"/>
          <w:szCs w:val="19"/>
          <w:lang w:val="fr-CA"/>
        </w:rPr>
        <w:t xml:space="preserve">actualisation </w:t>
      </w:r>
      <w:r w:rsidR="008964F3" w:rsidRPr="00257B5A">
        <w:rPr>
          <w:rFonts w:ascii="Arial" w:hAnsi="Arial" w:cs="Arial"/>
          <w:color w:val="000000"/>
          <w:sz w:val="19"/>
          <w:szCs w:val="19"/>
          <w:lang w:val="fr-CA"/>
        </w:rPr>
        <w:t>devrait tenir compte d</w:t>
      </w:r>
      <w:r w:rsidR="000F3693" w:rsidRPr="00257B5A">
        <w:rPr>
          <w:rFonts w:ascii="Arial" w:hAnsi="Arial" w:cs="Arial"/>
          <w:color w:val="000000"/>
          <w:sz w:val="19"/>
          <w:szCs w:val="19"/>
          <w:lang w:val="fr-CA"/>
        </w:rPr>
        <w:t xml:space="preserve">es flux de trésorerie attendus de chaque régime (un taux unique pour plusieurs régimes peut être acceptable, si les régimes sous-jacents ont un profil comparable [profil </w:t>
      </w:r>
      <w:r w:rsidR="00565183" w:rsidRPr="00257B5A">
        <w:rPr>
          <w:rFonts w:ascii="Arial" w:hAnsi="Arial" w:cs="Arial"/>
          <w:color w:val="000000"/>
          <w:sz w:val="19"/>
          <w:szCs w:val="19"/>
          <w:lang w:val="fr-CA"/>
        </w:rPr>
        <w:t>de</w:t>
      </w:r>
      <w:r w:rsidR="000F3693" w:rsidRPr="00257B5A">
        <w:rPr>
          <w:rFonts w:ascii="Arial" w:hAnsi="Arial" w:cs="Arial"/>
          <w:color w:val="000000"/>
          <w:sz w:val="19"/>
          <w:szCs w:val="19"/>
          <w:lang w:val="fr-CA"/>
        </w:rPr>
        <w:t xml:space="preserve"> flux de trésorerie futurs]</w:t>
      </w:r>
      <w:r w:rsidR="00565183" w:rsidRPr="00257B5A">
        <w:rPr>
          <w:rFonts w:ascii="Arial" w:hAnsi="Arial" w:cs="Arial"/>
          <w:color w:val="000000"/>
          <w:sz w:val="19"/>
          <w:szCs w:val="19"/>
          <w:lang w:val="fr-CA"/>
        </w:rPr>
        <w:t>, ce qu</w:t>
      </w:r>
      <w:r w:rsidR="00257B5A" w:rsidRPr="00257B5A">
        <w:rPr>
          <w:rFonts w:ascii="Arial" w:hAnsi="Arial" w:cs="Arial"/>
          <w:color w:val="000000"/>
          <w:sz w:val="19"/>
          <w:szCs w:val="19"/>
          <w:lang w:val="fr-CA"/>
        </w:rPr>
        <w:t>’</w:t>
      </w:r>
      <w:r w:rsidR="00565183" w:rsidRPr="00257B5A">
        <w:rPr>
          <w:rFonts w:ascii="Arial" w:hAnsi="Arial" w:cs="Arial"/>
          <w:color w:val="000000"/>
          <w:sz w:val="19"/>
          <w:szCs w:val="19"/>
          <w:lang w:val="fr-CA"/>
        </w:rPr>
        <w:t>on appelle souvent la « duration »</w:t>
      </w:r>
      <w:r w:rsidR="000F3693" w:rsidRPr="00257B5A">
        <w:rPr>
          <w:rFonts w:ascii="Arial" w:hAnsi="Arial" w:cs="Arial"/>
          <w:color w:val="000000"/>
          <w:sz w:val="19"/>
          <w:szCs w:val="19"/>
          <w:lang w:val="fr-CA"/>
        </w:rPr>
        <w:t>).</w:t>
      </w:r>
    </w:p>
    <w:p w14:paraId="36A014BF" w14:textId="4E5F818B" w:rsidR="009B6FF9" w:rsidRPr="00257B5A" w:rsidRDefault="00446E21" w:rsidP="009B6FF9">
      <w:pPr>
        <w:pStyle w:val="NormalWeb"/>
        <w:spacing w:before="150" w:beforeAutospacing="0" w:after="150" w:afterAutospacing="0"/>
        <w:ind w:right="150"/>
        <w:rPr>
          <w:rFonts w:ascii="Arial" w:hAnsi="Arial" w:cs="Arial"/>
          <w:color w:val="000000"/>
          <w:sz w:val="19"/>
          <w:szCs w:val="19"/>
          <w:lang w:val="fr-CA"/>
        </w:rPr>
      </w:pPr>
      <w:bookmarkStart w:id="11" w:name="lt_pId013"/>
      <w:r w:rsidRPr="00257B5A">
        <w:rPr>
          <w:rFonts w:ascii="Arial" w:hAnsi="Arial" w:cs="Arial"/>
          <w:color w:val="000000"/>
          <w:sz w:val="19"/>
          <w:szCs w:val="19"/>
          <w:lang w:val="fr-CA"/>
        </w:rPr>
        <w:t>L</w:t>
      </w:r>
      <w:r w:rsidR="00257B5A" w:rsidRPr="00257B5A">
        <w:rPr>
          <w:rFonts w:ascii="Arial" w:hAnsi="Arial" w:cs="Arial"/>
          <w:color w:val="000000"/>
          <w:sz w:val="19"/>
          <w:szCs w:val="19"/>
          <w:lang w:val="fr-CA"/>
        </w:rPr>
        <w:t>’</w:t>
      </w:r>
      <w:r w:rsidR="008964F3" w:rsidRPr="00257B5A">
        <w:rPr>
          <w:rFonts w:ascii="Arial" w:hAnsi="Arial" w:cs="Arial"/>
          <w:color w:val="000000"/>
          <w:sz w:val="19"/>
          <w:szCs w:val="19"/>
          <w:lang w:val="fr-CA"/>
        </w:rPr>
        <w:t xml:space="preserve">hypothèse relative au </w:t>
      </w:r>
      <w:r w:rsidR="00E31BBB" w:rsidRPr="00257B5A">
        <w:rPr>
          <w:rFonts w:ascii="Arial" w:hAnsi="Arial" w:cs="Arial"/>
          <w:color w:val="000000"/>
          <w:sz w:val="19"/>
          <w:szCs w:val="19"/>
          <w:lang w:val="fr-CA"/>
        </w:rPr>
        <w:t>taux d</w:t>
      </w:r>
      <w:r w:rsidR="00257B5A" w:rsidRPr="00257B5A">
        <w:rPr>
          <w:rFonts w:ascii="Arial" w:hAnsi="Arial" w:cs="Arial"/>
          <w:color w:val="000000"/>
          <w:sz w:val="19"/>
          <w:szCs w:val="19"/>
          <w:lang w:val="fr-CA"/>
        </w:rPr>
        <w:t>’</w:t>
      </w:r>
      <w:r w:rsidR="00E31BBB" w:rsidRPr="00257B5A">
        <w:rPr>
          <w:rFonts w:ascii="Arial" w:hAnsi="Arial" w:cs="Arial"/>
          <w:color w:val="000000"/>
          <w:sz w:val="19"/>
          <w:szCs w:val="19"/>
          <w:lang w:val="fr-CA"/>
        </w:rPr>
        <w:t>actualisation ne correspond pas à la meilleure estimation hypothétique à long terme</w:t>
      </w:r>
      <w:r w:rsidR="00A04086">
        <w:rPr>
          <w:rFonts w:ascii="Arial" w:hAnsi="Arial" w:cs="Arial"/>
          <w:color w:val="000000"/>
          <w:sz w:val="19"/>
          <w:szCs w:val="19"/>
          <w:lang w:val="fr-CA"/>
        </w:rPr>
        <w:t xml:space="preserve"> de la direction</w:t>
      </w:r>
      <w:r w:rsidR="00E31BBB" w:rsidRPr="00257B5A">
        <w:rPr>
          <w:rFonts w:ascii="Arial" w:hAnsi="Arial" w:cs="Arial"/>
          <w:color w:val="000000"/>
          <w:sz w:val="19"/>
          <w:szCs w:val="19"/>
          <w:lang w:val="fr-CA"/>
        </w:rPr>
        <w:t>, mais plutôt à un taux d</w:t>
      </w:r>
      <w:r w:rsidR="00257B5A" w:rsidRPr="00257B5A">
        <w:rPr>
          <w:rFonts w:ascii="Arial" w:hAnsi="Arial" w:cs="Arial"/>
          <w:color w:val="000000"/>
          <w:sz w:val="19"/>
          <w:szCs w:val="19"/>
          <w:lang w:val="fr-CA"/>
        </w:rPr>
        <w:t>’</w:t>
      </w:r>
      <w:r w:rsidR="00E31BBB" w:rsidRPr="00257B5A">
        <w:rPr>
          <w:rFonts w:ascii="Arial" w:hAnsi="Arial" w:cs="Arial"/>
          <w:color w:val="000000"/>
          <w:sz w:val="19"/>
          <w:szCs w:val="19"/>
          <w:lang w:val="fr-CA"/>
        </w:rPr>
        <w:t>intérêt du marché établi d</w:t>
      </w:r>
      <w:r w:rsidR="00257B5A" w:rsidRPr="00257B5A">
        <w:rPr>
          <w:rFonts w:ascii="Arial" w:hAnsi="Arial" w:cs="Arial"/>
          <w:color w:val="000000"/>
          <w:sz w:val="19"/>
          <w:szCs w:val="19"/>
          <w:lang w:val="fr-CA"/>
        </w:rPr>
        <w:t>’</w:t>
      </w:r>
      <w:r w:rsidR="00E31BBB" w:rsidRPr="00257B5A">
        <w:rPr>
          <w:rFonts w:ascii="Arial" w:hAnsi="Arial" w:cs="Arial"/>
          <w:color w:val="000000"/>
          <w:sz w:val="19"/>
          <w:szCs w:val="19"/>
          <w:lang w:val="fr-CA"/>
        </w:rPr>
        <w:t>après les obligations de sociétés de qualité supérieure.</w:t>
      </w:r>
      <w:bookmarkEnd w:id="11"/>
      <w:r w:rsidR="00E31BBB" w:rsidRPr="00257B5A">
        <w:rPr>
          <w:rFonts w:ascii="Arial" w:hAnsi="Arial" w:cs="Arial"/>
          <w:color w:val="000000"/>
          <w:sz w:val="19"/>
          <w:szCs w:val="19"/>
          <w:lang w:val="fr-CA"/>
        </w:rPr>
        <w:t xml:space="preserve"> </w:t>
      </w:r>
    </w:p>
    <w:p w14:paraId="265EC26E" w14:textId="44D51358" w:rsidR="009B6FF9" w:rsidRPr="00257B5A" w:rsidRDefault="000304B3" w:rsidP="009B6FF9">
      <w:pPr>
        <w:pStyle w:val="NormalWeb"/>
        <w:spacing w:before="150" w:beforeAutospacing="0" w:after="150" w:afterAutospacing="0"/>
        <w:ind w:right="150"/>
        <w:rPr>
          <w:rFonts w:ascii="Arial" w:hAnsi="Arial" w:cs="Arial"/>
          <w:color w:val="000000"/>
          <w:u w:val="single"/>
          <w:lang w:val="fr-CA"/>
        </w:rPr>
      </w:pPr>
      <w:bookmarkStart w:id="12" w:name="lt_pId014"/>
      <w:r w:rsidRPr="00257B5A">
        <w:rPr>
          <w:rFonts w:ascii="Arial" w:hAnsi="Arial" w:cs="Arial"/>
          <w:color w:val="000000"/>
          <w:u w:val="single"/>
          <w:lang w:val="fr-CA"/>
        </w:rPr>
        <w:t>Courbes de taux utilisées sur le marché</w:t>
      </w:r>
      <w:bookmarkEnd w:id="12"/>
    </w:p>
    <w:p w14:paraId="07210FA8" w14:textId="090F93D7" w:rsidR="00AA00E5" w:rsidRPr="00257B5A" w:rsidRDefault="000304B3" w:rsidP="0092002C">
      <w:pPr>
        <w:rPr>
          <w:rFonts w:ascii="Arial" w:eastAsia="Times New Roman" w:hAnsi="Arial" w:cs="Arial"/>
          <w:color w:val="000000"/>
          <w:sz w:val="19"/>
          <w:szCs w:val="19"/>
          <w:lang w:val="fr-CA" w:eastAsia="en-CA"/>
        </w:rPr>
      </w:pPr>
      <w:bookmarkStart w:id="13" w:name="lt_pId015"/>
      <w:r w:rsidRPr="00257B5A">
        <w:rPr>
          <w:rFonts w:ascii="Arial" w:eastAsia="Times New Roman" w:hAnsi="Arial" w:cs="Arial"/>
          <w:color w:val="000000"/>
          <w:sz w:val="19"/>
          <w:szCs w:val="19"/>
          <w:lang w:val="fr-CA" w:eastAsia="en-CA"/>
        </w:rPr>
        <w:t xml:space="preserve">Au Canada, diverses approches sont utilisées pour déterminer une courbe de taux appropriée </w:t>
      </w:r>
      <w:r w:rsidR="009E7008" w:rsidRPr="00257B5A">
        <w:rPr>
          <w:rFonts w:ascii="Arial" w:eastAsia="Times New Roman" w:hAnsi="Arial" w:cs="Arial"/>
          <w:color w:val="000000"/>
          <w:sz w:val="19"/>
          <w:szCs w:val="19"/>
          <w:lang w:val="fr-CA" w:eastAsia="en-CA"/>
        </w:rPr>
        <w:t>en fonction des</w:t>
      </w:r>
      <w:r w:rsidRPr="00257B5A">
        <w:rPr>
          <w:rFonts w:ascii="Arial" w:eastAsia="Times New Roman" w:hAnsi="Arial" w:cs="Arial"/>
          <w:color w:val="000000"/>
          <w:sz w:val="19"/>
          <w:szCs w:val="19"/>
          <w:lang w:val="fr-CA" w:eastAsia="en-CA"/>
        </w:rPr>
        <w:t xml:space="preserve"> obligations de sociétés de qualité supérieure.</w:t>
      </w:r>
      <w:bookmarkEnd w:id="13"/>
      <w:r w:rsidRPr="00257B5A">
        <w:rPr>
          <w:rFonts w:ascii="Arial" w:eastAsia="Times New Roman" w:hAnsi="Arial" w:cs="Arial"/>
          <w:color w:val="000000"/>
          <w:sz w:val="19"/>
          <w:szCs w:val="19"/>
          <w:lang w:val="fr-CA" w:eastAsia="en-CA"/>
        </w:rPr>
        <w:t xml:space="preserve"> </w:t>
      </w:r>
      <w:r w:rsidR="00F63F53" w:rsidRPr="00257B5A">
        <w:rPr>
          <w:rFonts w:ascii="Arial" w:eastAsia="Times New Roman" w:hAnsi="Arial" w:cs="Arial"/>
          <w:color w:val="000000"/>
          <w:sz w:val="19"/>
          <w:szCs w:val="19"/>
          <w:lang w:val="fr-CA" w:eastAsia="en-CA"/>
        </w:rPr>
        <w:t xml:space="preserve">Les </w:t>
      </w:r>
      <w:r w:rsidR="00565183" w:rsidRPr="00257B5A">
        <w:rPr>
          <w:rFonts w:ascii="Arial" w:eastAsia="Times New Roman" w:hAnsi="Arial" w:cs="Arial"/>
          <w:color w:val="000000"/>
          <w:sz w:val="19"/>
          <w:szCs w:val="19"/>
          <w:lang w:val="fr-CA" w:eastAsia="en-CA"/>
        </w:rPr>
        <w:t>obligations de sociétés de qualité supérieure</w:t>
      </w:r>
      <w:r w:rsidR="00F63F53" w:rsidRPr="00257B5A">
        <w:rPr>
          <w:rFonts w:ascii="Arial" w:eastAsia="Times New Roman" w:hAnsi="Arial" w:cs="Arial"/>
          <w:color w:val="000000"/>
          <w:sz w:val="19"/>
          <w:szCs w:val="19"/>
          <w:lang w:val="fr-CA" w:eastAsia="en-CA"/>
        </w:rPr>
        <w:t xml:space="preserve"> sont limitées sur le marché obligataire canadien</w:t>
      </w:r>
      <w:r w:rsidR="00565183" w:rsidRPr="00257B5A">
        <w:rPr>
          <w:rFonts w:ascii="Arial" w:eastAsia="Times New Roman" w:hAnsi="Arial" w:cs="Arial"/>
          <w:color w:val="000000"/>
          <w:sz w:val="19"/>
          <w:szCs w:val="19"/>
          <w:lang w:val="fr-CA" w:eastAsia="en-CA"/>
        </w:rPr>
        <w:t xml:space="preserve">, surtout </w:t>
      </w:r>
      <w:r w:rsidR="00F63F53" w:rsidRPr="00257B5A">
        <w:rPr>
          <w:rFonts w:ascii="Arial" w:eastAsia="Times New Roman" w:hAnsi="Arial" w:cs="Arial"/>
          <w:color w:val="000000"/>
          <w:sz w:val="19"/>
          <w:szCs w:val="19"/>
          <w:lang w:val="fr-CA" w:eastAsia="en-CA"/>
        </w:rPr>
        <w:t xml:space="preserve">celles </w:t>
      </w:r>
      <w:r w:rsidR="00565183" w:rsidRPr="00257B5A">
        <w:rPr>
          <w:rFonts w:ascii="Arial" w:eastAsia="Times New Roman" w:hAnsi="Arial" w:cs="Arial"/>
          <w:color w:val="000000"/>
          <w:sz w:val="19"/>
          <w:szCs w:val="19"/>
          <w:lang w:val="fr-CA" w:eastAsia="en-CA"/>
        </w:rPr>
        <w:t>à long</w:t>
      </w:r>
      <w:r w:rsidR="00F63F53" w:rsidRPr="00257B5A">
        <w:rPr>
          <w:rFonts w:ascii="Arial" w:eastAsia="Times New Roman" w:hAnsi="Arial" w:cs="Arial"/>
          <w:color w:val="000000"/>
          <w:sz w:val="19"/>
          <w:szCs w:val="19"/>
          <w:lang w:val="fr-CA" w:eastAsia="en-CA"/>
        </w:rPr>
        <w:t>ue</w:t>
      </w:r>
      <w:r w:rsidR="00565183" w:rsidRPr="00257B5A">
        <w:rPr>
          <w:rFonts w:ascii="Arial" w:eastAsia="Times New Roman" w:hAnsi="Arial" w:cs="Arial"/>
          <w:color w:val="000000"/>
          <w:sz w:val="19"/>
          <w:szCs w:val="19"/>
          <w:lang w:val="fr-CA" w:eastAsia="en-CA"/>
        </w:rPr>
        <w:t xml:space="preserve"> </w:t>
      </w:r>
      <w:r w:rsidR="00F63F53" w:rsidRPr="00257B5A">
        <w:rPr>
          <w:rFonts w:ascii="Arial" w:eastAsia="Times New Roman" w:hAnsi="Arial" w:cs="Arial"/>
          <w:color w:val="000000"/>
          <w:sz w:val="19"/>
          <w:szCs w:val="19"/>
          <w:lang w:val="fr-CA" w:eastAsia="en-CA"/>
        </w:rPr>
        <w:t>échéance</w:t>
      </w:r>
      <w:r w:rsidR="00565183" w:rsidRPr="00257B5A">
        <w:rPr>
          <w:rFonts w:ascii="Arial" w:eastAsia="Times New Roman" w:hAnsi="Arial" w:cs="Arial"/>
          <w:color w:val="000000"/>
          <w:sz w:val="19"/>
          <w:szCs w:val="19"/>
          <w:lang w:val="fr-CA" w:eastAsia="en-CA"/>
        </w:rPr>
        <w:t xml:space="preserve">. </w:t>
      </w:r>
      <w:r w:rsidR="00F63F53" w:rsidRPr="00257B5A">
        <w:rPr>
          <w:rFonts w:ascii="Arial" w:eastAsia="Times New Roman" w:hAnsi="Arial" w:cs="Arial"/>
          <w:color w:val="000000"/>
          <w:sz w:val="19"/>
          <w:szCs w:val="19"/>
          <w:lang w:val="fr-CA" w:eastAsia="en-CA"/>
        </w:rPr>
        <w:t xml:space="preserve">Cela peut donc donner lieu à des </w:t>
      </w:r>
      <w:r w:rsidR="00565183" w:rsidRPr="00257B5A">
        <w:rPr>
          <w:rFonts w:ascii="Arial" w:eastAsia="Times New Roman" w:hAnsi="Arial" w:cs="Arial"/>
          <w:color w:val="000000"/>
          <w:sz w:val="19"/>
          <w:szCs w:val="19"/>
          <w:lang w:val="fr-CA" w:eastAsia="en-CA"/>
        </w:rPr>
        <w:t>taux d</w:t>
      </w:r>
      <w:r w:rsidR="00257B5A" w:rsidRPr="00257B5A">
        <w:rPr>
          <w:rFonts w:ascii="Arial" w:eastAsia="Times New Roman" w:hAnsi="Arial" w:cs="Arial"/>
          <w:color w:val="000000"/>
          <w:sz w:val="19"/>
          <w:szCs w:val="19"/>
          <w:lang w:val="fr-CA" w:eastAsia="en-CA"/>
        </w:rPr>
        <w:t>’</w:t>
      </w:r>
      <w:r w:rsidR="00565183" w:rsidRPr="00257B5A">
        <w:rPr>
          <w:rFonts w:ascii="Arial" w:eastAsia="Times New Roman" w:hAnsi="Arial" w:cs="Arial"/>
          <w:color w:val="000000"/>
          <w:sz w:val="19"/>
          <w:szCs w:val="19"/>
          <w:lang w:val="fr-CA" w:eastAsia="en-CA"/>
        </w:rPr>
        <w:t xml:space="preserve">actualisation légèrement </w:t>
      </w:r>
      <w:r w:rsidR="009E7008" w:rsidRPr="00257B5A">
        <w:rPr>
          <w:rFonts w:ascii="Arial" w:eastAsia="Times New Roman" w:hAnsi="Arial" w:cs="Arial"/>
          <w:color w:val="000000"/>
          <w:sz w:val="19"/>
          <w:szCs w:val="19"/>
          <w:lang w:val="fr-CA" w:eastAsia="en-CA"/>
        </w:rPr>
        <w:t xml:space="preserve">différents </w:t>
      </w:r>
      <w:r w:rsidR="00565183" w:rsidRPr="00257B5A">
        <w:rPr>
          <w:rFonts w:ascii="Arial" w:eastAsia="Times New Roman" w:hAnsi="Arial" w:cs="Arial"/>
          <w:color w:val="000000"/>
          <w:sz w:val="19"/>
          <w:szCs w:val="19"/>
          <w:lang w:val="fr-CA" w:eastAsia="en-CA"/>
        </w:rPr>
        <w:t>selon les différentes approches.</w:t>
      </w:r>
      <w:r w:rsidRPr="00257B5A">
        <w:rPr>
          <w:rFonts w:ascii="Arial" w:eastAsia="Times New Roman" w:hAnsi="Arial" w:cs="Arial"/>
          <w:color w:val="000000"/>
          <w:sz w:val="19"/>
          <w:szCs w:val="19"/>
          <w:lang w:val="fr-CA" w:eastAsia="en-CA"/>
        </w:rPr>
        <w:t xml:space="preserve"> </w:t>
      </w:r>
      <w:bookmarkStart w:id="14" w:name="lt_pId018"/>
      <w:r w:rsidRPr="00257B5A">
        <w:rPr>
          <w:rFonts w:ascii="Arial" w:eastAsia="Times New Roman" w:hAnsi="Arial" w:cs="Arial"/>
          <w:color w:val="000000"/>
          <w:sz w:val="19"/>
          <w:szCs w:val="19"/>
          <w:lang w:val="fr-CA" w:eastAsia="en-CA"/>
        </w:rPr>
        <w:t xml:space="preserve">Les </w:t>
      </w:r>
      <w:r w:rsidR="00AE401F" w:rsidRPr="00257B5A">
        <w:rPr>
          <w:rFonts w:ascii="Arial" w:eastAsia="Times New Roman" w:hAnsi="Arial" w:cs="Arial"/>
          <w:color w:val="000000"/>
          <w:sz w:val="19"/>
          <w:szCs w:val="19"/>
          <w:lang w:val="fr-CA" w:eastAsia="en-CA"/>
        </w:rPr>
        <w:t xml:space="preserve">approches les </w:t>
      </w:r>
      <w:r w:rsidRPr="00257B5A">
        <w:rPr>
          <w:rFonts w:ascii="Arial" w:eastAsia="Times New Roman" w:hAnsi="Arial" w:cs="Arial"/>
          <w:color w:val="000000"/>
          <w:sz w:val="19"/>
          <w:szCs w:val="19"/>
          <w:lang w:val="fr-CA" w:eastAsia="en-CA"/>
        </w:rPr>
        <w:t>plus courantes sont résumées ci</w:t>
      </w:r>
      <w:r w:rsidR="00AE401F" w:rsidRPr="00257B5A">
        <w:rPr>
          <w:rFonts w:ascii="Arial" w:eastAsia="Times New Roman" w:hAnsi="Arial" w:cs="Arial"/>
          <w:color w:val="000000"/>
          <w:sz w:val="19"/>
          <w:szCs w:val="19"/>
          <w:lang w:val="fr-CA" w:eastAsia="en-CA"/>
        </w:rPr>
        <w:noBreakHyphen/>
        <w:t>après </w:t>
      </w:r>
      <w:r w:rsidRPr="00257B5A">
        <w:rPr>
          <w:rFonts w:ascii="Arial" w:eastAsia="Times New Roman" w:hAnsi="Arial" w:cs="Arial"/>
          <w:color w:val="000000"/>
          <w:sz w:val="19"/>
          <w:szCs w:val="19"/>
          <w:lang w:val="fr-CA" w:eastAsia="en-CA"/>
        </w:rPr>
        <w:t>:</w:t>
      </w:r>
      <w:bookmarkEnd w:id="14"/>
    </w:p>
    <w:p w14:paraId="228FB626" w14:textId="23CC3247" w:rsidR="009B6FF9" w:rsidRPr="00257B5A" w:rsidRDefault="000B5F12" w:rsidP="009B6FF9">
      <w:pPr>
        <w:pStyle w:val="ListParagraph"/>
        <w:numPr>
          <w:ilvl w:val="0"/>
          <w:numId w:val="12"/>
        </w:numPr>
        <w:rPr>
          <w:rStyle w:val="Hyperlink"/>
          <w:rFonts w:ascii="Arial" w:eastAsia="Times New Roman" w:hAnsi="Arial" w:cs="Arial"/>
          <w:color w:val="000000"/>
          <w:sz w:val="19"/>
          <w:szCs w:val="19"/>
          <w:u w:val="none"/>
          <w:lang w:val="fr-CA" w:eastAsia="en-CA"/>
        </w:rPr>
      </w:pPr>
      <w:hyperlink r:id="rId8" w:history="1">
        <w:r w:rsidR="00565183" w:rsidRPr="00257B5A">
          <w:rPr>
            <w:rFonts w:ascii="Arial" w:eastAsia="Times New Roman" w:hAnsi="Arial" w:cs="Arial"/>
            <w:color w:val="00556B"/>
            <w:sz w:val="19"/>
            <w:szCs w:val="19"/>
            <w:u w:val="single"/>
            <w:lang w:val="fr-CA" w:eastAsia="en-CA"/>
          </w:rPr>
          <w:t>Courbe de taux d</w:t>
        </w:r>
        <w:r w:rsidR="00257B5A" w:rsidRPr="00257B5A">
          <w:rPr>
            <w:rFonts w:ascii="Arial" w:eastAsia="Times New Roman" w:hAnsi="Arial" w:cs="Arial"/>
            <w:color w:val="00556B"/>
            <w:sz w:val="19"/>
            <w:szCs w:val="19"/>
            <w:u w:val="single"/>
            <w:lang w:val="fr-CA" w:eastAsia="en-CA"/>
          </w:rPr>
          <w:t>’</w:t>
        </w:r>
        <w:r w:rsidR="00565183" w:rsidRPr="00257B5A">
          <w:rPr>
            <w:rFonts w:ascii="Arial" w:eastAsia="Times New Roman" w:hAnsi="Arial" w:cs="Arial"/>
            <w:color w:val="00556B"/>
            <w:sz w:val="19"/>
            <w:szCs w:val="19"/>
            <w:u w:val="single"/>
            <w:lang w:val="fr-CA" w:eastAsia="en-CA"/>
          </w:rPr>
          <w:t>actualisation comptable ICA de Fiera Capital</w:t>
        </w:r>
      </w:hyperlink>
    </w:p>
    <w:p w14:paraId="5A96FEBD" w14:textId="17CC76CC" w:rsidR="009B6FF9" w:rsidRPr="00257B5A" w:rsidRDefault="000304B3" w:rsidP="009B6FF9">
      <w:pPr>
        <w:pStyle w:val="ListParagraph"/>
        <w:numPr>
          <w:ilvl w:val="1"/>
          <w:numId w:val="12"/>
        </w:numPr>
        <w:rPr>
          <w:rStyle w:val="Hyperlink"/>
          <w:rFonts w:ascii="Arial" w:eastAsia="Times New Roman" w:hAnsi="Arial" w:cs="Arial"/>
          <w:color w:val="auto"/>
          <w:sz w:val="19"/>
          <w:szCs w:val="19"/>
          <w:u w:val="none"/>
          <w:lang w:val="fr-CA" w:eastAsia="en-CA"/>
        </w:rPr>
      </w:pPr>
      <w:bookmarkStart w:id="15" w:name="lt_pId020"/>
      <w:r w:rsidRPr="00257B5A">
        <w:rPr>
          <w:rStyle w:val="Hyperlink"/>
          <w:rFonts w:ascii="Arial" w:eastAsia="Times New Roman" w:hAnsi="Arial" w:cs="Arial"/>
          <w:color w:val="auto"/>
          <w:sz w:val="19"/>
          <w:szCs w:val="19"/>
          <w:u w:val="none"/>
          <w:lang w:val="fr-CA"/>
        </w:rPr>
        <w:t>Afin de tenir compte de la rareté des obligations de sociétés de qualité supérieure à longue échéance, la courbe de taux de Fiera Capital intègre des obligations provinciales de qualité supérieure à longue échéance et est ajustée au moyen d</w:t>
      </w:r>
      <w:r w:rsidR="00257B5A" w:rsidRPr="00257B5A">
        <w:rPr>
          <w:rStyle w:val="Hyperlink"/>
          <w:rFonts w:ascii="Arial" w:eastAsia="Times New Roman" w:hAnsi="Arial" w:cs="Arial"/>
          <w:color w:val="auto"/>
          <w:sz w:val="19"/>
          <w:szCs w:val="19"/>
          <w:u w:val="none"/>
          <w:lang w:val="fr-CA"/>
        </w:rPr>
        <w:t>’</w:t>
      </w:r>
      <w:r w:rsidRPr="00257B5A">
        <w:rPr>
          <w:rStyle w:val="Hyperlink"/>
          <w:rFonts w:ascii="Arial" w:eastAsia="Times New Roman" w:hAnsi="Arial" w:cs="Arial"/>
          <w:color w:val="auto"/>
          <w:sz w:val="19"/>
          <w:szCs w:val="19"/>
          <w:u w:val="none"/>
          <w:lang w:val="fr-CA"/>
        </w:rPr>
        <w:t>un écart approprié.</w:t>
      </w:r>
      <w:bookmarkEnd w:id="15"/>
    </w:p>
    <w:p w14:paraId="357AFF00" w14:textId="5D4A0356" w:rsidR="009B6FF9" w:rsidRPr="00257B5A" w:rsidRDefault="000304B3" w:rsidP="009B6FF9">
      <w:pPr>
        <w:pStyle w:val="ListParagraph"/>
        <w:numPr>
          <w:ilvl w:val="0"/>
          <w:numId w:val="12"/>
        </w:numPr>
        <w:rPr>
          <w:rFonts w:ascii="Arial" w:eastAsia="Times New Roman" w:hAnsi="Arial" w:cs="Arial"/>
          <w:color w:val="000000"/>
          <w:sz w:val="19"/>
          <w:szCs w:val="19"/>
          <w:lang w:val="fr-CA" w:eastAsia="en-CA"/>
        </w:rPr>
      </w:pPr>
      <w:bookmarkStart w:id="16" w:name="lt_pId021"/>
      <w:r w:rsidRPr="00257B5A">
        <w:rPr>
          <w:rFonts w:ascii="Arial" w:eastAsia="Times New Roman" w:hAnsi="Arial" w:cs="Arial"/>
          <w:color w:val="000000"/>
          <w:sz w:val="19"/>
          <w:szCs w:val="19"/>
          <w:lang w:val="fr-CA" w:eastAsia="en-CA"/>
        </w:rPr>
        <w:t>Autres courbes</w:t>
      </w:r>
      <w:r w:rsidR="00AE401F" w:rsidRPr="00257B5A">
        <w:rPr>
          <w:rFonts w:ascii="Arial" w:eastAsia="Times New Roman" w:hAnsi="Arial" w:cs="Arial"/>
          <w:color w:val="000000"/>
          <w:sz w:val="19"/>
          <w:szCs w:val="19"/>
          <w:lang w:val="fr-CA" w:eastAsia="en-CA"/>
        </w:rPr>
        <w:t xml:space="preserve"> (de cabinets d</w:t>
      </w:r>
      <w:r w:rsidR="00257B5A" w:rsidRPr="00257B5A">
        <w:rPr>
          <w:rFonts w:ascii="Arial" w:eastAsia="Times New Roman" w:hAnsi="Arial" w:cs="Arial"/>
          <w:color w:val="000000"/>
          <w:sz w:val="19"/>
          <w:szCs w:val="19"/>
          <w:lang w:val="fr-CA" w:eastAsia="en-CA"/>
        </w:rPr>
        <w:t>’</w:t>
      </w:r>
      <w:r w:rsidR="00AE401F" w:rsidRPr="00257B5A">
        <w:rPr>
          <w:rFonts w:ascii="Arial" w:eastAsia="Times New Roman" w:hAnsi="Arial" w:cs="Arial"/>
          <w:color w:val="000000"/>
          <w:sz w:val="19"/>
          <w:szCs w:val="19"/>
          <w:lang w:val="fr-CA" w:eastAsia="en-CA"/>
        </w:rPr>
        <w:t>actuaires)</w:t>
      </w:r>
      <w:r w:rsidRPr="00257B5A">
        <w:rPr>
          <w:rFonts w:ascii="Arial" w:eastAsia="Times New Roman" w:hAnsi="Arial" w:cs="Arial"/>
          <w:color w:val="000000"/>
          <w:sz w:val="19"/>
          <w:szCs w:val="19"/>
          <w:lang w:val="fr-CA" w:eastAsia="en-CA"/>
        </w:rPr>
        <w:t xml:space="preserve"> — La courbe ICA n</w:t>
      </w:r>
      <w:r w:rsidR="00257B5A" w:rsidRPr="00257B5A">
        <w:rPr>
          <w:rFonts w:ascii="Arial" w:eastAsia="Times New Roman" w:hAnsi="Arial" w:cs="Arial"/>
          <w:color w:val="000000"/>
          <w:sz w:val="19"/>
          <w:szCs w:val="19"/>
          <w:lang w:val="fr-CA" w:eastAsia="en-CA"/>
        </w:rPr>
        <w:t>’</w:t>
      </w:r>
      <w:r w:rsidRPr="00257B5A">
        <w:rPr>
          <w:rFonts w:ascii="Arial" w:eastAsia="Times New Roman" w:hAnsi="Arial" w:cs="Arial"/>
          <w:color w:val="000000"/>
          <w:sz w:val="19"/>
          <w:szCs w:val="19"/>
          <w:lang w:val="fr-CA" w:eastAsia="en-CA"/>
        </w:rPr>
        <w:t>est pas la seule courbe acceptable.</w:t>
      </w:r>
      <w:r w:rsidR="00AE401F" w:rsidRPr="00257B5A">
        <w:rPr>
          <w:rFonts w:ascii="Arial" w:eastAsia="Times New Roman" w:hAnsi="Arial" w:cs="Arial"/>
          <w:color w:val="000000"/>
          <w:sz w:val="19"/>
          <w:szCs w:val="19"/>
          <w:lang w:val="fr-CA" w:eastAsia="en-CA"/>
        </w:rPr>
        <w:t xml:space="preserve"> Il existe</w:t>
      </w:r>
      <w:r w:rsidRPr="00257B5A">
        <w:rPr>
          <w:rFonts w:ascii="Arial" w:eastAsia="Times New Roman" w:hAnsi="Arial" w:cs="Arial"/>
          <w:color w:val="000000"/>
          <w:sz w:val="19"/>
          <w:szCs w:val="19"/>
          <w:lang w:val="fr-CA" w:eastAsia="en-CA"/>
        </w:rPr>
        <w:t xml:space="preserve"> </w:t>
      </w:r>
      <w:r w:rsidR="00AE401F" w:rsidRPr="00257B5A">
        <w:rPr>
          <w:rFonts w:ascii="Arial" w:eastAsia="Times New Roman" w:hAnsi="Arial" w:cs="Arial"/>
          <w:color w:val="000000"/>
          <w:sz w:val="19"/>
          <w:szCs w:val="19"/>
          <w:lang w:val="fr-CA" w:eastAsia="en-CA"/>
        </w:rPr>
        <w:t>d</w:t>
      </w:r>
      <w:r w:rsidR="00257B5A" w:rsidRPr="00257B5A">
        <w:rPr>
          <w:rFonts w:ascii="Arial" w:eastAsia="Times New Roman" w:hAnsi="Arial" w:cs="Arial"/>
          <w:color w:val="000000"/>
          <w:sz w:val="19"/>
          <w:szCs w:val="19"/>
          <w:lang w:val="fr-CA" w:eastAsia="en-CA"/>
        </w:rPr>
        <w:t>’</w:t>
      </w:r>
      <w:r w:rsidRPr="00257B5A">
        <w:rPr>
          <w:rFonts w:ascii="Arial" w:eastAsia="Times New Roman" w:hAnsi="Arial" w:cs="Arial"/>
          <w:color w:val="000000"/>
          <w:sz w:val="19"/>
          <w:szCs w:val="19"/>
          <w:lang w:val="fr-CA" w:eastAsia="en-CA"/>
        </w:rPr>
        <w:t xml:space="preserve">autres courbes de taux </w:t>
      </w:r>
      <w:r w:rsidR="00AE401F" w:rsidRPr="00257B5A">
        <w:rPr>
          <w:rFonts w:ascii="Arial" w:eastAsia="Times New Roman" w:hAnsi="Arial" w:cs="Arial"/>
          <w:color w:val="000000"/>
          <w:sz w:val="19"/>
          <w:szCs w:val="19"/>
          <w:lang w:val="fr-CA" w:eastAsia="en-CA"/>
        </w:rPr>
        <w:t>élaborées</w:t>
      </w:r>
      <w:r w:rsidRPr="00257B5A">
        <w:rPr>
          <w:rFonts w:ascii="Arial" w:eastAsia="Times New Roman" w:hAnsi="Arial" w:cs="Arial"/>
          <w:color w:val="000000"/>
          <w:sz w:val="19"/>
          <w:szCs w:val="19"/>
          <w:lang w:val="fr-CA" w:eastAsia="en-CA"/>
        </w:rPr>
        <w:t xml:space="preserve"> à l</w:t>
      </w:r>
      <w:r w:rsidR="00257B5A" w:rsidRPr="00257B5A">
        <w:rPr>
          <w:rFonts w:ascii="Arial" w:eastAsia="Times New Roman" w:hAnsi="Arial" w:cs="Arial"/>
          <w:color w:val="000000"/>
          <w:sz w:val="19"/>
          <w:szCs w:val="19"/>
          <w:lang w:val="fr-CA" w:eastAsia="en-CA"/>
        </w:rPr>
        <w:t>’</w:t>
      </w:r>
      <w:r w:rsidRPr="00257B5A">
        <w:rPr>
          <w:rFonts w:ascii="Arial" w:eastAsia="Times New Roman" w:hAnsi="Arial" w:cs="Arial"/>
          <w:color w:val="000000"/>
          <w:sz w:val="19"/>
          <w:szCs w:val="19"/>
          <w:lang w:val="fr-CA" w:eastAsia="en-CA"/>
        </w:rPr>
        <w:t>aide d</w:t>
      </w:r>
      <w:r w:rsidR="00257B5A" w:rsidRPr="00257B5A">
        <w:rPr>
          <w:rFonts w:ascii="Arial" w:eastAsia="Times New Roman" w:hAnsi="Arial" w:cs="Arial"/>
          <w:color w:val="000000"/>
          <w:sz w:val="19"/>
          <w:szCs w:val="19"/>
          <w:lang w:val="fr-CA" w:eastAsia="en-CA"/>
        </w:rPr>
        <w:t>’</w:t>
      </w:r>
      <w:r w:rsidRPr="00257B5A">
        <w:rPr>
          <w:rFonts w:ascii="Arial" w:eastAsia="Times New Roman" w:hAnsi="Arial" w:cs="Arial"/>
          <w:color w:val="000000"/>
          <w:sz w:val="19"/>
          <w:szCs w:val="19"/>
          <w:lang w:val="fr-CA" w:eastAsia="en-CA"/>
        </w:rPr>
        <w:t xml:space="preserve">approches similaires, par exemple, le modèle de Mercer, le modèle RATE:Link élaboré par Willis Towers Watson, ou les modèles élaborés par </w:t>
      </w:r>
      <w:r w:rsidR="00AE401F" w:rsidRPr="00257B5A">
        <w:rPr>
          <w:rFonts w:ascii="Arial" w:eastAsia="Times New Roman" w:hAnsi="Arial" w:cs="Arial"/>
          <w:color w:val="000000"/>
          <w:sz w:val="19"/>
          <w:szCs w:val="19"/>
          <w:lang w:val="fr-CA" w:eastAsia="en-CA"/>
        </w:rPr>
        <w:t xml:space="preserve">Telus Health </w:t>
      </w:r>
      <w:r w:rsidRPr="00257B5A">
        <w:rPr>
          <w:rFonts w:ascii="Arial" w:eastAsia="Times New Roman" w:hAnsi="Arial" w:cs="Arial"/>
          <w:color w:val="000000"/>
          <w:sz w:val="19"/>
          <w:szCs w:val="19"/>
          <w:lang w:val="fr-CA" w:eastAsia="en-CA"/>
        </w:rPr>
        <w:t>et Aon Hewitt.</w:t>
      </w:r>
      <w:bookmarkEnd w:id="16"/>
    </w:p>
    <w:p w14:paraId="0B9E256D" w14:textId="661E578C" w:rsidR="00B042F6" w:rsidRPr="00257B5A" w:rsidRDefault="000304B3" w:rsidP="00B042F6">
      <w:pPr>
        <w:pStyle w:val="NormalWeb"/>
        <w:spacing w:before="150" w:beforeAutospacing="0" w:after="150" w:afterAutospacing="0"/>
        <w:ind w:right="150"/>
        <w:rPr>
          <w:rFonts w:ascii="Arial" w:hAnsi="Arial" w:cs="Arial"/>
          <w:color w:val="000000"/>
          <w:u w:val="single"/>
          <w:lang w:val="fr-CA"/>
        </w:rPr>
      </w:pPr>
      <w:bookmarkStart w:id="17" w:name="lt_pId022"/>
      <w:r w:rsidRPr="00257B5A">
        <w:rPr>
          <w:rFonts w:ascii="Arial" w:hAnsi="Arial" w:cs="Arial"/>
          <w:color w:val="000000"/>
          <w:u w:val="single"/>
          <w:lang w:val="fr-CA"/>
        </w:rPr>
        <w:t>Fourchettes raisonnables de taux d</w:t>
      </w:r>
      <w:r w:rsidR="00257B5A" w:rsidRPr="00257B5A">
        <w:rPr>
          <w:rFonts w:ascii="Arial" w:hAnsi="Arial" w:cs="Arial"/>
          <w:color w:val="000000"/>
          <w:u w:val="single"/>
          <w:lang w:val="fr-CA"/>
        </w:rPr>
        <w:t>’</w:t>
      </w:r>
      <w:r w:rsidRPr="00257B5A">
        <w:rPr>
          <w:rFonts w:ascii="Arial" w:hAnsi="Arial" w:cs="Arial"/>
          <w:color w:val="000000"/>
          <w:u w:val="single"/>
          <w:lang w:val="fr-CA"/>
        </w:rPr>
        <w:t>actualisation</w:t>
      </w:r>
      <w:bookmarkEnd w:id="17"/>
    </w:p>
    <w:p w14:paraId="4A300821" w14:textId="27234911" w:rsidR="00E92CB8" w:rsidRPr="00257B5A" w:rsidRDefault="000304B3" w:rsidP="00B042F6">
      <w:pPr>
        <w:pStyle w:val="NormalWeb"/>
        <w:spacing w:before="150" w:beforeAutospacing="0" w:after="150" w:afterAutospacing="0"/>
        <w:ind w:right="150"/>
        <w:rPr>
          <w:rFonts w:ascii="Arial" w:hAnsi="Arial" w:cs="Arial"/>
          <w:color w:val="000000"/>
          <w:sz w:val="19"/>
          <w:szCs w:val="19"/>
          <w:shd w:val="clear" w:color="auto" w:fill="FFFFFF"/>
          <w:lang w:val="fr-CA"/>
        </w:rPr>
      </w:pPr>
      <w:bookmarkStart w:id="18" w:name="lt_pId023"/>
      <w:r w:rsidRPr="00257B5A">
        <w:rPr>
          <w:rFonts w:ascii="Arial" w:hAnsi="Arial" w:cs="Arial"/>
          <w:color w:val="000000"/>
          <w:sz w:val="19"/>
          <w:szCs w:val="19"/>
          <w:shd w:val="clear" w:color="auto" w:fill="FFFFFF"/>
          <w:lang w:val="fr-CA"/>
        </w:rPr>
        <w:lastRenderedPageBreak/>
        <w:t>Le tableau qui suit présente une fourchette raisonnable pour la sélection du taux d</w:t>
      </w:r>
      <w:r w:rsidR="00257B5A" w:rsidRPr="00257B5A">
        <w:rPr>
          <w:rFonts w:ascii="Arial" w:hAnsi="Arial" w:cs="Arial"/>
          <w:color w:val="000000"/>
          <w:sz w:val="19"/>
          <w:szCs w:val="19"/>
          <w:shd w:val="clear" w:color="auto" w:fill="FFFFFF"/>
          <w:lang w:val="fr-CA"/>
        </w:rPr>
        <w:t>’</w:t>
      </w:r>
      <w:r w:rsidRPr="00257B5A">
        <w:rPr>
          <w:rFonts w:ascii="Arial" w:hAnsi="Arial" w:cs="Arial"/>
          <w:color w:val="000000"/>
          <w:sz w:val="19"/>
          <w:szCs w:val="19"/>
          <w:shd w:val="clear" w:color="auto" w:fill="FFFFFF"/>
          <w:lang w:val="fr-CA"/>
        </w:rPr>
        <w:t xml:space="preserve">actualisation comptable à appliquer à diverses dates pour </w:t>
      </w:r>
      <w:r w:rsidR="00E94509">
        <w:rPr>
          <w:rFonts w:ascii="Arial" w:hAnsi="Arial" w:cs="Arial"/>
          <w:color w:val="000000"/>
          <w:sz w:val="19"/>
          <w:szCs w:val="19"/>
          <w:shd w:val="clear" w:color="auto" w:fill="FFFFFF"/>
          <w:lang w:val="fr-CA"/>
        </w:rPr>
        <w:t>des</w:t>
      </w:r>
      <w:r w:rsidRPr="00257B5A">
        <w:rPr>
          <w:rFonts w:ascii="Arial" w:hAnsi="Arial" w:cs="Arial"/>
          <w:color w:val="000000"/>
          <w:sz w:val="19"/>
          <w:szCs w:val="19"/>
          <w:shd w:val="clear" w:color="auto" w:fill="FFFFFF"/>
          <w:lang w:val="fr-CA"/>
        </w:rPr>
        <w:t xml:space="preserve"> régime</w:t>
      </w:r>
      <w:r w:rsidR="00E94509">
        <w:rPr>
          <w:rFonts w:ascii="Arial" w:hAnsi="Arial" w:cs="Arial"/>
          <w:color w:val="000000"/>
          <w:sz w:val="19"/>
          <w:szCs w:val="19"/>
          <w:shd w:val="clear" w:color="auto" w:fill="FFFFFF"/>
          <w:lang w:val="fr-CA"/>
        </w:rPr>
        <w:t>s</w:t>
      </w:r>
      <w:r w:rsidRPr="00257B5A">
        <w:rPr>
          <w:rFonts w:ascii="Arial" w:hAnsi="Arial" w:cs="Arial"/>
          <w:color w:val="000000"/>
          <w:sz w:val="19"/>
          <w:szCs w:val="19"/>
          <w:shd w:val="clear" w:color="auto" w:fill="FFFFFF"/>
          <w:lang w:val="fr-CA"/>
        </w:rPr>
        <w:t xml:space="preserve"> de retraite</w:t>
      </w:r>
      <w:r w:rsidR="00017BFC" w:rsidRPr="00257B5A">
        <w:rPr>
          <w:rFonts w:ascii="Arial" w:hAnsi="Arial" w:cs="Arial"/>
          <w:color w:val="000000"/>
          <w:sz w:val="19"/>
          <w:szCs w:val="19"/>
          <w:shd w:val="clear" w:color="auto" w:fill="FFFFFF"/>
          <w:lang w:val="fr-CA"/>
        </w:rPr>
        <w:t xml:space="preserve"> </w:t>
      </w:r>
      <w:r w:rsidR="00492064" w:rsidRPr="00257B5A">
        <w:rPr>
          <w:rFonts w:ascii="Arial" w:hAnsi="Arial" w:cs="Arial"/>
          <w:color w:val="000000"/>
          <w:sz w:val="19"/>
          <w:szCs w:val="19"/>
          <w:shd w:val="clear" w:color="auto" w:fill="FFFFFF"/>
          <w:lang w:val="fr-CA"/>
        </w:rPr>
        <w:t>ou</w:t>
      </w:r>
      <w:r w:rsidR="00017BFC" w:rsidRPr="00257B5A">
        <w:rPr>
          <w:rFonts w:ascii="Arial" w:hAnsi="Arial" w:cs="Arial"/>
          <w:color w:val="000000"/>
          <w:sz w:val="19"/>
          <w:szCs w:val="19"/>
          <w:shd w:val="clear" w:color="auto" w:fill="FFFFFF"/>
          <w:lang w:val="fr-CA"/>
        </w:rPr>
        <w:t xml:space="preserve"> d</w:t>
      </w:r>
      <w:r w:rsidR="00257B5A" w:rsidRPr="00257B5A">
        <w:rPr>
          <w:rFonts w:ascii="Arial" w:hAnsi="Arial" w:cs="Arial"/>
          <w:color w:val="000000"/>
          <w:sz w:val="19"/>
          <w:szCs w:val="19"/>
          <w:shd w:val="clear" w:color="auto" w:fill="FFFFFF"/>
          <w:lang w:val="fr-CA"/>
        </w:rPr>
        <w:t>’</w:t>
      </w:r>
      <w:r w:rsidR="00017BFC" w:rsidRPr="00257B5A">
        <w:rPr>
          <w:rFonts w:ascii="Arial" w:hAnsi="Arial" w:cs="Arial"/>
          <w:color w:val="000000"/>
          <w:sz w:val="19"/>
          <w:szCs w:val="19"/>
          <w:shd w:val="clear" w:color="auto" w:fill="FFFFFF"/>
          <w:lang w:val="fr-CA"/>
        </w:rPr>
        <w:t>avantages sociaux</w:t>
      </w:r>
      <w:r w:rsidR="00450726" w:rsidRPr="00257B5A">
        <w:rPr>
          <w:rFonts w:ascii="Arial" w:hAnsi="Arial" w:cs="Arial"/>
          <w:color w:val="000000"/>
          <w:sz w:val="19"/>
          <w:szCs w:val="19"/>
          <w:shd w:val="clear" w:color="auto" w:fill="FFFFFF"/>
          <w:lang w:val="fr-CA"/>
        </w:rPr>
        <w:t xml:space="preserve"> </w:t>
      </w:r>
      <w:r w:rsidR="00492064" w:rsidRPr="00257B5A">
        <w:rPr>
          <w:rFonts w:ascii="Arial" w:hAnsi="Arial" w:cs="Arial"/>
          <w:color w:val="000000"/>
          <w:sz w:val="19"/>
          <w:szCs w:val="19"/>
          <w:shd w:val="clear" w:color="auto" w:fill="FFFFFF"/>
          <w:lang w:val="fr-CA"/>
        </w:rPr>
        <w:t>typ</w:t>
      </w:r>
      <w:r w:rsidR="00E94509">
        <w:rPr>
          <w:rFonts w:ascii="Arial" w:hAnsi="Arial" w:cs="Arial"/>
          <w:color w:val="000000"/>
          <w:sz w:val="19"/>
          <w:szCs w:val="19"/>
          <w:shd w:val="clear" w:color="auto" w:fill="FFFFFF"/>
          <w:lang w:val="fr-CA"/>
        </w:rPr>
        <w:t>iqu</w:t>
      </w:r>
      <w:r w:rsidR="00492064" w:rsidRPr="00257B5A">
        <w:rPr>
          <w:rFonts w:ascii="Arial" w:hAnsi="Arial" w:cs="Arial"/>
          <w:color w:val="000000"/>
          <w:sz w:val="19"/>
          <w:szCs w:val="19"/>
          <w:shd w:val="clear" w:color="auto" w:fill="FFFFFF"/>
          <w:lang w:val="fr-CA"/>
        </w:rPr>
        <w:t>e</w:t>
      </w:r>
      <w:r w:rsidR="00E94509">
        <w:rPr>
          <w:rFonts w:ascii="Arial" w:hAnsi="Arial" w:cs="Arial"/>
          <w:color w:val="000000"/>
          <w:sz w:val="19"/>
          <w:szCs w:val="19"/>
          <w:shd w:val="clear" w:color="auto" w:fill="FFFFFF"/>
          <w:lang w:val="fr-CA"/>
        </w:rPr>
        <w:t>s</w:t>
      </w:r>
      <w:r w:rsidRPr="00257B5A">
        <w:rPr>
          <w:rFonts w:ascii="Arial" w:hAnsi="Arial" w:cs="Arial"/>
          <w:color w:val="000000"/>
          <w:sz w:val="19"/>
          <w:szCs w:val="19"/>
          <w:shd w:val="clear" w:color="auto" w:fill="FFFFFF"/>
          <w:lang w:val="fr-CA"/>
        </w:rPr>
        <w:t>, lorsqu</w:t>
      </w:r>
      <w:r w:rsidR="00257B5A" w:rsidRPr="00257B5A">
        <w:rPr>
          <w:rFonts w:ascii="Arial" w:hAnsi="Arial" w:cs="Arial"/>
          <w:color w:val="000000"/>
          <w:sz w:val="19"/>
          <w:szCs w:val="19"/>
          <w:shd w:val="clear" w:color="auto" w:fill="FFFFFF"/>
          <w:lang w:val="fr-CA"/>
        </w:rPr>
        <w:t>’</w:t>
      </w:r>
      <w:r w:rsidRPr="00257B5A">
        <w:rPr>
          <w:rFonts w:ascii="Arial" w:hAnsi="Arial" w:cs="Arial"/>
          <w:color w:val="000000"/>
          <w:sz w:val="19"/>
          <w:szCs w:val="19"/>
          <w:shd w:val="clear" w:color="auto" w:fill="FFFFFF"/>
          <w:lang w:val="fr-CA"/>
        </w:rPr>
        <w:t>une entité détermine ses taux d</w:t>
      </w:r>
      <w:r w:rsidR="00257B5A" w:rsidRPr="00257B5A">
        <w:rPr>
          <w:rFonts w:ascii="Arial" w:hAnsi="Arial" w:cs="Arial"/>
          <w:color w:val="000000"/>
          <w:sz w:val="19"/>
          <w:szCs w:val="19"/>
          <w:shd w:val="clear" w:color="auto" w:fill="FFFFFF"/>
          <w:lang w:val="fr-CA"/>
        </w:rPr>
        <w:t>’</w:t>
      </w:r>
      <w:r w:rsidRPr="00257B5A">
        <w:rPr>
          <w:rFonts w:ascii="Arial" w:hAnsi="Arial" w:cs="Arial"/>
          <w:color w:val="000000"/>
          <w:sz w:val="19"/>
          <w:szCs w:val="19"/>
          <w:shd w:val="clear" w:color="auto" w:fill="FFFFFF"/>
          <w:lang w:val="fr-CA"/>
        </w:rPr>
        <w:t>actualisation comptables selon la courbe de Fiera Capital.</w:t>
      </w:r>
      <w:bookmarkEnd w:id="18"/>
    </w:p>
    <w:p w14:paraId="5A28C93D" w14:textId="77777777" w:rsidR="0092439A" w:rsidRPr="00257B5A" w:rsidRDefault="0092439A" w:rsidP="00B042F6">
      <w:pPr>
        <w:pStyle w:val="NormalWeb"/>
        <w:spacing w:before="150" w:beforeAutospacing="0" w:after="150" w:afterAutospacing="0"/>
        <w:ind w:right="150"/>
        <w:rPr>
          <w:rFonts w:ascii="Arial" w:hAnsi="Arial" w:cs="Arial"/>
          <w:color w:val="000000"/>
          <w:sz w:val="19"/>
          <w:szCs w:val="19"/>
          <w:shd w:val="clear" w:color="auto" w:fill="FFFFFF"/>
          <w:lang w:val="fr-CA"/>
        </w:rPr>
      </w:pPr>
    </w:p>
    <w:tbl>
      <w:tblPr>
        <w:tblW w:w="0" w:type="auto"/>
        <w:tblInd w:w="15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620"/>
        <w:gridCol w:w="1766"/>
        <w:gridCol w:w="1847"/>
        <w:gridCol w:w="1839"/>
        <w:gridCol w:w="2122"/>
      </w:tblGrid>
      <w:tr w:rsidR="009714CB" w:rsidRPr="00257B5A" w14:paraId="5AC7230A" w14:textId="15FDB4F9" w:rsidTr="007B5E2F">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20319588" w14:textId="53147BBA"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19" w:name="lt_pId024"/>
            <w:r w:rsidRPr="00257B5A">
              <w:rPr>
                <w:rFonts w:ascii="Arial" w:eastAsia="Times New Roman" w:hAnsi="Arial" w:cs="Arial"/>
                <w:b/>
                <w:bCs/>
                <w:color w:val="000000"/>
                <w:sz w:val="19"/>
                <w:szCs w:val="19"/>
                <w:lang w:val="fr-CA" w:eastAsia="en-CA"/>
              </w:rPr>
              <w:t>(</w:t>
            </w:r>
            <w:r w:rsidR="000F3693" w:rsidRPr="00257B5A">
              <w:rPr>
                <w:rFonts w:ascii="Arial" w:eastAsia="Times New Roman" w:hAnsi="Arial" w:cs="Arial"/>
                <w:b/>
                <w:bCs/>
                <w:color w:val="000000"/>
                <w:sz w:val="19"/>
                <w:szCs w:val="19"/>
                <w:lang w:val="fr-CA" w:eastAsia="en-CA"/>
              </w:rPr>
              <w:t>p. ex.</w:t>
            </w:r>
            <w:r w:rsidRPr="00257B5A">
              <w:rPr>
                <w:rFonts w:ascii="Arial" w:eastAsia="Times New Roman" w:hAnsi="Arial" w:cs="Arial"/>
                <w:b/>
                <w:bCs/>
                <w:color w:val="000000"/>
                <w:sz w:val="19"/>
                <w:szCs w:val="19"/>
                <w:lang w:val="fr-CA" w:eastAsia="en-CA"/>
              </w:rPr>
              <w:t xml:space="preserve"> Fiera</w:t>
            </w:r>
            <w:r w:rsidR="00565183" w:rsidRPr="00257B5A">
              <w:rPr>
                <w:rFonts w:ascii="Arial" w:eastAsia="Times New Roman" w:hAnsi="Arial" w:cs="Arial"/>
                <w:b/>
                <w:bCs/>
                <w:color w:val="000000"/>
                <w:sz w:val="19"/>
                <w:szCs w:val="19"/>
                <w:lang w:val="fr-CA" w:eastAsia="en-CA"/>
              </w:rPr>
              <w:t> </w:t>
            </w:r>
            <w:r w:rsidRPr="00257B5A">
              <w:rPr>
                <w:rFonts w:ascii="Arial" w:eastAsia="Times New Roman" w:hAnsi="Arial" w:cs="Arial"/>
                <w:b/>
                <w:bCs/>
                <w:color w:val="000000"/>
                <w:sz w:val="19"/>
                <w:szCs w:val="19"/>
                <w:lang w:val="fr-CA" w:eastAsia="en-CA"/>
              </w:rPr>
              <w:t>Capital)</w:t>
            </w:r>
            <w:bookmarkEnd w:id="19"/>
          </w:p>
        </w:tc>
        <w:tc>
          <w:tcPr>
            <w:tcW w:w="3613"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3F26ABBD" w14:textId="722EBACE" w:rsidR="0092439A" w:rsidRPr="00257B5A" w:rsidRDefault="000304B3" w:rsidP="0092439A">
            <w:pPr>
              <w:spacing w:after="150" w:line="240" w:lineRule="auto"/>
              <w:jc w:val="center"/>
              <w:rPr>
                <w:rFonts w:ascii="Arial" w:eastAsia="Times New Roman" w:hAnsi="Arial" w:cs="Arial"/>
                <w:b/>
                <w:bCs/>
                <w:color w:val="000000"/>
                <w:sz w:val="19"/>
                <w:szCs w:val="19"/>
                <w:lang w:val="fr-CA" w:eastAsia="en-CA"/>
              </w:rPr>
            </w:pPr>
            <w:bookmarkStart w:id="20" w:name="lt_pId025"/>
            <w:r w:rsidRPr="00257B5A">
              <w:rPr>
                <w:rFonts w:ascii="Arial" w:eastAsia="Times New Roman" w:hAnsi="Arial" w:cs="Arial"/>
                <w:b/>
                <w:bCs/>
                <w:color w:val="000000"/>
                <w:sz w:val="19"/>
                <w:szCs w:val="19"/>
                <w:lang w:val="fr-CA" w:eastAsia="en-CA"/>
              </w:rPr>
              <w:t>2022</w:t>
            </w:r>
            <w:bookmarkEnd w:id="20"/>
          </w:p>
        </w:tc>
        <w:tc>
          <w:tcPr>
            <w:tcW w:w="3961"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41147592" w14:textId="3628E511" w:rsidR="0092439A" w:rsidRPr="00257B5A" w:rsidRDefault="000304B3" w:rsidP="0092439A">
            <w:pPr>
              <w:spacing w:after="150" w:line="240" w:lineRule="auto"/>
              <w:jc w:val="center"/>
              <w:rPr>
                <w:rFonts w:ascii="Arial" w:eastAsia="Times New Roman" w:hAnsi="Arial" w:cs="Arial"/>
                <w:b/>
                <w:bCs/>
                <w:color w:val="000000"/>
                <w:sz w:val="19"/>
                <w:szCs w:val="19"/>
                <w:lang w:val="fr-CA" w:eastAsia="en-CA"/>
              </w:rPr>
            </w:pPr>
            <w:bookmarkStart w:id="21" w:name="lt_pId026"/>
            <w:r w:rsidRPr="00257B5A">
              <w:rPr>
                <w:rFonts w:ascii="Arial" w:eastAsia="Times New Roman" w:hAnsi="Arial" w:cs="Arial"/>
                <w:b/>
                <w:bCs/>
                <w:color w:val="000000"/>
                <w:sz w:val="19"/>
                <w:szCs w:val="19"/>
                <w:lang w:val="fr-CA" w:eastAsia="en-CA"/>
              </w:rPr>
              <w:t>2023</w:t>
            </w:r>
            <w:bookmarkEnd w:id="21"/>
          </w:p>
        </w:tc>
      </w:tr>
      <w:tr w:rsidR="00565183" w:rsidRPr="00257B5A" w14:paraId="7DC5B345" w14:textId="48EF35F5"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2498271A" w14:textId="77777777" w:rsidR="00565183" w:rsidRPr="00257B5A" w:rsidRDefault="00565183" w:rsidP="00565183">
            <w:pPr>
              <w:spacing w:after="150" w:line="240" w:lineRule="auto"/>
              <w:jc w:val="center"/>
              <w:rPr>
                <w:rFonts w:ascii="Arial" w:eastAsia="Times New Roman" w:hAnsi="Arial" w:cs="Arial"/>
                <w:color w:val="000000"/>
                <w:sz w:val="19"/>
                <w:szCs w:val="19"/>
                <w:lang w:val="fr-CA" w:eastAsia="en-CA"/>
              </w:rPr>
            </w:pPr>
            <w:bookmarkStart w:id="22" w:name="lt_pId027"/>
            <w:r w:rsidRPr="00257B5A">
              <w:rPr>
                <w:rFonts w:ascii="Arial" w:eastAsia="Times New Roman" w:hAnsi="Arial" w:cs="Arial"/>
                <w:color w:val="000000"/>
                <w:sz w:val="19"/>
                <w:szCs w:val="19"/>
                <w:lang w:val="fr-CA" w:eastAsia="en-CA"/>
              </w:rPr>
              <w:t>Date</w:t>
            </w:r>
            <w:bookmarkEnd w:id="22"/>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7C20DC92" w14:textId="5F8DAE7A" w:rsidR="00565183" w:rsidRPr="00257B5A" w:rsidRDefault="00565183" w:rsidP="00565183">
            <w:pPr>
              <w:spacing w:after="150" w:line="240" w:lineRule="auto"/>
              <w:jc w:val="center"/>
              <w:rPr>
                <w:rFonts w:ascii="Arial" w:eastAsia="Times New Roman" w:hAnsi="Arial" w:cs="Arial"/>
                <w:color w:val="000000"/>
                <w:sz w:val="19"/>
                <w:szCs w:val="19"/>
                <w:lang w:val="fr-CA" w:eastAsia="en-CA"/>
              </w:rPr>
            </w:pPr>
            <w:bookmarkStart w:id="23" w:name="lt_pId028"/>
            <w:r w:rsidRPr="00257B5A">
              <w:rPr>
                <w:rFonts w:ascii="Arial" w:eastAsia="Times New Roman" w:hAnsi="Arial" w:cs="Arial"/>
                <w:color w:val="000000"/>
                <w:sz w:val="19"/>
                <w:szCs w:val="19"/>
                <w:lang w:val="fr-CA" w:eastAsia="en-CA"/>
              </w:rPr>
              <w:t>Duration de 14</w:t>
            </w:r>
            <w:bookmarkEnd w:id="23"/>
            <w:r w:rsidRPr="00257B5A">
              <w:rPr>
                <w:rFonts w:ascii="Arial" w:eastAsia="Times New Roman" w:hAnsi="Arial" w:cs="Arial"/>
                <w:color w:val="000000"/>
                <w:sz w:val="19"/>
                <w:szCs w:val="19"/>
                <w:lang w:val="fr-CA" w:eastAsia="en-CA"/>
              </w:rPr>
              <w:t> ans</w:t>
            </w:r>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4BCDE3F5" w14:textId="7B7CB536" w:rsidR="00565183" w:rsidRPr="00257B5A" w:rsidRDefault="00565183" w:rsidP="00565183">
            <w:pPr>
              <w:spacing w:after="150" w:line="240" w:lineRule="auto"/>
              <w:jc w:val="center"/>
              <w:rPr>
                <w:rFonts w:ascii="Arial" w:eastAsia="Times New Roman" w:hAnsi="Arial" w:cs="Arial"/>
                <w:color w:val="000000"/>
                <w:sz w:val="19"/>
                <w:szCs w:val="19"/>
                <w:lang w:val="fr-CA" w:eastAsia="en-CA"/>
              </w:rPr>
            </w:pPr>
            <w:r w:rsidRPr="00257B5A">
              <w:rPr>
                <w:rFonts w:ascii="Arial" w:eastAsia="Times New Roman" w:hAnsi="Arial" w:cs="Arial"/>
                <w:color w:val="000000"/>
                <w:sz w:val="19"/>
                <w:szCs w:val="19"/>
                <w:lang w:val="fr-CA" w:eastAsia="en-CA"/>
              </w:rPr>
              <w:t>Duration de</w:t>
            </w:r>
            <w:r w:rsidRPr="00257B5A">
              <w:rPr>
                <w:rFonts w:ascii="Arial" w:eastAsia="Times New Roman" w:hAnsi="Arial" w:cs="Arial"/>
                <w:color w:val="000000"/>
                <w:sz w:val="19"/>
                <w:szCs w:val="19"/>
                <w:lang w:val="fr-CA" w:eastAsia="en-CA"/>
              </w:rPr>
              <w:br/>
              <w:t>24 ans</w:t>
            </w:r>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13BABBDC" w14:textId="6B0056C4" w:rsidR="00565183" w:rsidRPr="00257B5A" w:rsidRDefault="00565183" w:rsidP="00565183">
            <w:pPr>
              <w:spacing w:after="150" w:line="240" w:lineRule="auto"/>
              <w:jc w:val="center"/>
              <w:rPr>
                <w:rFonts w:ascii="Arial" w:eastAsia="Times New Roman" w:hAnsi="Arial" w:cs="Arial"/>
                <w:color w:val="000000"/>
                <w:sz w:val="19"/>
                <w:szCs w:val="19"/>
                <w:lang w:val="fr-CA" w:eastAsia="en-CA"/>
              </w:rPr>
            </w:pPr>
            <w:r w:rsidRPr="00257B5A">
              <w:rPr>
                <w:rFonts w:ascii="Arial" w:eastAsia="Times New Roman" w:hAnsi="Arial" w:cs="Arial"/>
                <w:color w:val="000000"/>
                <w:sz w:val="19"/>
                <w:szCs w:val="19"/>
                <w:lang w:val="fr-CA" w:eastAsia="en-CA"/>
              </w:rPr>
              <w:t>Duration de 14 ans</w:t>
            </w:r>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1BF5E2A1" w14:textId="2EC442E5" w:rsidR="00565183" w:rsidRPr="00257B5A" w:rsidRDefault="00565183" w:rsidP="00565183">
            <w:pPr>
              <w:spacing w:after="150" w:line="240" w:lineRule="auto"/>
              <w:jc w:val="center"/>
              <w:rPr>
                <w:rFonts w:ascii="Arial" w:eastAsia="Times New Roman" w:hAnsi="Arial" w:cs="Arial"/>
                <w:color w:val="000000"/>
                <w:sz w:val="19"/>
                <w:szCs w:val="19"/>
                <w:lang w:val="fr-CA" w:eastAsia="en-CA"/>
              </w:rPr>
            </w:pPr>
            <w:r w:rsidRPr="00257B5A">
              <w:rPr>
                <w:rFonts w:ascii="Arial" w:eastAsia="Times New Roman" w:hAnsi="Arial" w:cs="Arial"/>
                <w:color w:val="000000"/>
                <w:sz w:val="19"/>
                <w:szCs w:val="19"/>
                <w:lang w:val="fr-CA" w:eastAsia="en-CA"/>
              </w:rPr>
              <w:t>Duration de</w:t>
            </w:r>
            <w:r w:rsidRPr="00257B5A">
              <w:rPr>
                <w:rFonts w:ascii="Arial" w:eastAsia="Times New Roman" w:hAnsi="Arial" w:cs="Arial"/>
                <w:color w:val="000000"/>
                <w:sz w:val="19"/>
                <w:szCs w:val="19"/>
                <w:lang w:val="fr-CA" w:eastAsia="en-CA"/>
              </w:rPr>
              <w:br/>
              <w:t>24 ans</w:t>
            </w:r>
          </w:p>
        </w:tc>
      </w:tr>
      <w:tr w:rsidR="009714CB" w:rsidRPr="00257B5A" w14:paraId="54AA8842" w14:textId="4304002C"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247B61CB" w14:textId="3F81B5AE" w:rsidR="0092439A" w:rsidRPr="00257B5A" w:rsidRDefault="000F3693" w:rsidP="00A2503F">
            <w:pPr>
              <w:spacing w:after="150" w:line="240" w:lineRule="auto"/>
              <w:rPr>
                <w:rFonts w:ascii="Arial" w:eastAsia="Times New Roman" w:hAnsi="Arial" w:cs="Arial"/>
                <w:color w:val="000000"/>
                <w:sz w:val="19"/>
                <w:szCs w:val="19"/>
                <w:lang w:val="fr-CA" w:eastAsia="en-CA"/>
              </w:rPr>
            </w:pPr>
            <w:bookmarkStart w:id="24" w:name="lt_pId036"/>
            <w:r w:rsidRPr="00257B5A">
              <w:rPr>
                <w:rFonts w:ascii="Arial" w:eastAsia="Times New Roman" w:hAnsi="Arial" w:cs="Arial"/>
                <w:color w:val="000000"/>
                <w:sz w:val="19"/>
                <w:szCs w:val="19"/>
                <w:lang w:val="fr-CA" w:eastAsia="en-CA"/>
              </w:rPr>
              <w:t>31 </w:t>
            </w:r>
            <w:r w:rsidR="000304B3" w:rsidRPr="00257B5A">
              <w:rPr>
                <w:rFonts w:ascii="Arial" w:eastAsia="Times New Roman" w:hAnsi="Arial" w:cs="Arial"/>
                <w:color w:val="000000"/>
                <w:sz w:val="19"/>
                <w:szCs w:val="19"/>
                <w:lang w:val="fr-CA" w:eastAsia="en-CA"/>
              </w:rPr>
              <w:t>décembre</w:t>
            </w:r>
            <w:bookmarkEnd w:id="24"/>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2C6368D0" w14:textId="1A95248D"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25" w:name="lt_pId037"/>
            <w:r w:rsidRPr="00257B5A">
              <w:rPr>
                <w:rFonts w:ascii="Arial" w:eastAsia="Times New Roman" w:hAnsi="Arial" w:cs="Arial"/>
                <w:color w:val="000000"/>
                <w:sz w:val="19"/>
                <w:szCs w:val="19"/>
                <w:lang w:val="fr-CA" w:eastAsia="en-CA"/>
              </w:rPr>
              <w:t>5</w:t>
            </w:r>
            <w:r w:rsidR="00A36F2C" w:rsidRPr="00257B5A">
              <w:rPr>
                <w:rFonts w:ascii="Arial" w:eastAsia="Times New Roman" w:hAnsi="Arial" w:cs="Arial"/>
                <w:color w:val="000000"/>
                <w:sz w:val="19"/>
                <w:szCs w:val="19"/>
                <w:lang w:val="fr-CA" w:eastAsia="en-CA"/>
              </w:rPr>
              <w:t>,</w:t>
            </w:r>
            <w:r w:rsidRPr="00257B5A">
              <w:rPr>
                <w:rFonts w:ascii="Arial" w:eastAsia="Times New Roman" w:hAnsi="Arial" w:cs="Arial"/>
                <w:color w:val="000000"/>
                <w:sz w:val="19"/>
                <w:szCs w:val="19"/>
                <w:lang w:val="fr-CA" w:eastAsia="en-CA"/>
              </w:rPr>
              <w:t>05</w:t>
            </w:r>
            <w:r w:rsidR="00A36F2C" w:rsidRPr="00257B5A">
              <w:rPr>
                <w:rFonts w:ascii="Arial" w:eastAsia="Times New Roman" w:hAnsi="Arial" w:cs="Arial"/>
                <w:color w:val="000000"/>
                <w:sz w:val="19"/>
                <w:szCs w:val="19"/>
                <w:lang w:val="fr-CA" w:eastAsia="en-CA"/>
              </w:rPr>
              <w:t> %</w:t>
            </w:r>
            <w:bookmarkEnd w:id="25"/>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39961D99" w14:textId="45ABCBF7"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26" w:name="lt_pId038"/>
            <w:r w:rsidRPr="00257B5A">
              <w:rPr>
                <w:rFonts w:ascii="Arial" w:eastAsia="Times New Roman" w:hAnsi="Arial" w:cs="Arial"/>
                <w:color w:val="000000"/>
                <w:sz w:val="19"/>
                <w:szCs w:val="19"/>
                <w:lang w:val="fr-CA" w:eastAsia="en-CA"/>
              </w:rPr>
              <w:t>5</w:t>
            </w:r>
            <w:r w:rsidR="00A36F2C" w:rsidRPr="00257B5A">
              <w:rPr>
                <w:rFonts w:ascii="Arial" w:eastAsia="Times New Roman" w:hAnsi="Arial" w:cs="Arial"/>
                <w:color w:val="000000"/>
                <w:sz w:val="19"/>
                <w:szCs w:val="19"/>
                <w:lang w:val="fr-CA" w:eastAsia="en-CA"/>
              </w:rPr>
              <w:t>,</w:t>
            </w:r>
            <w:r w:rsidRPr="00257B5A">
              <w:rPr>
                <w:rFonts w:ascii="Arial" w:eastAsia="Times New Roman" w:hAnsi="Arial" w:cs="Arial"/>
                <w:color w:val="000000"/>
                <w:sz w:val="19"/>
                <w:szCs w:val="19"/>
                <w:lang w:val="fr-CA" w:eastAsia="en-CA"/>
              </w:rPr>
              <w:t>10</w:t>
            </w:r>
            <w:r w:rsidR="00A36F2C" w:rsidRPr="00257B5A">
              <w:rPr>
                <w:rFonts w:ascii="Arial" w:eastAsia="Times New Roman" w:hAnsi="Arial" w:cs="Arial"/>
                <w:color w:val="000000"/>
                <w:sz w:val="19"/>
                <w:szCs w:val="19"/>
                <w:lang w:val="fr-CA" w:eastAsia="en-CA"/>
              </w:rPr>
              <w:t> %</w:t>
            </w:r>
            <w:bookmarkEnd w:id="26"/>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7CB8B2A6" w14:textId="1F69FB93"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27" w:name="lt_pId039"/>
            <w:r w:rsidRPr="00257B5A">
              <w:rPr>
                <w:rFonts w:ascii="Arial" w:eastAsia="Times New Roman" w:hAnsi="Arial" w:cs="Arial"/>
                <w:color w:val="000000"/>
                <w:sz w:val="19"/>
                <w:szCs w:val="19"/>
                <w:lang w:val="fr-CA" w:eastAsia="en-CA"/>
              </w:rPr>
              <w:t>4</w:t>
            </w:r>
            <w:r w:rsidR="00A36F2C" w:rsidRPr="00257B5A">
              <w:rPr>
                <w:rFonts w:ascii="Arial" w:eastAsia="Times New Roman" w:hAnsi="Arial" w:cs="Arial"/>
                <w:color w:val="000000"/>
                <w:sz w:val="19"/>
                <w:szCs w:val="19"/>
                <w:lang w:val="fr-CA" w:eastAsia="en-CA"/>
              </w:rPr>
              <w:t>,</w:t>
            </w:r>
            <w:r w:rsidRPr="00257B5A">
              <w:rPr>
                <w:rFonts w:ascii="Arial" w:eastAsia="Times New Roman" w:hAnsi="Arial" w:cs="Arial"/>
                <w:color w:val="000000"/>
                <w:sz w:val="19"/>
                <w:szCs w:val="19"/>
                <w:lang w:val="fr-CA" w:eastAsia="en-CA"/>
              </w:rPr>
              <w:t>65</w:t>
            </w:r>
            <w:r w:rsidR="00A36F2C" w:rsidRPr="00257B5A">
              <w:rPr>
                <w:rFonts w:ascii="Arial" w:eastAsia="Times New Roman" w:hAnsi="Arial" w:cs="Arial"/>
                <w:color w:val="000000"/>
                <w:sz w:val="19"/>
                <w:szCs w:val="19"/>
                <w:lang w:val="fr-CA" w:eastAsia="en-CA"/>
              </w:rPr>
              <w:t> %</w:t>
            </w:r>
            <w:bookmarkEnd w:id="27"/>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0B876EFB" w14:textId="7EAAEAC9"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28" w:name="lt_pId040"/>
            <w:r w:rsidRPr="00257B5A">
              <w:rPr>
                <w:rFonts w:ascii="Arial" w:eastAsia="Times New Roman" w:hAnsi="Arial" w:cs="Arial"/>
                <w:color w:val="000000"/>
                <w:sz w:val="19"/>
                <w:szCs w:val="19"/>
                <w:lang w:val="fr-CA" w:eastAsia="en-CA"/>
              </w:rPr>
              <w:t>4</w:t>
            </w:r>
            <w:r w:rsidR="00A36F2C" w:rsidRPr="00257B5A">
              <w:rPr>
                <w:rFonts w:ascii="Arial" w:eastAsia="Times New Roman" w:hAnsi="Arial" w:cs="Arial"/>
                <w:color w:val="000000"/>
                <w:sz w:val="19"/>
                <w:szCs w:val="19"/>
                <w:lang w:val="fr-CA" w:eastAsia="en-CA"/>
              </w:rPr>
              <w:t>,</w:t>
            </w:r>
            <w:r w:rsidRPr="00257B5A">
              <w:rPr>
                <w:rFonts w:ascii="Arial" w:eastAsia="Times New Roman" w:hAnsi="Arial" w:cs="Arial"/>
                <w:color w:val="000000"/>
                <w:sz w:val="19"/>
                <w:szCs w:val="19"/>
                <w:lang w:val="fr-CA" w:eastAsia="en-CA"/>
              </w:rPr>
              <w:t>60</w:t>
            </w:r>
            <w:r w:rsidR="00A36F2C" w:rsidRPr="00257B5A">
              <w:rPr>
                <w:rFonts w:ascii="Arial" w:eastAsia="Times New Roman" w:hAnsi="Arial" w:cs="Arial"/>
                <w:color w:val="000000"/>
                <w:sz w:val="19"/>
                <w:szCs w:val="19"/>
                <w:lang w:val="fr-CA" w:eastAsia="en-CA"/>
              </w:rPr>
              <w:t> %</w:t>
            </w:r>
            <w:bookmarkEnd w:id="28"/>
          </w:p>
        </w:tc>
      </w:tr>
      <w:tr w:rsidR="009714CB" w:rsidRPr="00257B5A" w14:paraId="5AFCC3F6" w14:textId="65B9423D"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2D3A32DB" w14:textId="6352DAED" w:rsidR="0092439A" w:rsidRPr="00257B5A" w:rsidRDefault="000F3693" w:rsidP="00A2503F">
            <w:pPr>
              <w:spacing w:after="150" w:line="240" w:lineRule="auto"/>
              <w:rPr>
                <w:rFonts w:ascii="Arial" w:eastAsia="Times New Roman" w:hAnsi="Arial" w:cs="Arial"/>
                <w:color w:val="000000"/>
                <w:sz w:val="19"/>
                <w:szCs w:val="19"/>
                <w:lang w:val="fr-CA" w:eastAsia="en-CA"/>
              </w:rPr>
            </w:pPr>
            <w:bookmarkStart w:id="29" w:name="lt_pId041"/>
            <w:r w:rsidRPr="00257B5A">
              <w:rPr>
                <w:rFonts w:ascii="Arial" w:eastAsia="Times New Roman" w:hAnsi="Arial" w:cs="Arial"/>
                <w:color w:val="000000"/>
                <w:sz w:val="19"/>
                <w:szCs w:val="19"/>
                <w:lang w:val="fr-CA" w:eastAsia="en-CA"/>
              </w:rPr>
              <w:t>30 </w:t>
            </w:r>
            <w:r w:rsidR="000304B3" w:rsidRPr="00257B5A">
              <w:rPr>
                <w:rFonts w:ascii="Arial" w:eastAsia="Times New Roman" w:hAnsi="Arial" w:cs="Arial"/>
                <w:color w:val="000000"/>
                <w:sz w:val="19"/>
                <w:szCs w:val="19"/>
                <w:lang w:val="fr-CA" w:eastAsia="en-CA"/>
              </w:rPr>
              <w:t>novembre</w:t>
            </w:r>
            <w:bookmarkEnd w:id="29"/>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2CBDBE19" w14:textId="6DB2DE51"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30" w:name="lt_pId042"/>
            <w:r w:rsidRPr="00257B5A">
              <w:rPr>
                <w:rFonts w:ascii="Arial" w:hAnsi="Arial" w:cs="Arial"/>
                <w:color w:val="000000"/>
                <w:sz w:val="19"/>
                <w:szCs w:val="19"/>
                <w:shd w:val="clear" w:color="auto" w:fill="FFFFFF"/>
                <w:lang w:val="fr-CA"/>
              </w:rPr>
              <w:t>4</w:t>
            </w:r>
            <w:r w:rsidR="00A36F2C" w:rsidRPr="00257B5A">
              <w:rPr>
                <w:rFonts w:ascii="Arial" w:hAnsi="Arial" w:cs="Arial"/>
                <w:color w:val="000000"/>
                <w:sz w:val="19"/>
                <w:szCs w:val="19"/>
                <w:shd w:val="clear" w:color="auto" w:fill="FFFFFF"/>
                <w:lang w:val="fr-CA"/>
              </w:rPr>
              <w:t>,</w:t>
            </w:r>
            <w:r w:rsidRPr="00257B5A">
              <w:rPr>
                <w:rFonts w:ascii="Arial" w:hAnsi="Arial" w:cs="Arial"/>
                <w:color w:val="000000"/>
                <w:sz w:val="19"/>
                <w:szCs w:val="19"/>
                <w:shd w:val="clear" w:color="auto" w:fill="FFFFFF"/>
                <w:lang w:val="fr-CA"/>
              </w:rPr>
              <w:t>90</w:t>
            </w:r>
            <w:r w:rsidR="00A36F2C" w:rsidRPr="00257B5A">
              <w:rPr>
                <w:rFonts w:ascii="Arial" w:hAnsi="Arial" w:cs="Arial"/>
                <w:color w:val="000000"/>
                <w:sz w:val="19"/>
                <w:szCs w:val="19"/>
                <w:shd w:val="clear" w:color="auto" w:fill="FFFFFF"/>
                <w:lang w:val="fr-CA"/>
              </w:rPr>
              <w:t> %</w:t>
            </w:r>
            <w:bookmarkEnd w:id="30"/>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74172EF7" w14:textId="076C8E20"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31" w:name="lt_pId043"/>
            <w:r w:rsidRPr="00257B5A">
              <w:rPr>
                <w:rFonts w:ascii="Arial" w:eastAsia="Times New Roman" w:hAnsi="Arial" w:cs="Arial"/>
                <w:color w:val="000000"/>
                <w:sz w:val="19"/>
                <w:szCs w:val="19"/>
                <w:lang w:val="fr-CA" w:eastAsia="en-CA"/>
              </w:rPr>
              <w:t>4</w:t>
            </w:r>
            <w:r w:rsidR="00A36F2C" w:rsidRPr="00257B5A">
              <w:rPr>
                <w:rFonts w:ascii="Arial" w:eastAsia="Times New Roman" w:hAnsi="Arial" w:cs="Arial"/>
                <w:color w:val="000000"/>
                <w:sz w:val="19"/>
                <w:szCs w:val="19"/>
                <w:lang w:val="fr-CA" w:eastAsia="en-CA"/>
              </w:rPr>
              <w:t>,</w:t>
            </w:r>
            <w:r w:rsidRPr="00257B5A">
              <w:rPr>
                <w:rFonts w:ascii="Arial" w:eastAsia="Times New Roman" w:hAnsi="Arial" w:cs="Arial"/>
                <w:color w:val="000000"/>
                <w:sz w:val="19"/>
                <w:szCs w:val="19"/>
                <w:lang w:val="fr-CA" w:eastAsia="en-CA"/>
              </w:rPr>
              <w:t>95</w:t>
            </w:r>
            <w:r w:rsidR="00A36F2C" w:rsidRPr="00257B5A">
              <w:rPr>
                <w:rFonts w:ascii="Arial" w:eastAsia="Times New Roman" w:hAnsi="Arial" w:cs="Arial"/>
                <w:color w:val="000000"/>
                <w:sz w:val="19"/>
                <w:szCs w:val="19"/>
                <w:lang w:val="fr-CA" w:eastAsia="en-CA"/>
              </w:rPr>
              <w:t> %</w:t>
            </w:r>
            <w:bookmarkEnd w:id="31"/>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063283F3" w14:textId="487BBA27"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32" w:name="lt_pId044"/>
            <w:r w:rsidRPr="00257B5A">
              <w:rPr>
                <w:rFonts w:ascii="Arial" w:eastAsia="Times New Roman" w:hAnsi="Arial" w:cs="Arial"/>
                <w:color w:val="000000"/>
                <w:sz w:val="19"/>
                <w:szCs w:val="19"/>
                <w:lang w:val="fr-CA" w:eastAsia="en-CA"/>
              </w:rPr>
              <w:t>5</w:t>
            </w:r>
            <w:r w:rsidR="00A36F2C" w:rsidRPr="00257B5A">
              <w:rPr>
                <w:rFonts w:ascii="Arial" w:eastAsia="Times New Roman" w:hAnsi="Arial" w:cs="Arial"/>
                <w:color w:val="000000"/>
                <w:sz w:val="19"/>
                <w:szCs w:val="19"/>
                <w:lang w:val="fr-CA" w:eastAsia="en-CA"/>
              </w:rPr>
              <w:t>,</w:t>
            </w:r>
            <w:r w:rsidRPr="00257B5A">
              <w:rPr>
                <w:rFonts w:ascii="Arial" w:eastAsia="Times New Roman" w:hAnsi="Arial" w:cs="Arial"/>
                <w:color w:val="000000"/>
                <w:sz w:val="19"/>
                <w:szCs w:val="19"/>
                <w:lang w:val="fr-CA" w:eastAsia="en-CA"/>
              </w:rPr>
              <w:t>15</w:t>
            </w:r>
            <w:r w:rsidR="00A36F2C" w:rsidRPr="00257B5A">
              <w:rPr>
                <w:rFonts w:ascii="Arial" w:eastAsia="Times New Roman" w:hAnsi="Arial" w:cs="Arial"/>
                <w:color w:val="000000"/>
                <w:sz w:val="19"/>
                <w:szCs w:val="19"/>
                <w:lang w:val="fr-CA" w:eastAsia="en-CA"/>
              </w:rPr>
              <w:t> %</w:t>
            </w:r>
            <w:bookmarkEnd w:id="32"/>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0F2EFAB3" w14:textId="38AF71F8"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33" w:name="lt_pId045"/>
            <w:r w:rsidRPr="00257B5A">
              <w:rPr>
                <w:rFonts w:ascii="Arial" w:eastAsia="Times New Roman" w:hAnsi="Arial" w:cs="Arial"/>
                <w:color w:val="000000"/>
                <w:sz w:val="19"/>
                <w:szCs w:val="19"/>
                <w:lang w:val="fr-CA" w:eastAsia="en-CA"/>
              </w:rPr>
              <w:t>5</w:t>
            </w:r>
            <w:r w:rsidR="00A36F2C" w:rsidRPr="00257B5A">
              <w:rPr>
                <w:rFonts w:ascii="Arial" w:eastAsia="Times New Roman" w:hAnsi="Arial" w:cs="Arial"/>
                <w:color w:val="000000"/>
                <w:sz w:val="19"/>
                <w:szCs w:val="19"/>
                <w:lang w:val="fr-CA" w:eastAsia="en-CA"/>
              </w:rPr>
              <w:t>,</w:t>
            </w:r>
            <w:r w:rsidRPr="00257B5A">
              <w:rPr>
                <w:rFonts w:ascii="Arial" w:eastAsia="Times New Roman" w:hAnsi="Arial" w:cs="Arial"/>
                <w:color w:val="000000"/>
                <w:sz w:val="19"/>
                <w:szCs w:val="19"/>
                <w:lang w:val="fr-CA" w:eastAsia="en-CA"/>
              </w:rPr>
              <w:t>10</w:t>
            </w:r>
            <w:r w:rsidR="00A36F2C" w:rsidRPr="00257B5A">
              <w:rPr>
                <w:rFonts w:ascii="Arial" w:eastAsia="Times New Roman" w:hAnsi="Arial" w:cs="Arial"/>
                <w:color w:val="000000"/>
                <w:sz w:val="19"/>
                <w:szCs w:val="19"/>
                <w:lang w:val="fr-CA" w:eastAsia="en-CA"/>
              </w:rPr>
              <w:t> %</w:t>
            </w:r>
            <w:bookmarkEnd w:id="33"/>
          </w:p>
        </w:tc>
      </w:tr>
      <w:tr w:rsidR="009714CB" w:rsidRPr="00257B5A" w14:paraId="67884F2B" w14:textId="18546505"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2DF6A789" w14:textId="4BF3FCF6" w:rsidR="0092439A" w:rsidRPr="00257B5A" w:rsidRDefault="000F3693" w:rsidP="00A2503F">
            <w:pPr>
              <w:spacing w:after="150" w:line="240" w:lineRule="auto"/>
              <w:rPr>
                <w:rFonts w:ascii="Arial" w:eastAsia="Times New Roman" w:hAnsi="Arial" w:cs="Arial"/>
                <w:color w:val="000000"/>
                <w:sz w:val="19"/>
                <w:szCs w:val="19"/>
                <w:lang w:val="fr-CA" w:eastAsia="en-CA"/>
              </w:rPr>
            </w:pPr>
            <w:bookmarkStart w:id="34" w:name="lt_pId046"/>
            <w:r w:rsidRPr="00257B5A">
              <w:rPr>
                <w:rFonts w:ascii="Arial" w:hAnsi="Arial" w:cs="Arial"/>
                <w:color w:val="000000"/>
                <w:sz w:val="19"/>
                <w:szCs w:val="19"/>
                <w:lang w:val="fr-CA"/>
              </w:rPr>
              <w:t>31 </w:t>
            </w:r>
            <w:r w:rsidR="000304B3" w:rsidRPr="00257B5A">
              <w:rPr>
                <w:rFonts w:ascii="Arial" w:hAnsi="Arial" w:cs="Arial"/>
                <w:color w:val="000000"/>
                <w:sz w:val="19"/>
                <w:szCs w:val="19"/>
                <w:lang w:val="fr-CA"/>
              </w:rPr>
              <w:t>octobre</w:t>
            </w:r>
            <w:bookmarkEnd w:id="34"/>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6A85ED36" w14:textId="7F673224"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35" w:name="lt_pId047"/>
            <w:r w:rsidRPr="00257B5A">
              <w:rPr>
                <w:rFonts w:ascii="Arial" w:hAnsi="Arial" w:cs="Arial"/>
                <w:color w:val="000000"/>
                <w:sz w:val="19"/>
                <w:szCs w:val="19"/>
                <w:lang w:val="fr-CA"/>
              </w:rPr>
              <w:t>5</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30</w:t>
            </w:r>
            <w:r w:rsidR="00A36F2C" w:rsidRPr="00257B5A">
              <w:rPr>
                <w:rFonts w:ascii="Arial" w:hAnsi="Arial" w:cs="Arial"/>
                <w:color w:val="000000"/>
                <w:sz w:val="19"/>
                <w:szCs w:val="19"/>
                <w:lang w:val="fr-CA"/>
              </w:rPr>
              <w:t> %</w:t>
            </w:r>
            <w:bookmarkEnd w:id="35"/>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7A61E0BF" w14:textId="5F84E9EC"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36" w:name="lt_pId048"/>
            <w:r w:rsidRPr="00257B5A">
              <w:rPr>
                <w:rFonts w:ascii="Arial" w:eastAsia="Times New Roman" w:hAnsi="Arial" w:cs="Arial"/>
                <w:color w:val="000000"/>
                <w:sz w:val="19"/>
                <w:szCs w:val="19"/>
                <w:lang w:val="fr-CA" w:eastAsia="en-CA"/>
              </w:rPr>
              <w:t>5</w:t>
            </w:r>
            <w:r w:rsidR="00A36F2C" w:rsidRPr="00257B5A">
              <w:rPr>
                <w:rFonts w:ascii="Arial" w:eastAsia="Times New Roman" w:hAnsi="Arial" w:cs="Arial"/>
                <w:color w:val="000000"/>
                <w:sz w:val="19"/>
                <w:szCs w:val="19"/>
                <w:lang w:val="fr-CA" w:eastAsia="en-CA"/>
              </w:rPr>
              <w:t>,</w:t>
            </w:r>
            <w:r w:rsidRPr="00257B5A">
              <w:rPr>
                <w:rFonts w:ascii="Arial" w:eastAsia="Times New Roman" w:hAnsi="Arial" w:cs="Arial"/>
                <w:color w:val="000000"/>
                <w:sz w:val="19"/>
                <w:szCs w:val="19"/>
                <w:lang w:val="fr-CA" w:eastAsia="en-CA"/>
              </w:rPr>
              <w:t>30</w:t>
            </w:r>
            <w:r w:rsidR="00A36F2C" w:rsidRPr="00257B5A">
              <w:rPr>
                <w:rFonts w:ascii="Arial" w:eastAsia="Times New Roman" w:hAnsi="Arial" w:cs="Arial"/>
                <w:color w:val="000000"/>
                <w:sz w:val="19"/>
                <w:szCs w:val="19"/>
                <w:lang w:val="fr-CA" w:eastAsia="en-CA"/>
              </w:rPr>
              <w:t> %</w:t>
            </w:r>
            <w:bookmarkEnd w:id="36"/>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2EEA2488" w14:textId="0E22FD9E"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37" w:name="lt_pId049"/>
            <w:r w:rsidRPr="00257B5A">
              <w:rPr>
                <w:rFonts w:ascii="Arial" w:eastAsia="Times New Roman" w:hAnsi="Arial" w:cs="Arial"/>
                <w:color w:val="000000"/>
                <w:sz w:val="19"/>
                <w:szCs w:val="19"/>
                <w:lang w:val="fr-CA" w:eastAsia="en-CA"/>
              </w:rPr>
              <w:t>5</w:t>
            </w:r>
            <w:r w:rsidR="00A36F2C" w:rsidRPr="00257B5A">
              <w:rPr>
                <w:rFonts w:ascii="Arial" w:eastAsia="Times New Roman" w:hAnsi="Arial" w:cs="Arial"/>
                <w:color w:val="000000"/>
                <w:sz w:val="19"/>
                <w:szCs w:val="19"/>
                <w:lang w:val="fr-CA" w:eastAsia="en-CA"/>
              </w:rPr>
              <w:t>,</w:t>
            </w:r>
            <w:r w:rsidRPr="00257B5A">
              <w:rPr>
                <w:rFonts w:ascii="Arial" w:eastAsia="Times New Roman" w:hAnsi="Arial" w:cs="Arial"/>
                <w:color w:val="000000"/>
                <w:sz w:val="19"/>
                <w:szCs w:val="19"/>
                <w:lang w:val="fr-CA" w:eastAsia="en-CA"/>
              </w:rPr>
              <w:t>70</w:t>
            </w:r>
            <w:r w:rsidR="00A36F2C" w:rsidRPr="00257B5A">
              <w:rPr>
                <w:rFonts w:ascii="Arial" w:eastAsia="Times New Roman" w:hAnsi="Arial" w:cs="Arial"/>
                <w:color w:val="000000"/>
                <w:sz w:val="19"/>
                <w:szCs w:val="19"/>
                <w:lang w:val="fr-CA" w:eastAsia="en-CA"/>
              </w:rPr>
              <w:t> %</w:t>
            </w:r>
            <w:bookmarkEnd w:id="37"/>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78B428EF" w14:textId="3CEB81F3"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38" w:name="lt_pId050"/>
            <w:r w:rsidRPr="00257B5A">
              <w:rPr>
                <w:rFonts w:ascii="Arial" w:eastAsia="Times New Roman" w:hAnsi="Arial" w:cs="Arial"/>
                <w:color w:val="000000"/>
                <w:sz w:val="19"/>
                <w:szCs w:val="19"/>
                <w:lang w:val="fr-CA" w:eastAsia="en-CA"/>
              </w:rPr>
              <w:t>5</w:t>
            </w:r>
            <w:r w:rsidR="00A36F2C" w:rsidRPr="00257B5A">
              <w:rPr>
                <w:rFonts w:ascii="Arial" w:eastAsia="Times New Roman" w:hAnsi="Arial" w:cs="Arial"/>
                <w:color w:val="000000"/>
                <w:sz w:val="19"/>
                <w:szCs w:val="19"/>
                <w:lang w:val="fr-CA" w:eastAsia="en-CA"/>
              </w:rPr>
              <w:t>,</w:t>
            </w:r>
            <w:r w:rsidRPr="00257B5A">
              <w:rPr>
                <w:rFonts w:ascii="Arial" w:eastAsia="Times New Roman" w:hAnsi="Arial" w:cs="Arial"/>
                <w:color w:val="000000"/>
                <w:sz w:val="19"/>
                <w:szCs w:val="19"/>
                <w:lang w:val="fr-CA" w:eastAsia="en-CA"/>
              </w:rPr>
              <w:t>70</w:t>
            </w:r>
            <w:r w:rsidR="00A36F2C" w:rsidRPr="00257B5A">
              <w:rPr>
                <w:rFonts w:ascii="Arial" w:eastAsia="Times New Roman" w:hAnsi="Arial" w:cs="Arial"/>
                <w:color w:val="000000"/>
                <w:sz w:val="19"/>
                <w:szCs w:val="19"/>
                <w:lang w:val="fr-CA" w:eastAsia="en-CA"/>
              </w:rPr>
              <w:t> %</w:t>
            </w:r>
            <w:bookmarkEnd w:id="38"/>
          </w:p>
        </w:tc>
      </w:tr>
      <w:tr w:rsidR="009714CB" w:rsidRPr="00257B5A" w14:paraId="673E82C3" w14:textId="32935AE7"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735215AF" w14:textId="0C5306D1" w:rsidR="0092439A" w:rsidRPr="00257B5A" w:rsidRDefault="000F3693" w:rsidP="00A2503F">
            <w:pPr>
              <w:spacing w:after="150" w:line="240" w:lineRule="auto"/>
              <w:rPr>
                <w:rFonts w:ascii="Arial" w:eastAsia="Times New Roman" w:hAnsi="Arial" w:cs="Arial"/>
                <w:color w:val="000000"/>
                <w:sz w:val="19"/>
                <w:szCs w:val="19"/>
                <w:lang w:val="fr-CA" w:eastAsia="en-CA"/>
              </w:rPr>
            </w:pPr>
            <w:bookmarkStart w:id="39" w:name="lt_pId051"/>
            <w:r w:rsidRPr="00257B5A">
              <w:rPr>
                <w:rFonts w:ascii="Arial" w:hAnsi="Arial" w:cs="Arial"/>
                <w:color w:val="000000"/>
                <w:sz w:val="19"/>
                <w:szCs w:val="19"/>
                <w:lang w:val="fr-CA"/>
              </w:rPr>
              <w:t>30 </w:t>
            </w:r>
            <w:r w:rsidR="000304B3" w:rsidRPr="00257B5A">
              <w:rPr>
                <w:rFonts w:ascii="Arial" w:hAnsi="Arial" w:cs="Arial"/>
                <w:color w:val="000000"/>
                <w:sz w:val="19"/>
                <w:szCs w:val="19"/>
                <w:lang w:val="fr-CA"/>
              </w:rPr>
              <w:t>septembre</w:t>
            </w:r>
            <w:bookmarkEnd w:id="39"/>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2F16DE73" w14:textId="785672E8"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40" w:name="lt_pId052"/>
            <w:r w:rsidRPr="00257B5A">
              <w:rPr>
                <w:rFonts w:ascii="Arial" w:hAnsi="Arial" w:cs="Arial"/>
                <w:color w:val="000000"/>
                <w:sz w:val="19"/>
                <w:szCs w:val="19"/>
                <w:lang w:val="fr-CA"/>
              </w:rPr>
              <w:t>4</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95</w:t>
            </w:r>
            <w:r w:rsidR="00A36F2C" w:rsidRPr="00257B5A">
              <w:rPr>
                <w:rFonts w:ascii="Arial" w:hAnsi="Arial" w:cs="Arial"/>
                <w:color w:val="000000"/>
                <w:sz w:val="19"/>
                <w:szCs w:val="19"/>
                <w:lang w:val="fr-CA"/>
              </w:rPr>
              <w:t> %</w:t>
            </w:r>
            <w:bookmarkEnd w:id="40"/>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218DA4BD" w14:textId="2AE85A0B" w:rsidR="0092439A" w:rsidRPr="00257B5A" w:rsidRDefault="000304B3" w:rsidP="00A2503F">
            <w:pPr>
              <w:spacing w:after="150" w:line="240" w:lineRule="auto"/>
              <w:jc w:val="center"/>
              <w:rPr>
                <w:rFonts w:ascii="Arial" w:hAnsi="Arial" w:cs="Arial"/>
                <w:color w:val="000000"/>
                <w:sz w:val="19"/>
                <w:szCs w:val="19"/>
                <w:lang w:val="fr-CA"/>
              </w:rPr>
            </w:pPr>
            <w:bookmarkStart w:id="41" w:name="lt_pId053"/>
            <w:r w:rsidRPr="00257B5A">
              <w:rPr>
                <w:rFonts w:ascii="Arial" w:hAnsi="Arial" w:cs="Arial"/>
                <w:color w:val="000000"/>
                <w:sz w:val="19"/>
                <w:szCs w:val="19"/>
                <w:lang w:val="fr-CA"/>
              </w:rPr>
              <w:t>4</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95</w:t>
            </w:r>
            <w:r w:rsidR="00A36F2C" w:rsidRPr="00257B5A">
              <w:rPr>
                <w:rFonts w:ascii="Arial" w:hAnsi="Arial" w:cs="Arial"/>
                <w:color w:val="000000"/>
                <w:sz w:val="19"/>
                <w:szCs w:val="19"/>
                <w:lang w:val="fr-CA"/>
              </w:rPr>
              <w:t> %</w:t>
            </w:r>
            <w:bookmarkEnd w:id="41"/>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1B60AFA1" w14:textId="03F6B936"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42" w:name="lt_pId054"/>
            <w:r w:rsidRPr="00257B5A">
              <w:rPr>
                <w:rFonts w:ascii="Arial" w:hAnsi="Arial" w:cs="Arial"/>
                <w:color w:val="000000"/>
                <w:sz w:val="19"/>
                <w:szCs w:val="19"/>
                <w:lang w:val="fr-CA"/>
              </w:rPr>
              <w:t>5</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65</w:t>
            </w:r>
            <w:r w:rsidR="00A36F2C" w:rsidRPr="00257B5A">
              <w:rPr>
                <w:rFonts w:ascii="Arial" w:hAnsi="Arial" w:cs="Arial"/>
                <w:color w:val="000000"/>
                <w:sz w:val="19"/>
                <w:szCs w:val="19"/>
                <w:lang w:val="fr-CA"/>
              </w:rPr>
              <w:t> %</w:t>
            </w:r>
            <w:r w:rsidRPr="00257B5A">
              <w:rPr>
                <w:rFonts w:ascii="Arial" w:hAnsi="Arial" w:cs="Arial"/>
                <w:color w:val="000000"/>
                <w:sz w:val="19"/>
                <w:szCs w:val="19"/>
                <w:vertAlign w:val="superscript"/>
                <w:lang w:val="fr-CA"/>
              </w:rPr>
              <w:t>3</w:t>
            </w:r>
            <w:bookmarkEnd w:id="42"/>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5A130FFB" w14:textId="46744A9C" w:rsidR="0092439A" w:rsidRPr="00257B5A" w:rsidRDefault="000304B3" w:rsidP="00A2503F">
            <w:pPr>
              <w:spacing w:after="150" w:line="240" w:lineRule="auto"/>
              <w:jc w:val="center"/>
              <w:rPr>
                <w:rFonts w:ascii="Arial" w:hAnsi="Arial" w:cs="Arial"/>
                <w:color w:val="000000"/>
                <w:sz w:val="19"/>
                <w:szCs w:val="19"/>
                <w:lang w:val="fr-CA"/>
              </w:rPr>
            </w:pPr>
            <w:bookmarkStart w:id="43" w:name="lt_pId055"/>
            <w:r w:rsidRPr="00257B5A">
              <w:rPr>
                <w:rFonts w:ascii="Arial" w:hAnsi="Arial" w:cs="Arial"/>
                <w:color w:val="000000"/>
                <w:sz w:val="19"/>
                <w:szCs w:val="19"/>
                <w:lang w:val="fr-CA"/>
              </w:rPr>
              <w:t>5</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60</w:t>
            </w:r>
            <w:r w:rsidR="00A36F2C" w:rsidRPr="00257B5A">
              <w:rPr>
                <w:rFonts w:ascii="Arial" w:hAnsi="Arial" w:cs="Arial"/>
                <w:color w:val="000000"/>
                <w:sz w:val="19"/>
                <w:szCs w:val="19"/>
                <w:lang w:val="fr-CA"/>
              </w:rPr>
              <w:t> %</w:t>
            </w:r>
            <w:bookmarkEnd w:id="43"/>
          </w:p>
        </w:tc>
      </w:tr>
      <w:tr w:rsidR="009714CB" w:rsidRPr="00257B5A" w14:paraId="232BDD53" w14:textId="2858F5A3"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642B536C" w14:textId="0CE0BCFE" w:rsidR="0092439A" w:rsidRPr="00257B5A" w:rsidRDefault="000F3693" w:rsidP="00A2503F">
            <w:pPr>
              <w:spacing w:after="150" w:line="240" w:lineRule="auto"/>
              <w:rPr>
                <w:rFonts w:ascii="Arial" w:eastAsia="Times New Roman" w:hAnsi="Arial" w:cs="Arial"/>
                <w:color w:val="000000"/>
                <w:sz w:val="19"/>
                <w:szCs w:val="19"/>
                <w:lang w:val="fr-CA" w:eastAsia="en-CA"/>
              </w:rPr>
            </w:pPr>
            <w:bookmarkStart w:id="44" w:name="lt_pId056"/>
            <w:r w:rsidRPr="00257B5A">
              <w:rPr>
                <w:rFonts w:ascii="Arial" w:hAnsi="Arial" w:cs="Arial"/>
                <w:color w:val="000000"/>
                <w:sz w:val="19"/>
                <w:szCs w:val="19"/>
                <w:lang w:val="fr-CA"/>
              </w:rPr>
              <w:t>31 </w:t>
            </w:r>
            <w:r w:rsidR="000304B3" w:rsidRPr="00257B5A">
              <w:rPr>
                <w:rFonts w:ascii="Arial" w:hAnsi="Arial" w:cs="Arial"/>
                <w:color w:val="000000"/>
                <w:sz w:val="19"/>
                <w:szCs w:val="19"/>
                <w:lang w:val="fr-CA"/>
              </w:rPr>
              <w:t>août</w:t>
            </w:r>
            <w:bookmarkEnd w:id="44"/>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6D2C353E" w14:textId="657D4B23"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45" w:name="lt_pId057"/>
            <w:r w:rsidRPr="00257B5A">
              <w:rPr>
                <w:rFonts w:ascii="Arial" w:hAnsi="Arial" w:cs="Arial"/>
                <w:color w:val="000000"/>
                <w:sz w:val="19"/>
                <w:szCs w:val="19"/>
                <w:lang w:val="fr-CA"/>
              </w:rPr>
              <w:t>4</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80</w:t>
            </w:r>
            <w:r w:rsidR="00A36F2C" w:rsidRPr="00257B5A">
              <w:rPr>
                <w:rFonts w:ascii="Arial" w:hAnsi="Arial" w:cs="Arial"/>
                <w:color w:val="000000"/>
                <w:sz w:val="19"/>
                <w:szCs w:val="19"/>
                <w:lang w:val="fr-CA"/>
              </w:rPr>
              <w:t> %</w:t>
            </w:r>
            <w:bookmarkEnd w:id="45"/>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57C20FE4" w14:textId="608CAC8A" w:rsidR="0092439A" w:rsidRPr="00257B5A" w:rsidRDefault="000304B3" w:rsidP="00A2503F">
            <w:pPr>
              <w:spacing w:after="150" w:line="240" w:lineRule="auto"/>
              <w:jc w:val="center"/>
              <w:rPr>
                <w:rFonts w:ascii="Arial" w:hAnsi="Arial" w:cs="Arial"/>
                <w:color w:val="000000"/>
                <w:sz w:val="19"/>
                <w:szCs w:val="19"/>
                <w:lang w:val="fr-CA"/>
              </w:rPr>
            </w:pPr>
            <w:bookmarkStart w:id="46" w:name="lt_pId058"/>
            <w:r w:rsidRPr="00257B5A">
              <w:rPr>
                <w:rFonts w:ascii="Arial" w:hAnsi="Arial" w:cs="Arial"/>
                <w:color w:val="000000"/>
                <w:sz w:val="19"/>
                <w:szCs w:val="19"/>
                <w:lang w:val="fr-CA"/>
              </w:rPr>
              <w:t>4</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80</w:t>
            </w:r>
            <w:r w:rsidR="00A36F2C" w:rsidRPr="00257B5A">
              <w:rPr>
                <w:rFonts w:ascii="Arial" w:hAnsi="Arial" w:cs="Arial"/>
                <w:color w:val="000000"/>
                <w:sz w:val="19"/>
                <w:szCs w:val="19"/>
                <w:lang w:val="fr-CA"/>
              </w:rPr>
              <w:t> %</w:t>
            </w:r>
            <w:bookmarkEnd w:id="46"/>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540371A6" w14:textId="60030B42"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47" w:name="lt_pId059"/>
            <w:r w:rsidRPr="00257B5A">
              <w:rPr>
                <w:rFonts w:ascii="Arial" w:hAnsi="Arial" w:cs="Arial"/>
                <w:color w:val="000000"/>
                <w:sz w:val="19"/>
                <w:szCs w:val="19"/>
                <w:lang w:val="fr-CA"/>
              </w:rPr>
              <w:t>5</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15</w:t>
            </w:r>
            <w:r w:rsidR="00A36F2C" w:rsidRPr="00257B5A">
              <w:rPr>
                <w:rFonts w:ascii="Arial" w:hAnsi="Arial" w:cs="Arial"/>
                <w:color w:val="000000"/>
                <w:sz w:val="19"/>
                <w:szCs w:val="19"/>
                <w:lang w:val="fr-CA"/>
              </w:rPr>
              <w:t> %</w:t>
            </w:r>
            <w:bookmarkEnd w:id="47"/>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77D445CE" w14:textId="352DBE92" w:rsidR="0092439A" w:rsidRPr="00257B5A" w:rsidRDefault="000304B3" w:rsidP="00A2503F">
            <w:pPr>
              <w:spacing w:after="150" w:line="240" w:lineRule="auto"/>
              <w:jc w:val="center"/>
              <w:rPr>
                <w:rFonts w:ascii="Arial" w:hAnsi="Arial" w:cs="Arial"/>
                <w:color w:val="000000"/>
                <w:sz w:val="19"/>
                <w:szCs w:val="19"/>
                <w:lang w:val="fr-CA"/>
              </w:rPr>
            </w:pPr>
            <w:bookmarkStart w:id="48" w:name="lt_pId060"/>
            <w:r w:rsidRPr="00257B5A">
              <w:rPr>
                <w:rFonts w:ascii="Arial" w:hAnsi="Arial" w:cs="Arial"/>
                <w:color w:val="000000"/>
                <w:sz w:val="19"/>
                <w:szCs w:val="19"/>
                <w:lang w:val="fr-CA"/>
              </w:rPr>
              <w:t>5</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15</w:t>
            </w:r>
            <w:r w:rsidR="00A36F2C" w:rsidRPr="00257B5A">
              <w:rPr>
                <w:rFonts w:ascii="Arial" w:hAnsi="Arial" w:cs="Arial"/>
                <w:color w:val="000000"/>
                <w:sz w:val="19"/>
                <w:szCs w:val="19"/>
                <w:lang w:val="fr-CA"/>
              </w:rPr>
              <w:t> %</w:t>
            </w:r>
            <w:bookmarkEnd w:id="48"/>
          </w:p>
        </w:tc>
      </w:tr>
      <w:tr w:rsidR="009714CB" w:rsidRPr="00257B5A" w14:paraId="0D4ACC22" w14:textId="2586D6A4"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64D681D5" w14:textId="5420EBC1" w:rsidR="0092439A" w:rsidRPr="00257B5A" w:rsidRDefault="000F3693" w:rsidP="00A2503F">
            <w:pPr>
              <w:spacing w:after="150" w:line="240" w:lineRule="auto"/>
              <w:rPr>
                <w:rFonts w:ascii="Arial" w:eastAsia="Times New Roman" w:hAnsi="Arial" w:cs="Arial"/>
                <w:color w:val="000000"/>
                <w:sz w:val="19"/>
                <w:szCs w:val="19"/>
                <w:lang w:val="fr-CA" w:eastAsia="en-CA"/>
              </w:rPr>
            </w:pPr>
            <w:bookmarkStart w:id="49" w:name="lt_pId061"/>
            <w:r w:rsidRPr="00257B5A">
              <w:rPr>
                <w:rFonts w:ascii="Arial" w:hAnsi="Arial" w:cs="Arial"/>
                <w:color w:val="000000"/>
                <w:sz w:val="19"/>
                <w:szCs w:val="19"/>
                <w:lang w:val="fr-CA"/>
              </w:rPr>
              <w:t>31 </w:t>
            </w:r>
            <w:r w:rsidR="000304B3" w:rsidRPr="00257B5A">
              <w:rPr>
                <w:rFonts w:ascii="Arial" w:hAnsi="Arial" w:cs="Arial"/>
                <w:color w:val="000000"/>
                <w:sz w:val="19"/>
                <w:szCs w:val="19"/>
                <w:lang w:val="fr-CA"/>
              </w:rPr>
              <w:t>juillet</w:t>
            </w:r>
            <w:bookmarkEnd w:id="49"/>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143FA990" w14:textId="35447247"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50" w:name="lt_pId062"/>
            <w:r w:rsidRPr="00257B5A">
              <w:rPr>
                <w:rFonts w:ascii="Arial" w:hAnsi="Arial" w:cs="Arial"/>
                <w:color w:val="000000"/>
                <w:sz w:val="19"/>
                <w:szCs w:val="19"/>
                <w:lang w:val="fr-CA"/>
              </w:rPr>
              <w:t>4</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60</w:t>
            </w:r>
            <w:r w:rsidR="00A36F2C" w:rsidRPr="00257B5A">
              <w:rPr>
                <w:rFonts w:ascii="Arial" w:hAnsi="Arial" w:cs="Arial"/>
                <w:color w:val="000000"/>
                <w:sz w:val="19"/>
                <w:szCs w:val="19"/>
                <w:lang w:val="fr-CA"/>
              </w:rPr>
              <w:t> %</w:t>
            </w:r>
            <w:bookmarkEnd w:id="50"/>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56DE6347" w14:textId="3A1CCD0C" w:rsidR="0092439A" w:rsidRPr="00257B5A" w:rsidRDefault="000304B3" w:rsidP="00A2503F">
            <w:pPr>
              <w:spacing w:after="150" w:line="240" w:lineRule="auto"/>
              <w:jc w:val="center"/>
              <w:rPr>
                <w:rFonts w:ascii="Arial" w:hAnsi="Arial" w:cs="Arial"/>
                <w:color w:val="000000"/>
                <w:sz w:val="19"/>
                <w:szCs w:val="19"/>
                <w:lang w:val="fr-CA"/>
              </w:rPr>
            </w:pPr>
            <w:bookmarkStart w:id="51" w:name="lt_pId063"/>
            <w:r w:rsidRPr="00257B5A">
              <w:rPr>
                <w:rFonts w:ascii="Arial" w:hAnsi="Arial" w:cs="Arial"/>
                <w:color w:val="000000"/>
                <w:sz w:val="19"/>
                <w:szCs w:val="19"/>
                <w:lang w:val="fr-CA"/>
              </w:rPr>
              <w:t>4</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75</w:t>
            </w:r>
            <w:r w:rsidR="00A36F2C" w:rsidRPr="00257B5A">
              <w:rPr>
                <w:rFonts w:ascii="Arial" w:hAnsi="Arial" w:cs="Arial"/>
                <w:color w:val="000000"/>
                <w:sz w:val="19"/>
                <w:szCs w:val="19"/>
                <w:lang w:val="fr-CA"/>
              </w:rPr>
              <w:t> %</w:t>
            </w:r>
            <w:bookmarkEnd w:id="51"/>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6958C357" w14:textId="08D6FD4E"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52" w:name="lt_pId064"/>
            <w:r w:rsidRPr="00257B5A">
              <w:rPr>
                <w:rFonts w:ascii="Arial" w:hAnsi="Arial" w:cs="Arial"/>
                <w:color w:val="000000"/>
                <w:sz w:val="19"/>
                <w:szCs w:val="19"/>
                <w:lang w:val="fr-CA"/>
              </w:rPr>
              <w:t>5</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05</w:t>
            </w:r>
            <w:r w:rsidR="00A36F2C" w:rsidRPr="00257B5A">
              <w:rPr>
                <w:rFonts w:ascii="Arial" w:hAnsi="Arial" w:cs="Arial"/>
                <w:color w:val="000000"/>
                <w:sz w:val="19"/>
                <w:szCs w:val="19"/>
                <w:lang w:val="fr-CA"/>
              </w:rPr>
              <w:t> %</w:t>
            </w:r>
            <w:bookmarkEnd w:id="52"/>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40E50D25" w14:textId="5F568F9F" w:rsidR="0092439A" w:rsidRPr="00257B5A" w:rsidRDefault="000304B3" w:rsidP="00A2503F">
            <w:pPr>
              <w:spacing w:after="150" w:line="240" w:lineRule="auto"/>
              <w:jc w:val="center"/>
              <w:rPr>
                <w:rFonts w:ascii="Arial" w:hAnsi="Arial" w:cs="Arial"/>
                <w:color w:val="000000"/>
                <w:sz w:val="19"/>
                <w:szCs w:val="19"/>
                <w:lang w:val="fr-CA"/>
              </w:rPr>
            </w:pPr>
            <w:bookmarkStart w:id="53" w:name="lt_pId065"/>
            <w:r w:rsidRPr="00257B5A">
              <w:rPr>
                <w:rFonts w:ascii="Arial" w:hAnsi="Arial" w:cs="Arial"/>
                <w:color w:val="000000"/>
                <w:sz w:val="19"/>
                <w:szCs w:val="19"/>
                <w:lang w:val="fr-CA"/>
              </w:rPr>
              <w:t>5</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00</w:t>
            </w:r>
            <w:r w:rsidR="00A36F2C" w:rsidRPr="00257B5A">
              <w:rPr>
                <w:rFonts w:ascii="Arial" w:hAnsi="Arial" w:cs="Arial"/>
                <w:color w:val="000000"/>
                <w:sz w:val="19"/>
                <w:szCs w:val="19"/>
                <w:lang w:val="fr-CA"/>
              </w:rPr>
              <w:t> %</w:t>
            </w:r>
            <w:bookmarkEnd w:id="53"/>
          </w:p>
        </w:tc>
      </w:tr>
      <w:tr w:rsidR="009714CB" w:rsidRPr="00257B5A" w14:paraId="5EE0EED9" w14:textId="2E362DCB"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0985DA92" w14:textId="1CA21508" w:rsidR="0092439A" w:rsidRPr="00257B5A" w:rsidRDefault="000F3693" w:rsidP="00A2503F">
            <w:pPr>
              <w:spacing w:after="150" w:line="240" w:lineRule="auto"/>
              <w:rPr>
                <w:rFonts w:ascii="Arial" w:eastAsia="Times New Roman" w:hAnsi="Arial" w:cs="Arial"/>
                <w:color w:val="000000"/>
                <w:sz w:val="19"/>
                <w:szCs w:val="19"/>
                <w:lang w:val="fr-CA" w:eastAsia="en-CA"/>
              </w:rPr>
            </w:pPr>
            <w:bookmarkStart w:id="54" w:name="lt_pId066"/>
            <w:r w:rsidRPr="00257B5A">
              <w:rPr>
                <w:rFonts w:ascii="Arial" w:hAnsi="Arial" w:cs="Arial"/>
                <w:color w:val="000000"/>
                <w:sz w:val="19"/>
                <w:szCs w:val="19"/>
                <w:lang w:val="fr-CA"/>
              </w:rPr>
              <w:t>30 </w:t>
            </w:r>
            <w:r w:rsidR="000304B3" w:rsidRPr="00257B5A">
              <w:rPr>
                <w:rFonts w:ascii="Arial" w:hAnsi="Arial" w:cs="Arial"/>
                <w:color w:val="000000"/>
                <w:sz w:val="19"/>
                <w:szCs w:val="19"/>
                <w:lang w:val="fr-CA"/>
              </w:rPr>
              <w:t>juin</w:t>
            </w:r>
            <w:bookmarkEnd w:id="54"/>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6F1EB893" w14:textId="6C03A3E1"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55" w:name="lt_pId067"/>
            <w:r w:rsidRPr="00257B5A">
              <w:rPr>
                <w:rFonts w:ascii="Arial" w:hAnsi="Arial" w:cs="Arial"/>
                <w:color w:val="000000"/>
                <w:sz w:val="19"/>
                <w:szCs w:val="19"/>
                <w:lang w:val="fr-CA"/>
              </w:rPr>
              <w:t>5</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05</w:t>
            </w:r>
            <w:r w:rsidR="00A36F2C" w:rsidRPr="00257B5A">
              <w:rPr>
                <w:rFonts w:ascii="Arial" w:hAnsi="Arial" w:cs="Arial"/>
                <w:color w:val="000000"/>
                <w:sz w:val="19"/>
                <w:szCs w:val="19"/>
                <w:lang w:val="fr-CA"/>
              </w:rPr>
              <w:t> %</w:t>
            </w:r>
            <w:bookmarkEnd w:id="55"/>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32D6BB07" w14:textId="4A647CBC" w:rsidR="0092439A" w:rsidRPr="00257B5A" w:rsidRDefault="000304B3" w:rsidP="00A2503F">
            <w:pPr>
              <w:spacing w:after="150" w:line="240" w:lineRule="auto"/>
              <w:jc w:val="center"/>
              <w:rPr>
                <w:rFonts w:ascii="Arial" w:hAnsi="Arial" w:cs="Arial"/>
                <w:color w:val="000000"/>
                <w:sz w:val="19"/>
                <w:szCs w:val="19"/>
                <w:lang w:val="fr-CA"/>
              </w:rPr>
            </w:pPr>
            <w:bookmarkStart w:id="56" w:name="lt_pId068"/>
            <w:r w:rsidRPr="00257B5A">
              <w:rPr>
                <w:rFonts w:ascii="Arial" w:hAnsi="Arial" w:cs="Arial"/>
                <w:color w:val="000000"/>
                <w:sz w:val="19"/>
                <w:szCs w:val="19"/>
                <w:lang w:val="fr-CA"/>
              </w:rPr>
              <w:t>5</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10</w:t>
            </w:r>
            <w:r w:rsidR="00A36F2C" w:rsidRPr="00257B5A">
              <w:rPr>
                <w:rFonts w:ascii="Arial" w:hAnsi="Arial" w:cs="Arial"/>
                <w:color w:val="000000"/>
                <w:sz w:val="19"/>
                <w:szCs w:val="19"/>
                <w:lang w:val="fr-CA"/>
              </w:rPr>
              <w:t> %</w:t>
            </w:r>
            <w:bookmarkEnd w:id="56"/>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089BDFAF" w14:textId="572F8F93"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57" w:name="lt_pId069"/>
            <w:r w:rsidRPr="00257B5A">
              <w:rPr>
                <w:rFonts w:ascii="Arial" w:hAnsi="Arial" w:cs="Arial"/>
                <w:color w:val="000000"/>
                <w:sz w:val="19"/>
                <w:szCs w:val="19"/>
                <w:lang w:val="fr-CA"/>
              </w:rPr>
              <w:t>4</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80</w:t>
            </w:r>
            <w:r w:rsidR="00A36F2C" w:rsidRPr="00257B5A">
              <w:rPr>
                <w:rFonts w:ascii="Arial" w:hAnsi="Arial" w:cs="Arial"/>
                <w:color w:val="000000"/>
                <w:sz w:val="19"/>
                <w:szCs w:val="19"/>
                <w:lang w:val="fr-CA"/>
              </w:rPr>
              <w:t> %</w:t>
            </w:r>
            <w:bookmarkEnd w:id="57"/>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6F87870E" w14:textId="7F351A9F" w:rsidR="0092439A" w:rsidRPr="00257B5A" w:rsidRDefault="000304B3" w:rsidP="00A2503F">
            <w:pPr>
              <w:spacing w:after="150" w:line="240" w:lineRule="auto"/>
              <w:jc w:val="center"/>
              <w:rPr>
                <w:rFonts w:ascii="Arial" w:hAnsi="Arial" w:cs="Arial"/>
                <w:color w:val="000000"/>
                <w:sz w:val="19"/>
                <w:szCs w:val="19"/>
                <w:lang w:val="fr-CA"/>
              </w:rPr>
            </w:pPr>
            <w:bookmarkStart w:id="58" w:name="lt_pId070"/>
            <w:r w:rsidRPr="00257B5A">
              <w:rPr>
                <w:rFonts w:ascii="Arial" w:hAnsi="Arial" w:cs="Arial"/>
                <w:color w:val="000000"/>
                <w:sz w:val="19"/>
                <w:szCs w:val="19"/>
                <w:lang w:val="fr-CA"/>
              </w:rPr>
              <w:t>4</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90</w:t>
            </w:r>
            <w:r w:rsidR="00A36F2C" w:rsidRPr="00257B5A">
              <w:rPr>
                <w:rFonts w:ascii="Arial" w:hAnsi="Arial" w:cs="Arial"/>
                <w:color w:val="000000"/>
                <w:sz w:val="19"/>
                <w:szCs w:val="19"/>
                <w:lang w:val="fr-CA"/>
              </w:rPr>
              <w:t> %</w:t>
            </w:r>
            <w:bookmarkEnd w:id="58"/>
          </w:p>
        </w:tc>
      </w:tr>
      <w:tr w:rsidR="009714CB" w:rsidRPr="00257B5A" w14:paraId="6CA2EE47" w14:textId="3D551AC6"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7637F676" w14:textId="6A97C0AD" w:rsidR="0092439A" w:rsidRPr="00257B5A" w:rsidRDefault="000F3693" w:rsidP="00A2503F">
            <w:pPr>
              <w:spacing w:after="150" w:line="240" w:lineRule="auto"/>
              <w:rPr>
                <w:rFonts w:ascii="Arial" w:eastAsia="Times New Roman" w:hAnsi="Arial" w:cs="Arial"/>
                <w:color w:val="000000"/>
                <w:sz w:val="19"/>
                <w:szCs w:val="19"/>
                <w:lang w:val="fr-CA" w:eastAsia="en-CA"/>
              </w:rPr>
            </w:pPr>
            <w:bookmarkStart w:id="59" w:name="lt_pId071"/>
            <w:r w:rsidRPr="00257B5A">
              <w:rPr>
                <w:rFonts w:ascii="Arial" w:hAnsi="Arial" w:cs="Arial"/>
                <w:color w:val="000000"/>
                <w:sz w:val="19"/>
                <w:szCs w:val="19"/>
                <w:lang w:val="fr-CA"/>
              </w:rPr>
              <w:t>31 </w:t>
            </w:r>
            <w:r w:rsidR="000304B3" w:rsidRPr="00257B5A">
              <w:rPr>
                <w:rFonts w:ascii="Arial" w:hAnsi="Arial" w:cs="Arial"/>
                <w:color w:val="000000"/>
                <w:sz w:val="19"/>
                <w:szCs w:val="19"/>
                <w:lang w:val="fr-CA"/>
              </w:rPr>
              <w:t>mai</w:t>
            </w:r>
            <w:bookmarkEnd w:id="59"/>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5BF701D4" w14:textId="6FAF8F3B"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60" w:name="lt_pId072"/>
            <w:r w:rsidRPr="00257B5A">
              <w:rPr>
                <w:rFonts w:ascii="Arial" w:hAnsi="Arial" w:cs="Arial"/>
                <w:color w:val="000000"/>
                <w:sz w:val="19"/>
                <w:szCs w:val="19"/>
                <w:lang w:val="fr-CA"/>
              </w:rPr>
              <w:t>4</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75</w:t>
            </w:r>
            <w:r w:rsidR="00A36F2C" w:rsidRPr="00257B5A">
              <w:rPr>
                <w:rFonts w:ascii="Arial" w:hAnsi="Arial" w:cs="Arial"/>
                <w:color w:val="000000"/>
                <w:sz w:val="19"/>
                <w:szCs w:val="19"/>
                <w:lang w:val="fr-CA"/>
              </w:rPr>
              <w:t> %</w:t>
            </w:r>
            <w:bookmarkEnd w:id="60"/>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77E83747" w14:textId="4888B72B" w:rsidR="0092439A" w:rsidRPr="00257B5A" w:rsidRDefault="000304B3" w:rsidP="00A2503F">
            <w:pPr>
              <w:spacing w:after="150" w:line="240" w:lineRule="auto"/>
              <w:jc w:val="center"/>
              <w:rPr>
                <w:rFonts w:ascii="Arial" w:hAnsi="Arial" w:cs="Arial"/>
                <w:color w:val="000000"/>
                <w:sz w:val="19"/>
                <w:szCs w:val="19"/>
                <w:lang w:val="fr-CA"/>
              </w:rPr>
            </w:pPr>
            <w:bookmarkStart w:id="61" w:name="lt_pId073"/>
            <w:r w:rsidRPr="00257B5A">
              <w:rPr>
                <w:rFonts w:ascii="Arial" w:hAnsi="Arial" w:cs="Arial"/>
                <w:color w:val="000000"/>
                <w:sz w:val="19"/>
                <w:szCs w:val="19"/>
                <w:lang w:val="fr-CA"/>
              </w:rPr>
              <w:t>4</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80</w:t>
            </w:r>
            <w:r w:rsidR="00A36F2C" w:rsidRPr="00257B5A">
              <w:rPr>
                <w:rFonts w:ascii="Arial" w:hAnsi="Arial" w:cs="Arial"/>
                <w:color w:val="000000"/>
                <w:sz w:val="19"/>
                <w:szCs w:val="19"/>
                <w:lang w:val="fr-CA"/>
              </w:rPr>
              <w:t> %</w:t>
            </w:r>
            <w:bookmarkEnd w:id="61"/>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2E0E10B0" w14:textId="1638932D"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62" w:name="lt_pId074"/>
            <w:r w:rsidRPr="00257B5A">
              <w:rPr>
                <w:rFonts w:ascii="Arial" w:hAnsi="Arial" w:cs="Arial"/>
                <w:color w:val="000000"/>
                <w:sz w:val="19"/>
                <w:szCs w:val="19"/>
                <w:lang w:val="fr-CA"/>
              </w:rPr>
              <w:t>4</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85</w:t>
            </w:r>
            <w:r w:rsidR="00A36F2C" w:rsidRPr="00257B5A">
              <w:rPr>
                <w:rFonts w:ascii="Arial" w:hAnsi="Arial" w:cs="Arial"/>
                <w:color w:val="000000"/>
                <w:sz w:val="19"/>
                <w:szCs w:val="19"/>
                <w:lang w:val="fr-CA"/>
              </w:rPr>
              <w:t> %</w:t>
            </w:r>
            <w:bookmarkEnd w:id="62"/>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04F0ECFC" w14:textId="18BB828E" w:rsidR="0092439A" w:rsidRPr="00257B5A" w:rsidRDefault="000304B3" w:rsidP="00A2503F">
            <w:pPr>
              <w:spacing w:after="150" w:line="240" w:lineRule="auto"/>
              <w:jc w:val="center"/>
              <w:rPr>
                <w:rFonts w:ascii="Arial" w:hAnsi="Arial" w:cs="Arial"/>
                <w:color w:val="000000"/>
                <w:sz w:val="19"/>
                <w:szCs w:val="19"/>
                <w:lang w:val="fr-CA"/>
              </w:rPr>
            </w:pPr>
            <w:bookmarkStart w:id="63" w:name="lt_pId075"/>
            <w:r w:rsidRPr="00257B5A">
              <w:rPr>
                <w:rFonts w:ascii="Arial" w:hAnsi="Arial" w:cs="Arial"/>
                <w:color w:val="000000"/>
                <w:sz w:val="19"/>
                <w:szCs w:val="19"/>
                <w:lang w:val="fr-CA"/>
              </w:rPr>
              <w:t>4</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95</w:t>
            </w:r>
            <w:r w:rsidR="00A36F2C" w:rsidRPr="00257B5A">
              <w:rPr>
                <w:rFonts w:ascii="Arial" w:hAnsi="Arial" w:cs="Arial"/>
                <w:color w:val="000000"/>
                <w:sz w:val="19"/>
                <w:szCs w:val="19"/>
                <w:lang w:val="fr-CA"/>
              </w:rPr>
              <w:t> %</w:t>
            </w:r>
            <w:bookmarkEnd w:id="63"/>
          </w:p>
        </w:tc>
      </w:tr>
      <w:tr w:rsidR="009714CB" w:rsidRPr="00257B5A" w14:paraId="1C7004A2" w14:textId="29C024DD"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419BF86D" w14:textId="557C8D40" w:rsidR="0092439A" w:rsidRPr="00257B5A" w:rsidRDefault="000F3693" w:rsidP="00A2503F">
            <w:pPr>
              <w:spacing w:after="150" w:line="240" w:lineRule="auto"/>
              <w:rPr>
                <w:rFonts w:ascii="Arial" w:eastAsia="Times New Roman" w:hAnsi="Arial" w:cs="Arial"/>
                <w:color w:val="000000"/>
                <w:sz w:val="19"/>
                <w:szCs w:val="19"/>
                <w:lang w:val="fr-CA" w:eastAsia="en-CA"/>
              </w:rPr>
            </w:pPr>
            <w:bookmarkStart w:id="64" w:name="lt_pId076"/>
            <w:r w:rsidRPr="00257B5A">
              <w:rPr>
                <w:rFonts w:ascii="Arial" w:hAnsi="Arial" w:cs="Arial"/>
                <w:color w:val="000000"/>
                <w:sz w:val="19"/>
                <w:szCs w:val="19"/>
                <w:lang w:val="fr-CA"/>
              </w:rPr>
              <w:t>30 </w:t>
            </w:r>
            <w:r w:rsidR="000304B3" w:rsidRPr="00257B5A">
              <w:rPr>
                <w:rFonts w:ascii="Arial" w:hAnsi="Arial" w:cs="Arial"/>
                <w:color w:val="000000"/>
                <w:sz w:val="19"/>
                <w:szCs w:val="19"/>
                <w:lang w:val="fr-CA"/>
              </w:rPr>
              <w:t>avril</w:t>
            </w:r>
            <w:bookmarkEnd w:id="64"/>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17965753" w14:textId="294A835F"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65" w:name="lt_pId077"/>
            <w:r w:rsidRPr="00257B5A">
              <w:rPr>
                <w:rFonts w:ascii="Arial" w:hAnsi="Arial" w:cs="Arial"/>
                <w:color w:val="000000"/>
                <w:sz w:val="19"/>
                <w:szCs w:val="19"/>
                <w:lang w:val="fr-CA"/>
              </w:rPr>
              <w:t>4</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60</w:t>
            </w:r>
            <w:r w:rsidR="00A36F2C" w:rsidRPr="00257B5A">
              <w:rPr>
                <w:rFonts w:ascii="Arial" w:hAnsi="Arial" w:cs="Arial"/>
                <w:color w:val="000000"/>
                <w:sz w:val="19"/>
                <w:szCs w:val="19"/>
                <w:lang w:val="fr-CA"/>
              </w:rPr>
              <w:t> %</w:t>
            </w:r>
            <w:bookmarkEnd w:id="65"/>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131A77B3" w14:textId="0A1BDD92" w:rsidR="0092439A" w:rsidRPr="00257B5A" w:rsidRDefault="000304B3" w:rsidP="00A2503F">
            <w:pPr>
              <w:spacing w:after="150" w:line="240" w:lineRule="auto"/>
              <w:jc w:val="center"/>
              <w:rPr>
                <w:rFonts w:ascii="Arial" w:hAnsi="Arial" w:cs="Arial"/>
                <w:color w:val="000000"/>
                <w:sz w:val="19"/>
                <w:szCs w:val="19"/>
                <w:lang w:val="fr-CA"/>
              </w:rPr>
            </w:pPr>
            <w:bookmarkStart w:id="66" w:name="lt_pId078"/>
            <w:r w:rsidRPr="00257B5A">
              <w:rPr>
                <w:rFonts w:ascii="Arial" w:hAnsi="Arial" w:cs="Arial"/>
                <w:color w:val="000000"/>
                <w:sz w:val="19"/>
                <w:szCs w:val="19"/>
                <w:lang w:val="fr-CA"/>
              </w:rPr>
              <w:t>4</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70</w:t>
            </w:r>
            <w:r w:rsidR="00A36F2C" w:rsidRPr="00257B5A">
              <w:rPr>
                <w:rFonts w:ascii="Arial" w:hAnsi="Arial" w:cs="Arial"/>
                <w:color w:val="000000"/>
                <w:sz w:val="19"/>
                <w:szCs w:val="19"/>
                <w:lang w:val="fr-CA"/>
              </w:rPr>
              <w:t> %</w:t>
            </w:r>
            <w:bookmarkEnd w:id="66"/>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7DA0C9F0" w14:textId="35B31B54"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67" w:name="lt_pId079"/>
            <w:r w:rsidRPr="00257B5A">
              <w:rPr>
                <w:rFonts w:ascii="Arial" w:hAnsi="Arial" w:cs="Arial"/>
                <w:color w:val="000000"/>
                <w:sz w:val="19"/>
                <w:szCs w:val="19"/>
                <w:lang w:val="fr-CA"/>
              </w:rPr>
              <w:t>4</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65</w:t>
            </w:r>
            <w:r w:rsidR="00A36F2C" w:rsidRPr="00257B5A">
              <w:rPr>
                <w:rFonts w:ascii="Arial" w:hAnsi="Arial" w:cs="Arial"/>
                <w:color w:val="000000"/>
                <w:sz w:val="19"/>
                <w:szCs w:val="19"/>
                <w:lang w:val="fr-CA"/>
              </w:rPr>
              <w:t> %</w:t>
            </w:r>
            <w:bookmarkEnd w:id="67"/>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4B52F74B" w14:textId="391A4E82" w:rsidR="0092439A" w:rsidRPr="00257B5A" w:rsidRDefault="000304B3" w:rsidP="00A2503F">
            <w:pPr>
              <w:spacing w:after="150" w:line="240" w:lineRule="auto"/>
              <w:jc w:val="center"/>
              <w:rPr>
                <w:rFonts w:ascii="Arial" w:hAnsi="Arial" w:cs="Arial"/>
                <w:color w:val="000000"/>
                <w:sz w:val="19"/>
                <w:szCs w:val="19"/>
                <w:lang w:val="fr-CA"/>
              </w:rPr>
            </w:pPr>
            <w:bookmarkStart w:id="68" w:name="lt_pId080"/>
            <w:r w:rsidRPr="00257B5A">
              <w:rPr>
                <w:rFonts w:ascii="Arial" w:hAnsi="Arial" w:cs="Arial"/>
                <w:color w:val="000000"/>
                <w:sz w:val="19"/>
                <w:szCs w:val="19"/>
                <w:lang w:val="fr-CA"/>
              </w:rPr>
              <w:t>4</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75</w:t>
            </w:r>
            <w:r w:rsidR="00A36F2C" w:rsidRPr="00257B5A">
              <w:rPr>
                <w:rFonts w:ascii="Arial" w:hAnsi="Arial" w:cs="Arial"/>
                <w:color w:val="000000"/>
                <w:sz w:val="19"/>
                <w:szCs w:val="19"/>
                <w:lang w:val="fr-CA"/>
              </w:rPr>
              <w:t> %</w:t>
            </w:r>
            <w:bookmarkEnd w:id="68"/>
          </w:p>
        </w:tc>
      </w:tr>
      <w:tr w:rsidR="009714CB" w:rsidRPr="00257B5A" w14:paraId="61367334" w14:textId="48E5DD40"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106E8BDA" w14:textId="29FC67BE" w:rsidR="0092439A" w:rsidRPr="00257B5A" w:rsidRDefault="000F3693" w:rsidP="00A2503F">
            <w:pPr>
              <w:spacing w:after="150" w:line="240" w:lineRule="auto"/>
              <w:rPr>
                <w:rFonts w:ascii="Arial" w:eastAsia="Times New Roman" w:hAnsi="Arial" w:cs="Arial"/>
                <w:color w:val="000000"/>
                <w:sz w:val="19"/>
                <w:szCs w:val="19"/>
                <w:lang w:val="fr-CA" w:eastAsia="en-CA"/>
              </w:rPr>
            </w:pPr>
            <w:bookmarkStart w:id="69" w:name="lt_pId081"/>
            <w:r w:rsidRPr="00257B5A">
              <w:rPr>
                <w:rFonts w:ascii="Arial" w:hAnsi="Arial" w:cs="Arial"/>
                <w:color w:val="000000"/>
                <w:sz w:val="19"/>
                <w:szCs w:val="19"/>
                <w:lang w:val="fr-CA"/>
              </w:rPr>
              <w:t>31 </w:t>
            </w:r>
            <w:r w:rsidR="000304B3" w:rsidRPr="00257B5A">
              <w:rPr>
                <w:rFonts w:ascii="Arial" w:hAnsi="Arial" w:cs="Arial"/>
                <w:color w:val="000000"/>
                <w:sz w:val="19"/>
                <w:szCs w:val="19"/>
                <w:lang w:val="fr-CA"/>
              </w:rPr>
              <w:t>mars</w:t>
            </w:r>
            <w:bookmarkEnd w:id="69"/>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7BF7EB3B" w14:textId="5329B4D3" w:rsidR="0092439A" w:rsidRPr="00257B5A" w:rsidRDefault="00A36F2C" w:rsidP="00A2503F">
            <w:pPr>
              <w:spacing w:after="150" w:line="240" w:lineRule="auto"/>
              <w:jc w:val="center"/>
              <w:rPr>
                <w:rFonts w:ascii="Arial" w:eastAsia="Times New Roman" w:hAnsi="Arial" w:cs="Arial"/>
                <w:color w:val="000000"/>
                <w:sz w:val="19"/>
                <w:szCs w:val="19"/>
                <w:lang w:val="fr-CA" w:eastAsia="en-CA"/>
              </w:rPr>
            </w:pPr>
            <w:bookmarkStart w:id="70" w:name="lt_pId082"/>
            <w:r w:rsidRPr="00257B5A">
              <w:rPr>
                <w:rFonts w:ascii="Arial" w:hAnsi="Arial" w:cs="Arial"/>
                <w:color w:val="000000"/>
                <w:sz w:val="19"/>
                <w:szCs w:val="19"/>
                <w:lang w:val="fr-CA"/>
              </w:rPr>
              <w:t xml:space="preserve">De </w:t>
            </w:r>
            <w:r w:rsidR="000304B3" w:rsidRPr="00257B5A">
              <w:rPr>
                <w:rFonts w:ascii="Arial" w:hAnsi="Arial" w:cs="Arial"/>
                <w:color w:val="000000"/>
                <w:sz w:val="19"/>
                <w:szCs w:val="19"/>
                <w:lang w:val="fr-CA"/>
              </w:rPr>
              <w:t>3</w:t>
            </w:r>
            <w:r w:rsidRPr="00257B5A">
              <w:rPr>
                <w:rFonts w:ascii="Arial" w:hAnsi="Arial" w:cs="Arial"/>
                <w:color w:val="000000"/>
                <w:sz w:val="19"/>
                <w:szCs w:val="19"/>
                <w:lang w:val="fr-CA"/>
              </w:rPr>
              <w:t>,</w:t>
            </w:r>
            <w:r w:rsidR="000304B3" w:rsidRPr="00257B5A">
              <w:rPr>
                <w:rFonts w:ascii="Arial" w:hAnsi="Arial" w:cs="Arial"/>
                <w:color w:val="000000"/>
                <w:sz w:val="19"/>
                <w:szCs w:val="19"/>
                <w:lang w:val="fr-CA"/>
              </w:rPr>
              <w:t>95</w:t>
            </w:r>
            <w:r w:rsidRPr="00257B5A">
              <w:rPr>
                <w:rFonts w:ascii="Arial" w:hAnsi="Arial" w:cs="Arial"/>
                <w:color w:val="000000"/>
                <w:sz w:val="19"/>
                <w:szCs w:val="19"/>
                <w:lang w:val="fr-CA"/>
              </w:rPr>
              <w:t> %</w:t>
            </w:r>
            <w:r w:rsidR="000304B3" w:rsidRPr="00257B5A">
              <w:rPr>
                <w:rFonts w:ascii="Arial" w:hAnsi="Arial" w:cs="Arial"/>
                <w:color w:val="000000"/>
                <w:sz w:val="19"/>
                <w:szCs w:val="19"/>
                <w:lang w:val="fr-CA"/>
              </w:rPr>
              <w:t xml:space="preserve"> </w:t>
            </w:r>
            <w:r w:rsidRPr="00257B5A">
              <w:rPr>
                <w:rFonts w:ascii="Arial" w:hAnsi="Arial" w:cs="Arial"/>
                <w:color w:val="000000"/>
                <w:sz w:val="19"/>
                <w:szCs w:val="19"/>
                <w:lang w:val="fr-CA"/>
              </w:rPr>
              <w:t>à</w:t>
            </w:r>
            <w:r w:rsidR="000304B3" w:rsidRPr="00257B5A">
              <w:rPr>
                <w:rFonts w:ascii="Arial" w:hAnsi="Arial" w:cs="Arial"/>
                <w:color w:val="000000"/>
                <w:sz w:val="19"/>
                <w:szCs w:val="19"/>
                <w:lang w:val="fr-CA"/>
              </w:rPr>
              <w:t xml:space="preserve"> 4</w:t>
            </w:r>
            <w:r w:rsidRPr="00257B5A">
              <w:rPr>
                <w:rFonts w:ascii="Arial" w:hAnsi="Arial" w:cs="Arial"/>
                <w:color w:val="000000"/>
                <w:sz w:val="19"/>
                <w:szCs w:val="19"/>
                <w:lang w:val="fr-CA"/>
              </w:rPr>
              <w:t>,</w:t>
            </w:r>
            <w:r w:rsidR="000304B3" w:rsidRPr="00257B5A">
              <w:rPr>
                <w:rFonts w:ascii="Arial" w:hAnsi="Arial" w:cs="Arial"/>
                <w:color w:val="000000"/>
                <w:sz w:val="19"/>
                <w:szCs w:val="19"/>
                <w:lang w:val="fr-CA"/>
              </w:rPr>
              <w:t>00</w:t>
            </w:r>
            <w:r w:rsidRPr="00257B5A">
              <w:rPr>
                <w:rFonts w:ascii="Arial" w:hAnsi="Arial" w:cs="Arial"/>
                <w:color w:val="000000"/>
                <w:sz w:val="19"/>
                <w:szCs w:val="19"/>
                <w:lang w:val="fr-CA"/>
              </w:rPr>
              <w:t> %</w:t>
            </w:r>
            <w:bookmarkEnd w:id="70"/>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287569E0" w14:textId="7B45B329" w:rsidR="0092439A" w:rsidRPr="00257B5A" w:rsidRDefault="000304B3" w:rsidP="00A2503F">
            <w:pPr>
              <w:spacing w:after="150" w:line="240" w:lineRule="auto"/>
              <w:jc w:val="center"/>
              <w:rPr>
                <w:rFonts w:ascii="Arial" w:hAnsi="Arial" w:cs="Arial"/>
                <w:color w:val="000000"/>
                <w:sz w:val="19"/>
                <w:szCs w:val="19"/>
                <w:lang w:val="fr-CA"/>
              </w:rPr>
            </w:pPr>
            <w:bookmarkStart w:id="71" w:name="lt_pId083"/>
            <w:r w:rsidRPr="00257B5A">
              <w:rPr>
                <w:rFonts w:ascii="Arial" w:hAnsi="Arial" w:cs="Arial"/>
                <w:color w:val="000000"/>
                <w:sz w:val="19"/>
                <w:szCs w:val="19"/>
                <w:lang w:val="fr-CA"/>
              </w:rPr>
              <w:t>4</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05</w:t>
            </w:r>
            <w:r w:rsidR="00A36F2C" w:rsidRPr="00257B5A">
              <w:rPr>
                <w:rFonts w:ascii="Arial" w:hAnsi="Arial" w:cs="Arial"/>
                <w:color w:val="000000"/>
                <w:sz w:val="19"/>
                <w:szCs w:val="19"/>
                <w:lang w:val="fr-CA"/>
              </w:rPr>
              <w:t> %</w:t>
            </w:r>
            <w:bookmarkEnd w:id="71"/>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710829BF" w14:textId="2C06873C"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72" w:name="lt_pId084"/>
            <w:r w:rsidRPr="00257B5A">
              <w:rPr>
                <w:rFonts w:ascii="Arial" w:hAnsi="Arial" w:cs="Arial"/>
                <w:color w:val="000000"/>
                <w:sz w:val="19"/>
                <w:szCs w:val="19"/>
                <w:lang w:val="fr-CA"/>
              </w:rPr>
              <w:t>4</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85</w:t>
            </w:r>
            <w:r w:rsidR="00A36F2C" w:rsidRPr="00257B5A">
              <w:rPr>
                <w:rFonts w:ascii="Arial" w:hAnsi="Arial" w:cs="Arial"/>
                <w:color w:val="000000"/>
                <w:sz w:val="19"/>
                <w:szCs w:val="19"/>
                <w:lang w:val="fr-CA"/>
              </w:rPr>
              <w:t> %</w:t>
            </w:r>
            <w:bookmarkEnd w:id="72"/>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3565B465" w14:textId="43238C4F" w:rsidR="0092439A" w:rsidRPr="00257B5A" w:rsidRDefault="000304B3" w:rsidP="00A2503F">
            <w:pPr>
              <w:spacing w:after="150" w:line="240" w:lineRule="auto"/>
              <w:jc w:val="center"/>
              <w:rPr>
                <w:rFonts w:ascii="Arial" w:hAnsi="Arial" w:cs="Arial"/>
                <w:color w:val="000000"/>
                <w:sz w:val="19"/>
                <w:szCs w:val="19"/>
                <w:lang w:val="fr-CA"/>
              </w:rPr>
            </w:pPr>
            <w:bookmarkStart w:id="73" w:name="lt_pId085"/>
            <w:r w:rsidRPr="00257B5A">
              <w:rPr>
                <w:rFonts w:ascii="Arial" w:hAnsi="Arial" w:cs="Arial"/>
                <w:color w:val="000000"/>
                <w:sz w:val="19"/>
                <w:szCs w:val="19"/>
                <w:lang w:val="fr-CA"/>
              </w:rPr>
              <w:t>5</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00</w:t>
            </w:r>
            <w:r w:rsidR="00A36F2C" w:rsidRPr="00257B5A">
              <w:rPr>
                <w:rFonts w:ascii="Arial" w:hAnsi="Arial" w:cs="Arial"/>
                <w:color w:val="000000"/>
                <w:sz w:val="19"/>
                <w:szCs w:val="19"/>
                <w:lang w:val="fr-CA"/>
              </w:rPr>
              <w:t> %</w:t>
            </w:r>
            <w:bookmarkEnd w:id="73"/>
          </w:p>
        </w:tc>
      </w:tr>
      <w:tr w:rsidR="009714CB" w:rsidRPr="00257B5A" w14:paraId="75187D08" w14:textId="19C65FDC"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00EE849C" w14:textId="62671666" w:rsidR="0092439A" w:rsidRPr="00257B5A" w:rsidRDefault="000F3693" w:rsidP="00A2503F">
            <w:pPr>
              <w:spacing w:after="150" w:line="240" w:lineRule="auto"/>
              <w:rPr>
                <w:rFonts w:ascii="Arial" w:eastAsia="Times New Roman" w:hAnsi="Arial" w:cs="Arial"/>
                <w:color w:val="000000"/>
                <w:sz w:val="19"/>
                <w:szCs w:val="19"/>
                <w:lang w:val="fr-CA" w:eastAsia="en-CA"/>
              </w:rPr>
            </w:pPr>
            <w:bookmarkStart w:id="74" w:name="lt_pId086"/>
            <w:r w:rsidRPr="00257B5A">
              <w:rPr>
                <w:rFonts w:ascii="Arial" w:hAnsi="Arial" w:cs="Arial"/>
                <w:color w:val="000000"/>
                <w:sz w:val="19"/>
                <w:szCs w:val="19"/>
                <w:lang w:val="fr-CA"/>
              </w:rPr>
              <w:t>28 </w:t>
            </w:r>
            <w:r w:rsidR="000304B3" w:rsidRPr="00257B5A">
              <w:rPr>
                <w:rFonts w:ascii="Arial" w:hAnsi="Arial" w:cs="Arial"/>
                <w:color w:val="000000"/>
                <w:sz w:val="19"/>
                <w:szCs w:val="19"/>
                <w:lang w:val="fr-CA"/>
              </w:rPr>
              <w:t>février</w:t>
            </w:r>
            <w:bookmarkEnd w:id="74"/>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59620BAB" w14:textId="3CB923EE"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75" w:name="lt_pId087"/>
            <w:r w:rsidRPr="00257B5A">
              <w:rPr>
                <w:rFonts w:ascii="Arial" w:hAnsi="Arial" w:cs="Arial"/>
                <w:color w:val="000000"/>
                <w:sz w:val="19"/>
                <w:szCs w:val="19"/>
                <w:lang w:val="fr-CA"/>
              </w:rPr>
              <w:t>3</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65</w:t>
            </w:r>
            <w:r w:rsidR="00A36F2C" w:rsidRPr="00257B5A">
              <w:rPr>
                <w:rFonts w:ascii="Arial" w:hAnsi="Arial" w:cs="Arial"/>
                <w:color w:val="000000"/>
                <w:sz w:val="19"/>
                <w:szCs w:val="19"/>
                <w:lang w:val="fr-CA"/>
              </w:rPr>
              <w:t> %</w:t>
            </w:r>
            <w:bookmarkEnd w:id="75"/>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243E510F" w14:textId="46B6664A" w:rsidR="0092439A" w:rsidRPr="00257B5A" w:rsidRDefault="000304B3" w:rsidP="00A2503F">
            <w:pPr>
              <w:spacing w:after="150" w:line="240" w:lineRule="auto"/>
              <w:jc w:val="center"/>
              <w:rPr>
                <w:rFonts w:ascii="Arial" w:hAnsi="Arial" w:cs="Arial"/>
                <w:color w:val="000000"/>
                <w:sz w:val="19"/>
                <w:szCs w:val="19"/>
                <w:lang w:val="fr-CA"/>
              </w:rPr>
            </w:pPr>
            <w:bookmarkStart w:id="76" w:name="lt_pId088"/>
            <w:r w:rsidRPr="00257B5A">
              <w:rPr>
                <w:rFonts w:ascii="Arial" w:hAnsi="Arial" w:cs="Arial"/>
                <w:color w:val="000000"/>
                <w:sz w:val="19"/>
                <w:szCs w:val="19"/>
                <w:lang w:val="fr-CA"/>
              </w:rPr>
              <w:t>3</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80</w:t>
            </w:r>
            <w:r w:rsidR="00A36F2C" w:rsidRPr="00257B5A">
              <w:rPr>
                <w:rFonts w:ascii="Arial" w:hAnsi="Arial" w:cs="Arial"/>
                <w:color w:val="000000"/>
                <w:sz w:val="19"/>
                <w:szCs w:val="19"/>
                <w:lang w:val="fr-CA"/>
              </w:rPr>
              <w:t> %</w:t>
            </w:r>
            <w:bookmarkEnd w:id="76"/>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21668567" w14:textId="5BFB6D31"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77" w:name="lt_pId089"/>
            <w:r w:rsidRPr="00257B5A">
              <w:rPr>
                <w:rFonts w:ascii="Arial" w:hAnsi="Arial" w:cs="Arial"/>
                <w:color w:val="000000"/>
                <w:sz w:val="19"/>
                <w:szCs w:val="19"/>
                <w:lang w:val="fr-CA"/>
              </w:rPr>
              <w:t>4</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90</w:t>
            </w:r>
            <w:r w:rsidR="00A36F2C" w:rsidRPr="00257B5A">
              <w:rPr>
                <w:rFonts w:ascii="Arial" w:hAnsi="Arial" w:cs="Arial"/>
                <w:color w:val="000000"/>
                <w:sz w:val="19"/>
                <w:szCs w:val="19"/>
                <w:lang w:val="fr-CA"/>
              </w:rPr>
              <w:t> %</w:t>
            </w:r>
            <w:bookmarkEnd w:id="77"/>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6A58343D" w14:textId="66622447" w:rsidR="0092439A" w:rsidRPr="00257B5A" w:rsidRDefault="000304B3" w:rsidP="00A2503F">
            <w:pPr>
              <w:spacing w:after="150" w:line="240" w:lineRule="auto"/>
              <w:jc w:val="center"/>
              <w:rPr>
                <w:rFonts w:ascii="Arial" w:hAnsi="Arial" w:cs="Arial"/>
                <w:color w:val="000000"/>
                <w:sz w:val="19"/>
                <w:szCs w:val="19"/>
                <w:lang w:val="fr-CA"/>
              </w:rPr>
            </w:pPr>
            <w:bookmarkStart w:id="78" w:name="lt_pId090"/>
            <w:r w:rsidRPr="00257B5A">
              <w:rPr>
                <w:rFonts w:ascii="Arial" w:hAnsi="Arial" w:cs="Arial"/>
                <w:color w:val="000000"/>
                <w:sz w:val="19"/>
                <w:szCs w:val="19"/>
                <w:lang w:val="fr-CA"/>
              </w:rPr>
              <w:t>4</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95</w:t>
            </w:r>
            <w:r w:rsidR="00A36F2C" w:rsidRPr="00257B5A">
              <w:rPr>
                <w:rFonts w:ascii="Arial" w:hAnsi="Arial" w:cs="Arial"/>
                <w:color w:val="000000"/>
                <w:sz w:val="19"/>
                <w:szCs w:val="19"/>
                <w:lang w:val="fr-CA"/>
              </w:rPr>
              <w:t> %</w:t>
            </w:r>
            <w:bookmarkEnd w:id="78"/>
          </w:p>
        </w:tc>
      </w:tr>
      <w:tr w:rsidR="009714CB" w:rsidRPr="00257B5A" w14:paraId="1FB2B2AD" w14:textId="54D906A3" w:rsidTr="00806EAD">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47819A16" w14:textId="39EA32B9" w:rsidR="0092439A" w:rsidRPr="00257B5A" w:rsidRDefault="000F3693" w:rsidP="00A2503F">
            <w:pPr>
              <w:spacing w:after="150" w:line="240" w:lineRule="auto"/>
              <w:rPr>
                <w:rFonts w:ascii="Arial" w:eastAsia="Times New Roman" w:hAnsi="Arial" w:cs="Arial"/>
                <w:color w:val="000000"/>
                <w:sz w:val="19"/>
                <w:szCs w:val="19"/>
                <w:lang w:val="fr-CA" w:eastAsia="en-CA"/>
              </w:rPr>
            </w:pPr>
            <w:bookmarkStart w:id="79" w:name="lt_pId091"/>
            <w:r w:rsidRPr="00257B5A">
              <w:rPr>
                <w:rFonts w:ascii="Arial" w:hAnsi="Arial" w:cs="Arial"/>
                <w:color w:val="000000"/>
                <w:sz w:val="19"/>
                <w:szCs w:val="19"/>
                <w:lang w:val="fr-CA"/>
              </w:rPr>
              <w:t>31 </w:t>
            </w:r>
            <w:r w:rsidR="000304B3" w:rsidRPr="00257B5A">
              <w:rPr>
                <w:rFonts w:ascii="Arial" w:hAnsi="Arial" w:cs="Arial"/>
                <w:color w:val="000000"/>
                <w:sz w:val="19"/>
                <w:szCs w:val="19"/>
                <w:lang w:val="fr-CA"/>
              </w:rPr>
              <w:t>janvier</w:t>
            </w:r>
            <w:bookmarkEnd w:id="79"/>
          </w:p>
        </w:tc>
        <w:tc>
          <w:tcPr>
            <w:tcW w:w="176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52011356" w14:textId="46ACA382"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80" w:name="lt_pId092"/>
            <w:r w:rsidRPr="00257B5A">
              <w:rPr>
                <w:rFonts w:ascii="Arial" w:hAnsi="Arial" w:cs="Arial"/>
                <w:color w:val="000000"/>
                <w:sz w:val="19"/>
                <w:szCs w:val="19"/>
                <w:lang w:val="fr-CA"/>
              </w:rPr>
              <w:t>3</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40</w:t>
            </w:r>
            <w:r w:rsidR="00A36F2C" w:rsidRPr="00257B5A">
              <w:rPr>
                <w:rFonts w:ascii="Arial" w:hAnsi="Arial" w:cs="Arial"/>
                <w:color w:val="000000"/>
                <w:sz w:val="19"/>
                <w:szCs w:val="19"/>
                <w:lang w:val="fr-CA"/>
              </w:rPr>
              <w:t> %</w:t>
            </w:r>
            <w:bookmarkEnd w:id="80"/>
          </w:p>
        </w:tc>
        <w:tc>
          <w:tcPr>
            <w:tcW w:w="1847" w:type="dxa"/>
            <w:tcBorders>
              <w:top w:val="single" w:sz="6" w:space="0" w:color="CCCCCC"/>
              <w:left w:val="single" w:sz="6" w:space="0" w:color="CCCCCC"/>
              <w:bottom w:val="single" w:sz="6" w:space="0" w:color="CCCCCC"/>
              <w:right w:val="single" w:sz="6" w:space="0" w:color="CCCCCC"/>
            </w:tcBorders>
            <w:shd w:val="clear" w:color="auto" w:fill="FFFFFF"/>
          </w:tcPr>
          <w:p w14:paraId="0D675739" w14:textId="43B20DE9" w:rsidR="0092439A" w:rsidRPr="00257B5A" w:rsidRDefault="000304B3" w:rsidP="00A2503F">
            <w:pPr>
              <w:spacing w:after="150" w:line="240" w:lineRule="auto"/>
              <w:jc w:val="center"/>
              <w:rPr>
                <w:rFonts w:ascii="Arial" w:hAnsi="Arial" w:cs="Arial"/>
                <w:color w:val="000000"/>
                <w:sz w:val="19"/>
                <w:szCs w:val="19"/>
                <w:lang w:val="fr-CA"/>
              </w:rPr>
            </w:pPr>
            <w:bookmarkStart w:id="81" w:name="lt_pId093"/>
            <w:r w:rsidRPr="00257B5A">
              <w:rPr>
                <w:rFonts w:ascii="Arial" w:hAnsi="Arial" w:cs="Arial"/>
                <w:color w:val="000000"/>
                <w:sz w:val="19"/>
                <w:szCs w:val="19"/>
                <w:lang w:val="fr-CA"/>
              </w:rPr>
              <w:t>3</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60</w:t>
            </w:r>
            <w:r w:rsidR="00A36F2C" w:rsidRPr="00257B5A">
              <w:rPr>
                <w:rFonts w:ascii="Arial" w:hAnsi="Arial" w:cs="Arial"/>
                <w:color w:val="000000"/>
                <w:sz w:val="19"/>
                <w:szCs w:val="19"/>
                <w:lang w:val="fr-CA"/>
              </w:rPr>
              <w:t> %</w:t>
            </w:r>
            <w:bookmarkEnd w:id="81"/>
          </w:p>
        </w:tc>
        <w:tc>
          <w:tcPr>
            <w:tcW w:w="18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14:paraId="0E4F9FD0" w14:textId="731805A7" w:rsidR="0092439A" w:rsidRPr="00257B5A" w:rsidRDefault="000304B3" w:rsidP="00A2503F">
            <w:pPr>
              <w:spacing w:after="150" w:line="240" w:lineRule="auto"/>
              <w:jc w:val="center"/>
              <w:rPr>
                <w:rFonts w:ascii="Arial" w:eastAsia="Times New Roman" w:hAnsi="Arial" w:cs="Arial"/>
                <w:color w:val="000000"/>
                <w:sz w:val="19"/>
                <w:szCs w:val="19"/>
                <w:lang w:val="fr-CA" w:eastAsia="en-CA"/>
              </w:rPr>
            </w:pPr>
            <w:bookmarkStart w:id="82" w:name="lt_pId094"/>
            <w:r w:rsidRPr="00257B5A">
              <w:rPr>
                <w:rFonts w:ascii="Arial" w:hAnsi="Arial" w:cs="Arial"/>
                <w:color w:val="000000"/>
                <w:sz w:val="19"/>
                <w:szCs w:val="19"/>
                <w:lang w:val="fr-CA"/>
              </w:rPr>
              <w:t>4</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65</w:t>
            </w:r>
            <w:r w:rsidR="00A36F2C" w:rsidRPr="00257B5A">
              <w:rPr>
                <w:rFonts w:ascii="Arial" w:hAnsi="Arial" w:cs="Arial"/>
                <w:color w:val="000000"/>
                <w:sz w:val="19"/>
                <w:szCs w:val="19"/>
                <w:lang w:val="fr-CA"/>
              </w:rPr>
              <w:t> %</w:t>
            </w:r>
            <w:bookmarkEnd w:id="82"/>
          </w:p>
        </w:tc>
        <w:tc>
          <w:tcPr>
            <w:tcW w:w="2122" w:type="dxa"/>
            <w:tcBorders>
              <w:top w:val="single" w:sz="6" w:space="0" w:color="CCCCCC"/>
              <w:left w:val="single" w:sz="6" w:space="0" w:color="CCCCCC"/>
              <w:bottom w:val="single" w:sz="6" w:space="0" w:color="CCCCCC"/>
              <w:right w:val="single" w:sz="6" w:space="0" w:color="CCCCCC"/>
            </w:tcBorders>
            <w:shd w:val="clear" w:color="auto" w:fill="FFFFFF"/>
          </w:tcPr>
          <w:p w14:paraId="24E08C6F" w14:textId="1B88337C" w:rsidR="0092439A" w:rsidRPr="00257B5A" w:rsidRDefault="000304B3" w:rsidP="00A2503F">
            <w:pPr>
              <w:spacing w:after="150" w:line="240" w:lineRule="auto"/>
              <w:jc w:val="center"/>
              <w:rPr>
                <w:rFonts w:ascii="Arial" w:hAnsi="Arial" w:cs="Arial"/>
                <w:color w:val="000000"/>
                <w:sz w:val="19"/>
                <w:szCs w:val="19"/>
                <w:lang w:val="fr-CA"/>
              </w:rPr>
            </w:pPr>
            <w:bookmarkStart w:id="83" w:name="lt_pId095"/>
            <w:r w:rsidRPr="00257B5A">
              <w:rPr>
                <w:rFonts w:ascii="Arial" w:hAnsi="Arial" w:cs="Arial"/>
                <w:color w:val="000000"/>
                <w:sz w:val="19"/>
                <w:szCs w:val="19"/>
                <w:lang w:val="fr-CA"/>
              </w:rPr>
              <w:t>4</w:t>
            </w:r>
            <w:r w:rsidR="00A36F2C" w:rsidRPr="00257B5A">
              <w:rPr>
                <w:rFonts w:ascii="Arial" w:hAnsi="Arial" w:cs="Arial"/>
                <w:color w:val="000000"/>
                <w:sz w:val="19"/>
                <w:szCs w:val="19"/>
                <w:lang w:val="fr-CA"/>
              </w:rPr>
              <w:t>,</w:t>
            </w:r>
            <w:r w:rsidRPr="00257B5A">
              <w:rPr>
                <w:rFonts w:ascii="Arial" w:hAnsi="Arial" w:cs="Arial"/>
                <w:color w:val="000000"/>
                <w:sz w:val="19"/>
                <w:szCs w:val="19"/>
                <w:lang w:val="fr-CA"/>
              </w:rPr>
              <w:t>75</w:t>
            </w:r>
            <w:r w:rsidR="00A36F2C" w:rsidRPr="00257B5A">
              <w:rPr>
                <w:rFonts w:ascii="Arial" w:hAnsi="Arial" w:cs="Arial"/>
                <w:color w:val="000000"/>
                <w:sz w:val="19"/>
                <w:szCs w:val="19"/>
                <w:lang w:val="fr-CA"/>
              </w:rPr>
              <w:t> %</w:t>
            </w:r>
            <w:bookmarkEnd w:id="83"/>
          </w:p>
        </w:tc>
      </w:tr>
    </w:tbl>
    <w:p w14:paraId="60CF7151" w14:textId="77777777" w:rsidR="0092439A" w:rsidRPr="00257B5A" w:rsidRDefault="0092439A" w:rsidP="00B042F6">
      <w:pPr>
        <w:pStyle w:val="NormalWeb"/>
        <w:spacing w:before="150" w:beforeAutospacing="0" w:after="150" w:afterAutospacing="0"/>
        <w:ind w:right="150"/>
        <w:rPr>
          <w:rFonts w:ascii="Arial" w:hAnsi="Arial" w:cs="Arial"/>
          <w:color w:val="000000"/>
          <w:sz w:val="19"/>
          <w:szCs w:val="19"/>
          <w:shd w:val="clear" w:color="auto" w:fill="FFFFFF"/>
          <w:lang w:val="fr-CA"/>
        </w:rPr>
      </w:pPr>
    </w:p>
    <w:p w14:paraId="5732B279" w14:textId="77E32506" w:rsidR="00B042F6" w:rsidRPr="00257B5A" w:rsidRDefault="000304B3" w:rsidP="00B042F6">
      <w:pPr>
        <w:pStyle w:val="NormalWeb"/>
        <w:shd w:val="clear" w:color="auto" w:fill="FFFFFF"/>
        <w:spacing w:before="0" w:beforeAutospacing="0" w:after="150" w:afterAutospacing="0"/>
        <w:rPr>
          <w:rFonts w:ascii="Arial" w:hAnsi="Arial" w:cs="Arial"/>
          <w:color w:val="000000"/>
          <w:sz w:val="19"/>
          <w:szCs w:val="19"/>
          <w:lang w:val="fr-CA"/>
        </w:rPr>
      </w:pPr>
      <w:bookmarkStart w:id="84" w:name="lt_pId096"/>
      <w:r w:rsidRPr="00257B5A">
        <w:rPr>
          <w:rFonts w:ascii="Arial" w:hAnsi="Arial" w:cs="Arial"/>
          <w:color w:val="000000"/>
          <w:sz w:val="19"/>
          <w:szCs w:val="19"/>
          <w:lang w:val="fr-CA"/>
        </w:rPr>
        <w:t>Les fourchettes indiquées ci-dessus s</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 xml:space="preserve">appliquent </w:t>
      </w:r>
      <w:r w:rsidR="00492064" w:rsidRPr="00257B5A">
        <w:rPr>
          <w:rFonts w:ascii="Arial" w:hAnsi="Arial" w:cs="Arial"/>
          <w:color w:val="000000"/>
          <w:sz w:val="19"/>
          <w:szCs w:val="19"/>
          <w:lang w:val="fr-CA"/>
        </w:rPr>
        <w:t>à des</w:t>
      </w:r>
      <w:r w:rsidR="00450726" w:rsidRPr="00257B5A">
        <w:rPr>
          <w:rFonts w:ascii="Arial" w:hAnsi="Arial" w:cs="Arial"/>
          <w:color w:val="000000"/>
          <w:sz w:val="19"/>
          <w:szCs w:val="19"/>
          <w:lang w:val="fr-CA"/>
        </w:rPr>
        <w:t xml:space="preserve"> </w:t>
      </w:r>
      <w:r w:rsidRPr="00257B5A">
        <w:rPr>
          <w:rFonts w:ascii="Arial" w:hAnsi="Arial" w:cs="Arial"/>
          <w:color w:val="000000"/>
          <w:sz w:val="19"/>
          <w:szCs w:val="19"/>
          <w:lang w:val="fr-CA"/>
        </w:rPr>
        <w:t xml:space="preserve">régimes de retraite </w:t>
      </w:r>
      <w:r w:rsidR="00017BFC" w:rsidRPr="00257B5A">
        <w:rPr>
          <w:rFonts w:ascii="Arial" w:hAnsi="Arial" w:cs="Arial"/>
          <w:color w:val="000000"/>
          <w:sz w:val="19"/>
          <w:szCs w:val="19"/>
          <w:lang w:val="fr-CA"/>
        </w:rPr>
        <w:t>et d</w:t>
      </w:r>
      <w:r w:rsidR="00257B5A" w:rsidRPr="00257B5A">
        <w:rPr>
          <w:rFonts w:ascii="Arial" w:hAnsi="Arial" w:cs="Arial"/>
          <w:color w:val="000000"/>
          <w:sz w:val="19"/>
          <w:szCs w:val="19"/>
          <w:lang w:val="fr-CA"/>
        </w:rPr>
        <w:t>’</w:t>
      </w:r>
      <w:r w:rsidR="00017BFC" w:rsidRPr="00257B5A">
        <w:rPr>
          <w:rFonts w:ascii="Arial" w:hAnsi="Arial" w:cs="Arial"/>
          <w:color w:val="000000"/>
          <w:sz w:val="19"/>
          <w:szCs w:val="19"/>
          <w:lang w:val="fr-CA"/>
        </w:rPr>
        <w:t xml:space="preserve">avantages sociaux </w:t>
      </w:r>
      <w:r w:rsidR="00492064" w:rsidRPr="00257B5A">
        <w:rPr>
          <w:rFonts w:ascii="Arial" w:hAnsi="Arial" w:cs="Arial"/>
          <w:color w:val="000000"/>
          <w:sz w:val="19"/>
          <w:szCs w:val="19"/>
          <w:lang w:val="fr-CA"/>
        </w:rPr>
        <w:t xml:space="preserve">typiques </w:t>
      </w:r>
      <w:r w:rsidRPr="00257B5A">
        <w:rPr>
          <w:rFonts w:ascii="Arial" w:hAnsi="Arial" w:cs="Arial"/>
          <w:color w:val="000000"/>
          <w:sz w:val="19"/>
          <w:szCs w:val="19"/>
          <w:lang w:val="fr-CA"/>
        </w:rPr>
        <w:t>et peuvent ne pas convenir dans certains cas.</w:t>
      </w:r>
      <w:bookmarkEnd w:id="84"/>
      <w:r w:rsidRPr="00257B5A">
        <w:rPr>
          <w:rFonts w:ascii="Arial" w:hAnsi="Arial" w:cs="Arial"/>
          <w:color w:val="000000"/>
          <w:sz w:val="19"/>
          <w:szCs w:val="19"/>
          <w:lang w:val="fr-CA"/>
        </w:rPr>
        <w:t xml:space="preserve"> </w:t>
      </w:r>
    </w:p>
    <w:p w14:paraId="4EF5B18F" w14:textId="5C296DBB" w:rsidR="00B042F6" w:rsidRPr="00257B5A" w:rsidRDefault="0037225B" w:rsidP="00B042F6">
      <w:pPr>
        <w:pStyle w:val="NormalWeb"/>
        <w:shd w:val="clear" w:color="auto" w:fill="FFFFFF"/>
        <w:spacing w:before="0" w:beforeAutospacing="0" w:after="150" w:afterAutospacing="0"/>
        <w:rPr>
          <w:rFonts w:ascii="Arial" w:hAnsi="Arial" w:cs="Arial"/>
          <w:color w:val="000000"/>
          <w:sz w:val="19"/>
          <w:szCs w:val="19"/>
          <w:lang w:val="fr-CA"/>
        </w:rPr>
      </w:pPr>
      <w:r w:rsidRPr="00257B5A">
        <w:rPr>
          <w:rFonts w:ascii="Arial" w:hAnsi="Arial" w:cs="Arial"/>
          <w:color w:val="000000"/>
          <w:sz w:val="19"/>
          <w:szCs w:val="19"/>
          <w:lang w:val="fr-CA"/>
        </w:rPr>
        <w:t>C</w:t>
      </w:r>
      <w:r w:rsidR="000F055C" w:rsidRPr="00257B5A">
        <w:rPr>
          <w:rFonts w:ascii="Arial" w:hAnsi="Arial" w:cs="Arial"/>
          <w:color w:val="000000"/>
          <w:sz w:val="19"/>
          <w:szCs w:val="19"/>
          <w:lang w:val="fr-CA"/>
        </w:rPr>
        <w:t>ertaines courbes de taux présentées ci-dessus</w:t>
      </w:r>
      <w:r w:rsidR="00450726" w:rsidRPr="00257B5A">
        <w:rPr>
          <w:rFonts w:ascii="Arial" w:hAnsi="Arial" w:cs="Arial"/>
          <w:color w:val="000000"/>
          <w:sz w:val="19"/>
          <w:szCs w:val="19"/>
          <w:lang w:val="fr-CA"/>
        </w:rPr>
        <w:t xml:space="preserve"> demeurent </w:t>
      </w:r>
      <w:r w:rsidR="000F055C" w:rsidRPr="00257B5A">
        <w:rPr>
          <w:rFonts w:ascii="Arial" w:hAnsi="Arial" w:cs="Arial"/>
          <w:color w:val="000000"/>
          <w:sz w:val="19"/>
          <w:szCs w:val="19"/>
          <w:lang w:val="fr-CA"/>
        </w:rPr>
        <w:t xml:space="preserve">stables </w:t>
      </w:r>
      <w:r w:rsidR="00492064" w:rsidRPr="00257B5A">
        <w:rPr>
          <w:rFonts w:ascii="Arial" w:hAnsi="Arial" w:cs="Arial"/>
          <w:color w:val="000000"/>
          <w:sz w:val="19"/>
          <w:szCs w:val="19"/>
          <w:lang w:val="fr-CA"/>
        </w:rPr>
        <w:t>d</w:t>
      </w:r>
      <w:r w:rsidR="00257B5A" w:rsidRPr="00257B5A">
        <w:rPr>
          <w:rFonts w:ascii="Arial" w:hAnsi="Arial" w:cs="Arial"/>
          <w:color w:val="000000"/>
          <w:sz w:val="19"/>
          <w:szCs w:val="19"/>
          <w:lang w:val="fr-CA"/>
        </w:rPr>
        <w:t>’</w:t>
      </w:r>
      <w:r w:rsidR="00492064" w:rsidRPr="00257B5A">
        <w:rPr>
          <w:rFonts w:ascii="Arial" w:hAnsi="Arial" w:cs="Arial"/>
          <w:color w:val="000000"/>
          <w:sz w:val="19"/>
          <w:szCs w:val="19"/>
          <w:lang w:val="fr-CA"/>
        </w:rPr>
        <w:t xml:space="preserve">une </w:t>
      </w:r>
      <w:r w:rsidRPr="00257B5A">
        <w:rPr>
          <w:rFonts w:ascii="Arial" w:hAnsi="Arial" w:cs="Arial"/>
          <w:color w:val="000000"/>
          <w:sz w:val="19"/>
          <w:szCs w:val="19"/>
          <w:lang w:val="fr-CA"/>
        </w:rPr>
        <w:t xml:space="preserve">duration </w:t>
      </w:r>
      <w:r w:rsidR="000F055C" w:rsidRPr="00257B5A">
        <w:rPr>
          <w:rFonts w:ascii="Arial" w:hAnsi="Arial" w:cs="Arial"/>
          <w:color w:val="000000"/>
          <w:sz w:val="19"/>
          <w:szCs w:val="19"/>
          <w:lang w:val="fr-CA"/>
        </w:rPr>
        <w:t xml:space="preserve">de 14 ans à </w:t>
      </w:r>
      <w:r w:rsidR="00492064" w:rsidRPr="00257B5A">
        <w:rPr>
          <w:rFonts w:ascii="Arial" w:hAnsi="Arial" w:cs="Arial"/>
          <w:color w:val="000000"/>
          <w:sz w:val="19"/>
          <w:szCs w:val="19"/>
          <w:lang w:val="fr-CA"/>
        </w:rPr>
        <w:t xml:space="preserve">une duration de </w:t>
      </w:r>
      <w:r w:rsidR="000F055C" w:rsidRPr="00257B5A">
        <w:rPr>
          <w:rFonts w:ascii="Arial" w:hAnsi="Arial" w:cs="Arial"/>
          <w:color w:val="000000"/>
          <w:sz w:val="19"/>
          <w:szCs w:val="19"/>
          <w:lang w:val="fr-CA"/>
        </w:rPr>
        <w:t xml:space="preserve">24 ans. Par conséquent, la limite inférieure et la limite supérieure de la fourchette donnent le même </w:t>
      </w:r>
      <w:r w:rsidR="000F055C" w:rsidRPr="00257B5A">
        <w:rPr>
          <w:rFonts w:ascii="Arial" w:hAnsi="Arial" w:cs="Arial"/>
          <w:color w:val="000000"/>
          <w:sz w:val="19"/>
          <w:szCs w:val="19"/>
          <w:lang w:val="fr-CA"/>
        </w:rPr>
        <w:t>taux.</w:t>
      </w:r>
      <w:r w:rsidR="00BB2424">
        <w:rPr>
          <w:rFonts w:ascii="Arial" w:hAnsi="Arial" w:cs="Arial"/>
          <w:color w:val="000000"/>
          <w:sz w:val="19"/>
          <w:szCs w:val="19"/>
          <w:lang w:val="fr-CA"/>
        </w:rPr>
        <w:t xml:space="preserve"> </w:t>
      </w:r>
      <w:r w:rsidR="00BB2424" w:rsidRPr="00BB2424">
        <w:rPr>
          <w:rFonts w:ascii="Arial" w:hAnsi="Arial" w:cs="Arial"/>
          <w:color w:val="000000"/>
          <w:sz w:val="19"/>
          <w:szCs w:val="19"/>
          <w:lang w:val="fr-CA"/>
        </w:rPr>
        <w:t>Il est à noter que pour quelques mois présentés, la courbe de taux est légèrement inversée, ce qui se traduit par des taux plus bas pour une dur</w:t>
      </w:r>
      <w:r w:rsidR="00BB2424">
        <w:rPr>
          <w:rFonts w:ascii="Arial" w:hAnsi="Arial" w:cs="Arial"/>
          <w:color w:val="000000"/>
          <w:sz w:val="19"/>
          <w:szCs w:val="19"/>
          <w:lang w:val="fr-CA"/>
        </w:rPr>
        <w:t>ation</w:t>
      </w:r>
      <w:r w:rsidR="00BB2424" w:rsidRPr="00BB2424">
        <w:rPr>
          <w:rFonts w:ascii="Arial" w:hAnsi="Arial" w:cs="Arial"/>
          <w:color w:val="000000"/>
          <w:sz w:val="19"/>
          <w:szCs w:val="19"/>
          <w:lang w:val="fr-CA"/>
        </w:rPr>
        <w:t xml:space="preserve"> plus élevée.</w:t>
      </w:r>
    </w:p>
    <w:p w14:paraId="7294A874" w14:textId="6CDDFE0F" w:rsidR="00E33E22" w:rsidRPr="00257B5A" w:rsidRDefault="000304B3">
      <w:pPr>
        <w:rPr>
          <w:rFonts w:ascii="Arial" w:eastAsia="Times New Roman" w:hAnsi="Arial" w:cs="Arial"/>
          <w:color w:val="000000"/>
          <w:sz w:val="24"/>
          <w:szCs w:val="24"/>
          <w:u w:val="single"/>
          <w:lang w:val="fr-CA" w:eastAsia="en-CA"/>
        </w:rPr>
      </w:pPr>
      <w:bookmarkStart w:id="85" w:name="lt_pId099"/>
      <w:r w:rsidRPr="00257B5A">
        <w:rPr>
          <w:rFonts w:ascii="Arial" w:eastAsia="Times New Roman" w:hAnsi="Arial" w:cs="Arial"/>
          <w:color w:val="000000"/>
          <w:sz w:val="24"/>
          <w:szCs w:val="24"/>
          <w:u w:val="single"/>
          <w:lang w:val="fr-CA" w:eastAsia="en-CA"/>
        </w:rPr>
        <w:t xml:space="preserve">Autres </w:t>
      </w:r>
      <w:bookmarkEnd w:id="85"/>
      <w:r w:rsidR="000F055C" w:rsidRPr="00257B5A">
        <w:rPr>
          <w:rFonts w:ascii="Arial" w:eastAsia="Times New Roman" w:hAnsi="Arial" w:cs="Arial"/>
          <w:color w:val="000000"/>
          <w:sz w:val="24"/>
          <w:szCs w:val="24"/>
          <w:u w:val="single"/>
          <w:lang w:val="fr-CA" w:eastAsia="en-CA"/>
        </w:rPr>
        <w:t>directives</w:t>
      </w:r>
    </w:p>
    <w:p w14:paraId="2FFCD629" w14:textId="6397090E" w:rsidR="00E33E22" w:rsidRPr="00257B5A" w:rsidRDefault="000304B3" w:rsidP="00E33E22">
      <w:pPr>
        <w:pStyle w:val="NormalWeb"/>
        <w:numPr>
          <w:ilvl w:val="0"/>
          <w:numId w:val="13"/>
        </w:numPr>
        <w:spacing w:before="150" w:beforeAutospacing="0" w:after="150" w:afterAutospacing="0"/>
        <w:ind w:left="360" w:right="300"/>
        <w:rPr>
          <w:rFonts w:ascii="Arial" w:hAnsi="Arial" w:cs="Arial"/>
          <w:color w:val="000000"/>
          <w:sz w:val="19"/>
          <w:szCs w:val="19"/>
          <w:lang w:val="fr-CA"/>
        </w:rPr>
      </w:pPr>
      <w:bookmarkStart w:id="86" w:name="lt_pId100"/>
      <w:r w:rsidRPr="00257B5A">
        <w:rPr>
          <w:rFonts w:ascii="Arial" w:hAnsi="Arial" w:cs="Arial"/>
          <w:color w:val="000000"/>
          <w:sz w:val="19"/>
          <w:szCs w:val="19"/>
          <w:lang w:val="fr-CA"/>
        </w:rPr>
        <w:t>Nous nous attendons à ce que le taux d</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actualisation utilisé pour un régime de retraite</w:t>
      </w:r>
      <w:r w:rsidR="000F055C" w:rsidRPr="00257B5A">
        <w:rPr>
          <w:rFonts w:ascii="Arial" w:hAnsi="Arial" w:cs="Arial"/>
          <w:color w:val="000000"/>
          <w:sz w:val="19"/>
          <w:szCs w:val="19"/>
          <w:lang w:val="fr-CA"/>
        </w:rPr>
        <w:t xml:space="preserve"> </w:t>
      </w:r>
      <w:r w:rsidR="00492064" w:rsidRPr="00257B5A">
        <w:rPr>
          <w:rFonts w:ascii="Arial" w:hAnsi="Arial" w:cs="Arial"/>
          <w:color w:val="000000"/>
          <w:sz w:val="19"/>
          <w:szCs w:val="19"/>
          <w:lang w:val="fr-CA"/>
        </w:rPr>
        <w:t>ou</w:t>
      </w:r>
      <w:r w:rsidR="000F055C" w:rsidRPr="00257B5A">
        <w:rPr>
          <w:rFonts w:ascii="Arial" w:hAnsi="Arial" w:cs="Arial"/>
          <w:color w:val="000000"/>
          <w:sz w:val="19"/>
          <w:szCs w:val="19"/>
          <w:lang w:val="fr-CA"/>
        </w:rPr>
        <w:t xml:space="preserve"> d</w:t>
      </w:r>
      <w:r w:rsidR="00257B5A" w:rsidRPr="00257B5A">
        <w:rPr>
          <w:rFonts w:ascii="Arial" w:hAnsi="Arial" w:cs="Arial"/>
          <w:color w:val="000000"/>
          <w:sz w:val="19"/>
          <w:szCs w:val="19"/>
          <w:lang w:val="fr-CA"/>
        </w:rPr>
        <w:t>’</w:t>
      </w:r>
      <w:r w:rsidR="000F055C" w:rsidRPr="00257B5A">
        <w:rPr>
          <w:rFonts w:ascii="Arial" w:hAnsi="Arial" w:cs="Arial"/>
          <w:color w:val="000000"/>
          <w:sz w:val="19"/>
          <w:szCs w:val="19"/>
          <w:lang w:val="fr-CA"/>
        </w:rPr>
        <w:t>avantages sociaux</w:t>
      </w:r>
      <w:r w:rsidRPr="00257B5A">
        <w:rPr>
          <w:rFonts w:ascii="Arial" w:hAnsi="Arial" w:cs="Arial"/>
          <w:color w:val="000000"/>
          <w:sz w:val="19"/>
          <w:szCs w:val="19"/>
          <w:lang w:val="fr-CA"/>
        </w:rPr>
        <w:t xml:space="preserve"> type s</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inscrive dans la fourchette indiquée précédemment.</w:t>
      </w:r>
      <w:bookmarkEnd w:id="86"/>
    </w:p>
    <w:p w14:paraId="11B0B7B7" w14:textId="450095CB" w:rsidR="00E33E22" w:rsidRPr="00257B5A" w:rsidRDefault="0097198C" w:rsidP="00E33E22">
      <w:pPr>
        <w:pStyle w:val="NormalWeb"/>
        <w:numPr>
          <w:ilvl w:val="0"/>
          <w:numId w:val="13"/>
        </w:numPr>
        <w:spacing w:before="150" w:beforeAutospacing="0" w:after="150" w:afterAutospacing="0"/>
        <w:ind w:left="360" w:right="300"/>
        <w:rPr>
          <w:rFonts w:ascii="Arial" w:hAnsi="Arial" w:cs="Arial"/>
          <w:color w:val="000000"/>
          <w:sz w:val="19"/>
          <w:szCs w:val="19"/>
          <w:lang w:val="fr-CA"/>
        </w:rPr>
      </w:pPr>
      <w:bookmarkStart w:id="87" w:name="lt_pId101"/>
      <w:r w:rsidRPr="00257B5A">
        <w:rPr>
          <w:rFonts w:ascii="Arial" w:hAnsi="Arial" w:cs="Arial"/>
          <w:color w:val="000000"/>
          <w:sz w:val="19"/>
          <w:szCs w:val="19"/>
          <w:lang w:val="fr-CA"/>
        </w:rPr>
        <w:lastRenderedPageBreak/>
        <w:t>Si le taux d</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actualisation ne s</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inscrit pas dans cette fourchette raisonnable, il ne faut pas nécessairement en déduire qu</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il est erroné, mais l</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équipe de mission doit envisager d</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obtenir des explications supplémentaires de la direction.</w:t>
      </w:r>
      <w:bookmarkEnd w:id="87"/>
      <w:r w:rsidRPr="00257B5A">
        <w:rPr>
          <w:rFonts w:ascii="Arial" w:hAnsi="Arial" w:cs="Arial"/>
          <w:color w:val="000000"/>
          <w:sz w:val="19"/>
          <w:szCs w:val="19"/>
          <w:lang w:val="fr-CA"/>
        </w:rPr>
        <w:t xml:space="preserve"> </w:t>
      </w:r>
      <w:bookmarkStart w:id="88" w:name="lt_pId104"/>
      <w:r w:rsidR="00045407" w:rsidRPr="00257B5A">
        <w:rPr>
          <w:rFonts w:ascii="Arial" w:hAnsi="Arial" w:cs="Arial"/>
          <w:color w:val="000000"/>
          <w:sz w:val="19"/>
          <w:szCs w:val="19"/>
          <w:lang w:val="fr-CA"/>
        </w:rPr>
        <w:t>En pratique, nous constatons que les courbes exclusives des cabinets d</w:t>
      </w:r>
      <w:r w:rsidR="00257B5A" w:rsidRPr="00257B5A">
        <w:rPr>
          <w:rFonts w:ascii="Arial" w:hAnsi="Arial" w:cs="Arial"/>
          <w:color w:val="000000"/>
          <w:sz w:val="19"/>
          <w:szCs w:val="19"/>
          <w:lang w:val="fr-CA"/>
        </w:rPr>
        <w:t>’</w:t>
      </w:r>
      <w:r w:rsidR="00045407" w:rsidRPr="00257B5A">
        <w:rPr>
          <w:rFonts w:ascii="Arial" w:hAnsi="Arial" w:cs="Arial"/>
          <w:color w:val="000000"/>
          <w:sz w:val="19"/>
          <w:szCs w:val="19"/>
          <w:lang w:val="fr-CA"/>
        </w:rPr>
        <w:t>actuaires ont tendance à produire des taux qui pourraient être d</w:t>
      </w:r>
      <w:r w:rsidR="00257B5A" w:rsidRPr="00257B5A">
        <w:rPr>
          <w:rFonts w:ascii="Arial" w:hAnsi="Arial" w:cs="Arial"/>
          <w:color w:val="000000"/>
          <w:sz w:val="19"/>
          <w:szCs w:val="19"/>
          <w:lang w:val="fr-CA"/>
        </w:rPr>
        <w:t>’</w:t>
      </w:r>
      <w:r w:rsidR="00045407" w:rsidRPr="00257B5A">
        <w:rPr>
          <w:rFonts w:ascii="Arial" w:hAnsi="Arial" w:cs="Arial"/>
          <w:color w:val="000000"/>
          <w:sz w:val="19"/>
          <w:szCs w:val="19"/>
          <w:lang w:val="fr-CA"/>
        </w:rPr>
        <w:t>environ 10 à 15</w:t>
      </w:r>
      <w:r w:rsidR="00EE430F">
        <w:rPr>
          <w:rFonts w:ascii="Arial" w:hAnsi="Arial" w:cs="Arial"/>
          <w:color w:val="000000"/>
          <w:sz w:val="19"/>
          <w:szCs w:val="19"/>
          <w:lang w:val="fr-CA"/>
        </w:rPr>
        <w:t> </w:t>
      </w:r>
      <w:r w:rsidR="00045407" w:rsidRPr="00257B5A">
        <w:rPr>
          <w:rFonts w:ascii="Arial" w:hAnsi="Arial" w:cs="Arial"/>
          <w:color w:val="000000"/>
          <w:sz w:val="19"/>
          <w:szCs w:val="19"/>
          <w:lang w:val="fr-CA"/>
        </w:rPr>
        <w:t>points de base au-dessus ou en dessous des taux de la fourchette</w:t>
      </w:r>
      <w:r w:rsidRPr="00257B5A">
        <w:rPr>
          <w:rFonts w:ascii="Arial" w:hAnsi="Arial" w:cs="Arial"/>
          <w:color w:val="000000"/>
          <w:sz w:val="19"/>
          <w:szCs w:val="19"/>
          <w:lang w:val="fr-CA"/>
        </w:rPr>
        <w:t>.</w:t>
      </w:r>
      <w:bookmarkEnd w:id="88"/>
    </w:p>
    <w:p w14:paraId="4384B2A2" w14:textId="25D0B6F9" w:rsidR="00E33E22" w:rsidRPr="00257B5A" w:rsidRDefault="000304B3" w:rsidP="00E33E22">
      <w:pPr>
        <w:pStyle w:val="NormalWeb"/>
        <w:numPr>
          <w:ilvl w:val="0"/>
          <w:numId w:val="13"/>
        </w:numPr>
        <w:spacing w:before="150" w:beforeAutospacing="0" w:after="150" w:afterAutospacing="0"/>
        <w:ind w:left="360" w:right="300"/>
        <w:rPr>
          <w:rFonts w:ascii="Arial" w:hAnsi="Arial" w:cs="Arial"/>
          <w:color w:val="000000"/>
          <w:sz w:val="19"/>
          <w:szCs w:val="19"/>
          <w:lang w:val="fr-CA"/>
        </w:rPr>
      </w:pPr>
      <w:bookmarkStart w:id="89" w:name="lt_pId105"/>
      <w:r w:rsidRPr="00257B5A">
        <w:rPr>
          <w:rFonts w:ascii="Arial" w:hAnsi="Arial" w:cs="Arial"/>
          <w:color w:val="000000"/>
          <w:sz w:val="19"/>
          <w:szCs w:val="19"/>
          <w:lang w:val="fr-CA"/>
        </w:rPr>
        <w:t>Nous nous attendons à ce que la fourchette demeure plutôt stable d</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une année à l</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autre.</w:t>
      </w:r>
      <w:bookmarkEnd w:id="89"/>
      <w:r w:rsidRPr="00257B5A">
        <w:rPr>
          <w:rFonts w:ascii="Arial" w:hAnsi="Arial" w:cs="Arial"/>
          <w:color w:val="000000"/>
          <w:sz w:val="19"/>
          <w:szCs w:val="19"/>
          <w:lang w:val="fr-CA"/>
        </w:rPr>
        <w:t xml:space="preserve"> </w:t>
      </w:r>
      <w:bookmarkStart w:id="90" w:name="lt_pId106"/>
      <w:r w:rsidRPr="00257B5A">
        <w:rPr>
          <w:rFonts w:ascii="Arial" w:hAnsi="Arial" w:cs="Arial"/>
          <w:color w:val="000000"/>
          <w:sz w:val="19"/>
          <w:szCs w:val="19"/>
          <w:lang w:val="fr-CA"/>
        </w:rPr>
        <w:t>Par exemple, dans le cas des régimes pour lesquels le taux d</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actualisation s</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est situé près de la limite supérieure de la fourchette raisonnable l</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an dernier, on peut s</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attendre à ce que le taux se situe de nouveau près de la limite supérieure de la fourchette raisonnable cette année.</w:t>
      </w:r>
      <w:bookmarkEnd w:id="90"/>
    </w:p>
    <w:p w14:paraId="7BAD6BFD" w14:textId="66B7808F" w:rsidR="00E33E22" w:rsidRPr="00257B5A" w:rsidRDefault="00045407" w:rsidP="00E33E22">
      <w:pPr>
        <w:pStyle w:val="NormalWeb"/>
        <w:numPr>
          <w:ilvl w:val="2"/>
          <w:numId w:val="13"/>
        </w:numPr>
        <w:spacing w:before="150" w:beforeAutospacing="0" w:after="150" w:afterAutospacing="0"/>
        <w:ind w:left="360" w:right="300"/>
        <w:rPr>
          <w:rFonts w:ascii="Arial" w:hAnsi="Arial" w:cs="Arial"/>
          <w:color w:val="000000"/>
          <w:sz w:val="19"/>
          <w:szCs w:val="19"/>
          <w:lang w:val="fr-CA"/>
        </w:rPr>
      </w:pPr>
      <w:bookmarkStart w:id="91" w:name="lt_pId107"/>
      <w:r w:rsidRPr="00257B5A">
        <w:rPr>
          <w:rFonts w:ascii="Arial" w:hAnsi="Arial" w:cs="Arial"/>
          <w:color w:val="000000"/>
          <w:sz w:val="19"/>
          <w:szCs w:val="19"/>
          <w:lang w:val="fr-CA"/>
        </w:rPr>
        <w:t xml:space="preserve">Duration – </w:t>
      </w:r>
      <w:r w:rsidR="000304B3" w:rsidRPr="00257B5A">
        <w:rPr>
          <w:rFonts w:ascii="Arial" w:hAnsi="Arial" w:cs="Arial"/>
          <w:color w:val="000000"/>
          <w:sz w:val="19"/>
          <w:szCs w:val="19"/>
          <w:lang w:val="fr-CA"/>
        </w:rPr>
        <w:t>La duration d</w:t>
      </w:r>
      <w:r w:rsidR="00257B5A" w:rsidRPr="00257B5A">
        <w:rPr>
          <w:rFonts w:ascii="Arial" w:hAnsi="Arial" w:cs="Arial"/>
          <w:color w:val="000000"/>
          <w:sz w:val="19"/>
          <w:szCs w:val="19"/>
          <w:lang w:val="fr-CA"/>
        </w:rPr>
        <w:t>’</w:t>
      </w:r>
      <w:r w:rsidR="000304B3" w:rsidRPr="00257B5A">
        <w:rPr>
          <w:rFonts w:ascii="Arial" w:hAnsi="Arial" w:cs="Arial"/>
          <w:color w:val="000000"/>
          <w:sz w:val="19"/>
          <w:szCs w:val="19"/>
          <w:lang w:val="fr-CA"/>
        </w:rPr>
        <w:t xml:space="preserve">un régime de retraite </w:t>
      </w:r>
      <w:r w:rsidR="00492064" w:rsidRPr="00257B5A">
        <w:rPr>
          <w:rFonts w:ascii="Arial" w:hAnsi="Arial" w:cs="Arial"/>
          <w:color w:val="000000"/>
          <w:sz w:val="19"/>
          <w:szCs w:val="19"/>
          <w:lang w:val="fr-CA"/>
        </w:rPr>
        <w:t>ou</w:t>
      </w:r>
      <w:r w:rsidRPr="00257B5A">
        <w:rPr>
          <w:rFonts w:ascii="Arial" w:hAnsi="Arial" w:cs="Arial"/>
          <w:color w:val="000000"/>
          <w:sz w:val="19"/>
          <w:szCs w:val="19"/>
          <w:lang w:val="fr-CA"/>
        </w:rPr>
        <w:t xml:space="preserve"> d</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 xml:space="preserve">avantages sociaux </w:t>
      </w:r>
      <w:r w:rsidR="000304B3" w:rsidRPr="00257B5A">
        <w:rPr>
          <w:rFonts w:ascii="Arial" w:hAnsi="Arial" w:cs="Arial"/>
          <w:color w:val="000000"/>
          <w:sz w:val="19"/>
          <w:szCs w:val="19"/>
          <w:lang w:val="fr-CA"/>
        </w:rPr>
        <w:t>est un concept similaire à la duration d</w:t>
      </w:r>
      <w:r w:rsidR="00257B5A" w:rsidRPr="00257B5A">
        <w:rPr>
          <w:rFonts w:ascii="Arial" w:hAnsi="Arial" w:cs="Arial"/>
          <w:color w:val="000000"/>
          <w:sz w:val="19"/>
          <w:szCs w:val="19"/>
          <w:lang w:val="fr-CA"/>
        </w:rPr>
        <w:t>’</w:t>
      </w:r>
      <w:r w:rsidR="000304B3" w:rsidRPr="00257B5A">
        <w:rPr>
          <w:rFonts w:ascii="Arial" w:hAnsi="Arial" w:cs="Arial"/>
          <w:color w:val="000000"/>
          <w:sz w:val="19"/>
          <w:szCs w:val="19"/>
          <w:lang w:val="fr-CA"/>
        </w:rPr>
        <w:t>une obligation.</w:t>
      </w:r>
      <w:bookmarkEnd w:id="91"/>
      <w:r w:rsidR="000304B3" w:rsidRPr="00257B5A">
        <w:rPr>
          <w:rFonts w:ascii="Arial" w:hAnsi="Arial" w:cs="Arial"/>
          <w:color w:val="000000"/>
          <w:sz w:val="19"/>
          <w:szCs w:val="19"/>
          <w:shd w:val="clear" w:color="auto" w:fill="FFFFFF"/>
          <w:lang w:val="fr-CA"/>
        </w:rPr>
        <w:t xml:space="preserve"> </w:t>
      </w:r>
      <w:bookmarkStart w:id="92" w:name="lt_pId108"/>
      <w:r w:rsidR="000304B3" w:rsidRPr="00257B5A">
        <w:rPr>
          <w:rFonts w:ascii="Arial" w:hAnsi="Arial" w:cs="Arial"/>
          <w:color w:val="000000"/>
          <w:sz w:val="19"/>
          <w:szCs w:val="19"/>
          <w:shd w:val="clear" w:color="auto" w:fill="FFFFFF"/>
          <w:lang w:val="fr-CA"/>
        </w:rPr>
        <w:t>La duration mesure la sensibilité de l</w:t>
      </w:r>
      <w:r w:rsidR="00257B5A" w:rsidRPr="00257B5A">
        <w:rPr>
          <w:rFonts w:ascii="Arial" w:hAnsi="Arial" w:cs="Arial"/>
          <w:color w:val="000000"/>
          <w:sz w:val="19"/>
          <w:szCs w:val="19"/>
          <w:shd w:val="clear" w:color="auto" w:fill="FFFFFF"/>
          <w:lang w:val="fr-CA"/>
        </w:rPr>
        <w:t>’</w:t>
      </w:r>
      <w:r w:rsidR="000304B3" w:rsidRPr="00257B5A">
        <w:rPr>
          <w:rFonts w:ascii="Arial" w:hAnsi="Arial" w:cs="Arial"/>
          <w:color w:val="000000"/>
          <w:sz w:val="19"/>
          <w:szCs w:val="19"/>
          <w:shd w:val="clear" w:color="auto" w:fill="FFFFFF"/>
          <w:lang w:val="fr-CA"/>
        </w:rPr>
        <w:t>obligation au titre des prestations définies à une variation du taux d</w:t>
      </w:r>
      <w:r w:rsidR="00257B5A" w:rsidRPr="00257B5A">
        <w:rPr>
          <w:rFonts w:ascii="Arial" w:hAnsi="Arial" w:cs="Arial"/>
          <w:color w:val="000000"/>
          <w:sz w:val="19"/>
          <w:szCs w:val="19"/>
          <w:shd w:val="clear" w:color="auto" w:fill="FFFFFF"/>
          <w:lang w:val="fr-CA"/>
        </w:rPr>
        <w:t>’</w:t>
      </w:r>
      <w:r w:rsidR="000304B3" w:rsidRPr="00257B5A">
        <w:rPr>
          <w:rFonts w:ascii="Arial" w:hAnsi="Arial" w:cs="Arial"/>
          <w:color w:val="000000"/>
          <w:sz w:val="19"/>
          <w:szCs w:val="19"/>
          <w:shd w:val="clear" w:color="auto" w:fill="FFFFFF"/>
          <w:lang w:val="fr-CA"/>
        </w:rPr>
        <w:t>actualisation comptable.</w:t>
      </w:r>
      <w:bookmarkEnd w:id="92"/>
      <w:r w:rsidR="000304B3" w:rsidRPr="00257B5A">
        <w:rPr>
          <w:rFonts w:ascii="Arial" w:hAnsi="Arial" w:cs="Arial"/>
          <w:color w:val="000000"/>
          <w:sz w:val="19"/>
          <w:szCs w:val="19"/>
          <w:shd w:val="clear" w:color="auto" w:fill="FFFFFF"/>
          <w:lang w:val="fr-CA"/>
        </w:rPr>
        <w:t xml:space="preserve"> </w:t>
      </w:r>
      <w:bookmarkStart w:id="93" w:name="lt_pId109"/>
      <w:r w:rsidRPr="00257B5A">
        <w:rPr>
          <w:rFonts w:ascii="Arial" w:hAnsi="Arial" w:cs="Arial"/>
          <w:color w:val="000000"/>
          <w:sz w:val="19"/>
          <w:szCs w:val="19"/>
          <w:shd w:val="clear" w:color="auto" w:fill="FFFFFF"/>
          <w:lang w:val="fr-CA"/>
        </w:rPr>
        <w:t xml:space="preserve">En pratique, </w:t>
      </w:r>
      <w:r w:rsidR="000304B3" w:rsidRPr="00257B5A">
        <w:rPr>
          <w:rFonts w:ascii="Arial" w:hAnsi="Arial" w:cs="Arial"/>
          <w:color w:val="000000"/>
          <w:sz w:val="19"/>
          <w:szCs w:val="19"/>
          <w:shd w:val="clear" w:color="auto" w:fill="FFFFFF"/>
          <w:lang w:val="fr-CA"/>
        </w:rPr>
        <w:t>plus le taux d</w:t>
      </w:r>
      <w:r w:rsidR="00257B5A" w:rsidRPr="00257B5A">
        <w:rPr>
          <w:rFonts w:ascii="Arial" w:hAnsi="Arial" w:cs="Arial"/>
          <w:color w:val="000000"/>
          <w:sz w:val="19"/>
          <w:szCs w:val="19"/>
          <w:shd w:val="clear" w:color="auto" w:fill="FFFFFF"/>
          <w:lang w:val="fr-CA"/>
        </w:rPr>
        <w:t>’</w:t>
      </w:r>
      <w:r w:rsidR="000304B3" w:rsidRPr="00257B5A">
        <w:rPr>
          <w:rFonts w:ascii="Arial" w:hAnsi="Arial" w:cs="Arial"/>
          <w:color w:val="000000"/>
          <w:sz w:val="19"/>
          <w:szCs w:val="19"/>
          <w:shd w:val="clear" w:color="auto" w:fill="FFFFFF"/>
          <w:lang w:val="fr-CA"/>
        </w:rPr>
        <w:t>actualisation comptable est faible, plus le montant de l</w:t>
      </w:r>
      <w:r w:rsidR="00257B5A" w:rsidRPr="00257B5A">
        <w:rPr>
          <w:rFonts w:ascii="Arial" w:hAnsi="Arial" w:cs="Arial"/>
          <w:color w:val="000000"/>
          <w:sz w:val="19"/>
          <w:szCs w:val="19"/>
          <w:shd w:val="clear" w:color="auto" w:fill="FFFFFF"/>
          <w:lang w:val="fr-CA"/>
        </w:rPr>
        <w:t>’</w:t>
      </w:r>
      <w:r w:rsidR="000304B3" w:rsidRPr="00257B5A">
        <w:rPr>
          <w:rFonts w:ascii="Arial" w:hAnsi="Arial" w:cs="Arial"/>
          <w:color w:val="000000"/>
          <w:sz w:val="19"/>
          <w:szCs w:val="19"/>
          <w:shd w:val="clear" w:color="auto" w:fill="FFFFFF"/>
          <w:lang w:val="fr-CA"/>
        </w:rPr>
        <w:t>obligation est élevé.</w:t>
      </w:r>
      <w:bookmarkEnd w:id="93"/>
      <w:r w:rsidR="000304B3" w:rsidRPr="00257B5A">
        <w:rPr>
          <w:rFonts w:ascii="Arial" w:hAnsi="Arial" w:cs="Arial"/>
          <w:color w:val="000000"/>
          <w:sz w:val="19"/>
          <w:szCs w:val="19"/>
          <w:shd w:val="clear" w:color="auto" w:fill="FFFFFF"/>
          <w:lang w:val="fr-CA"/>
        </w:rPr>
        <w:t xml:space="preserve"> </w:t>
      </w:r>
      <w:bookmarkStart w:id="94" w:name="lt_pId110"/>
      <w:r w:rsidR="000304B3" w:rsidRPr="00257B5A">
        <w:rPr>
          <w:rFonts w:ascii="Arial" w:hAnsi="Arial" w:cs="Arial"/>
          <w:color w:val="000000"/>
          <w:sz w:val="19"/>
          <w:szCs w:val="19"/>
          <w:shd w:val="clear" w:color="auto" w:fill="FFFFFF"/>
          <w:lang w:val="fr-CA"/>
        </w:rPr>
        <w:t>À un certain niveau du taux d</w:t>
      </w:r>
      <w:r w:rsidR="00257B5A" w:rsidRPr="00257B5A">
        <w:rPr>
          <w:rFonts w:ascii="Arial" w:hAnsi="Arial" w:cs="Arial"/>
          <w:color w:val="000000"/>
          <w:sz w:val="19"/>
          <w:szCs w:val="19"/>
          <w:shd w:val="clear" w:color="auto" w:fill="FFFFFF"/>
          <w:lang w:val="fr-CA"/>
        </w:rPr>
        <w:t>’</w:t>
      </w:r>
      <w:r w:rsidR="000304B3" w:rsidRPr="00257B5A">
        <w:rPr>
          <w:rFonts w:ascii="Arial" w:hAnsi="Arial" w:cs="Arial"/>
          <w:color w:val="000000"/>
          <w:sz w:val="19"/>
          <w:szCs w:val="19"/>
          <w:shd w:val="clear" w:color="auto" w:fill="FFFFFF"/>
          <w:lang w:val="fr-CA"/>
        </w:rPr>
        <w:t>actualisation, la duration représente la pente de la « courbe obligataire ».</w:t>
      </w:r>
      <w:bookmarkEnd w:id="94"/>
      <w:r w:rsidR="000304B3" w:rsidRPr="00257B5A">
        <w:rPr>
          <w:rFonts w:ascii="Arial" w:hAnsi="Arial" w:cs="Arial"/>
          <w:color w:val="000000"/>
          <w:sz w:val="19"/>
          <w:szCs w:val="19"/>
          <w:shd w:val="clear" w:color="auto" w:fill="FFFFFF"/>
          <w:lang w:val="fr-CA"/>
        </w:rPr>
        <w:t xml:space="preserve"> </w:t>
      </w:r>
      <w:bookmarkStart w:id="95" w:name="lt_pId111"/>
      <w:r w:rsidR="000304B3" w:rsidRPr="00257B5A">
        <w:rPr>
          <w:rFonts w:ascii="Arial" w:hAnsi="Arial" w:cs="Arial"/>
          <w:color w:val="000000"/>
          <w:sz w:val="19"/>
          <w:szCs w:val="19"/>
          <w:shd w:val="clear" w:color="auto" w:fill="FFFFFF"/>
          <w:lang w:val="fr-CA"/>
        </w:rPr>
        <w:t>Si la duration d</w:t>
      </w:r>
      <w:r w:rsidR="00257B5A" w:rsidRPr="00257B5A">
        <w:rPr>
          <w:rFonts w:ascii="Arial" w:hAnsi="Arial" w:cs="Arial"/>
          <w:color w:val="000000"/>
          <w:sz w:val="19"/>
          <w:szCs w:val="19"/>
          <w:shd w:val="clear" w:color="auto" w:fill="FFFFFF"/>
          <w:lang w:val="fr-CA"/>
        </w:rPr>
        <w:t>’</w:t>
      </w:r>
      <w:r w:rsidR="000304B3" w:rsidRPr="00257B5A">
        <w:rPr>
          <w:rFonts w:ascii="Arial" w:hAnsi="Arial" w:cs="Arial"/>
          <w:color w:val="000000"/>
          <w:sz w:val="19"/>
          <w:szCs w:val="19"/>
          <w:shd w:val="clear" w:color="auto" w:fill="FFFFFF"/>
          <w:lang w:val="fr-CA"/>
        </w:rPr>
        <w:t>un régime est de 15 (ou 15 ans), une variation de 1 % du taux d</w:t>
      </w:r>
      <w:r w:rsidR="00257B5A" w:rsidRPr="00257B5A">
        <w:rPr>
          <w:rFonts w:ascii="Arial" w:hAnsi="Arial" w:cs="Arial"/>
          <w:color w:val="000000"/>
          <w:sz w:val="19"/>
          <w:szCs w:val="19"/>
          <w:shd w:val="clear" w:color="auto" w:fill="FFFFFF"/>
          <w:lang w:val="fr-CA"/>
        </w:rPr>
        <w:t>’</w:t>
      </w:r>
      <w:r w:rsidR="000304B3" w:rsidRPr="00257B5A">
        <w:rPr>
          <w:rFonts w:ascii="Arial" w:hAnsi="Arial" w:cs="Arial"/>
          <w:color w:val="000000"/>
          <w:sz w:val="19"/>
          <w:szCs w:val="19"/>
          <w:shd w:val="clear" w:color="auto" w:fill="FFFFFF"/>
          <w:lang w:val="fr-CA"/>
        </w:rPr>
        <w:t>actualisation entraînera une variation de 15 % de l</w:t>
      </w:r>
      <w:r w:rsidR="00257B5A" w:rsidRPr="00257B5A">
        <w:rPr>
          <w:rFonts w:ascii="Arial" w:hAnsi="Arial" w:cs="Arial"/>
          <w:color w:val="000000"/>
          <w:sz w:val="19"/>
          <w:szCs w:val="19"/>
          <w:shd w:val="clear" w:color="auto" w:fill="FFFFFF"/>
          <w:lang w:val="fr-CA"/>
        </w:rPr>
        <w:t>’</w:t>
      </w:r>
      <w:r w:rsidR="000304B3" w:rsidRPr="00257B5A">
        <w:rPr>
          <w:rFonts w:ascii="Arial" w:hAnsi="Arial" w:cs="Arial"/>
          <w:color w:val="000000"/>
          <w:sz w:val="19"/>
          <w:szCs w:val="19"/>
          <w:shd w:val="clear" w:color="auto" w:fill="FFFFFF"/>
          <w:lang w:val="fr-CA"/>
        </w:rPr>
        <w:t>obligation.</w:t>
      </w:r>
      <w:bookmarkEnd w:id="95"/>
      <w:r w:rsidR="000304B3" w:rsidRPr="00257B5A">
        <w:rPr>
          <w:rFonts w:ascii="Arial" w:hAnsi="Arial" w:cs="Arial"/>
          <w:color w:val="000000"/>
          <w:sz w:val="19"/>
          <w:szCs w:val="19"/>
          <w:shd w:val="clear" w:color="auto" w:fill="FFFFFF"/>
          <w:lang w:val="fr-CA"/>
        </w:rPr>
        <w:t xml:space="preserve"> </w:t>
      </w:r>
      <w:bookmarkStart w:id="96" w:name="lt_pId112"/>
      <w:r w:rsidR="000304B3" w:rsidRPr="00257B5A">
        <w:rPr>
          <w:rFonts w:ascii="Arial" w:hAnsi="Arial" w:cs="Arial"/>
          <w:color w:val="000000"/>
          <w:sz w:val="19"/>
          <w:szCs w:val="19"/>
          <w:shd w:val="clear" w:color="auto" w:fill="FFFFFF"/>
          <w:lang w:val="fr-CA"/>
        </w:rPr>
        <w:t>Généralement, les actuaires calculent la duration en recalculant l</w:t>
      </w:r>
      <w:r w:rsidR="00257B5A" w:rsidRPr="00257B5A">
        <w:rPr>
          <w:rFonts w:ascii="Arial" w:hAnsi="Arial" w:cs="Arial"/>
          <w:color w:val="000000"/>
          <w:sz w:val="19"/>
          <w:szCs w:val="19"/>
          <w:shd w:val="clear" w:color="auto" w:fill="FFFFFF"/>
          <w:lang w:val="fr-CA"/>
        </w:rPr>
        <w:t>’</w:t>
      </w:r>
      <w:r w:rsidR="000304B3" w:rsidRPr="00257B5A">
        <w:rPr>
          <w:rFonts w:ascii="Arial" w:hAnsi="Arial" w:cs="Arial"/>
          <w:color w:val="000000"/>
          <w:sz w:val="19"/>
          <w:szCs w:val="19"/>
          <w:shd w:val="clear" w:color="auto" w:fill="FFFFFF"/>
          <w:lang w:val="fr-CA"/>
        </w:rPr>
        <w:t>obligation à un taux d</w:t>
      </w:r>
      <w:r w:rsidR="00257B5A" w:rsidRPr="00257B5A">
        <w:rPr>
          <w:rFonts w:ascii="Arial" w:hAnsi="Arial" w:cs="Arial"/>
          <w:color w:val="000000"/>
          <w:sz w:val="19"/>
          <w:szCs w:val="19"/>
          <w:shd w:val="clear" w:color="auto" w:fill="FFFFFF"/>
          <w:lang w:val="fr-CA"/>
        </w:rPr>
        <w:t>’</w:t>
      </w:r>
      <w:r w:rsidR="000304B3" w:rsidRPr="00257B5A">
        <w:rPr>
          <w:rFonts w:ascii="Arial" w:hAnsi="Arial" w:cs="Arial"/>
          <w:color w:val="000000"/>
          <w:sz w:val="19"/>
          <w:szCs w:val="19"/>
          <w:shd w:val="clear" w:color="auto" w:fill="FFFFFF"/>
          <w:lang w:val="fr-CA"/>
        </w:rPr>
        <w:t>actualisation légèrement différent, et en déterminant la variation en pourcentage de l</w:t>
      </w:r>
      <w:r w:rsidR="00257B5A" w:rsidRPr="00257B5A">
        <w:rPr>
          <w:rFonts w:ascii="Arial" w:hAnsi="Arial" w:cs="Arial"/>
          <w:color w:val="000000"/>
          <w:sz w:val="19"/>
          <w:szCs w:val="19"/>
          <w:shd w:val="clear" w:color="auto" w:fill="FFFFFF"/>
          <w:lang w:val="fr-CA"/>
        </w:rPr>
        <w:t>’</w:t>
      </w:r>
      <w:r w:rsidR="000304B3" w:rsidRPr="00257B5A">
        <w:rPr>
          <w:rFonts w:ascii="Arial" w:hAnsi="Arial" w:cs="Arial"/>
          <w:color w:val="000000"/>
          <w:sz w:val="19"/>
          <w:szCs w:val="19"/>
          <w:shd w:val="clear" w:color="auto" w:fill="FFFFFF"/>
          <w:lang w:val="fr-CA"/>
        </w:rPr>
        <w:t>obligation divisée par la variation du taux d</w:t>
      </w:r>
      <w:r w:rsidR="00257B5A" w:rsidRPr="00257B5A">
        <w:rPr>
          <w:rFonts w:ascii="Arial" w:hAnsi="Arial" w:cs="Arial"/>
          <w:color w:val="000000"/>
          <w:sz w:val="19"/>
          <w:szCs w:val="19"/>
          <w:shd w:val="clear" w:color="auto" w:fill="FFFFFF"/>
          <w:lang w:val="fr-CA"/>
        </w:rPr>
        <w:t>’</w:t>
      </w:r>
      <w:r w:rsidR="000304B3" w:rsidRPr="00257B5A">
        <w:rPr>
          <w:rFonts w:ascii="Arial" w:hAnsi="Arial" w:cs="Arial"/>
          <w:color w:val="000000"/>
          <w:sz w:val="19"/>
          <w:szCs w:val="19"/>
          <w:shd w:val="clear" w:color="auto" w:fill="FFFFFF"/>
          <w:lang w:val="fr-CA"/>
        </w:rPr>
        <w:t>actualisation.</w:t>
      </w:r>
      <w:bookmarkEnd w:id="96"/>
      <w:r w:rsidR="000304B3" w:rsidRPr="00257B5A">
        <w:rPr>
          <w:rFonts w:ascii="Arial" w:hAnsi="Arial" w:cs="Arial"/>
          <w:color w:val="000000"/>
          <w:sz w:val="19"/>
          <w:szCs w:val="19"/>
          <w:shd w:val="clear" w:color="auto" w:fill="FFFFFF"/>
          <w:lang w:val="fr-CA"/>
        </w:rPr>
        <w:t xml:space="preserve"> </w:t>
      </w:r>
      <w:bookmarkStart w:id="97" w:name="lt_pId113"/>
      <w:r w:rsidR="000304B3" w:rsidRPr="00257B5A">
        <w:rPr>
          <w:rFonts w:ascii="Arial" w:hAnsi="Arial" w:cs="Arial"/>
          <w:color w:val="000000"/>
          <w:sz w:val="19"/>
          <w:szCs w:val="19"/>
          <w:shd w:val="clear" w:color="auto" w:fill="FFFFFF"/>
          <w:lang w:val="fr-CA"/>
        </w:rPr>
        <w:t>La duration représente également la durée moyenne pondérée jusqu</w:t>
      </w:r>
      <w:r w:rsidR="00257B5A" w:rsidRPr="00257B5A">
        <w:rPr>
          <w:rFonts w:ascii="Arial" w:hAnsi="Arial" w:cs="Arial"/>
          <w:color w:val="000000"/>
          <w:sz w:val="19"/>
          <w:szCs w:val="19"/>
          <w:shd w:val="clear" w:color="auto" w:fill="FFFFFF"/>
          <w:lang w:val="fr-CA"/>
        </w:rPr>
        <w:t>’</w:t>
      </w:r>
      <w:r w:rsidR="000304B3" w:rsidRPr="00257B5A">
        <w:rPr>
          <w:rFonts w:ascii="Arial" w:hAnsi="Arial" w:cs="Arial"/>
          <w:color w:val="000000"/>
          <w:sz w:val="19"/>
          <w:szCs w:val="19"/>
          <w:shd w:val="clear" w:color="auto" w:fill="FFFFFF"/>
          <w:lang w:val="fr-CA"/>
        </w:rPr>
        <w:t>à ce que les versements prévus au titre des prestations du régime soient effectués.</w:t>
      </w:r>
      <w:bookmarkEnd w:id="97"/>
      <w:r w:rsidR="000304B3" w:rsidRPr="00257B5A">
        <w:rPr>
          <w:rFonts w:ascii="Arial" w:hAnsi="Arial" w:cs="Arial"/>
          <w:color w:val="000000"/>
          <w:sz w:val="19"/>
          <w:szCs w:val="19"/>
          <w:lang w:val="fr-CA"/>
        </w:rPr>
        <w:t xml:space="preserve"> </w:t>
      </w:r>
    </w:p>
    <w:p w14:paraId="4235CFA6" w14:textId="77777777" w:rsidR="005D2914" w:rsidRDefault="005D2914" w:rsidP="00E33E22">
      <w:pPr>
        <w:spacing w:before="150" w:after="150" w:line="240" w:lineRule="auto"/>
        <w:ind w:right="150"/>
        <w:rPr>
          <w:rFonts w:ascii="Arial" w:eastAsia="Times New Roman" w:hAnsi="Arial" w:cs="Arial"/>
          <w:color w:val="000000"/>
          <w:kern w:val="36"/>
          <w:sz w:val="33"/>
          <w:szCs w:val="33"/>
          <w:lang w:val="fr-CA" w:eastAsia="en-CA"/>
        </w:rPr>
      </w:pPr>
      <w:bookmarkStart w:id="98" w:name="lt_pId114"/>
    </w:p>
    <w:p w14:paraId="033CDF9F" w14:textId="67D3C4E7" w:rsidR="00CF3884" w:rsidRPr="00257B5A" w:rsidRDefault="00A40061" w:rsidP="00E33E22">
      <w:pPr>
        <w:spacing w:before="150" w:after="150" w:line="240" w:lineRule="auto"/>
        <w:ind w:right="150"/>
        <w:rPr>
          <w:rFonts w:ascii="Arial" w:eastAsia="Times New Roman" w:hAnsi="Arial" w:cs="Arial"/>
          <w:color w:val="000000"/>
          <w:kern w:val="36"/>
          <w:sz w:val="33"/>
          <w:szCs w:val="33"/>
          <w:lang w:val="fr-CA" w:eastAsia="en-CA"/>
        </w:rPr>
      </w:pPr>
      <w:r w:rsidRPr="00257B5A">
        <w:rPr>
          <w:rFonts w:ascii="Arial" w:eastAsia="Times New Roman" w:hAnsi="Arial" w:cs="Arial"/>
          <w:color w:val="000000"/>
          <w:kern w:val="36"/>
          <w:sz w:val="33"/>
          <w:szCs w:val="33"/>
          <w:lang w:val="fr-CA" w:eastAsia="en-CA"/>
        </w:rPr>
        <w:t xml:space="preserve">Directives </w:t>
      </w:r>
      <w:r w:rsidR="00FD0CFC" w:rsidRPr="00257B5A">
        <w:rPr>
          <w:rFonts w:ascii="Arial" w:eastAsia="Times New Roman" w:hAnsi="Arial" w:cs="Arial"/>
          <w:color w:val="000000"/>
          <w:kern w:val="36"/>
          <w:sz w:val="33"/>
          <w:szCs w:val="33"/>
          <w:lang w:val="fr-CA" w:eastAsia="en-CA"/>
        </w:rPr>
        <w:t xml:space="preserve">annuelles </w:t>
      </w:r>
      <w:r w:rsidRPr="00257B5A">
        <w:rPr>
          <w:rFonts w:ascii="Arial" w:eastAsia="Times New Roman" w:hAnsi="Arial" w:cs="Arial"/>
          <w:color w:val="000000"/>
          <w:kern w:val="36"/>
          <w:sz w:val="33"/>
          <w:szCs w:val="33"/>
          <w:lang w:val="fr-CA" w:eastAsia="en-CA"/>
        </w:rPr>
        <w:t>sur toutes les hypothèses</w:t>
      </w:r>
      <w:r w:rsidR="00FD0CFC" w:rsidRPr="00257B5A">
        <w:rPr>
          <w:rFonts w:ascii="Arial" w:eastAsia="Times New Roman" w:hAnsi="Arial" w:cs="Arial"/>
          <w:color w:val="000000"/>
          <w:kern w:val="36"/>
          <w:sz w:val="33"/>
          <w:szCs w:val="33"/>
          <w:lang w:val="fr-CA" w:eastAsia="en-CA"/>
        </w:rPr>
        <w:t xml:space="preserve"> (</w:t>
      </w:r>
      <w:r w:rsidRPr="00257B5A">
        <w:rPr>
          <w:rFonts w:ascii="Arial" w:eastAsia="Times New Roman" w:hAnsi="Arial" w:cs="Arial"/>
          <w:color w:val="000000"/>
          <w:kern w:val="36"/>
          <w:sz w:val="33"/>
          <w:szCs w:val="33"/>
          <w:lang w:val="fr-CA" w:eastAsia="en-CA"/>
        </w:rPr>
        <w:t>à l</w:t>
      </w:r>
      <w:r w:rsidR="00257B5A" w:rsidRPr="00257B5A">
        <w:rPr>
          <w:rFonts w:ascii="Arial" w:eastAsia="Times New Roman" w:hAnsi="Arial" w:cs="Arial"/>
          <w:color w:val="000000"/>
          <w:kern w:val="36"/>
          <w:sz w:val="33"/>
          <w:szCs w:val="33"/>
          <w:lang w:val="fr-CA" w:eastAsia="en-CA"/>
        </w:rPr>
        <w:t>’</w:t>
      </w:r>
      <w:r w:rsidRPr="00257B5A">
        <w:rPr>
          <w:rFonts w:ascii="Arial" w:eastAsia="Times New Roman" w:hAnsi="Arial" w:cs="Arial"/>
          <w:color w:val="000000"/>
          <w:kern w:val="36"/>
          <w:sz w:val="33"/>
          <w:szCs w:val="33"/>
          <w:lang w:val="fr-CA" w:eastAsia="en-CA"/>
        </w:rPr>
        <w:t>exception de celles liées au taux d</w:t>
      </w:r>
      <w:r w:rsidR="00257B5A" w:rsidRPr="00257B5A">
        <w:rPr>
          <w:rFonts w:ascii="Arial" w:eastAsia="Times New Roman" w:hAnsi="Arial" w:cs="Arial"/>
          <w:color w:val="000000"/>
          <w:kern w:val="36"/>
          <w:sz w:val="33"/>
          <w:szCs w:val="33"/>
          <w:lang w:val="fr-CA" w:eastAsia="en-CA"/>
        </w:rPr>
        <w:t>’</w:t>
      </w:r>
      <w:r w:rsidRPr="00257B5A">
        <w:rPr>
          <w:rFonts w:ascii="Arial" w:eastAsia="Times New Roman" w:hAnsi="Arial" w:cs="Arial"/>
          <w:color w:val="000000"/>
          <w:kern w:val="36"/>
          <w:sz w:val="33"/>
          <w:szCs w:val="33"/>
          <w:lang w:val="fr-CA" w:eastAsia="en-CA"/>
        </w:rPr>
        <w:t>actualisation</w:t>
      </w:r>
      <w:bookmarkEnd w:id="98"/>
      <w:r w:rsidR="00FD0CFC" w:rsidRPr="00257B5A">
        <w:rPr>
          <w:rFonts w:ascii="Arial" w:eastAsia="Times New Roman" w:hAnsi="Arial" w:cs="Arial"/>
          <w:color w:val="000000"/>
          <w:kern w:val="36"/>
          <w:sz w:val="33"/>
          <w:szCs w:val="33"/>
          <w:lang w:val="fr-CA" w:eastAsia="en-CA"/>
        </w:rPr>
        <w:t>)</w:t>
      </w:r>
    </w:p>
    <w:p w14:paraId="2CEE551F" w14:textId="23D9275D" w:rsidR="0061175A" w:rsidRPr="00257B5A" w:rsidRDefault="00E30762" w:rsidP="00FD0CFC">
      <w:pPr>
        <w:pStyle w:val="NormalWeb"/>
        <w:rPr>
          <w:rFonts w:ascii="Arial" w:hAnsi="Arial" w:cs="Arial"/>
          <w:color w:val="000000"/>
          <w:sz w:val="19"/>
          <w:szCs w:val="19"/>
          <w:lang w:val="fr-CA"/>
        </w:rPr>
      </w:pPr>
      <w:bookmarkStart w:id="99" w:name="lt_pId115"/>
      <w:r>
        <w:rPr>
          <w:rFonts w:ascii="Arial" w:hAnsi="Arial" w:cs="Arial"/>
          <w:color w:val="000000"/>
          <w:sz w:val="19"/>
          <w:szCs w:val="19"/>
          <w:lang w:val="fr-CA"/>
        </w:rPr>
        <w:t>La présente section</w:t>
      </w:r>
      <w:r w:rsidR="00FD0CFC" w:rsidRPr="00257B5A">
        <w:rPr>
          <w:rFonts w:ascii="Arial" w:hAnsi="Arial" w:cs="Arial"/>
          <w:color w:val="000000"/>
          <w:sz w:val="19"/>
          <w:szCs w:val="19"/>
          <w:lang w:val="fr-CA"/>
        </w:rPr>
        <w:t xml:space="preserve"> fournit au</w:t>
      </w:r>
      <w:r w:rsidR="00A81BCE">
        <w:rPr>
          <w:rFonts w:ascii="Arial" w:hAnsi="Arial" w:cs="Arial"/>
          <w:color w:val="000000"/>
          <w:sz w:val="19"/>
          <w:szCs w:val="19"/>
          <w:lang w:val="fr-CA"/>
        </w:rPr>
        <w:t>x auditrices et auditeurs</w:t>
      </w:r>
      <w:r w:rsidR="00FD0CFC" w:rsidRPr="00257B5A">
        <w:rPr>
          <w:rFonts w:ascii="Arial" w:hAnsi="Arial" w:cs="Arial"/>
          <w:color w:val="000000"/>
          <w:sz w:val="19"/>
          <w:szCs w:val="19"/>
          <w:lang w:val="fr-CA"/>
        </w:rPr>
        <w:t xml:space="preserve"> des </w:t>
      </w:r>
      <w:r w:rsidR="00492064" w:rsidRPr="00257B5A">
        <w:rPr>
          <w:rFonts w:ascii="Arial" w:hAnsi="Arial" w:cs="Arial"/>
          <w:color w:val="000000"/>
          <w:sz w:val="19"/>
          <w:szCs w:val="19"/>
          <w:lang w:val="fr-CA"/>
        </w:rPr>
        <w:t>directives</w:t>
      </w:r>
      <w:r w:rsidR="00FD0CFC" w:rsidRPr="00257B5A">
        <w:rPr>
          <w:rFonts w:ascii="Arial" w:hAnsi="Arial" w:cs="Arial"/>
          <w:color w:val="000000"/>
          <w:sz w:val="19"/>
          <w:szCs w:val="19"/>
          <w:lang w:val="fr-CA"/>
        </w:rPr>
        <w:t xml:space="preserve"> </w:t>
      </w:r>
      <w:r w:rsidR="00492064" w:rsidRPr="00257B5A">
        <w:rPr>
          <w:rFonts w:ascii="Arial" w:hAnsi="Arial" w:cs="Arial"/>
          <w:color w:val="000000"/>
          <w:sz w:val="19"/>
          <w:szCs w:val="19"/>
          <w:lang w:val="fr-CA"/>
        </w:rPr>
        <w:t>concernant</w:t>
      </w:r>
      <w:r w:rsidR="00FD0CFC" w:rsidRPr="00257B5A">
        <w:rPr>
          <w:rFonts w:ascii="Arial" w:hAnsi="Arial" w:cs="Arial"/>
          <w:color w:val="000000"/>
          <w:sz w:val="19"/>
          <w:szCs w:val="19"/>
          <w:lang w:val="fr-CA"/>
        </w:rPr>
        <w:t xml:space="preserve"> l</w:t>
      </w:r>
      <w:r w:rsidR="00257B5A" w:rsidRPr="00257B5A">
        <w:rPr>
          <w:rFonts w:ascii="Arial" w:hAnsi="Arial" w:cs="Arial"/>
          <w:color w:val="000000"/>
          <w:sz w:val="19"/>
          <w:szCs w:val="19"/>
          <w:lang w:val="fr-CA"/>
        </w:rPr>
        <w:t>’</w:t>
      </w:r>
      <w:r w:rsidR="00FD0CFC" w:rsidRPr="00257B5A">
        <w:rPr>
          <w:rFonts w:ascii="Arial" w:hAnsi="Arial" w:cs="Arial"/>
          <w:color w:val="000000"/>
          <w:sz w:val="19"/>
          <w:szCs w:val="19"/>
          <w:lang w:val="fr-CA"/>
        </w:rPr>
        <w:t>évaluation des principales hypothèses actuarielles utilisées dans l</w:t>
      </w:r>
      <w:r w:rsidR="00257B5A" w:rsidRPr="00257B5A">
        <w:rPr>
          <w:rFonts w:ascii="Arial" w:hAnsi="Arial" w:cs="Arial"/>
          <w:color w:val="000000"/>
          <w:sz w:val="19"/>
          <w:szCs w:val="19"/>
          <w:lang w:val="fr-CA"/>
        </w:rPr>
        <w:t>’</w:t>
      </w:r>
      <w:r w:rsidR="00FD0CFC" w:rsidRPr="00257B5A">
        <w:rPr>
          <w:rFonts w:ascii="Arial" w:hAnsi="Arial" w:cs="Arial"/>
          <w:color w:val="000000"/>
          <w:sz w:val="19"/>
          <w:szCs w:val="19"/>
          <w:lang w:val="fr-CA"/>
        </w:rPr>
        <w:t>évaluation des obligations au titre des régimes à prestations définies pour les régimes d</w:t>
      </w:r>
      <w:r w:rsidR="00257B5A" w:rsidRPr="00257B5A">
        <w:rPr>
          <w:rFonts w:ascii="Arial" w:hAnsi="Arial" w:cs="Arial"/>
          <w:color w:val="000000"/>
          <w:sz w:val="19"/>
          <w:szCs w:val="19"/>
          <w:lang w:val="fr-CA"/>
        </w:rPr>
        <w:t>’</w:t>
      </w:r>
      <w:r w:rsidR="00FD0CFC" w:rsidRPr="00257B5A">
        <w:rPr>
          <w:rFonts w:ascii="Arial" w:hAnsi="Arial" w:cs="Arial"/>
          <w:color w:val="000000"/>
          <w:sz w:val="19"/>
          <w:szCs w:val="19"/>
          <w:lang w:val="fr-CA"/>
        </w:rPr>
        <w:t>avantages du personnel au 31 décembre. La sélection des hypothèses repose sur le jugement. Les auditrices et auditeurs doivent tenir compte des hypothèses clés chaque année</w:t>
      </w:r>
      <w:r w:rsidR="000304B3" w:rsidRPr="00257B5A">
        <w:rPr>
          <w:rFonts w:ascii="Arial" w:hAnsi="Arial" w:cs="Arial"/>
          <w:color w:val="000000"/>
          <w:sz w:val="19"/>
          <w:szCs w:val="19"/>
          <w:lang w:val="fr-CA"/>
        </w:rPr>
        <w:t>.</w:t>
      </w:r>
      <w:bookmarkStart w:id="100" w:name="lt_pId116"/>
      <w:bookmarkEnd w:id="99"/>
      <w:r w:rsidR="007903D5" w:rsidRPr="00257B5A">
        <w:rPr>
          <w:rFonts w:ascii="Arial" w:hAnsi="Arial" w:cs="Arial"/>
          <w:color w:val="000000"/>
          <w:sz w:val="19"/>
          <w:szCs w:val="19"/>
          <w:lang w:val="fr-CA"/>
        </w:rPr>
        <w:t xml:space="preserve"> C</w:t>
      </w:r>
      <w:r w:rsidR="000304B3" w:rsidRPr="00257B5A">
        <w:rPr>
          <w:rFonts w:ascii="Arial" w:hAnsi="Arial" w:cs="Arial"/>
          <w:color w:val="000000"/>
          <w:sz w:val="19"/>
          <w:szCs w:val="19"/>
          <w:lang w:val="fr-CA"/>
        </w:rPr>
        <w:t>haque hypothèse devrait se fonder sur l</w:t>
      </w:r>
      <w:r w:rsidR="00257B5A" w:rsidRPr="00257B5A">
        <w:rPr>
          <w:rFonts w:ascii="Arial" w:hAnsi="Arial" w:cs="Arial"/>
          <w:color w:val="000000"/>
          <w:sz w:val="19"/>
          <w:szCs w:val="19"/>
          <w:lang w:val="fr-CA"/>
        </w:rPr>
        <w:t>’</w:t>
      </w:r>
      <w:r w:rsidR="000304B3" w:rsidRPr="00257B5A">
        <w:rPr>
          <w:rFonts w:ascii="Arial" w:hAnsi="Arial" w:cs="Arial"/>
          <w:color w:val="000000"/>
          <w:sz w:val="19"/>
          <w:szCs w:val="19"/>
          <w:lang w:val="fr-CA"/>
        </w:rPr>
        <w:t>expérience de chaque régime et sur les attentes de la direction pour l</w:t>
      </w:r>
      <w:r w:rsidR="00257B5A" w:rsidRPr="00257B5A">
        <w:rPr>
          <w:rFonts w:ascii="Arial" w:hAnsi="Arial" w:cs="Arial"/>
          <w:color w:val="000000"/>
          <w:sz w:val="19"/>
          <w:szCs w:val="19"/>
          <w:lang w:val="fr-CA"/>
        </w:rPr>
        <w:t>’</w:t>
      </w:r>
      <w:r w:rsidR="000304B3" w:rsidRPr="00257B5A">
        <w:rPr>
          <w:rFonts w:ascii="Arial" w:hAnsi="Arial" w:cs="Arial"/>
          <w:color w:val="000000"/>
          <w:sz w:val="19"/>
          <w:szCs w:val="19"/>
          <w:lang w:val="fr-CA"/>
        </w:rPr>
        <w:t>avenir.</w:t>
      </w:r>
      <w:bookmarkEnd w:id="100"/>
    </w:p>
    <w:p w14:paraId="7A858876" w14:textId="68CC08AF" w:rsidR="0061175A" w:rsidRPr="00257B5A" w:rsidRDefault="000304B3" w:rsidP="00437485">
      <w:pPr>
        <w:pStyle w:val="NormalWeb"/>
        <w:rPr>
          <w:rFonts w:ascii="Arial" w:hAnsi="Arial" w:cs="Arial"/>
          <w:color w:val="000000"/>
          <w:sz w:val="19"/>
          <w:szCs w:val="19"/>
          <w:lang w:val="fr-CA"/>
        </w:rPr>
      </w:pPr>
      <w:bookmarkStart w:id="101" w:name="lt_pId117"/>
      <w:r w:rsidRPr="00257B5A">
        <w:rPr>
          <w:rFonts w:ascii="Arial" w:hAnsi="Arial" w:cs="Arial"/>
          <w:color w:val="000000"/>
          <w:sz w:val="19"/>
          <w:szCs w:val="19"/>
          <w:lang w:val="fr-CA"/>
        </w:rPr>
        <w:t>Toutes les hypothèses actuarielles, à l</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exception du taux d</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actualisation comptable, sont par nature des hypothèses à long terme.</w:t>
      </w:r>
      <w:bookmarkEnd w:id="101"/>
      <w:r w:rsidRPr="00257B5A">
        <w:rPr>
          <w:rFonts w:ascii="Arial" w:hAnsi="Arial" w:cs="Arial"/>
          <w:color w:val="000000"/>
          <w:sz w:val="19"/>
          <w:szCs w:val="19"/>
          <w:lang w:val="fr-CA"/>
        </w:rPr>
        <w:t xml:space="preserve"> </w:t>
      </w:r>
      <w:bookmarkStart w:id="102" w:name="lt_pId118"/>
      <w:r w:rsidRPr="00257B5A">
        <w:rPr>
          <w:rFonts w:ascii="Arial" w:hAnsi="Arial" w:cs="Arial"/>
          <w:color w:val="000000"/>
          <w:sz w:val="19"/>
          <w:szCs w:val="19"/>
          <w:lang w:val="fr-CA"/>
        </w:rPr>
        <w:t xml:space="preserve">Les fourchettes indiquées dans </w:t>
      </w:r>
      <w:r w:rsidR="001F0570">
        <w:rPr>
          <w:rFonts w:ascii="Arial" w:hAnsi="Arial" w:cs="Arial"/>
          <w:color w:val="000000"/>
          <w:sz w:val="19"/>
          <w:szCs w:val="19"/>
          <w:lang w:val="fr-CA"/>
        </w:rPr>
        <w:t>la présente section</w:t>
      </w:r>
      <w:r w:rsidRPr="00257B5A">
        <w:rPr>
          <w:rFonts w:ascii="Arial" w:hAnsi="Arial" w:cs="Arial"/>
          <w:color w:val="000000"/>
          <w:sz w:val="19"/>
          <w:szCs w:val="19"/>
          <w:lang w:val="fr-CA"/>
        </w:rPr>
        <w:t xml:space="preserve"> s</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appliquent aux régimes d</w:t>
      </w:r>
      <w:r w:rsidR="00257B5A" w:rsidRPr="00257B5A">
        <w:rPr>
          <w:rFonts w:ascii="Arial" w:hAnsi="Arial" w:cs="Arial"/>
          <w:color w:val="000000"/>
          <w:sz w:val="19"/>
          <w:szCs w:val="19"/>
          <w:lang w:val="fr-CA"/>
        </w:rPr>
        <w:t>’</w:t>
      </w:r>
      <w:r w:rsidRPr="00257B5A">
        <w:rPr>
          <w:rFonts w:ascii="Arial" w:hAnsi="Arial" w:cs="Arial"/>
          <w:color w:val="000000"/>
          <w:sz w:val="19"/>
          <w:szCs w:val="19"/>
          <w:lang w:val="fr-CA"/>
        </w:rPr>
        <w:t>avantages sociaux classiques et peuvent ne pas convenir dans certains cas.</w:t>
      </w:r>
      <w:bookmarkEnd w:id="102"/>
      <w:r w:rsidRPr="00257B5A">
        <w:rPr>
          <w:rFonts w:ascii="Arial" w:hAnsi="Arial" w:cs="Arial"/>
          <w:color w:val="000000"/>
          <w:sz w:val="19"/>
          <w:szCs w:val="19"/>
          <w:lang w:val="fr-CA"/>
        </w:rPr>
        <w:t xml:space="preserve"> </w:t>
      </w:r>
    </w:p>
    <w:tbl>
      <w:tblPr>
        <w:tblStyle w:val="TableGrid"/>
        <w:tblW w:w="0" w:type="auto"/>
        <w:tblLook w:val="04A0" w:firstRow="1" w:lastRow="0" w:firstColumn="1" w:lastColumn="0" w:noHBand="0" w:noVBand="1"/>
      </w:tblPr>
      <w:tblGrid>
        <w:gridCol w:w="1632"/>
        <w:gridCol w:w="7718"/>
      </w:tblGrid>
      <w:tr w:rsidR="009714CB" w:rsidRPr="00257B5A" w14:paraId="74D9CC4D" w14:textId="77777777" w:rsidTr="006C27E8">
        <w:tc>
          <w:tcPr>
            <w:tcW w:w="1346" w:type="dxa"/>
          </w:tcPr>
          <w:p w14:paraId="60A07785" w14:textId="230FD031" w:rsidR="0061175A" w:rsidRPr="00257B5A" w:rsidRDefault="000304B3">
            <w:pPr>
              <w:rPr>
                <w:rFonts w:ascii="Arial" w:eastAsia="Times New Roman" w:hAnsi="Arial" w:cs="Arial"/>
                <w:b/>
                <w:bCs/>
                <w:color w:val="000000"/>
                <w:sz w:val="19"/>
                <w:szCs w:val="19"/>
                <w:lang w:val="fr-CA" w:eastAsia="en-CA"/>
              </w:rPr>
            </w:pPr>
            <w:bookmarkStart w:id="103" w:name="lt_pId119"/>
            <w:r w:rsidRPr="00257B5A">
              <w:rPr>
                <w:rFonts w:ascii="Arial" w:eastAsia="Times New Roman" w:hAnsi="Arial" w:cs="Arial"/>
                <w:b/>
                <w:bCs/>
                <w:color w:val="000000"/>
                <w:sz w:val="19"/>
                <w:szCs w:val="19"/>
                <w:lang w:val="fr-CA" w:eastAsia="en-CA"/>
              </w:rPr>
              <w:t>Hypothèse</w:t>
            </w:r>
            <w:bookmarkEnd w:id="103"/>
          </w:p>
        </w:tc>
        <w:tc>
          <w:tcPr>
            <w:tcW w:w="8004" w:type="dxa"/>
          </w:tcPr>
          <w:p w14:paraId="071612BF" w14:textId="28F89A6D" w:rsidR="0061175A" w:rsidRPr="00257B5A" w:rsidRDefault="000304B3">
            <w:pPr>
              <w:rPr>
                <w:rFonts w:ascii="Arial" w:eastAsia="Times New Roman" w:hAnsi="Arial" w:cs="Arial"/>
                <w:b/>
                <w:bCs/>
                <w:color w:val="000000"/>
                <w:sz w:val="19"/>
                <w:szCs w:val="19"/>
                <w:lang w:val="fr-CA" w:eastAsia="en-CA"/>
              </w:rPr>
            </w:pPr>
            <w:bookmarkStart w:id="104" w:name="lt_pId120"/>
            <w:r w:rsidRPr="00257B5A">
              <w:rPr>
                <w:rFonts w:ascii="Arial" w:eastAsia="Times New Roman" w:hAnsi="Arial" w:cs="Arial"/>
                <w:b/>
                <w:bCs/>
                <w:color w:val="000000"/>
                <w:sz w:val="19"/>
                <w:szCs w:val="19"/>
                <w:lang w:val="fr-CA" w:eastAsia="en-CA"/>
              </w:rPr>
              <w:t>Directives</w:t>
            </w:r>
            <w:bookmarkEnd w:id="104"/>
          </w:p>
        </w:tc>
      </w:tr>
      <w:tr w:rsidR="009714CB" w:rsidRPr="007637EE" w14:paraId="39151F10" w14:textId="77777777" w:rsidTr="006C27E8">
        <w:tc>
          <w:tcPr>
            <w:tcW w:w="1346" w:type="dxa"/>
          </w:tcPr>
          <w:p w14:paraId="259B0778" w14:textId="3245FDA6" w:rsidR="0061175A" w:rsidRPr="00257B5A" w:rsidRDefault="007903D5">
            <w:pPr>
              <w:rPr>
                <w:rFonts w:ascii="Arial" w:eastAsia="Times New Roman" w:hAnsi="Arial" w:cs="Arial"/>
                <w:b/>
                <w:bCs/>
                <w:color w:val="000000"/>
                <w:sz w:val="27"/>
                <w:szCs w:val="27"/>
                <w:lang w:val="fr-CA" w:eastAsia="en-CA"/>
              </w:rPr>
            </w:pPr>
            <w:r w:rsidRPr="00257B5A">
              <w:rPr>
                <w:rFonts w:ascii="Arial" w:eastAsia="Times New Roman" w:hAnsi="Arial" w:cs="Arial"/>
                <w:sz w:val="19"/>
                <w:szCs w:val="19"/>
                <w:lang w:val="fr-CA" w:eastAsia="en-CA"/>
              </w:rPr>
              <w:t>Hypothèse relative à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inflation</w:t>
            </w:r>
          </w:p>
        </w:tc>
        <w:tc>
          <w:tcPr>
            <w:tcW w:w="8004" w:type="dxa"/>
          </w:tcPr>
          <w:p w14:paraId="477A477B" w14:textId="1830EB0C" w:rsidR="0061175A" w:rsidRPr="00257B5A" w:rsidRDefault="000304B3">
            <w:pPr>
              <w:rPr>
                <w:rFonts w:ascii="Arial" w:eastAsia="Times New Roman" w:hAnsi="Arial" w:cs="Arial"/>
                <w:b/>
                <w:bCs/>
                <w:color w:val="000000"/>
                <w:sz w:val="27"/>
                <w:szCs w:val="27"/>
                <w:lang w:val="fr-CA" w:eastAsia="en-CA"/>
              </w:rPr>
            </w:pPr>
            <w:bookmarkStart w:id="105" w:name="lt_pId122"/>
            <w:r w:rsidRPr="00257B5A">
              <w:rPr>
                <w:rFonts w:ascii="Arial" w:eastAsia="Times New Roman" w:hAnsi="Arial" w:cs="Arial"/>
                <w:sz w:val="19"/>
                <w:szCs w:val="19"/>
                <w:lang w:val="fr-CA" w:eastAsia="en-CA"/>
              </w:rPr>
              <w:t>Un taux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inflation raisonnable se situe entre 1,75 % et 2,00 % lorsque le taux est fixé en</w:t>
            </w:r>
            <w:r w:rsidR="007903D5" w:rsidRPr="00257B5A">
              <w:rPr>
                <w:rFonts w:ascii="Arial" w:eastAsia="Times New Roman" w:hAnsi="Arial" w:cs="Arial"/>
                <w:sz w:val="19"/>
                <w:szCs w:val="19"/>
                <w:lang w:val="fr-CA" w:eastAsia="en-CA"/>
              </w:rPr>
              <w:t xml:space="preserve"> fonction</w:t>
            </w:r>
            <w:r w:rsidRPr="00257B5A">
              <w:rPr>
                <w:rFonts w:ascii="Arial" w:eastAsia="Times New Roman" w:hAnsi="Arial" w:cs="Arial"/>
                <w:sz w:val="19"/>
                <w:szCs w:val="19"/>
                <w:lang w:val="fr-CA" w:eastAsia="en-CA"/>
              </w:rPr>
              <w:t xml:space="preserve"> </w:t>
            </w:r>
            <w:r w:rsidR="007903D5" w:rsidRPr="00257B5A">
              <w:rPr>
                <w:rFonts w:ascii="Arial" w:eastAsia="Times New Roman" w:hAnsi="Arial" w:cs="Arial"/>
                <w:sz w:val="19"/>
                <w:szCs w:val="19"/>
                <w:lang w:val="fr-CA" w:eastAsia="en-CA"/>
              </w:rPr>
              <w:t xml:space="preserve">des </w:t>
            </w:r>
            <w:r w:rsidRPr="00257B5A">
              <w:rPr>
                <w:rFonts w:ascii="Arial" w:eastAsia="Times New Roman" w:hAnsi="Arial" w:cs="Arial"/>
                <w:sz w:val="19"/>
                <w:szCs w:val="19"/>
                <w:lang w:val="fr-CA" w:eastAsia="en-CA"/>
              </w:rPr>
              <w:t>attentes à long terme</w:t>
            </w:r>
            <w:r w:rsidR="007903D5" w:rsidRPr="00257B5A">
              <w:rPr>
                <w:rFonts w:ascii="Arial" w:eastAsia="Times New Roman" w:hAnsi="Arial" w:cs="Arial"/>
                <w:sz w:val="19"/>
                <w:szCs w:val="19"/>
                <w:lang w:val="fr-CA" w:eastAsia="en-CA"/>
              </w:rPr>
              <w:t xml:space="preserve"> et du taux cible du financement à un jour de la Banque du Canada</w:t>
            </w:r>
            <w:r w:rsidRPr="00257B5A">
              <w:rPr>
                <w:rFonts w:ascii="Arial" w:eastAsia="Times New Roman" w:hAnsi="Arial" w:cs="Arial"/>
                <w:sz w:val="19"/>
                <w:szCs w:val="19"/>
                <w:lang w:val="fr-CA" w:eastAsia="en-CA"/>
              </w:rPr>
              <w:t>.</w:t>
            </w:r>
            <w:bookmarkEnd w:id="105"/>
            <w:r w:rsidRPr="00257B5A">
              <w:rPr>
                <w:rFonts w:ascii="Arial" w:eastAsia="Times New Roman" w:hAnsi="Arial" w:cs="Arial"/>
                <w:sz w:val="19"/>
                <w:szCs w:val="19"/>
                <w:lang w:val="fr-CA" w:eastAsia="en-CA"/>
              </w:rPr>
              <w:t xml:space="preserve"> </w:t>
            </w:r>
            <w:r w:rsidR="007903D5" w:rsidRPr="00257B5A">
              <w:rPr>
                <w:rFonts w:ascii="Arial" w:eastAsia="Times New Roman" w:hAnsi="Arial" w:cs="Arial"/>
                <w:sz w:val="19"/>
                <w:szCs w:val="19"/>
                <w:lang w:val="fr-CA" w:eastAsia="en-CA"/>
              </w:rPr>
              <w:t>Compte tenu du fait que l</w:t>
            </w:r>
            <w:r w:rsidR="00257B5A" w:rsidRPr="00257B5A">
              <w:rPr>
                <w:rFonts w:ascii="Arial" w:eastAsia="Times New Roman" w:hAnsi="Arial" w:cs="Arial"/>
                <w:sz w:val="19"/>
                <w:szCs w:val="19"/>
                <w:lang w:val="fr-CA" w:eastAsia="en-CA"/>
              </w:rPr>
              <w:t>’</w:t>
            </w:r>
            <w:r w:rsidR="007903D5" w:rsidRPr="00257B5A">
              <w:rPr>
                <w:rFonts w:ascii="Arial" w:eastAsia="Times New Roman" w:hAnsi="Arial" w:cs="Arial"/>
                <w:sz w:val="19"/>
                <w:szCs w:val="19"/>
                <w:lang w:val="fr-CA" w:eastAsia="en-CA"/>
              </w:rPr>
              <w:t xml:space="preserve">inflation en ce moment est plus élevée que la normale, il serait raisonnable </w:t>
            </w:r>
            <w:r w:rsidR="0030094F" w:rsidRPr="00257B5A">
              <w:rPr>
                <w:rFonts w:ascii="Arial" w:eastAsia="Times New Roman" w:hAnsi="Arial" w:cs="Arial"/>
                <w:sz w:val="19"/>
                <w:szCs w:val="19"/>
                <w:lang w:val="fr-CA" w:eastAsia="en-CA"/>
              </w:rPr>
              <w:t>que l</w:t>
            </w:r>
            <w:r w:rsidR="00257B5A" w:rsidRPr="00257B5A">
              <w:rPr>
                <w:rFonts w:ascii="Arial" w:eastAsia="Times New Roman" w:hAnsi="Arial" w:cs="Arial"/>
                <w:sz w:val="19"/>
                <w:szCs w:val="19"/>
                <w:lang w:val="fr-CA" w:eastAsia="en-CA"/>
              </w:rPr>
              <w:t>’</w:t>
            </w:r>
            <w:r w:rsidR="007903D5" w:rsidRPr="00257B5A">
              <w:rPr>
                <w:rFonts w:ascii="Arial" w:eastAsia="Times New Roman" w:hAnsi="Arial" w:cs="Arial"/>
                <w:sz w:val="19"/>
                <w:szCs w:val="19"/>
                <w:lang w:val="fr-CA" w:eastAsia="en-CA"/>
              </w:rPr>
              <w:t>hypothèse relative à l</w:t>
            </w:r>
            <w:r w:rsidR="00257B5A" w:rsidRPr="00257B5A">
              <w:rPr>
                <w:rFonts w:ascii="Arial" w:eastAsia="Times New Roman" w:hAnsi="Arial" w:cs="Arial"/>
                <w:sz w:val="19"/>
                <w:szCs w:val="19"/>
                <w:lang w:val="fr-CA" w:eastAsia="en-CA"/>
              </w:rPr>
              <w:t>’</w:t>
            </w:r>
            <w:r w:rsidR="007903D5" w:rsidRPr="00257B5A">
              <w:rPr>
                <w:rFonts w:ascii="Arial" w:eastAsia="Times New Roman" w:hAnsi="Arial" w:cs="Arial"/>
                <w:sz w:val="19"/>
                <w:szCs w:val="19"/>
                <w:lang w:val="fr-CA" w:eastAsia="en-CA"/>
              </w:rPr>
              <w:t xml:space="preserve">inflation </w:t>
            </w:r>
            <w:r w:rsidR="0030094F" w:rsidRPr="00257B5A">
              <w:rPr>
                <w:rFonts w:ascii="Arial" w:eastAsia="Times New Roman" w:hAnsi="Arial" w:cs="Arial"/>
                <w:sz w:val="19"/>
                <w:szCs w:val="19"/>
                <w:lang w:val="fr-CA" w:eastAsia="en-CA"/>
              </w:rPr>
              <w:t xml:space="preserve">soit </w:t>
            </w:r>
            <w:r w:rsidR="007903D5" w:rsidRPr="00257B5A">
              <w:rPr>
                <w:rFonts w:ascii="Arial" w:eastAsia="Times New Roman" w:hAnsi="Arial" w:cs="Arial"/>
                <w:sz w:val="19"/>
                <w:szCs w:val="19"/>
                <w:lang w:val="fr-CA" w:eastAsia="en-CA"/>
              </w:rPr>
              <w:t>plus élevée à court terme, puis qu</w:t>
            </w:r>
            <w:r w:rsidR="00257B5A" w:rsidRPr="00257B5A">
              <w:rPr>
                <w:rFonts w:ascii="Arial" w:eastAsia="Times New Roman" w:hAnsi="Arial" w:cs="Arial"/>
                <w:sz w:val="19"/>
                <w:szCs w:val="19"/>
                <w:lang w:val="fr-CA" w:eastAsia="en-CA"/>
              </w:rPr>
              <w:t>’</w:t>
            </w:r>
            <w:r w:rsidR="007903D5" w:rsidRPr="00257B5A">
              <w:rPr>
                <w:rFonts w:ascii="Arial" w:eastAsia="Times New Roman" w:hAnsi="Arial" w:cs="Arial"/>
                <w:sz w:val="19"/>
                <w:szCs w:val="19"/>
                <w:lang w:val="fr-CA" w:eastAsia="en-CA"/>
              </w:rPr>
              <w:t>elle soit ramenée dans la fourchette raisonnable à long terme.</w:t>
            </w:r>
          </w:p>
        </w:tc>
      </w:tr>
      <w:tr w:rsidR="009714CB" w:rsidRPr="007637EE" w14:paraId="46318C85" w14:textId="77777777" w:rsidTr="006C27E8">
        <w:tc>
          <w:tcPr>
            <w:tcW w:w="1346" w:type="dxa"/>
          </w:tcPr>
          <w:p w14:paraId="7A55796F" w14:textId="09043478" w:rsidR="0061175A" w:rsidRPr="00257B5A" w:rsidRDefault="007903D5">
            <w:pPr>
              <w:rPr>
                <w:rFonts w:ascii="Arial" w:eastAsia="Times New Roman" w:hAnsi="Arial" w:cs="Arial"/>
                <w:b/>
                <w:bCs/>
                <w:color w:val="000000"/>
                <w:sz w:val="27"/>
                <w:szCs w:val="27"/>
                <w:lang w:val="fr-CA" w:eastAsia="en-CA"/>
              </w:rPr>
            </w:pPr>
            <w:r w:rsidRPr="00257B5A">
              <w:rPr>
                <w:rFonts w:ascii="Arial" w:eastAsia="Times New Roman" w:hAnsi="Arial" w:cs="Arial"/>
                <w:sz w:val="19"/>
                <w:szCs w:val="19"/>
                <w:lang w:val="fr-CA" w:eastAsia="en-CA"/>
              </w:rPr>
              <w:t>Hypothèse relative à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augmentation des salaires</w:t>
            </w:r>
          </w:p>
        </w:tc>
        <w:tc>
          <w:tcPr>
            <w:tcW w:w="8004" w:type="dxa"/>
          </w:tcPr>
          <w:p w14:paraId="3C20823F" w14:textId="256BE534" w:rsidR="0061175A" w:rsidRPr="00257B5A" w:rsidRDefault="00806EAD" w:rsidP="005D2914">
            <w:pPr>
              <w:pStyle w:val="pf0"/>
              <w:rPr>
                <w:rFonts w:ascii="Arial" w:hAnsi="Arial" w:cs="Arial"/>
                <w:sz w:val="19"/>
                <w:szCs w:val="19"/>
                <w:lang w:val="fr-CA"/>
              </w:rPr>
            </w:pPr>
            <w:bookmarkStart w:id="106" w:name="lt_pId125"/>
            <w:r w:rsidRPr="00257B5A">
              <w:rPr>
                <w:rFonts w:ascii="Arial" w:hAnsi="Arial" w:cs="Arial"/>
                <w:sz w:val="19"/>
                <w:szCs w:val="19"/>
                <w:lang w:val="fr-CA"/>
              </w:rPr>
              <w:t>Un taux d</w:t>
            </w:r>
            <w:r w:rsidR="00257B5A" w:rsidRPr="00257B5A">
              <w:rPr>
                <w:rFonts w:ascii="Arial" w:hAnsi="Arial" w:cs="Arial"/>
                <w:sz w:val="19"/>
                <w:szCs w:val="19"/>
                <w:lang w:val="fr-CA"/>
              </w:rPr>
              <w:t>’</w:t>
            </w:r>
            <w:r w:rsidRPr="00257B5A">
              <w:rPr>
                <w:rFonts w:ascii="Arial" w:hAnsi="Arial" w:cs="Arial"/>
                <w:sz w:val="19"/>
                <w:szCs w:val="19"/>
                <w:lang w:val="fr-CA"/>
              </w:rPr>
              <w:t>augmentation des salaires raisonnable serait constitué 1) </w:t>
            </w:r>
            <w:r w:rsidR="00016BE9" w:rsidRPr="00257B5A">
              <w:rPr>
                <w:rFonts w:ascii="Arial" w:hAnsi="Arial" w:cs="Arial"/>
                <w:sz w:val="19"/>
                <w:szCs w:val="19"/>
                <w:lang w:val="fr-CA"/>
              </w:rPr>
              <w:t>de l</w:t>
            </w:r>
            <w:r w:rsidR="00257B5A" w:rsidRPr="00257B5A">
              <w:rPr>
                <w:rFonts w:ascii="Arial" w:hAnsi="Arial" w:cs="Arial"/>
                <w:sz w:val="19"/>
                <w:szCs w:val="19"/>
                <w:lang w:val="fr-CA"/>
              </w:rPr>
              <w:t>’</w:t>
            </w:r>
            <w:r w:rsidR="00016BE9" w:rsidRPr="00257B5A">
              <w:rPr>
                <w:rFonts w:ascii="Arial" w:hAnsi="Arial" w:cs="Arial"/>
                <w:sz w:val="19"/>
                <w:szCs w:val="19"/>
                <w:lang w:val="fr-CA"/>
              </w:rPr>
              <w:t>hypothèse relative à l</w:t>
            </w:r>
            <w:r w:rsidR="00257B5A" w:rsidRPr="00257B5A">
              <w:rPr>
                <w:rFonts w:ascii="Arial" w:hAnsi="Arial" w:cs="Arial"/>
                <w:sz w:val="19"/>
                <w:szCs w:val="19"/>
                <w:lang w:val="fr-CA"/>
              </w:rPr>
              <w:t>’</w:t>
            </w:r>
            <w:r w:rsidRPr="00257B5A">
              <w:rPr>
                <w:rFonts w:ascii="Arial" w:hAnsi="Arial" w:cs="Arial"/>
                <w:sz w:val="19"/>
                <w:szCs w:val="19"/>
                <w:lang w:val="fr-CA"/>
              </w:rPr>
              <w:t>inflation (voir plus haut) MAJORÉ</w:t>
            </w:r>
            <w:r w:rsidR="00016BE9" w:rsidRPr="00257B5A">
              <w:rPr>
                <w:rFonts w:ascii="Arial" w:hAnsi="Arial" w:cs="Arial"/>
                <w:sz w:val="19"/>
                <w:szCs w:val="19"/>
                <w:lang w:val="fr-CA"/>
              </w:rPr>
              <w:t>E</w:t>
            </w:r>
            <w:r w:rsidRPr="00257B5A">
              <w:rPr>
                <w:rFonts w:ascii="Arial" w:hAnsi="Arial" w:cs="Arial"/>
                <w:sz w:val="19"/>
                <w:szCs w:val="19"/>
                <w:lang w:val="fr-CA"/>
              </w:rPr>
              <w:t xml:space="preserve"> 2) d</w:t>
            </w:r>
            <w:r w:rsidR="00257B5A" w:rsidRPr="00257B5A">
              <w:rPr>
                <w:rFonts w:ascii="Arial" w:hAnsi="Arial" w:cs="Arial"/>
                <w:sz w:val="19"/>
                <w:szCs w:val="19"/>
                <w:lang w:val="fr-CA"/>
              </w:rPr>
              <w:t>’</w:t>
            </w:r>
            <w:r w:rsidRPr="00257B5A">
              <w:rPr>
                <w:rFonts w:ascii="Arial" w:hAnsi="Arial" w:cs="Arial"/>
                <w:sz w:val="19"/>
                <w:szCs w:val="19"/>
                <w:lang w:val="fr-CA"/>
              </w:rPr>
              <w:t>une provision liée à la productivité, aux promotions et au mérite d</w:t>
            </w:r>
            <w:r w:rsidR="00257B5A" w:rsidRPr="00257B5A">
              <w:rPr>
                <w:rFonts w:ascii="Arial" w:hAnsi="Arial" w:cs="Arial"/>
                <w:sz w:val="19"/>
                <w:szCs w:val="19"/>
                <w:lang w:val="fr-CA"/>
              </w:rPr>
              <w:t>’</w:t>
            </w:r>
            <w:r w:rsidRPr="00257B5A">
              <w:rPr>
                <w:rFonts w:ascii="Arial" w:hAnsi="Arial" w:cs="Arial"/>
                <w:sz w:val="19"/>
                <w:szCs w:val="19"/>
                <w:lang w:val="fr-CA"/>
              </w:rPr>
              <w:t>environ 0,75 % à 1,75 %.</w:t>
            </w:r>
            <w:bookmarkEnd w:id="106"/>
            <w:r w:rsidRPr="00257B5A">
              <w:rPr>
                <w:rFonts w:ascii="Arial" w:hAnsi="Arial" w:cs="Arial"/>
                <w:sz w:val="19"/>
                <w:szCs w:val="19"/>
                <w:lang w:val="fr-CA"/>
              </w:rPr>
              <w:t xml:space="preserve"> </w:t>
            </w:r>
            <w:bookmarkStart w:id="107" w:name="lt_pId126"/>
            <w:r w:rsidRPr="00257B5A">
              <w:rPr>
                <w:rFonts w:ascii="Arial" w:hAnsi="Arial" w:cs="Arial"/>
                <w:sz w:val="19"/>
                <w:szCs w:val="19"/>
                <w:lang w:val="fr-CA"/>
              </w:rPr>
              <w:t>Par exemple, si le taux d</w:t>
            </w:r>
            <w:r w:rsidR="00257B5A" w:rsidRPr="00257B5A">
              <w:rPr>
                <w:rFonts w:ascii="Arial" w:hAnsi="Arial" w:cs="Arial"/>
                <w:sz w:val="19"/>
                <w:szCs w:val="19"/>
                <w:lang w:val="fr-CA"/>
              </w:rPr>
              <w:t>’</w:t>
            </w:r>
            <w:r w:rsidRPr="00257B5A">
              <w:rPr>
                <w:rFonts w:ascii="Arial" w:hAnsi="Arial" w:cs="Arial"/>
                <w:sz w:val="19"/>
                <w:szCs w:val="19"/>
                <w:lang w:val="fr-CA"/>
              </w:rPr>
              <w:t>inflation était de 2,00 %, le taux d</w:t>
            </w:r>
            <w:r w:rsidR="00257B5A" w:rsidRPr="00257B5A">
              <w:rPr>
                <w:rFonts w:ascii="Arial" w:hAnsi="Arial" w:cs="Arial"/>
                <w:sz w:val="19"/>
                <w:szCs w:val="19"/>
                <w:lang w:val="fr-CA"/>
              </w:rPr>
              <w:t>’</w:t>
            </w:r>
            <w:r w:rsidRPr="00257B5A">
              <w:rPr>
                <w:rFonts w:ascii="Arial" w:hAnsi="Arial" w:cs="Arial"/>
                <w:sz w:val="19"/>
                <w:szCs w:val="19"/>
                <w:lang w:val="fr-CA"/>
              </w:rPr>
              <w:t>augmentation des salaires devrait se situer entre 2,75 % et 3,75 %.</w:t>
            </w:r>
            <w:bookmarkEnd w:id="107"/>
            <w:r w:rsidRPr="00257B5A">
              <w:rPr>
                <w:rFonts w:ascii="Arial" w:hAnsi="Arial" w:cs="Arial"/>
                <w:sz w:val="19"/>
                <w:szCs w:val="19"/>
                <w:lang w:val="fr-CA"/>
              </w:rPr>
              <w:t xml:space="preserve"> </w:t>
            </w:r>
            <w:bookmarkStart w:id="108" w:name="lt_pId127"/>
            <w:r w:rsidRPr="00257B5A">
              <w:rPr>
                <w:rFonts w:ascii="Arial" w:hAnsi="Arial" w:cs="Arial"/>
                <w:sz w:val="19"/>
                <w:szCs w:val="19"/>
                <w:lang w:val="fr-CA"/>
              </w:rPr>
              <w:t xml:space="preserve">La provision ajoutée </w:t>
            </w:r>
            <w:r w:rsidR="00533432" w:rsidRPr="00257B5A">
              <w:rPr>
                <w:rFonts w:ascii="Arial" w:hAnsi="Arial" w:cs="Arial"/>
                <w:sz w:val="19"/>
                <w:szCs w:val="19"/>
                <w:lang w:val="fr-CA"/>
              </w:rPr>
              <w:t>à l</w:t>
            </w:r>
            <w:r w:rsidR="00257B5A" w:rsidRPr="00257B5A">
              <w:rPr>
                <w:rFonts w:ascii="Arial" w:hAnsi="Arial" w:cs="Arial"/>
                <w:sz w:val="19"/>
                <w:szCs w:val="19"/>
                <w:lang w:val="fr-CA"/>
              </w:rPr>
              <w:t>’</w:t>
            </w:r>
            <w:r w:rsidR="00533432" w:rsidRPr="00257B5A">
              <w:rPr>
                <w:rFonts w:ascii="Arial" w:hAnsi="Arial" w:cs="Arial"/>
                <w:sz w:val="19"/>
                <w:szCs w:val="19"/>
                <w:lang w:val="fr-CA"/>
              </w:rPr>
              <w:t>hypothèse relative au</w:t>
            </w:r>
            <w:r w:rsidRPr="00257B5A">
              <w:rPr>
                <w:rFonts w:ascii="Arial" w:hAnsi="Arial" w:cs="Arial"/>
                <w:sz w:val="19"/>
                <w:szCs w:val="19"/>
                <w:lang w:val="fr-CA"/>
              </w:rPr>
              <w:t xml:space="preserve"> taux d</w:t>
            </w:r>
            <w:r w:rsidR="00257B5A" w:rsidRPr="00257B5A">
              <w:rPr>
                <w:rFonts w:ascii="Arial" w:hAnsi="Arial" w:cs="Arial"/>
                <w:sz w:val="19"/>
                <w:szCs w:val="19"/>
                <w:lang w:val="fr-CA"/>
              </w:rPr>
              <w:t>’</w:t>
            </w:r>
            <w:r w:rsidRPr="00257B5A">
              <w:rPr>
                <w:rFonts w:ascii="Arial" w:hAnsi="Arial" w:cs="Arial"/>
                <w:sz w:val="19"/>
                <w:szCs w:val="19"/>
                <w:lang w:val="fr-CA"/>
              </w:rPr>
              <w:t>inflation peut elle-même être divisée en deux : 1) une part liée à la productivité (une fourchette attendue de 0,25 % à 1,25 %), plus 2) une part liée aux promotions, au mérite et à d</w:t>
            </w:r>
            <w:r w:rsidR="00257B5A" w:rsidRPr="00257B5A">
              <w:rPr>
                <w:rFonts w:ascii="Arial" w:hAnsi="Arial" w:cs="Arial"/>
                <w:sz w:val="19"/>
                <w:szCs w:val="19"/>
                <w:lang w:val="fr-CA"/>
              </w:rPr>
              <w:t>’</w:t>
            </w:r>
            <w:r w:rsidRPr="00257B5A">
              <w:rPr>
                <w:rFonts w:ascii="Arial" w:hAnsi="Arial" w:cs="Arial"/>
                <w:sz w:val="19"/>
                <w:szCs w:val="19"/>
                <w:lang w:val="fr-CA"/>
              </w:rPr>
              <w:t>autres facteurs propres à l</w:t>
            </w:r>
            <w:r w:rsidR="00257B5A" w:rsidRPr="00257B5A">
              <w:rPr>
                <w:rFonts w:ascii="Arial" w:hAnsi="Arial" w:cs="Arial"/>
                <w:sz w:val="19"/>
                <w:szCs w:val="19"/>
                <w:lang w:val="fr-CA"/>
              </w:rPr>
              <w:t>’</w:t>
            </w:r>
            <w:r w:rsidRPr="00257B5A">
              <w:rPr>
                <w:rFonts w:ascii="Arial" w:hAnsi="Arial" w:cs="Arial"/>
                <w:sz w:val="19"/>
                <w:szCs w:val="19"/>
                <w:lang w:val="fr-CA"/>
              </w:rPr>
              <w:t>entité (une part attendue d</w:t>
            </w:r>
            <w:r w:rsidR="00257B5A" w:rsidRPr="00257B5A">
              <w:rPr>
                <w:rFonts w:ascii="Arial" w:hAnsi="Arial" w:cs="Arial"/>
                <w:sz w:val="19"/>
                <w:szCs w:val="19"/>
                <w:lang w:val="fr-CA"/>
              </w:rPr>
              <w:t>’</w:t>
            </w:r>
            <w:r w:rsidRPr="00257B5A">
              <w:rPr>
                <w:rFonts w:ascii="Arial" w:hAnsi="Arial" w:cs="Arial"/>
                <w:sz w:val="19"/>
                <w:szCs w:val="19"/>
                <w:lang w:val="fr-CA"/>
              </w:rPr>
              <w:t>au moins 0,50 %, à moins que des éléments probants ne justifient une hypothèse moins élevée).</w:t>
            </w:r>
            <w:bookmarkEnd w:id="108"/>
            <w:r w:rsidRPr="00257B5A">
              <w:rPr>
                <w:rFonts w:ascii="Arial" w:hAnsi="Arial" w:cs="Arial"/>
                <w:sz w:val="19"/>
                <w:szCs w:val="19"/>
                <w:lang w:val="fr-CA"/>
              </w:rPr>
              <w:t xml:space="preserve"> </w:t>
            </w:r>
            <w:bookmarkStart w:id="109" w:name="lt_pId128"/>
            <w:r w:rsidRPr="00257B5A">
              <w:rPr>
                <w:rFonts w:ascii="Arial" w:hAnsi="Arial" w:cs="Arial"/>
                <w:sz w:val="19"/>
                <w:szCs w:val="19"/>
                <w:lang w:val="fr-CA"/>
              </w:rPr>
              <w:t>Ainsi, l</w:t>
            </w:r>
            <w:r w:rsidR="00257B5A" w:rsidRPr="00257B5A">
              <w:rPr>
                <w:rFonts w:ascii="Arial" w:hAnsi="Arial" w:cs="Arial"/>
                <w:sz w:val="19"/>
                <w:szCs w:val="19"/>
                <w:lang w:val="fr-CA"/>
              </w:rPr>
              <w:t>’</w:t>
            </w:r>
            <w:r w:rsidRPr="00257B5A">
              <w:rPr>
                <w:rFonts w:ascii="Arial" w:hAnsi="Arial" w:cs="Arial"/>
                <w:sz w:val="19"/>
                <w:szCs w:val="19"/>
                <w:lang w:val="fr-CA"/>
              </w:rPr>
              <w:t>hypothèse du taux d</w:t>
            </w:r>
            <w:r w:rsidR="00257B5A" w:rsidRPr="00257B5A">
              <w:rPr>
                <w:rFonts w:ascii="Arial" w:hAnsi="Arial" w:cs="Arial"/>
                <w:sz w:val="19"/>
                <w:szCs w:val="19"/>
                <w:lang w:val="fr-CA"/>
              </w:rPr>
              <w:t>’</w:t>
            </w:r>
            <w:r w:rsidRPr="00257B5A">
              <w:rPr>
                <w:rFonts w:ascii="Arial" w:hAnsi="Arial" w:cs="Arial"/>
                <w:sz w:val="19"/>
                <w:szCs w:val="19"/>
                <w:lang w:val="fr-CA"/>
              </w:rPr>
              <w:t>augmentation des salaires doit présenter une cohérence interne avec l</w:t>
            </w:r>
            <w:r w:rsidR="00257B5A" w:rsidRPr="00257B5A">
              <w:rPr>
                <w:rFonts w:ascii="Arial" w:hAnsi="Arial" w:cs="Arial"/>
                <w:sz w:val="19"/>
                <w:szCs w:val="19"/>
                <w:lang w:val="fr-CA"/>
              </w:rPr>
              <w:t>’</w:t>
            </w:r>
            <w:r w:rsidRPr="00257B5A">
              <w:rPr>
                <w:rFonts w:ascii="Arial" w:hAnsi="Arial" w:cs="Arial"/>
                <w:sz w:val="19"/>
                <w:szCs w:val="19"/>
                <w:lang w:val="fr-CA"/>
              </w:rPr>
              <w:t xml:space="preserve">hypothèse </w:t>
            </w:r>
            <w:r w:rsidR="00C609B9" w:rsidRPr="00257B5A">
              <w:rPr>
                <w:rFonts w:ascii="Arial" w:hAnsi="Arial" w:cs="Arial"/>
                <w:sz w:val="19"/>
                <w:szCs w:val="19"/>
                <w:lang w:val="fr-CA"/>
              </w:rPr>
              <w:t>relative au</w:t>
            </w:r>
            <w:r w:rsidRPr="00257B5A">
              <w:rPr>
                <w:rFonts w:ascii="Arial" w:hAnsi="Arial" w:cs="Arial"/>
                <w:sz w:val="19"/>
                <w:szCs w:val="19"/>
                <w:lang w:val="fr-CA"/>
              </w:rPr>
              <w:t xml:space="preserve"> taux d</w:t>
            </w:r>
            <w:r w:rsidR="00257B5A" w:rsidRPr="00257B5A">
              <w:rPr>
                <w:rFonts w:ascii="Arial" w:hAnsi="Arial" w:cs="Arial"/>
                <w:sz w:val="19"/>
                <w:szCs w:val="19"/>
                <w:lang w:val="fr-CA"/>
              </w:rPr>
              <w:t>’</w:t>
            </w:r>
            <w:r w:rsidRPr="00257B5A">
              <w:rPr>
                <w:rFonts w:ascii="Arial" w:hAnsi="Arial" w:cs="Arial"/>
                <w:sz w:val="19"/>
                <w:szCs w:val="19"/>
                <w:lang w:val="fr-CA"/>
              </w:rPr>
              <w:t>inflation et tenir compte de</w:t>
            </w:r>
            <w:r w:rsidR="00B01F90" w:rsidRPr="00257B5A">
              <w:rPr>
                <w:rFonts w:ascii="Arial" w:hAnsi="Arial" w:cs="Arial"/>
                <w:sz w:val="19"/>
                <w:szCs w:val="19"/>
                <w:lang w:val="fr-CA"/>
              </w:rPr>
              <w:t>s facteurs</w:t>
            </w:r>
            <w:r w:rsidRPr="00257B5A">
              <w:rPr>
                <w:rFonts w:ascii="Arial" w:hAnsi="Arial" w:cs="Arial"/>
                <w:sz w:val="19"/>
                <w:szCs w:val="19"/>
                <w:lang w:val="fr-CA"/>
              </w:rPr>
              <w:t xml:space="preserve"> </w:t>
            </w:r>
            <w:r w:rsidR="00B01F90" w:rsidRPr="00257B5A">
              <w:rPr>
                <w:rFonts w:ascii="Arial" w:hAnsi="Arial" w:cs="Arial"/>
                <w:sz w:val="19"/>
                <w:szCs w:val="19"/>
                <w:lang w:val="fr-CA"/>
              </w:rPr>
              <w:t>de</w:t>
            </w:r>
            <w:r w:rsidRPr="00257B5A">
              <w:rPr>
                <w:rFonts w:ascii="Arial" w:hAnsi="Arial" w:cs="Arial"/>
                <w:sz w:val="19"/>
                <w:szCs w:val="19"/>
                <w:lang w:val="fr-CA"/>
              </w:rPr>
              <w:t xml:space="preserve"> productivité</w:t>
            </w:r>
            <w:r w:rsidR="00B01F90" w:rsidRPr="00257B5A">
              <w:rPr>
                <w:rFonts w:ascii="Arial" w:hAnsi="Arial" w:cs="Arial"/>
                <w:sz w:val="19"/>
                <w:szCs w:val="19"/>
                <w:lang w:val="fr-CA"/>
              </w:rPr>
              <w:t xml:space="preserve"> et</w:t>
            </w:r>
            <w:r w:rsidRPr="00257B5A">
              <w:rPr>
                <w:rFonts w:ascii="Arial" w:hAnsi="Arial" w:cs="Arial"/>
                <w:sz w:val="19"/>
                <w:szCs w:val="19"/>
                <w:lang w:val="fr-CA"/>
              </w:rPr>
              <w:t xml:space="preserve"> de promotion ainsi que des facteurs propres à l</w:t>
            </w:r>
            <w:r w:rsidR="00257B5A" w:rsidRPr="00257B5A">
              <w:rPr>
                <w:rFonts w:ascii="Arial" w:hAnsi="Arial" w:cs="Arial"/>
                <w:sz w:val="19"/>
                <w:szCs w:val="19"/>
                <w:lang w:val="fr-CA"/>
              </w:rPr>
              <w:t>’</w:t>
            </w:r>
            <w:r w:rsidRPr="00257B5A">
              <w:rPr>
                <w:rFonts w:ascii="Arial" w:hAnsi="Arial" w:cs="Arial"/>
                <w:sz w:val="19"/>
                <w:szCs w:val="19"/>
                <w:lang w:val="fr-CA"/>
              </w:rPr>
              <w:t>entité.</w:t>
            </w:r>
            <w:bookmarkEnd w:id="109"/>
            <w:r w:rsidRPr="00257B5A">
              <w:rPr>
                <w:rFonts w:ascii="Arial" w:hAnsi="Arial" w:cs="Arial"/>
                <w:sz w:val="19"/>
                <w:szCs w:val="19"/>
                <w:lang w:val="fr-CA"/>
              </w:rPr>
              <w:t xml:space="preserve"> </w:t>
            </w:r>
            <w:r w:rsidR="002547A3" w:rsidRPr="00257B5A">
              <w:rPr>
                <w:rFonts w:ascii="Arial" w:hAnsi="Arial" w:cs="Arial"/>
                <w:sz w:val="19"/>
                <w:szCs w:val="19"/>
                <w:lang w:val="fr-CA"/>
              </w:rPr>
              <w:t>Dans le cas de</w:t>
            </w:r>
            <w:r w:rsidR="000304B3" w:rsidRPr="00257B5A">
              <w:rPr>
                <w:rFonts w:ascii="Arial" w:hAnsi="Arial" w:cs="Arial"/>
                <w:sz w:val="19"/>
                <w:szCs w:val="19"/>
                <w:lang w:val="fr-CA"/>
              </w:rPr>
              <w:t xml:space="preserve"> régimes qui sont fermés aux </w:t>
            </w:r>
            <w:r w:rsidR="000304B3" w:rsidRPr="00257B5A">
              <w:rPr>
                <w:rFonts w:ascii="Arial" w:hAnsi="Arial" w:cs="Arial"/>
                <w:sz w:val="19"/>
                <w:szCs w:val="19"/>
                <w:lang w:val="fr-CA"/>
              </w:rPr>
              <w:lastRenderedPageBreak/>
              <w:t>nouveaux participants et composés de membres actifs vieillissants</w:t>
            </w:r>
            <w:r w:rsidR="002547A3" w:rsidRPr="00257B5A">
              <w:rPr>
                <w:rFonts w:ascii="Arial" w:hAnsi="Arial" w:cs="Arial"/>
                <w:sz w:val="19"/>
                <w:szCs w:val="19"/>
                <w:lang w:val="fr-CA"/>
              </w:rPr>
              <w:t xml:space="preserve">, la </w:t>
            </w:r>
            <w:r w:rsidR="000304B3" w:rsidRPr="00257B5A">
              <w:rPr>
                <w:rFonts w:ascii="Arial" w:hAnsi="Arial" w:cs="Arial"/>
                <w:sz w:val="19"/>
                <w:szCs w:val="19"/>
                <w:lang w:val="fr-CA"/>
              </w:rPr>
              <w:t xml:space="preserve">valeur </w:t>
            </w:r>
            <w:r w:rsidR="002547A3" w:rsidRPr="00257B5A">
              <w:rPr>
                <w:rFonts w:ascii="Arial" w:hAnsi="Arial" w:cs="Arial"/>
                <w:sz w:val="19"/>
                <w:szCs w:val="19"/>
                <w:lang w:val="fr-CA"/>
              </w:rPr>
              <w:t xml:space="preserve">des primes sera généralement moins élevée </w:t>
            </w:r>
            <w:r w:rsidR="000304B3" w:rsidRPr="00257B5A">
              <w:rPr>
                <w:rFonts w:ascii="Arial" w:hAnsi="Arial" w:cs="Arial"/>
                <w:sz w:val="19"/>
                <w:szCs w:val="19"/>
                <w:lang w:val="fr-CA"/>
              </w:rPr>
              <w:t>pour ce qui est de la productivité, du mérite et des promotions. De plus, parfois, les promotions et le mérite prendront la forme d</w:t>
            </w:r>
            <w:r w:rsidR="00257B5A" w:rsidRPr="00257B5A">
              <w:rPr>
                <w:rFonts w:ascii="Arial" w:hAnsi="Arial" w:cs="Arial"/>
                <w:sz w:val="19"/>
                <w:szCs w:val="19"/>
                <w:lang w:val="fr-CA"/>
              </w:rPr>
              <w:t>’</w:t>
            </w:r>
            <w:r w:rsidR="000304B3" w:rsidRPr="00257B5A">
              <w:rPr>
                <w:rFonts w:ascii="Arial" w:hAnsi="Arial" w:cs="Arial"/>
                <w:sz w:val="19"/>
                <w:szCs w:val="19"/>
                <w:lang w:val="fr-CA"/>
              </w:rPr>
              <w:t>une échelle fondée sur l</w:t>
            </w:r>
            <w:r w:rsidR="00257B5A" w:rsidRPr="00257B5A">
              <w:rPr>
                <w:rFonts w:ascii="Arial" w:hAnsi="Arial" w:cs="Arial"/>
                <w:sz w:val="19"/>
                <w:szCs w:val="19"/>
                <w:lang w:val="fr-CA"/>
              </w:rPr>
              <w:t>’</w:t>
            </w:r>
            <w:r w:rsidR="000304B3" w:rsidRPr="00257B5A">
              <w:rPr>
                <w:rFonts w:ascii="Arial" w:hAnsi="Arial" w:cs="Arial"/>
                <w:sz w:val="19"/>
                <w:szCs w:val="19"/>
                <w:lang w:val="fr-CA"/>
              </w:rPr>
              <w:t>âge ou le service afin de tenir compte des attentes à l</w:t>
            </w:r>
            <w:r w:rsidR="00257B5A" w:rsidRPr="00257B5A">
              <w:rPr>
                <w:rFonts w:ascii="Arial" w:hAnsi="Arial" w:cs="Arial"/>
                <w:sz w:val="19"/>
                <w:szCs w:val="19"/>
                <w:lang w:val="fr-CA"/>
              </w:rPr>
              <w:t>’</w:t>
            </w:r>
            <w:r w:rsidR="000304B3" w:rsidRPr="00257B5A">
              <w:rPr>
                <w:rFonts w:ascii="Arial" w:hAnsi="Arial" w:cs="Arial"/>
                <w:sz w:val="19"/>
                <w:szCs w:val="19"/>
                <w:lang w:val="fr-CA"/>
              </w:rPr>
              <w:t>égard des caractéristiques des membres du personnel.</w:t>
            </w:r>
          </w:p>
        </w:tc>
      </w:tr>
      <w:tr w:rsidR="009714CB" w:rsidRPr="007637EE" w14:paraId="5924B865" w14:textId="77777777" w:rsidTr="006C27E8">
        <w:tc>
          <w:tcPr>
            <w:tcW w:w="1346" w:type="dxa"/>
          </w:tcPr>
          <w:p w14:paraId="75E897CA" w14:textId="03363335" w:rsidR="0061175A" w:rsidRPr="00257B5A" w:rsidRDefault="000304B3">
            <w:pPr>
              <w:rPr>
                <w:rFonts w:ascii="Arial" w:eastAsia="Times New Roman" w:hAnsi="Arial" w:cs="Arial"/>
                <w:b/>
                <w:bCs/>
                <w:color w:val="000000"/>
                <w:sz w:val="27"/>
                <w:szCs w:val="27"/>
                <w:lang w:val="fr-CA" w:eastAsia="en-CA"/>
              </w:rPr>
            </w:pPr>
            <w:bookmarkStart w:id="110" w:name="lt_pId131"/>
            <w:r w:rsidRPr="00257B5A">
              <w:rPr>
                <w:rFonts w:ascii="Arial" w:eastAsia="Times New Roman" w:hAnsi="Arial" w:cs="Arial"/>
                <w:sz w:val="19"/>
                <w:szCs w:val="19"/>
                <w:lang w:val="fr-CA" w:eastAsia="en-CA"/>
              </w:rPr>
              <w:t xml:space="preserve">Taux </w:t>
            </w:r>
            <w:r w:rsidR="007903D5" w:rsidRPr="00257B5A">
              <w:rPr>
                <w:rFonts w:ascii="Arial" w:eastAsia="Times New Roman" w:hAnsi="Arial" w:cs="Arial"/>
                <w:sz w:val="19"/>
                <w:szCs w:val="19"/>
                <w:lang w:val="fr-CA" w:eastAsia="en-CA"/>
              </w:rPr>
              <w:t>d</w:t>
            </w:r>
            <w:r w:rsidR="00257B5A" w:rsidRPr="00257B5A">
              <w:rPr>
                <w:rFonts w:ascii="Arial" w:eastAsia="Times New Roman" w:hAnsi="Arial" w:cs="Arial"/>
                <w:sz w:val="19"/>
                <w:szCs w:val="19"/>
                <w:lang w:val="fr-CA" w:eastAsia="en-CA"/>
              </w:rPr>
              <w:t>’</w:t>
            </w:r>
            <w:r w:rsidR="007903D5" w:rsidRPr="00257B5A">
              <w:rPr>
                <w:rFonts w:ascii="Arial" w:eastAsia="Times New Roman" w:hAnsi="Arial" w:cs="Arial"/>
                <w:sz w:val="19"/>
                <w:szCs w:val="19"/>
                <w:lang w:val="fr-CA" w:eastAsia="en-CA"/>
              </w:rPr>
              <w:t>évolution</w:t>
            </w:r>
            <w:r w:rsidRPr="00257B5A">
              <w:rPr>
                <w:rFonts w:ascii="Arial" w:eastAsia="Times New Roman" w:hAnsi="Arial" w:cs="Arial"/>
                <w:sz w:val="19"/>
                <w:szCs w:val="19"/>
                <w:lang w:val="fr-CA" w:eastAsia="en-CA"/>
              </w:rPr>
              <w:t xml:space="preserve"> des </w:t>
            </w:r>
            <w:bookmarkEnd w:id="110"/>
            <w:r w:rsidR="007903D5" w:rsidRPr="00257B5A">
              <w:rPr>
                <w:rFonts w:ascii="Arial" w:eastAsia="Times New Roman" w:hAnsi="Arial" w:cs="Arial"/>
                <w:sz w:val="19"/>
                <w:szCs w:val="19"/>
                <w:lang w:val="fr-CA" w:eastAsia="en-CA"/>
              </w:rPr>
              <w:t>coûts médicaux</w:t>
            </w:r>
          </w:p>
        </w:tc>
        <w:tc>
          <w:tcPr>
            <w:tcW w:w="8004" w:type="dxa"/>
          </w:tcPr>
          <w:p w14:paraId="7179F49C" w14:textId="6D621774" w:rsidR="006C27E8" w:rsidRPr="00257B5A" w:rsidRDefault="000304B3" w:rsidP="006C27E8">
            <w:pPr>
              <w:spacing w:before="100" w:beforeAutospacing="1" w:after="100" w:afterAutospacing="1"/>
              <w:rPr>
                <w:rFonts w:ascii="Arial" w:eastAsia="Times New Roman" w:hAnsi="Arial" w:cs="Arial"/>
                <w:sz w:val="19"/>
                <w:szCs w:val="19"/>
                <w:lang w:val="fr-CA" w:eastAsia="en-CA"/>
              </w:rPr>
            </w:pPr>
            <w:bookmarkStart w:id="111" w:name="lt_pId132"/>
            <w:r w:rsidRPr="00257B5A">
              <w:rPr>
                <w:rFonts w:ascii="Arial" w:eastAsia="Times New Roman" w:hAnsi="Arial" w:cs="Arial"/>
                <w:sz w:val="19"/>
                <w:szCs w:val="19"/>
                <w:lang w:val="fr-CA" w:eastAsia="en-CA"/>
              </w:rPr>
              <w:t>Dans le cas des régimes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 xml:space="preserve">avantages complémentaires de retraite dont la composante </w:t>
            </w:r>
            <w:r w:rsidR="000C1C76" w:rsidRPr="00257B5A">
              <w:rPr>
                <w:rFonts w:ascii="Arial" w:eastAsia="Times New Roman" w:hAnsi="Arial" w:cs="Arial"/>
                <w:sz w:val="19"/>
                <w:szCs w:val="19"/>
                <w:lang w:val="fr-CA" w:eastAsia="en-CA"/>
              </w:rPr>
              <w:t>« </w:t>
            </w:r>
            <w:r w:rsidRPr="00257B5A">
              <w:rPr>
                <w:rFonts w:ascii="Arial" w:eastAsia="Times New Roman" w:hAnsi="Arial" w:cs="Arial"/>
                <w:sz w:val="19"/>
                <w:szCs w:val="19"/>
                <w:lang w:val="fr-CA" w:eastAsia="en-CA"/>
              </w:rPr>
              <w:t>médicaments sur ordonnance</w:t>
            </w:r>
            <w:r w:rsidR="000C1C76" w:rsidRPr="00257B5A">
              <w:rPr>
                <w:rFonts w:ascii="Arial" w:eastAsia="Times New Roman" w:hAnsi="Arial" w:cs="Arial"/>
                <w:sz w:val="19"/>
                <w:szCs w:val="19"/>
                <w:lang w:val="fr-CA" w:eastAsia="en-CA"/>
              </w:rPr>
              <w:t> »</w:t>
            </w:r>
            <w:r w:rsidRPr="00257B5A">
              <w:rPr>
                <w:rFonts w:ascii="Arial" w:eastAsia="Times New Roman" w:hAnsi="Arial" w:cs="Arial"/>
                <w:sz w:val="19"/>
                <w:szCs w:val="19"/>
                <w:lang w:val="fr-CA" w:eastAsia="en-CA"/>
              </w:rPr>
              <w:t xml:space="preserve"> est importante, le taux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évolution initial des coûts médicaux devrait être de 5,0 % ou plus.</w:t>
            </w:r>
            <w:bookmarkEnd w:id="111"/>
            <w:r w:rsidRPr="00257B5A">
              <w:rPr>
                <w:rFonts w:ascii="Arial" w:eastAsia="Times New Roman" w:hAnsi="Arial" w:cs="Arial"/>
                <w:sz w:val="19"/>
                <w:szCs w:val="19"/>
                <w:lang w:val="fr-CA" w:eastAsia="en-CA"/>
              </w:rPr>
              <w:t xml:space="preserve"> </w:t>
            </w:r>
            <w:bookmarkStart w:id="112" w:name="lt_pId133"/>
            <w:r w:rsidRPr="00257B5A">
              <w:rPr>
                <w:rFonts w:ascii="Arial" w:eastAsia="Times New Roman" w:hAnsi="Arial" w:cs="Arial"/>
                <w:sz w:val="19"/>
                <w:szCs w:val="19"/>
                <w:lang w:val="fr-CA" w:eastAsia="en-CA"/>
              </w:rPr>
              <w:t>En outre, le taux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évolution final des coûts médicaux devrait se situer entre 3,5 % et 4,5 %.</w:t>
            </w:r>
            <w:bookmarkEnd w:id="112"/>
            <w:r w:rsidRPr="00257B5A">
              <w:rPr>
                <w:rFonts w:ascii="Arial" w:eastAsia="Times New Roman" w:hAnsi="Arial" w:cs="Arial"/>
                <w:sz w:val="19"/>
                <w:szCs w:val="19"/>
                <w:lang w:val="fr-CA" w:eastAsia="en-CA"/>
              </w:rPr>
              <w:t xml:space="preserve"> </w:t>
            </w:r>
            <w:r w:rsidR="000C1C76" w:rsidRPr="00257B5A">
              <w:rPr>
                <w:rFonts w:ascii="Arial" w:eastAsia="Times New Roman" w:hAnsi="Arial" w:cs="Arial"/>
                <w:sz w:val="19"/>
                <w:szCs w:val="19"/>
                <w:lang w:val="fr-CA" w:eastAsia="en-CA"/>
              </w:rPr>
              <w:t xml:space="preserve">La période au cours de laquelle le taux initial est </w:t>
            </w:r>
            <w:r w:rsidR="005144FE" w:rsidRPr="00257B5A">
              <w:rPr>
                <w:rFonts w:ascii="Arial" w:eastAsia="Times New Roman" w:hAnsi="Arial" w:cs="Arial"/>
                <w:sz w:val="19"/>
                <w:szCs w:val="19"/>
                <w:lang w:val="fr-CA" w:eastAsia="en-CA"/>
              </w:rPr>
              <w:t>réduit</w:t>
            </w:r>
            <w:r w:rsidR="000C1C76" w:rsidRPr="00257B5A">
              <w:rPr>
                <w:rFonts w:ascii="Arial" w:eastAsia="Times New Roman" w:hAnsi="Arial" w:cs="Arial"/>
                <w:sz w:val="19"/>
                <w:szCs w:val="19"/>
                <w:lang w:val="fr-CA" w:eastAsia="en-CA"/>
              </w:rPr>
              <w:t xml:space="preserve"> au taux final devrait également être d</w:t>
            </w:r>
            <w:r w:rsidR="00257B5A" w:rsidRPr="00257B5A">
              <w:rPr>
                <w:rFonts w:ascii="Arial" w:eastAsia="Times New Roman" w:hAnsi="Arial" w:cs="Arial"/>
                <w:sz w:val="19"/>
                <w:szCs w:val="19"/>
                <w:lang w:val="fr-CA" w:eastAsia="en-CA"/>
              </w:rPr>
              <w:t>’</w:t>
            </w:r>
            <w:r w:rsidR="000C1C76" w:rsidRPr="00257B5A">
              <w:rPr>
                <w:rFonts w:ascii="Arial" w:eastAsia="Times New Roman" w:hAnsi="Arial" w:cs="Arial"/>
                <w:sz w:val="19"/>
                <w:szCs w:val="19"/>
                <w:lang w:val="fr-CA" w:eastAsia="en-CA"/>
              </w:rPr>
              <w:t>au moins 5 ans, mais elle se situe souvent entre 10 et 20</w:t>
            </w:r>
            <w:r w:rsidR="00EE430F">
              <w:rPr>
                <w:rFonts w:ascii="Arial" w:eastAsia="Times New Roman" w:hAnsi="Arial" w:cs="Arial"/>
                <w:sz w:val="19"/>
                <w:szCs w:val="19"/>
                <w:lang w:val="fr-CA" w:eastAsia="en-CA"/>
              </w:rPr>
              <w:t> </w:t>
            </w:r>
            <w:r w:rsidR="000C1C76" w:rsidRPr="00257B5A">
              <w:rPr>
                <w:rFonts w:ascii="Arial" w:eastAsia="Times New Roman" w:hAnsi="Arial" w:cs="Arial"/>
                <w:sz w:val="19"/>
                <w:szCs w:val="19"/>
                <w:lang w:val="fr-CA" w:eastAsia="en-CA"/>
              </w:rPr>
              <w:t>ans. Toutefois, la tendance à la baisse et le nombre d</w:t>
            </w:r>
            <w:r w:rsidR="00257B5A" w:rsidRPr="00257B5A">
              <w:rPr>
                <w:rFonts w:ascii="Arial" w:eastAsia="Times New Roman" w:hAnsi="Arial" w:cs="Arial"/>
                <w:sz w:val="19"/>
                <w:szCs w:val="19"/>
                <w:lang w:val="fr-CA" w:eastAsia="en-CA"/>
              </w:rPr>
              <w:t>’</w:t>
            </w:r>
            <w:r w:rsidR="000C1C76" w:rsidRPr="00257B5A">
              <w:rPr>
                <w:rFonts w:ascii="Arial" w:eastAsia="Times New Roman" w:hAnsi="Arial" w:cs="Arial"/>
                <w:sz w:val="19"/>
                <w:szCs w:val="19"/>
                <w:lang w:val="fr-CA" w:eastAsia="en-CA"/>
              </w:rPr>
              <w:t>années entre les taux initiaux et les taux finaux constituent généralement la composante la plus subjective de l</w:t>
            </w:r>
            <w:r w:rsidR="00257B5A" w:rsidRPr="00257B5A">
              <w:rPr>
                <w:rFonts w:ascii="Arial" w:eastAsia="Times New Roman" w:hAnsi="Arial" w:cs="Arial"/>
                <w:sz w:val="19"/>
                <w:szCs w:val="19"/>
                <w:lang w:val="fr-CA" w:eastAsia="en-CA"/>
              </w:rPr>
              <w:t>’</w:t>
            </w:r>
            <w:r w:rsidR="000C1C76" w:rsidRPr="00257B5A">
              <w:rPr>
                <w:rFonts w:ascii="Arial" w:eastAsia="Times New Roman" w:hAnsi="Arial" w:cs="Arial"/>
                <w:sz w:val="19"/>
                <w:szCs w:val="19"/>
                <w:lang w:val="fr-CA" w:eastAsia="en-CA"/>
              </w:rPr>
              <w:t xml:space="preserve">hypothèse. La fréquence des changements antérieurs </w:t>
            </w:r>
            <w:r w:rsidR="005144FE" w:rsidRPr="00257B5A">
              <w:rPr>
                <w:rFonts w:ascii="Arial" w:eastAsia="Times New Roman" w:hAnsi="Arial" w:cs="Arial"/>
                <w:sz w:val="19"/>
                <w:szCs w:val="19"/>
                <w:lang w:val="fr-CA" w:eastAsia="en-CA"/>
              </w:rPr>
              <w:t xml:space="preserve">de </w:t>
            </w:r>
            <w:r w:rsidR="000C1C76" w:rsidRPr="00257B5A">
              <w:rPr>
                <w:rFonts w:ascii="Arial" w:eastAsia="Times New Roman" w:hAnsi="Arial" w:cs="Arial"/>
                <w:sz w:val="19"/>
                <w:szCs w:val="19"/>
                <w:lang w:val="fr-CA" w:eastAsia="en-CA"/>
              </w:rPr>
              <w:t>cette hypothèse doit être prise en compte pour appuyer cette hypothèse (par exemple, si l</w:t>
            </w:r>
            <w:r w:rsidR="00257B5A" w:rsidRPr="00257B5A">
              <w:rPr>
                <w:rFonts w:ascii="Arial" w:eastAsia="Times New Roman" w:hAnsi="Arial" w:cs="Arial"/>
                <w:sz w:val="19"/>
                <w:szCs w:val="19"/>
                <w:lang w:val="fr-CA" w:eastAsia="en-CA"/>
              </w:rPr>
              <w:t>’</w:t>
            </w:r>
            <w:r w:rsidR="000C1C76" w:rsidRPr="00257B5A">
              <w:rPr>
                <w:rFonts w:ascii="Arial" w:eastAsia="Times New Roman" w:hAnsi="Arial" w:cs="Arial"/>
                <w:sz w:val="19"/>
                <w:szCs w:val="19"/>
                <w:lang w:val="fr-CA" w:eastAsia="en-CA"/>
              </w:rPr>
              <w:t>employeur change l</w:t>
            </w:r>
            <w:r w:rsidR="00257B5A" w:rsidRPr="00257B5A">
              <w:rPr>
                <w:rFonts w:ascii="Arial" w:eastAsia="Times New Roman" w:hAnsi="Arial" w:cs="Arial"/>
                <w:sz w:val="19"/>
                <w:szCs w:val="19"/>
                <w:lang w:val="fr-CA" w:eastAsia="en-CA"/>
              </w:rPr>
              <w:t>’</w:t>
            </w:r>
            <w:r w:rsidR="000C1C76" w:rsidRPr="00257B5A">
              <w:rPr>
                <w:rFonts w:ascii="Arial" w:eastAsia="Times New Roman" w:hAnsi="Arial" w:cs="Arial"/>
                <w:sz w:val="19"/>
                <w:szCs w:val="19"/>
                <w:lang w:val="fr-CA" w:eastAsia="en-CA"/>
              </w:rPr>
              <w:t xml:space="preserve">année où le taux final sera atteint dans </w:t>
            </w:r>
            <w:r w:rsidR="005144FE" w:rsidRPr="00257B5A">
              <w:rPr>
                <w:rFonts w:ascii="Arial" w:eastAsia="Times New Roman" w:hAnsi="Arial" w:cs="Arial"/>
                <w:sz w:val="19"/>
                <w:szCs w:val="19"/>
                <w:lang w:val="fr-CA" w:eastAsia="en-CA"/>
              </w:rPr>
              <w:t>la majorité</w:t>
            </w:r>
            <w:r w:rsidR="000C1C76" w:rsidRPr="00257B5A">
              <w:rPr>
                <w:rFonts w:ascii="Arial" w:eastAsia="Times New Roman" w:hAnsi="Arial" w:cs="Arial"/>
                <w:sz w:val="19"/>
                <w:szCs w:val="19"/>
                <w:lang w:val="fr-CA" w:eastAsia="en-CA"/>
              </w:rPr>
              <w:t xml:space="preserve"> </w:t>
            </w:r>
            <w:r w:rsidR="005144FE" w:rsidRPr="00257B5A">
              <w:rPr>
                <w:rFonts w:ascii="Arial" w:eastAsia="Times New Roman" w:hAnsi="Arial" w:cs="Arial"/>
                <w:sz w:val="19"/>
                <w:szCs w:val="19"/>
                <w:lang w:val="fr-CA" w:eastAsia="en-CA"/>
              </w:rPr>
              <w:t xml:space="preserve">des </w:t>
            </w:r>
            <w:r w:rsidR="000C1C76" w:rsidRPr="00257B5A">
              <w:rPr>
                <w:rFonts w:ascii="Arial" w:eastAsia="Times New Roman" w:hAnsi="Arial" w:cs="Arial"/>
                <w:sz w:val="19"/>
                <w:szCs w:val="19"/>
                <w:lang w:val="fr-CA" w:eastAsia="en-CA"/>
              </w:rPr>
              <w:t>évaluations, il peut être difficile d</w:t>
            </w:r>
            <w:r w:rsidR="00257B5A" w:rsidRPr="00257B5A">
              <w:rPr>
                <w:rFonts w:ascii="Arial" w:eastAsia="Times New Roman" w:hAnsi="Arial" w:cs="Arial"/>
                <w:sz w:val="19"/>
                <w:szCs w:val="19"/>
                <w:lang w:val="fr-CA" w:eastAsia="en-CA"/>
              </w:rPr>
              <w:t>’</w:t>
            </w:r>
            <w:r w:rsidR="000C1C76" w:rsidRPr="00257B5A">
              <w:rPr>
                <w:rFonts w:ascii="Arial" w:eastAsia="Times New Roman" w:hAnsi="Arial" w:cs="Arial"/>
                <w:sz w:val="19"/>
                <w:szCs w:val="19"/>
                <w:lang w:val="fr-CA" w:eastAsia="en-CA"/>
              </w:rPr>
              <w:t>appuyer l</w:t>
            </w:r>
            <w:r w:rsidR="00257B5A" w:rsidRPr="00257B5A">
              <w:rPr>
                <w:rFonts w:ascii="Arial" w:eastAsia="Times New Roman" w:hAnsi="Arial" w:cs="Arial"/>
                <w:sz w:val="19"/>
                <w:szCs w:val="19"/>
                <w:lang w:val="fr-CA" w:eastAsia="en-CA"/>
              </w:rPr>
              <w:t>’</w:t>
            </w:r>
            <w:r w:rsidR="000C1C76" w:rsidRPr="00257B5A">
              <w:rPr>
                <w:rFonts w:ascii="Arial" w:eastAsia="Times New Roman" w:hAnsi="Arial" w:cs="Arial"/>
                <w:sz w:val="19"/>
                <w:szCs w:val="19"/>
                <w:lang w:val="fr-CA" w:eastAsia="en-CA"/>
              </w:rPr>
              <w:t xml:space="preserve">hypothèse </w:t>
            </w:r>
            <w:r w:rsidR="005144FE" w:rsidRPr="00257B5A">
              <w:rPr>
                <w:rFonts w:ascii="Arial" w:eastAsia="Times New Roman" w:hAnsi="Arial" w:cs="Arial"/>
                <w:sz w:val="19"/>
                <w:szCs w:val="19"/>
                <w:lang w:val="fr-CA" w:eastAsia="en-CA"/>
              </w:rPr>
              <w:t>selon laquelle</w:t>
            </w:r>
            <w:r w:rsidR="000C1C76" w:rsidRPr="00257B5A">
              <w:rPr>
                <w:rFonts w:ascii="Arial" w:eastAsia="Times New Roman" w:hAnsi="Arial" w:cs="Arial"/>
                <w:sz w:val="19"/>
                <w:szCs w:val="19"/>
                <w:lang w:val="fr-CA" w:eastAsia="en-CA"/>
              </w:rPr>
              <w:t xml:space="preserve"> le taux final sera atteint dans une courte période, et </w:t>
            </w:r>
            <w:r w:rsidR="005144FE" w:rsidRPr="00257B5A">
              <w:rPr>
                <w:rFonts w:ascii="Arial" w:eastAsia="Times New Roman" w:hAnsi="Arial" w:cs="Arial"/>
                <w:sz w:val="19"/>
                <w:szCs w:val="19"/>
                <w:lang w:val="fr-CA" w:eastAsia="en-CA"/>
              </w:rPr>
              <w:t xml:space="preserve">il faudrait envisager </w:t>
            </w:r>
            <w:r w:rsidR="000C1C76" w:rsidRPr="00257B5A">
              <w:rPr>
                <w:rFonts w:ascii="Arial" w:eastAsia="Times New Roman" w:hAnsi="Arial" w:cs="Arial"/>
                <w:sz w:val="19"/>
                <w:szCs w:val="19"/>
                <w:lang w:val="fr-CA" w:eastAsia="en-CA"/>
              </w:rPr>
              <w:t>une période de 20</w:t>
            </w:r>
            <w:r w:rsidR="00EE430F">
              <w:rPr>
                <w:rFonts w:ascii="Arial" w:eastAsia="Times New Roman" w:hAnsi="Arial" w:cs="Arial"/>
                <w:sz w:val="19"/>
                <w:szCs w:val="19"/>
                <w:lang w:val="fr-CA" w:eastAsia="en-CA"/>
              </w:rPr>
              <w:t> </w:t>
            </w:r>
            <w:r w:rsidR="000C1C76" w:rsidRPr="00257B5A">
              <w:rPr>
                <w:rFonts w:ascii="Arial" w:eastAsia="Times New Roman" w:hAnsi="Arial" w:cs="Arial"/>
                <w:sz w:val="19"/>
                <w:szCs w:val="19"/>
                <w:lang w:val="fr-CA" w:eastAsia="en-CA"/>
              </w:rPr>
              <w:t>ans plutôt que de 5</w:t>
            </w:r>
            <w:r w:rsidR="00EE430F">
              <w:rPr>
                <w:rFonts w:ascii="Arial" w:eastAsia="Times New Roman" w:hAnsi="Arial" w:cs="Arial"/>
                <w:sz w:val="19"/>
                <w:szCs w:val="19"/>
                <w:lang w:val="fr-CA" w:eastAsia="en-CA"/>
              </w:rPr>
              <w:t> </w:t>
            </w:r>
            <w:r w:rsidR="000C1C76" w:rsidRPr="00257B5A">
              <w:rPr>
                <w:rFonts w:ascii="Arial" w:eastAsia="Times New Roman" w:hAnsi="Arial" w:cs="Arial"/>
                <w:sz w:val="19"/>
                <w:szCs w:val="19"/>
                <w:lang w:val="fr-CA" w:eastAsia="en-CA"/>
              </w:rPr>
              <w:t>ans).</w:t>
            </w:r>
          </w:p>
          <w:p w14:paraId="7714198A" w14:textId="35A75607" w:rsidR="0061175A" w:rsidRPr="00257B5A" w:rsidRDefault="00A20708" w:rsidP="006C27E8">
            <w:pPr>
              <w:spacing w:before="100" w:beforeAutospacing="1" w:after="100" w:afterAutospacing="1"/>
              <w:rPr>
                <w:rFonts w:ascii="Arial" w:eastAsia="Times New Roman" w:hAnsi="Arial" w:cs="Arial"/>
                <w:sz w:val="19"/>
                <w:szCs w:val="19"/>
                <w:lang w:val="fr-CA" w:eastAsia="en-CA"/>
              </w:rPr>
            </w:pPr>
            <w:r w:rsidRPr="00257B5A">
              <w:rPr>
                <w:rFonts w:ascii="Arial" w:eastAsia="Times New Roman" w:hAnsi="Arial" w:cs="Arial"/>
                <w:sz w:val="19"/>
                <w:szCs w:val="19"/>
                <w:lang w:val="fr-CA" w:eastAsia="en-CA"/>
              </w:rPr>
              <w:t xml:space="preserve">Une composante « médicaments sur ordonnance » importante caractériserait un </w:t>
            </w:r>
            <w:r w:rsidR="000C1C76" w:rsidRPr="00257B5A">
              <w:rPr>
                <w:rFonts w:ascii="Arial" w:eastAsia="Times New Roman" w:hAnsi="Arial" w:cs="Arial"/>
                <w:sz w:val="19"/>
                <w:szCs w:val="19"/>
                <w:lang w:val="fr-CA" w:eastAsia="en-CA"/>
              </w:rPr>
              <w:t>régime où 70 % à 80 % de l</w:t>
            </w:r>
            <w:r w:rsidR="00257B5A" w:rsidRPr="00257B5A">
              <w:rPr>
                <w:rFonts w:ascii="Arial" w:eastAsia="Times New Roman" w:hAnsi="Arial" w:cs="Arial"/>
                <w:sz w:val="19"/>
                <w:szCs w:val="19"/>
                <w:lang w:val="fr-CA" w:eastAsia="en-CA"/>
              </w:rPr>
              <w:t>’</w:t>
            </w:r>
            <w:r w:rsidR="000C1C76" w:rsidRPr="00257B5A">
              <w:rPr>
                <w:rFonts w:ascii="Arial" w:eastAsia="Times New Roman" w:hAnsi="Arial" w:cs="Arial"/>
                <w:sz w:val="19"/>
                <w:szCs w:val="19"/>
                <w:lang w:val="fr-CA" w:eastAsia="en-CA"/>
              </w:rPr>
              <w:t>obligation s</w:t>
            </w:r>
            <w:r w:rsidR="00257B5A" w:rsidRPr="00257B5A">
              <w:rPr>
                <w:rFonts w:ascii="Arial" w:eastAsia="Times New Roman" w:hAnsi="Arial" w:cs="Arial"/>
                <w:sz w:val="19"/>
                <w:szCs w:val="19"/>
                <w:lang w:val="fr-CA" w:eastAsia="en-CA"/>
              </w:rPr>
              <w:t>’</w:t>
            </w:r>
            <w:r w:rsidR="000C1C76" w:rsidRPr="00257B5A">
              <w:rPr>
                <w:rFonts w:ascii="Arial" w:eastAsia="Times New Roman" w:hAnsi="Arial" w:cs="Arial"/>
                <w:sz w:val="19"/>
                <w:szCs w:val="19"/>
                <w:lang w:val="fr-CA" w:eastAsia="en-CA"/>
              </w:rPr>
              <w:t>applique</w:t>
            </w:r>
            <w:r w:rsidR="00002B76">
              <w:rPr>
                <w:rFonts w:ascii="Arial" w:eastAsia="Times New Roman" w:hAnsi="Arial" w:cs="Arial"/>
                <w:sz w:val="19"/>
                <w:szCs w:val="19"/>
                <w:lang w:val="fr-CA" w:eastAsia="en-CA"/>
              </w:rPr>
              <w:t>nt</w:t>
            </w:r>
            <w:r w:rsidR="000C1C76" w:rsidRPr="00257B5A">
              <w:rPr>
                <w:rFonts w:ascii="Arial" w:eastAsia="Times New Roman" w:hAnsi="Arial" w:cs="Arial"/>
                <w:sz w:val="19"/>
                <w:szCs w:val="19"/>
                <w:lang w:val="fr-CA" w:eastAsia="en-CA"/>
              </w:rPr>
              <w:t xml:space="preserve"> </w:t>
            </w:r>
            <w:r w:rsidRPr="00257B5A">
              <w:rPr>
                <w:rFonts w:ascii="Arial" w:eastAsia="Times New Roman" w:hAnsi="Arial" w:cs="Arial"/>
                <w:sz w:val="19"/>
                <w:szCs w:val="19"/>
                <w:lang w:val="fr-CA" w:eastAsia="en-CA"/>
              </w:rPr>
              <w:t>à des</w:t>
            </w:r>
            <w:r w:rsidR="000C1C76" w:rsidRPr="00257B5A">
              <w:rPr>
                <w:rFonts w:ascii="Arial" w:eastAsia="Times New Roman" w:hAnsi="Arial" w:cs="Arial"/>
                <w:sz w:val="19"/>
                <w:szCs w:val="19"/>
                <w:lang w:val="fr-CA" w:eastAsia="en-CA"/>
              </w:rPr>
              <w:t xml:space="preserve"> médicaments. De nombreux régimes pourraient justifier une hypothèse moins élevée en fonction de leur expérience récente et des mesures qu</w:t>
            </w:r>
            <w:r w:rsidR="00257B5A" w:rsidRPr="00257B5A">
              <w:rPr>
                <w:rFonts w:ascii="Arial" w:eastAsia="Times New Roman" w:hAnsi="Arial" w:cs="Arial"/>
                <w:sz w:val="19"/>
                <w:szCs w:val="19"/>
                <w:lang w:val="fr-CA" w:eastAsia="en-CA"/>
              </w:rPr>
              <w:t>’</w:t>
            </w:r>
            <w:r w:rsidR="000C1C76" w:rsidRPr="00257B5A">
              <w:rPr>
                <w:rFonts w:ascii="Arial" w:eastAsia="Times New Roman" w:hAnsi="Arial" w:cs="Arial"/>
                <w:sz w:val="19"/>
                <w:szCs w:val="19"/>
                <w:lang w:val="fr-CA" w:eastAsia="en-CA"/>
              </w:rPr>
              <w:t xml:space="preserve">ils ont prises pour contrôler les coûts du régime (p. ex., </w:t>
            </w:r>
            <w:r w:rsidRPr="00257B5A">
              <w:rPr>
                <w:rFonts w:ascii="Arial" w:eastAsia="Times New Roman" w:hAnsi="Arial" w:cs="Arial"/>
                <w:sz w:val="19"/>
                <w:szCs w:val="19"/>
                <w:lang w:val="fr-CA" w:eastAsia="en-CA"/>
              </w:rPr>
              <w:t xml:space="preserve">adoption </w:t>
            </w:r>
            <w:r w:rsidR="000C1C76" w:rsidRPr="00257B5A">
              <w:rPr>
                <w:rFonts w:ascii="Arial" w:eastAsia="Times New Roman" w:hAnsi="Arial" w:cs="Arial"/>
                <w:sz w:val="19"/>
                <w:szCs w:val="19"/>
                <w:lang w:val="fr-CA" w:eastAsia="en-CA"/>
              </w:rPr>
              <w:t>de cartes de médicaments, couverture des médicaments génériques seulement, etc.). L</w:t>
            </w:r>
            <w:r w:rsidR="00257B5A" w:rsidRPr="00257B5A">
              <w:rPr>
                <w:rFonts w:ascii="Arial" w:eastAsia="Times New Roman" w:hAnsi="Arial" w:cs="Arial"/>
                <w:sz w:val="19"/>
                <w:szCs w:val="19"/>
                <w:lang w:val="fr-CA" w:eastAsia="en-CA"/>
              </w:rPr>
              <w:t>’</w:t>
            </w:r>
            <w:r w:rsidR="000C1C76" w:rsidRPr="00257B5A">
              <w:rPr>
                <w:rFonts w:ascii="Arial" w:eastAsia="Times New Roman" w:hAnsi="Arial" w:cs="Arial"/>
                <w:sz w:val="19"/>
                <w:szCs w:val="19"/>
                <w:lang w:val="fr-CA" w:eastAsia="en-CA"/>
              </w:rPr>
              <w:t>application du modèle McMaster est considérée comme une bonne pratique (même s</w:t>
            </w:r>
            <w:r w:rsidR="00257B5A" w:rsidRPr="00257B5A">
              <w:rPr>
                <w:rFonts w:ascii="Arial" w:eastAsia="Times New Roman" w:hAnsi="Arial" w:cs="Arial"/>
                <w:sz w:val="19"/>
                <w:szCs w:val="19"/>
                <w:lang w:val="fr-CA" w:eastAsia="en-CA"/>
              </w:rPr>
              <w:t>’</w:t>
            </w:r>
            <w:r w:rsidR="000C1C76" w:rsidRPr="00257B5A">
              <w:rPr>
                <w:rFonts w:ascii="Arial" w:eastAsia="Times New Roman" w:hAnsi="Arial" w:cs="Arial"/>
                <w:sz w:val="19"/>
                <w:szCs w:val="19"/>
                <w:lang w:val="fr-CA" w:eastAsia="en-CA"/>
              </w:rPr>
              <w:t>il existe une</w:t>
            </w:r>
            <w:r w:rsidRPr="00257B5A">
              <w:rPr>
                <w:rFonts w:ascii="Arial" w:eastAsia="Times New Roman" w:hAnsi="Arial" w:cs="Arial"/>
                <w:sz w:val="19"/>
                <w:szCs w:val="19"/>
                <w:lang w:val="fr-CA" w:eastAsia="en-CA"/>
              </w:rPr>
              <w:t xml:space="preserve"> autre</w:t>
            </w:r>
            <w:r w:rsidR="000C1C76" w:rsidRPr="00257B5A">
              <w:rPr>
                <w:rFonts w:ascii="Arial" w:eastAsia="Times New Roman" w:hAnsi="Arial" w:cs="Arial"/>
                <w:sz w:val="19"/>
                <w:szCs w:val="19"/>
                <w:lang w:val="fr-CA" w:eastAsia="en-CA"/>
              </w:rPr>
              <w:t xml:space="preserve"> solution).</w:t>
            </w:r>
          </w:p>
        </w:tc>
      </w:tr>
      <w:tr w:rsidR="009714CB" w:rsidRPr="007637EE" w14:paraId="6122E891" w14:textId="77777777" w:rsidTr="006C27E8">
        <w:tc>
          <w:tcPr>
            <w:tcW w:w="1346" w:type="dxa"/>
          </w:tcPr>
          <w:p w14:paraId="70C2DEDE" w14:textId="344196AE" w:rsidR="0061175A" w:rsidRPr="00257B5A" w:rsidRDefault="007903D5">
            <w:pPr>
              <w:rPr>
                <w:rFonts w:ascii="Arial" w:eastAsia="Times New Roman" w:hAnsi="Arial" w:cs="Arial"/>
                <w:b/>
                <w:bCs/>
                <w:color w:val="000000"/>
                <w:sz w:val="27"/>
                <w:szCs w:val="27"/>
                <w:lang w:val="fr-CA" w:eastAsia="en-CA"/>
              </w:rPr>
            </w:pPr>
            <w:r w:rsidRPr="00257B5A">
              <w:rPr>
                <w:rFonts w:ascii="Arial" w:eastAsia="Times New Roman" w:hAnsi="Arial" w:cs="Arial"/>
                <w:sz w:val="19"/>
                <w:szCs w:val="19"/>
                <w:lang w:val="fr-CA" w:eastAsia="en-CA"/>
              </w:rPr>
              <w:t>Mortalité : tables de base</w:t>
            </w:r>
          </w:p>
        </w:tc>
        <w:tc>
          <w:tcPr>
            <w:tcW w:w="8004" w:type="dxa"/>
          </w:tcPr>
          <w:p w14:paraId="63013EB3" w14:textId="6BB2C97A" w:rsidR="006C27E8" w:rsidRPr="00257B5A" w:rsidRDefault="000304B3" w:rsidP="006C27E8">
            <w:pPr>
              <w:spacing w:before="100" w:beforeAutospacing="1" w:after="100" w:afterAutospacing="1"/>
              <w:rPr>
                <w:rFonts w:ascii="Arial" w:eastAsia="Times New Roman" w:hAnsi="Arial" w:cs="Arial"/>
                <w:sz w:val="19"/>
                <w:szCs w:val="19"/>
                <w:lang w:val="fr-CA" w:eastAsia="en-CA"/>
              </w:rPr>
            </w:pPr>
            <w:bookmarkStart w:id="113" w:name="lt_pId140"/>
            <w:r w:rsidRPr="00257B5A">
              <w:rPr>
                <w:rFonts w:ascii="Arial" w:eastAsia="Times New Roman" w:hAnsi="Arial" w:cs="Arial"/>
                <w:sz w:val="19"/>
                <w:szCs w:val="19"/>
                <w:lang w:val="fr-CA" w:eastAsia="en-CA"/>
              </w:rPr>
              <w:t>La direction devrait envisager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utiliser la version définitive de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une des tables de mortalité (dûment ajustées, au besoin — voir ci-après) publiée par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ICA en février 2014 :</w:t>
            </w:r>
            <w:bookmarkEnd w:id="113"/>
          </w:p>
          <w:p w14:paraId="41CF50D7" w14:textId="1A6C7379" w:rsidR="006C27E8" w:rsidRPr="00257B5A" w:rsidRDefault="000304B3" w:rsidP="006C27E8">
            <w:pPr>
              <w:numPr>
                <w:ilvl w:val="0"/>
                <w:numId w:val="14"/>
              </w:numPr>
              <w:spacing w:before="100" w:beforeAutospacing="1" w:after="100" w:afterAutospacing="1"/>
              <w:rPr>
                <w:rFonts w:ascii="Arial" w:eastAsia="Times New Roman" w:hAnsi="Arial" w:cs="Arial"/>
                <w:sz w:val="19"/>
                <w:szCs w:val="19"/>
                <w:lang w:val="fr-CA" w:eastAsia="en-CA"/>
              </w:rPr>
            </w:pPr>
            <w:bookmarkStart w:id="114" w:name="lt_pId142"/>
            <w:r w:rsidRPr="00257B5A">
              <w:rPr>
                <w:rFonts w:ascii="Arial" w:eastAsia="Times New Roman" w:hAnsi="Arial" w:cs="Arial"/>
                <w:sz w:val="19"/>
                <w:szCs w:val="19"/>
                <w:lang w:val="fr-CA" w:eastAsia="en-CA"/>
              </w:rPr>
              <w:t>la table de mortalité 2014 (CPM2014) — établie à partir de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expérience combinée des régimes des secteurs public et privé;</w:t>
            </w:r>
            <w:bookmarkEnd w:id="114"/>
          </w:p>
          <w:p w14:paraId="495D0C97" w14:textId="27972D81" w:rsidR="006C27E8" w:rsidRPr="00257B5A" w:rsidRDefault="000304B3" w:rsidP="006C27E8">
            <w:pPr>
              <w:numPr>
                <w:ilvl w:val="0"/>
                <w:numId w:val="14"/>
              </w:numPr>
              <w:spacing w:before="100" w:beforeAutospacing="1" w:after="100" w:afterAutospacing="1"/>
              <w:rPr>
                <w:rFonts w:ascii="Arial" w:eastAsia="Times New Roman" w:hAnsi="Arial" w:cs="Arial"/>
                <w:sz w:val="19"/>
                <w:szCs w:val="19"/>
                <w:lang w:val="fr-CA" w:eastAsia="en-CA"/>
              </w:rPr>
            </w:pPr>
            <w:bookmarkStart w:id="115" w:name="lt_pId144"/>
            <w:r w:rsidRPr="00257B5A">
              <w:rPr>
                <w:rFonts w:ascii="Arial" w:eastAsia="Times New Roman" w:hAnsi="Arial" w:cs="Arial"/>
                <w:sz w:val="19"/>
                <w:szCs w:val="19"/>
                <w:lang w:val="fr-CA" w:eastAsia="en-CA"/>
              </w:rPr>
              <w:t>la table de mortalité 2014 pour le secteur public (CPM2014Publ) — reposant sur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expérience des régimes du secteur public;</w:t>
            </w:r>
            <w:bookmarkEnd w:id="115"/>
          </w:p>
          <w:p w14:paraId="11B8D772" w14:textId="7F72CEC3" w:rsidR="006C27E8" w:rsidRPr="00257B5A" w:rsidRDefault="000304B3" w:rsidP="006C27E8">
            <w:pPr>
              <w:numPr>
                <w:ilvl w:val="0"/>
                <w:numId w:val="14"/>
              </w:numPr>
              <w:spacing w:before="100" w:beforeAutospacing="1" w:after="100" w:afterAutospacing="1"/>
              <w:rPr>
                <w:rFonts w:ascii="Arial" w:eastAsia="Times New Roman" w:hAnsi="Arial" w:cs="Arial"/>
                <w:sz w:val="19"/>
                <w:szCs w:val="19"/>
                <w:lang w:val="fr-CA" w:eastAsia="en-CA"/>
              </w:rPr>
            </w:pPr>
            <w:bookmarkStart w:id="116" w:name="lt_pId146"/>
            <w:r w:rsidRPr="00257B5A">
              <w:rPr>
                <w:rFonts w:ascii="Arial" w:eastAsia="Times New Roman" w:hAnsi="Arial" w:cs="Arial"/>
                <w:sz w:val="19"/>
                <w:szCs w:val="19"/>
                <w:lang w:val="fr-CA" w:eastAsia="en-CA"/>
              </w:rPr>
              <w:t>la table de mortalité 2014 pour le secteur privé (CPM2014Priv) — reposant sur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expérience des régimes du secteur privé.</w:t>
            </w:r>
            <w:bookmarkEnd w:id="116"/>
          </w:p>
          <w:p w14:paraId="7B2DFB0A" w14:textId="40408B55" w:rsidR="006C27E8" w:rsidRPr="00257B5A" w:rsidRDefault="000304B3" w:rsidP="006C27E8">
            <w:pPr>
              <w:spacing w:before="100" w:beforeAutospacing="1" w:after="100" w:afterAutospacing="1"/>
              <w:rPr>
                <w:rFonts w:ascii="Arial" w:eastAsia="Times New Roman" w:hAnsi="Arial" w:cs="Arial"/>
                <w:sz w:val="19"/>
                <w:szCs w:val="19"/>
                <w:lang w:val="fr-CA" w:eastAsia="en-CA"/>
              </w:rPr>
            </w:pPr>
            <w:bookmarkStart w:id="117" w:name="lt_pId147"/>
            <w:r w:rsidRPr="00257B5A">
              <w:rPr>
                <w:rFonts w:ascii="Arial" w:eastAsia="Times New Roman" w:hAnsi="Arial" w:cs="Arial"/>
                <w:sz w:val="19"/>
                <w:szCs w:val="19"/>
                <w:lang w:val="fr-CA" w:eastAsia="en-CA"/>
              </w:rPr>
              <w:t>Il peut être approprié dans les situations suivantes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apporter des ajustements aux tables de mortalité susmentionnées :</w:t>
            </w:r>
            <w:bookmarkEnd w:id="117"/>
          </w:p>
          <w:p w14:paraId="2E04AB8A" w14:textId="0174DDB3" w:rsidR="006C27E8" w:rsidRPr="00257B5A" w:rsidRDefault="000304B3" w:rsidP="006C27E8">
            <w:pPr>
              <w:numPr>
                <w:ilvl w:val="0"/>
                <w:numId w:val="15"/>
              </w:numPr>
              <w:spacing w:before="100" w:beforeAutospacing="1" w:after="100" w:afterAutospacing="1"/>
              <w:rPr>
                <w:rFonts w:ascii="Arial" w:eastAsia="Times New Roman" w:hAnsi="Arial" w:cs="Arial"/>
                <w:sz w:val="19"/>
                <w:szCs w:val="19"/>
                <w:lang w:val="fr-CA" w:eastAsia="en-CA"/>
              </w:rPr>
            </w:pPr>
            <w:bookmarkStart w:id="118" w:name="lt_pId148"/>
            <w:r w:rsidRPr="00257B5A">
              <w:rPr>
                <w:rFonts w:ascii="Arial" w:eastAsia="Times New Roman" w:hAnsi="Arial" w:cs="Arial"/>
                <w:sz w:val="19"/>
                <w:szCs w:val="19"/>
                <w:lang w:val="fr-CA" w:eastAsia="en-CA"/>
              </w:rPr>
              <w:t>ajustement selon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expérience — on peut ajuster une table type à la lumière de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 xml:space="preserve">expérience </w:t>
            </w:r>
            <w:r w:rsidR="00394326" w:rsidRPr="00257B5A">
              <w:rPr>
                <w:rFonts w:ascii="Arial" w:eastAsia="Times New Roman" w:hAnsi="Arial" w:cs="Arial"/>
                <w:sz w:val="19"/>
                <w:szCs w:val="19"/>
                <w:lang w:val="fr-CA" w:eastAsia="en-CA"/>
              </w:rPr>
              <w:t>récente</w:t>
            </w:r>
            <w:r w:rsidRPr="00257B5A">
              <w:rPr>
                <w:rFonts w:ascii="Arial" w:eastAsia="Times New Roman" w:hAnsi="Arial" w:cs="Arial"/>
                <w:sz w:val="19"/>
                <w:szCs w:val="19"/>
                <w:lang w:val="fr-CA" w:eastAsia="en-CA"/>
              </w:rPr>
              <w:t xml:space="preserve"> et crédible en matière de mortalité du régime de retraite à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étude</w:t>
            </w:r>
            <w:r w:rsidR="00AA0356" w:rsidRPr="00257B5A">
              <w:rPr>
                <w:rFonts w:ascii="Arial" w:eastAsia="Times New Roman" w:hAnsi="Arial" w:cs="Arial"/>
                <w:sz w:val="19"/>
                <w:szCs w:val="19"/>
                <w:lang w:val="fr-CA" w:eastAsia="en-CA"/>
              </w:rPr>
              <w:t xml:space="preserve"> (ou </w:t>
            </w:r>
            <w:r w:rsidR="00394326" w:rsidRPr="00257B5A">
              <w:rPr>
                <w:rFonts w:ascii="Arial" w:eastAsia="Times New Roman" w:hAnsi="Arial" w:cs="Arial"/>
                <w:sz w:val="19"/>
                <w:szCs w:val="19"/>
                <w:lang w:val="fr-CA" w:eastAsia="en-CA"/>
              </w:rPr>
              <w:t>d</w:t>
            </w:r>
            <w:r w:rsidR="00257B5A" w:rsidRPr="00257B5A">
              <w:rPr>
                <w:rFonts w:ascii="Arial" w:eastAsia="Times New Roman" w:hAnsi="Arial" w:cs="Arial"/>
                <w:sz w:val="19"/>
                <w:szCs w:val="19"/>
                <w:lang w:val="fr-CA" w:eastAsia="en-CA"/>
              </w:rPr>
              <w:t>’</w:t>
            </w:r>
            <w:r w:rsidR="00AA0356" w:rsidRPr="00257B5A">
              <w:rPr>
                <w:rFonts w:ascii="Arial" w:eastAsia="Times New Roman" w:hAnsi="Arial" w:cs="Arial"/>
                <w:sz w:val="19"/>
                <w:szCs w:val="19"/>
                <w:lang w:val="fr-CA" w:eastAsia="en-CA"/>
              </w:rPr>
              <w:t>une étude comparable sur l</w:t>
            </w:r>
            <w:r w:rsidR="00257B5A" w:rsidRPr="00257B5A">
              <w:rPr>
                <w:rFonts w:ascii="Arial" w:eastAsia="Times New Roman" w:hAnsi="Arial" w:cs="Arial"/>
                <w:sz w:val="19"/>
                <w:szCs w:val="19"/>
                <w:lang w:val="fr-CA" w:eastAsia="en-CA"/>
              </w:rPr>
              <w:t>’</w:t>
            </w:r>
            <w:r w:rsidR="00AA0356" w:rsidRPr="00257B5A">
              <w:rPr>
                <w:rFonts w:ascii="Arial" w:eastAsia="Times New Roman" w:hAnsi="Arial" w:cs="Arial"/>
                <w:sz w:val="19"/>
                <w:szCs w:val="19"/>
                <w:lang w:val="fr-CA" w:eastAsia="en-CA"/>
              </w:rPr>
              <w:t>expérience dans l</w:t>
            </w:r>
            <w:r w:rsidR="00257B5A" w:rsidRPr="00257B5A">
              <w:rPr>
                <w:rFonts w:ascii="Arial" w:eastAsia="Times New Roman" w:hAnsi="Arial" w:cs="Arial"/>
                <w:sz w:val="19"/>
                <w:szCs w:val="19"/>
                <w:lang w:val="fr-CA" w:eastAsia="en-CA"/>
              </w:rPr>
              <w:t>’</w:t>
            </w:r>
            <w:r w:rsidR="00AA0356" w:rsidRPr="00257B5A">
              <w:rPr>
                <w:rFonts w:ascii="Arial" w:eastAsia="Times New Roman" w:hAnsi="Arial" w:cs="Arial"/>
                <w:sz w:val="19"/>
                <w:szCs w:val="19"/>
                <w:lang w:val="fr-CA" w:eastAsia="en-CA"/>
              </w:rPr>
              <w:t>industrie)</w:t>
            </w:r>
            <w:r w:rsidRPr="00257B5A">
              <w:rPr>
                <w:rFonts w:ascii="Arial" w:eastAsia="Times New Roman" w:hAnsi="Arial" w:cs="Arial"/>
                <w:sz w:val="19"/>
                <w:szCs w:val="19"/>
                <w:lang w:val="fr-CA" w:eastAsia="en-CA"/>
              </w:rPr>
              <w:t>.</w:t>
            </w:r>
            <w:bookmarkEnd w:id="118"/>
            <w:r w:rsidRPr="00257B5A">
              <w:rPr>
                <w:rFonts w:ascii="Arial" w:eastAsia="Times New Roman" w:hAnsi="Arial" w:cs="Arial"/>
                <w:sz w:val="19"/>
                <w:szCs w:val="19"/>
                <w:lang w:val="fr-CA" w:eastAsia="en-CA"/>
              </w:rPr>
              <w:t xml:space="preserve"> </w:t>
            </w:r>
            <w:bookmarkStart w:id="119" w:name="lt_pId149"/>
            <w:r w:rsidRPr="00257B5A">
              <w:rPr>
                <w:rFonts w:ascii="Arial" w:eastAsia="Times New Roman" w:hAnsi="Arial" w:cs="Arial"/>
                <w:sz w:val="19"/>
                <w:szCs w:val="19"/>
                <w:lang w:val="fr-CA" w:eastAsia="en-CA"/>
              </w:rPr>
              <w:t>Si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expérience n</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 xml:space="preserve">est pas grande (entièrement crédible selon les principes actuariels), mais </w:t>
            </w:r>
            <w:r w:rsidRPr="00257B5A">
              <w:rPr>
                <w:rFonts w:ascii="Arial" w:eastAsia="Times New Roman" w:hAnsi="Arial" w:cs="Arial"/>
                <w:sz w:val="19"/>
                <w:szCs w:val="19"/>
                <w:lang w:val="fr-CA" w:eastAsia="en-CA"/>
              </w:rPr>
              <w:t>qu</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elle est partiellement</w:t>
            </w:r>
            <w:r w:rsidR="00BF1C72">
              <w:rPr>
                <w:rFonts w:ascii="Arial" w:eastAsia="Times New Roman" w:hAnsi="Arial" w:cs="Arial"/>
                <w:sz w:val="19"/>
                <w:szCs w:val="19"/>
                <w:lang w:val="fr-CA" w:eastAsia="en-CA"/>
              </w:rPr>
              <w:t xml:space="preserve"> crédible</w:t>
            </w:r>
            <w:r w:rsidRPr="00257B5A">
              <w:rPr>
                <w:rFonts w:ascii="Arial" w:eastAsia="Times New Roman" w:hAnsi="Arial" w:cs="Arial"/>
                <w:sz w:val="19"/>
                <w:szCs w:val="19"/>
                <w:lang w:val="fr-CA" w:eastAsia="en-CA"/>
              </w:rPr>
              <w:t>,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ajustement doit refléter ce fait</w:t>
            </w:r>
            <w:r w:rsidR="00AA0356" w:rsidRPr="00257B5A">
              <w:rPr>
                <w:rFonts w:ascii="Arial" w:eastAsia="Times New Roman" w:hAnsi="Arial" w:cs="Arial"/>
                <w:sz w:val="19"/>
                <w:szCs w:val="19"/>
                <w:lang w:val="fr-CA" w:eastAsia="en-CA"/>
              </w:rPr>
              <w:t xml:space="preserve">. </w:t>
            </w:r>
            <w:r w:rsidR="00BF1C72">
              <w:rPr>
                <w:rFonts w:ascii="Arial" w:eastAsia="Times New Roman" w:hAnsi="Arial" w:cs="Arial"/>
                <w:sz w:val="19"/>
                <w:szCs w:val="19"/>
                <w:lang w:val="fr-CA" w:eastAsia="en-CA"/>
              </w:rPr>
              <w:t>Cet ajustement est appliqué de telle sorte qu’il puisse</w:t>
            </w:r>
            <w:r w:rsidR="00AA0356" w:rsidRPr="00257B5A">
              <w:rPr>
                <w:rFonts w:ascii="Arial" w:eastAsia="Times New Roman" w:hAnsi="Arial" w:cs="Arial"/>
                <w:sz w:val="19"/>
                <w:szCs w:val="19"/>
                <w:lang w:val="fr-CA" w:eastAsia="en-CA"/>
              </w:rPr>
              <w:t xml:space="preserve"> s</w:t>
            </w:r>
            <w:r w:rsidR="00257B5A" w:rsidRPr="00257B5A">
              <w:rPr>
                <w:rFonts w:ascii="Arial" w:eastAsia="Times New Roman" w:hAnsi="Arial" w:cs="Arial"/>
                <w:sz w:val="19"/>
                <w:szCs w:val="19"/>
                <w:lang w:val="fr-CA" w:eastAsia="en-CA"/>
              </w:rPr>
              <w:t>’</w:t>
            </w:r>
            <w:r w:rsidR="00AA0356" w:rsidRPr="00257B5A">
              <w:rPr>
                <w:rFonts w:ascii="Arial" w:eastAsia="Times New Roman" w:hAnsi="Arial" w:cs="Arial"/>
                <w:sz w:val="19"/>
                <w:szCs w:val="19"/>
                <w:lang w:val="fr-CA" w:eastAsia="en-CA"/>
              </w:rPr>
              <w:t>agir d</w:t>
            </w:r>
            <w:r w:rsidR="00257B5A" w:rsidRPr="00257B5A">
              <w:rPr>
                <w:rFonts w:ascii="Arial" w:eastAsia="Times New Roman" w:hAnsi="Arial" w:cs="Arial"/>
                <w:sz w:val="19"/>
                <w:szCs w:val="19"/>
                <w:lang w:val="fr-CA" w:eastAsia="en-CA"/>
              </w:rPr>
              <w:t>’</w:t>
            </w:r>
            <w:r w:rsidR="00AA0356" w:rsidRPr="00257B5A">
              <w:rPr>
                <w:rFonts w:ascii="Arial" w:eastAsia="Times New Roman" w:hAnsi="Arial" w:cs="Arial"/>
                <w:sz w:val="19"/>
                <w:szCs w:val="19"/>
                <w:lang w:val="fr-CA" w:eastAsia="en-CA"/>
              </w:rPr>
              <w:t>une combinaison d</w:t>
            </w:r>
            <w:r w:rsidR="00257B5A" w:rsidRPr="00257B5A">
              <w:rPr>
                <w:rFonts w:ascii="Arial" w:eastAsia="Times New Roman" w:hAnsi="Arial" w:cs="Arial"/>
                <w:sz w:val="19"/>
                <w:szCs w:val="19"/>
                <w:lang w:val="fr-CA" w:eastAsia="en-CA"/>
              </w:rPr>
              <w:t>’</w:t>
            </w:r>
            <w:r w:rsidR="00AA0356" w:rsidRPr="00257B5A">
              <w:rPr>
                <w:rFonts w:ascii="Arial" w:eastAsia="Times New Roman" w:hAnsi="Arial" w:cs="Arial"/>
                <w:sz w:val="19"/>
                <w:szCs w:val="19"/>
                <w:lang w:val="fr-CA" w:eastAsia="en-CA"/>
              </w:rPr>
              <w:t xml:space="preserve">expériences du régime </w:t>
            </w:r>
            <w:r w:rsidR="00BF1C72">
              <w:rPr>
                <w:rFonts w:ascii="Arial" w:eastAsia="Times New Roman" w:hAnsi="Arial" w:cs="Arial"/>
                <w:sz w:val="19"/>
                <w:szCs w:val="19"/>
                <w:lang w:val="fr-CA" w:eastAsia="en-CA"/>
              </w:rPr>
              <w:t xml:space="preserve">(la partie crédible) </w:t>
            </w:r>
            <w:r w:rsidR="00AA0356" w:rsidRPr="00257B5A">
              <w:rPr>
                <w:rFonts w:ascii="Arial" w:eastAsia="Times New Roman" w:hAnsi="Arial" w:cs="Arial"/>
                <w:sz w:val="19"/>
                <w:szCs w:val="19"/>
                <w:lang w:val="fr-CA" w:eastAsia="en-CA"/>
              </w:rPr>
              <w:t xml:space="preserve">+ </w:t>
            </w:r>
            <w:bookmarkEnd w:id="119"/>
            <w:r w:rsidR="00AA0356" w:rsidRPr="00257B5A">
              <w:rPr>
                <w:rFonts w:ascii="Arial" w:eastAsia="Times New Roman" w:hAnsi="Arial" w:cs="Arial"/>
                <w:sz w:val="19"/>
                <w:szCs w:val="19"/>
                <w:lang w:val="fr-CA" w:eastAsia="en-CA"/>
              </w:rPr>
              <w:t>l</w:t>
            </w:r>
            <w:r w:rsidR="00257B5A" w:rsidRPr="00257B5A">
              <w:rPr>
                <w:rFonts w:ascii="Arial" w:eastAsia="Times New Roman" w:hAnsi="Arial" w:cs="Arial"/>
                <w:sz w:val="19"/>
                <w:szCs w:val="19"/>
                <w:lang w:val="fr-CA" w:eastAsia="en-CA"/>
              </w:rPr>
              <w:t>’</w:t>
            </w:r>
            <w:r w:rsidR="00AA0356" w:rsidRPr="00257B5A">
              <w:rPr>
                <w:rFonts w:ascii="Arial" w:eastAsia="Times New Roman" w:hAnsi="Arial" w:cs="Arial"/>
                <w:sz w:val="19"/>
                <w:szCs w:val="19"/>
                <w:lang w:val="fr-CA" w:eastAsia="en-CA"/>
              </w:rPr>
              <w:t>expérience de l</w:t>
            </w:r>
            <w:r w:rsidR="00257B5A" w:rsidRPr="00257B5A">
              <w:rPr>
                <w:rFonts w:ascii="Arial" w:eastAsia="Times New Roman" w:hAnsi="Arial" w:cs="Arial"/>
                <w:sz w:val="19"/>
                <w:szCs w:val="19"/>
                <w:lang w:val="fr-CA" w:eastAsia="en-CA"/>
              </w:rPr>
              <w:t>’</w:t>
            </w:r>
            <w:r w:rsidR="00AA0356" w:rsidRPr="00257B5A">
              <w:rPr>
                <w:rFonts w:ascii="Arial" w:eastAsia="Times New Roman" w:hAnsi="Arial" w:cs="Arial"/>
                <w:sz w:val="19"/>
                <w:szCs w:val="19"/>
                <w:lang w:val="fr-CA" w:eastAsia="en-CA"/>
              </w:rPr>
              <w:t>ICA</w:t>
            </w:r>
            <w:r w:rsidR="00BF1C72">
              <w:rPr>
                <w:rFonts w:ascii="Arial" w:eastAsia="Times New Roman" w:hAnsi="Arial" w:cs="Arial"/>
                <w:sz w:val="19"/>
                <w:szCs w:val="19"/>
                <w:lang w:val="fr-CA" w:eastAsia="en-CA"/>
              </w:rPr>
              <w:t xml:space="preserve"> pour la partie non crédible</w:t>
            </w:r>
            <w:r w:rsidR="00AA0356" w:rsidRPr="00257B5A">
              <w:rPr>
                <w:rFonts w:ascii="Arial" w:eastAsia="Times New Roman" w:hAnsi="Arial" w:cs="Arial"/>
                <w:sz w:val="19"/>
                <w:szCs w:val="19"/>
                <w:lang w:val="fr-CA" w:eastAsia="en-CA"/>
              </w:rPr>
              <w:t>;</w:t>
            </w:r>
          </w:p>
          <w:p w14:paraId="04359F2F" w14:textId="61B357F8" w:rsidR="006C27E8" w:rsidRPr="00257B5A" w:rsidRDefault="000304B3" w:rsidP="006C27E8">
            <w:pPr>
              <w:numPr>
                <w:ilvl w:val="0"/>
                <w:numId w:val="15"/>
              </w:numPr>
              <w:spacing w:before="100" w:beforeAutospacing="1" w:after="100" w:afterAutospacing="1"/>
              <w:rPr>
                <w:rFonts w:ascii="Arial" w:eastAsia="Times New Roman" w:hAnsi="Arial" w:cs="Arial"/>
                <w:sz w:val="19"/>
                <w:szCs w:val="19"/>
                <w:lang w:val="fr-CA" w:eastAsia="en-CA"/>
              </w:rPr>
            </w:pPr>
            <w:bookmarkStart w:id="120" w:name="lt_pId150"/>
            <w:r w:rsidRPr="00257B5A">
              <w:rPr>
                <w:rFonts w:ascii="Arial" w:eastAsia="Times New Roman" w:hAnsi="Arial" w:cs="Arial"/>
                <w:sz w:val="19"/>
                <w:szCs w:val="19"/>
                <w:lang w:val="fr-CA" w:eastAsia="en-CA"/>
              </w:rPr>
              <w:t>ajustement selon la taille — les tables de mortalité varient considérablement selon la taille des rentes.</w:t>
            </w:r>
            <w:bookmarkEnd w:id="120"/>
            <w:r w:rsidRPr="00257B5A">
              <w:rPr>
                <w:rFonts w:ascii="Arial" w:eastAsia="Times New Roman" w:hAnsi="Arial" w:cs="Arial"/>
                <w:sz w:val="19"/>
                <w:szCs w:val="19"/>
                <w:lang w:val="fr-CA" w:eastAsia="en-CA"/>
              </w:rPr>
              <w:t xml:space="preserve"> </w:t>
            </w:r>
            <w:bookmarkStart w:id="121" w:name="lt_pId151"/>
            <w:r w:rsidRPr="00257B5A">
              <w:rPr>
                <w:rFonts w:ascii="Arial" w:eastAsia="Times New Roman" w:hAnsi="Arial" w:cs="Arial"/>
                <w:sz w:val="19"/>
                <w:szCs w:val="19"/>
                <w:lang w:val="fr-CA" w:eastAsia="en-CA"/>
              </w:rPr>
              <w:t>Des facteurs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ajustement selon la taille ont été publiés par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ICA pour chaque table de mortalité susmentionnée afin de tenir compte de la différence dans les taux de mortalité selon la tranche de revenu, pour les hommes et les femmes séparément.</w:t>
            </w:r>
            <w:bookmarkEnd w:id="121"/>
            <w:r w:rsidRPr="00257B5A">
              <w:rPr>
                <w:rFonts w:ascii="Arial" w:eastAsia="Times New Roman" w:hAnsi="Arial" w:cs="Arial"/>
                <w:sz w:val="19"/>
                <w:szCs w:val="19"/>
                <w:lang w:val="fr-CA" w:eastAsia="en-CA"/>
              </w:rPr>
              <w:t xml:space="preserve"> </w:t>
            </w:r>
            <w:bookmarkStart w:id="122" w:name="lt_pId152"/>
            <w:r w:rsidRPr="00257B5A">
              <w:rPr>
                <w:rFonts w:ascii="Arial" w:eastAsia="Times New Roman" w:hAnsi="Arial" w:cs="Arial"/>
                <w:sz w:val="19"/>
                <w:szCs w:val="19"/>
                <w:lang w:val="fr-CA" w:eastAsia="en-CA"/>
              </w:rPr>
              <w:t>Si le régime de retraite ne dégage pas une expérience concluante en matière de mortalité pour justifier un ajustement selon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expérience (p. ex., le régime est trop petit) et qu</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il n</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existe aucune référence acceptable selon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industrie ni de régime semblable de plus grande taille, il pourrait convenir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ajuster la table de mortalité à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aide de facteurs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 xml:space="preserve">ajustement </w:t>
            </w:r>
            <w:r w:rsidRPr="00257B5A">
              <w:rPr>
                <w:rFonts w:ascii="Arial" w:eastAsia="Times New Roman" w:hAnsi="Arial" w:cs="Arial"/>
                <w:sz w:val="19"/>
                <w:szCs w:val="19"/>
                <w:lang w:val="fr-CA" w:eastAsia="en-CA"/>
              </w:rPr>
              <w:lastRenderedPageBreak/>
              <w:t>selon la taille, particulièrement lorsque la taille moyenne des prestations du régime faisant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objet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une évaluation diffère de manière significative de celle qui sous-tend la table type.</w:t>
            </w:r>
            <w:bookmarkEnd w:id="122"/>
          </w:p>
          <w:p w14:paraId="7EECE53A" w14:textId="501728E1" w:rsidR="0061175A" w:rsidRPr="00257B5A" w:rsidRDefault="00806EAD" w:rsidP="006C27E8">
            <w:pPr>
              <w:spacing w:before="100" w:beforeAutospacing="1" w:after="100" w:afterAutospacing="1"/>
              <w:rPr>
                <w:rFonts w:ascii="Arial" w:eastAsia="Times New Roman" w:hAnsi="Arial" w:cs="Arial"/>
                <w:sz w:val="19"/>
                <w:szCs w:val="19"/>
                <w:lang w:val="fr-CA" w:eastAsia="en-CA"/>
              </w:rPr>
            </w:pPr>
            <w:bookmarkStart w:id="123" w:name="lt_pId153"/>
            <w:r w:rsidRPr="00257B5A">
              <w:rPr>
                <w:rFonts w:ascii="Arial" w:eastAsia="Times New Roman" w:hAnsi="Arial" w:cs="Arial"/>
                <w:sz w:val="19"/>
                <w:szCs w:val="19"/>
                <w:lang w:val="fr-CA" w:eastAsia="en-CA"/>
              </w:rPr>
              <w:t xml:space="preserve">Les entités qui appliquent les Normes comptables </w:t>
            </w:r>
            <w:r w:rsidR="00AA0356" w:rsidRPr="00257B5A">
              <w:rPr>
                <w:rFonts w:ascii="Arial" w:eastAsia="Times New Roman" w:hAnsi="Arial" w:cs="Arial"/>
                <w:sz w:val="19"/>
                <w:szCs w:val="19"/>
                <w:lang w:val="fr-CA" w:eastAsia="en-CA"/>
              </w:rPr>
              <w:t>pour</w:t>
            </w:r>
            <w:r w:rsidRPr="00257B5A">
              <w:rPr>
                <w:rFonts w:ascii="Arial" w:eastAsia="Times New Roman" w:hAnsi="Arial" w:cs="Arial"/>
                <w:sz w:val="19"/>
                <w:szCs w:val="19"/>
                <w:lang w:val="fr-CA" w:eastAsia="en-CA"/>
              </w:rPr>
              <w:t xml:space="preserve"> le secteur public et qui utilisent une évaluation préparée aux fins de la comptabilisation devraient également prendre ces ajustements en considération.</w:t>
            </w:r>
            <w:bookmarkEnd w:id="123"/>
            <w:r w:rsidRPr="00257B5A">
              <w:rPr>
                <w:rFonts w:ascii="Arial" w:eastAsia="Times New Roman" w:hAnsi="Arial" w:cs="Arial"/>
                <w:sz w:val="19"/>
                <w:szCs w:val="19"/>
                <w:lang w:val="fr-CA" w:eastAsia="en-CA"/>
              </w:rPr>
              <w:t xml:space="preserve"> </w:t>
            </w:r>
            <w:r w:rsidR="00D5150E" w:rsidRPr="00257B5A">
              <w:rPr>
                <w:rFonts w:ascii="Arial" w:eastAsia="Times New Roman" w:hAnsi="Arial" w:cs="Arial"/>
                <w:sz w:val="19"/>
                <w:szCs w:val="19"/>
                <w:lang w:val="fr-CA" w:eastAsia="en-CA"/>
              </w:rPr>
              <w:t>Le</w:t>
            </w:r>
            <w:r w:rsidR="008B42C1">
              <w:rPr>
                <w:rFonts w:ascii="Arial" w:eastAsia="Times New Roman" w:hAnsi="Arial" w:cs="Arial"/>
                <w:sz w:val="19"/>
                <w:szCs w:val="19"/>
                <w:lang w:val="fr-CA" w:eastAsia="en-CA"/>
              </w:rPr>
              <w:t>s auditrices et auditeurs</w:t>
            </w:r>
            <w:r w:rsidR="00D5150E" w:rsidRPr="00257B5A">
              <w:rPr>
                <w:rFonts w:ascii="Arial" w:eastAsia="Times New Roman" w:hAnsi="Arial" w:cs="Arial"/>
                <w:sz w:val="19"/>
                <w:szCs w:val="19"/>
                <w:lang w:val="fr-CA" w:eastAsia="en-CA"/>
              </w:rPr>
              <w:t xml:space="preserve"> </w:t>
            </w:r>
            <w:r w:rsidR="008B42C1">
              <w:rPr>
                <w:rFonts w:ascii="Arial" w:eastAsia="Times New Roman" w:hAnsi="Arial" w:cs="Arial"/>
                <w:sz w:val="19"/>
                <w:szCs w:val="19"/>
                <w:lang w:val="fr-CA" w:eastAsia="en-CA"/>
              </w:rPr>
              <w:t xml:space="preserve">devraient </w:t>
            </w:r>
            <w:r w:rsidR="00D5150E" w:rsidRPr="00257B5A">
              <w:rPr>
                <w:rFonts w:ascii="Arial" w:eastAsia="Times New Roman" w:hAnsi="Arial" w:cs="Arial"/>
                <w:sz w:val="19"/>
                <w:szCs w:val="19"/>
                <w:lang w:val="fr-CA" w:eastAsia="en-CA"/>
              </w:rPr>
              <w:t>comparer ces hypothèses aux hypothèses d</w:t>
            </w:r>
            <w:r w:rsidR="00257B5A" w:rsidRPr="00257B5A">
              <w:rPr>
                <w:rFonts w:ascii="Arial" w:eastAsia="Times New Roman" w:hAnsi="Arial" w:cs="Arial"/>
                <w:sz w:val="19"/>
                <w:szCs w:val="19"/>
                <w:lang w:val="fr-CA" w:eastAsia="en-CA"/>
              </w:rPr>
              <w:t>’</w:t>
            </w:r>
            <w:r w:rsidR="00D5150E" w:rsidRPr="00257B5A">
              <w:rPr>
                <w:rFonts w:ascii="Arial" w:eastAsia="Times New Roman" w:hAnsi="Arial" w:cs="Arial"/>
                <w:sz w:val="19"/>
                <w:szCs w:val="19"/>
                <w:lang w:val="fr-CA" w:eastAsia="en-CA"/>
              </w:rPr>
              <w:t xml:space="preserve">évaluation </w:t>
            </w:r>
            <w:r w:rsidR="00F205E0" w:rsidRPr="00257B5A">
              <w:rPr>
                <w:rFonts w:ascii="Arial" w:eastAsia="Times New Roman" w:hAnsi="Arial" w:cs="Arial"/>
                <w:sz w:val="19"/>
                <w:szCs w:val="19"/>
                <w:lang w:val="fr-CA" w:eastAsia="en-CA"/>
              </w:rPr>
              <w:t>actuarielle</w:t>
            </w:r>
            <w:r w:rsidR="00D5150E" w:rsidRPr="00257B5A">
              <w:rPr>
                <w:rFonts w:ascii="Arial" w:eastAsia="Times New Roman" w:hAnsi="Arial" w:cs="Arial"/>
                <w:sz w:val="19"/>
                <w:szCs w:val="19"/>
                <w:lang w:val="fr-CA" w:eastAsia="en-CA"/>
              </w:rPr>
              <w:t xml:space="preserve"> du régime de retraite. Elles devraient être les mêmes et tout</w:t>
            </w:r>
            <w:r w:rsidR="002171D0" w:rsidRPr="00257B5A">
              <w:rPr>
                <w:rFonts w:ascii="Arial" w:eastAsia="Times New Roman" w:hAnsi="Arial" w:cs="Arial"/>
                <w:sz w:val="19"/>
                <w:szCs w:val="19"/>
                <w:lang w:val="fr-CA" w:eastAsia="en-CA"/>
              </w:rPr>
              <w:t xml:space="preserve"> écart</w:t>
            </w:r>
            <w:r w:rsidR="00D5150E" w:rsidRPr="00257B5A">
              <w:rPr>
                <w:rFonts w:ascii="Arial" w:eastAsia="Times New Roman" w:hAnsi="Arial" w:cs="Arial"/>
                <w:sz w:val="19"/>
                <w:szCs w:val="19"/>
                <w:lang w:val="fr-CA" w:eastAsia="en-CA"/>
              </w:rPr>
              <w:t xml:space="preserve"> relevé </w:t>
            </w:r>
            <w:r w:rsidR="00257B5A" w:rsidRPr="00257B5A">
              <w:rPr>
                <w:rFonts w:ascii="Arial" w:eastAsia="Times New Roman" w:hAnsi="Arial" w:cs="Arial"/>
                <w:sz w:val="19"/>
                <w:szCs w:val="19"/>
                <w:lang w:val="fr-CA" w:eastAsia="en-CA"/>
              </w:rPr>
              <w:t xml:space="preserve">(qui devrait se rapporter au calendrier seulement) </w:t>
            </w:r>
            <w:r w:rsidR="00D5150E" w:rsidRPr="00257B5A">
              <w:rPr>
                <w:rFonts w:ascii="Arial" w:eastAsia="Times New Roman" w:hAnsi="Arial" w:cs="Arial"/>
                <w:sz w:val="19"/>
                <w:szCs w:val="19"/>
                <w:lang w:val="fr-CA" w:eastAsia="en-CA"/>
              </w:rPr>
              <w:t>devrait être clarifié.</w:t>
            </w:r>
          </w:p>
        </w:tc>
      </w:tr>
      <w:tr w:rsidR="009714CB" w:rsidRPr="007637EE" w14:paraId="47A511E4" w14:textId="77777777" w:rsidTr="006C27E8">
        <w:tc>
          <w:tcPr>
            <w:tcW w:w="1346" w:type="dxa"/>
          </w:tcPr>
          <w:p w14:paraId="1340DE51" w14:textId="7D6DD7BF" w:rsidR="0061175A" w:rsidRPr="00257B5A" w:rsidRDefault="000304B3">
            <w:pPr>
              <w:rPr>
                <w:rFonts w:ascii="Arial" w:eastAsia="Times New Roman" w:hAnsi="Arial" w:cs="Arial"/>
                <w:color w:val="000000"/>
                <w:sz w:val="27"/>
                <w:szCs w:val="27"/>
                <w:lang w:val="fr-CA" w:eastAsia="en-CA"/>
              </w:rPr>
            </w:pPr>
            <w:bookmarkStart w:id="124" w:name="lt_pId156"/>
            <w:r w:rsidRPr="00257B5A">
              <w:rPr>
                <w:rFonts w:ascii="Arial" w:eastAsia="Times New Roman" w:hAnsi="Arial" w:cs="Arial"/>
                <w:sz w:val="19"/>
                <w:szCs w:val="19"/>
                <w:lang w:val="fr-CA" w:eastAsia="en-CA"/>
              </w:rPr>
              <w:lastRenderedPageBreak/>
              <w:t>Mortalité</w:t>
            </w:r>
            <w:r w:rsidR="00EE430F">
              <w:rPr>
                <w:rFonts w:ascii="Arial" w:eastAsia="Times New Roman" w:hAnsi="Arial" w:cs="Arial"/>
                <w:sz w:val="19"/>
                <w:szCs w:val="19"/>
                <w:lang w:val="fr-CA" w:eastAsia="en-CA"/>
              </w:rPr>
              <w:t> </w:t>
            </w:r>
            <w:r w:rsidRPr="00257B5A">
              <w:rPr>
                <w:rFonts w:ascii="Arial" w:eastAsia="Times New Roman" w:hAnsi="Arial" w:cs="Arial"/>
                <w:sz w:val="19"/>
                <w:szCs w:val="19"/>
                <w:lang w:val="fr-CA" w:eastAsia="en-CA"/>
              </w:rPr>
              <w:t xml:space="preserve">: </w:t>
            </w:r>
            <w:r w:rsidR="007903D5" w:rsidRPr="00257B5A">
              <w:rPr>
                <w:rFonts w:ascii="Arial" w:eastAsia="Times New Roman" w:hAnsi="Arial" w:cs="Arial"/>
                <w:sz w:val="19"/>
                <w:szCs w:val="19"/>
                <w:lang w:val="fr-CA" w:eastAsia="en-CA"/>
              </w:rPr>
              <w:t>é</w:t>
            </w:r>
            <w:r w:rsidRPr="00257B5A">
              <w:rPr>
                <w:rFonts w:ascii="Arial" w:eastAsia="Times New Roman" w:hAnsi="Arial" w:cs="Arial"/>
                <w:sz w:val="19"/>
                <w:szCs w:val="19"/>
                <w:lang w:val="fr-CA" w:eastAsia="en-CA"/>
              </w:rPr>
              <w:t>chelle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amélioration</w:t>
            </w:r>
            <w:bookmarkEnd w:id="124"/>
          </w:p>
        </w:tc>
        <w:tc>
          <w:tcPr>
            <w:tcW w:w="8004" w:type="dxa"/>
          </w:tcPr>
          <w:p w14:paraId="22C40F32" w14:textId="1F1BAF59" w:rsidR="005A2480" w:rsidRPr="00257B5A" w:rsidRDefault="000304B3" w:rsidP="006C27E8">
            <w:pPr>
              <w:spacing w:before="100" w:beforeAutospacing="1" w:after="100" w:afterAutospacing="1"/>
              <w:rPr>
                <w:rFonts w:ascii="Arial" w:eastAsia="Times New Roman" w:hAnsi="Arial" w:cs="Arial"/>
                <w:sz w:val="19"/>
                <w:szCs w:val="19"/>
                <w:lang w:val="fr-CA" w:eastAsia="en-CA"/>
              </w:rPr>
            </w:pPr>
            <w:bookmarkStart w:id="125" w:name="lt_pId157"/>
            <w:r w:rsidRPr="00257B5A">
              <w:rPr>
                <w:rFonts w:ascii="Arial" w:eastAsia="Times New Roman" w:hAnsi="Arial" w:cs="Arial"/>
                <w:sz w:val="19"/>
                <w:szCs w:val="19"/>
                <w:lang w:val="fr-CA" w:eastAsia="en-CA"/>
              </w:rPr>
              <w:t>Les entités devraient inclure des projections en ce qui a trait au taux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amélioration de la mortalité en utilisant une échelle de mortalité générationnelle bidimensionnelle (taux variant selon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année et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âge), comme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échelle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amélioration ICA MI-2017 (MI-2017) ou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 xml:space="preserve">échelle </w:t>
            </w:r>
            <w:r w:rsidRPr="00257B5A">
              <w:rPr>
                <w:rFonts w:ascii="Arial" w:eastAsia="Times New Roman" w:hAnsi="Arial" w:cs="Arial"/>
                <w:sz w:val="19"/>
                <w:szCs w:val="19"/>
                <w:lang w:val="fr-CA" w:eastAsia="en-CA"/>
              </w:rPr>
              <w:t>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 xml:space="preserve">amélioration </w:t>
            </w:r>
            <w:r w:rsidR="0057118A">
              <w:rPr>
                <w:rFonts w:ascii="Arial" w:eastAsia="Times New Roman" w:hAnsi="Arial" w:cs="Arial"/>
                <w:sz w:val="19"/>
                <w:szCs w:val="19"/>
                <w:lang w:val="fr-CA" w:eastAsia="en-CA"/>
              </w:rPr>
              <w:t>B du CPM (</w:t>
            </w:r>
            <w:r w:rsidRPr="00257B5A">
              <w:rPr>
                <w:rFonts w:ascii="Arial" w:eastAsia="Times New Roman" w:hAnsi="Arial" w:cs="Arial"/>
                <w:sz w:val="19"/>
                <w:szCs w:val="19"/>
                <w:lang w:val="fr-CA" w:eastAsia="en-CA"/>
              </w:rPr>
              <w:t>CPM-B</w:t>
            </w:r>
            <w:r w:rsidR="0057118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 xml:space="preserve"> après </w:t>
            </w:r>
            <w:r w:rsidRPr="00257B5A">
              <w:rPr>
                <w:rFonts w:ascii="Arial" w:eastAsia="Times New Roman" w:hAnsi="Arial" w:cs="Arial"/>
                <w:sz w:val="19"/>
                <w:szCs w:val="19"/>
                <w:lang w:val="fr-CA" w:eastAsia="en-CA"/>
              </w:rPr>
              <w:t>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année de base de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étude de mortalité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une part, pour la période allant de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année de base de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étude de mortalité connexe jusqu</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à la date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évaluation, et,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autre part, pour la période allant de la date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évaluation à chaque année future).</w:t>
            </w:r>
            <w:bookmarkEnd w:id="125"/>
            <w:r w:rsidRPr="00257B5A">
              <w:rPr>
                <w:rFonts w:ascii="Arial" w:eastAsia="Times New Roman" w:hAnsi="Arial" w:cs="Arial"/>
                <w:sz w:val="19"/>
                <w:szCs w:val="19"/>
                <w:lang w:val="fr-CA" w:eastAsia="en-CA"/>
              </w:rPr>
              <w:t xml:space="preserve"> </w:t>
            </w:r>
          </w:p>
          <w:p w14:paraId="37C24F34" w14:textId="26755C3E" w:rsidR="006C27E8" w:rsidRPr="00257B5A" w:rsidRDefault="000304B3" w:rsidP="006C27E8">
            <w:pPr>
              <w:spacing w:before="100" w:beforeAutospacing="1" w:after="100" w:afterAutospacing="1"/>
              <w:rPr>
                <w:rFonts w:ascii="Arial" w:eastAsia="Times New Roman" w:hAnsi="Arial" w:cs="Arial"/>
                <w:sz w:val="19"/>
                <w:szCs w:val="19"/>
                <w:lang w:val="fr-CA" w:eastAsia="en-CA"/>
              </w:rPr>
            </w:pPr>
            <w:bookmarkStart w:id="126" w:name="lt_pId158"/>
            <w:r w:rsidRPr="00257B5A">
              <w:rPr>
                <w:rFonts w:ascii="Arial" w:eastAsia="Times New Roman" w:hAnsi="Arial" w:cs="Arial"/>
                <w:sz w:val="19"/>
                <w:szCs w:val="19"/>
                <w:lang w:val="fr-CA" w:eastAsia="en-CA"/>
              </w:rPr>
              <w:t>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échelle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amélioration B du CPM (CPM-B) a été publiée par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ICA en 2014.</w:t>
            </w:r>
            <w:bookmarkEnd w:id="126"/>
            <w:r w:rsidRPr="00257B5A">
              <w:rPr>
                <w:rFonts w:ascii="Arial" w:eastAsia="Times New Roman" w:hAnsi="Arial" w:cs="Arial"/>
                <w:sz w:val="19"/>
                <w:szCs w:val="19"/>
                <w:lang w:val="fr-CA" w:eastAsia="en-CA"/>
              </w:rPr>
              <w:t xml:space="preserve"> </w:t>
            </w:r>
            <w:bookmarkStart w:id="127" w:name="lt_pId159"/>
            <w:r w:rsidRPr="00257B5A">
              <w:rPr>
                <w:rFonts w:ascii="Arial" w:eastAsia="Times New Roman" w:hAnsi="Arial" w:cs="Arial"/>
                <w:sz w:val="19"/>
                <w:szCs w:val="19"/>
                <w:lang w:val="fr-CA" w:eastAsia="en-CA"/>
              </w:rPr>
              <w:t>En septembre 2017,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ICA a publié une nouvelle échelle de mortalité,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ICA MI-2017 (MI</w:t>
            </w:r>
            <w:r w:rsidR="002171D0" w:rsidRPr="00257B5A">
              <w:rPr>
                <w:rFonts w:ascii="Arial" w:eastAsia="Times New Roman" w:hAnsi="Arial" w:cs="Arial"/>
                <w:sz w:val="19"/>
                <w:szCs w:val="19"/>
                <w:lang w:val="fr-CA" w:eastAsia="en-CA"/>
              </w:rPr>
              <w:noBreakHyphen/>
            </w:r>
            <w:r w:rsidRPr="00257B5A">
              <w:rPr>
                <w:rFonts w:ascii="Arial" w:eastAsia="Times New Roman" w:hAnsi="Arial" w:cs="Arial"/>
                <w:sz w:val="19"/>
                <w:szCs w:val="19"/>
                <w:lang w:val="fr-CA" w:eastAsia="en-CA"/>
              </w:rPr>
              <w:t>2017).</w:t>
            </w:r>
            <w:bookmarkEnd w:id="127"/>
            <w:r w:rsidRPr="00257B5A">
              <w:rPr>
                <w:rFonts w:ascii="Arial" w:eastAsia="Times New Roman" w:hAnsi="Arial" w:cs="Arial"/>
                <w:sz w:val="19"/>
                <w:szCs w:val="19"/>
                <w:lang w:val="fr-CA" w:eastAsia="en-CA"/>
              </w:rPr>
              <w:t xml:space="preserve"> </w:t>
            </w:r>
            <w:bookmarkStart w:id="128" w:name="lt_pId160"/>
            <w:r w:rsidR="00002B76">
              <w:rPr>
                <w:rFonts w:ascii="Arial" w:eastAsia="Times New Roman" w:hAnsi="Arial" w:cs="Arial"/>
                <w:sz w:val="19"/>
                <w:szCs w:val="19"/>
                <w:lang w:val="fr-CA" w:eastAsia="en-CA"/>
              </w:rPr>
              <w:t>Ces deux</w:t>
            </w:r>
            <w:r w:rsidRPr="00257B5A">
              <w:rPr>
                <w:rFonts w:ascii="Arial" w:eastAsia="Times New Roman" w:hAnsi="Arial" w:cs="Arial"/>
                <w:sz w:val="19"/>
                <w:szCs w:val="19"/>
                <w:lang w:val="fr-CA" w:eastAsia="en-CA"/>
              </w:rPr>
              <w:t xml:space="preserve"> échelles de mortalité</w:t>
            </w:r>
            <w:r w:rsidR="00002B76">
              <w:rPr>
                <w:rFonts w:ascii="Arial" w:eastAsia="Times New Roman" w:hAnsi="Arial" w:cs="Arial"/>
                <w:sz w:val="19"/>
                <w:szCs w:val="19"/>
                <w:lang w:val="fr-CA" w:eastAsia="en-CA"/>
              </w:rPr>
              <w:t xml:space="preserve"> générationnelle </w:t>
            </w:r>
            <w:r w:rsidRPr="00257B5A">
              <w:rPr>
                <w:rFonts w:ascii="Arial" w:eastAsia="Times New Roman" w:hAnsi="Arial" w:cs="Arial"/>
                <w:sz w:val="19"/>
                <w:szCs w:val="19"/>
                <w:lang w:val="fr-CA" w:eastAsia="en-CA"/>
              </w:rPr>
              <w:t>bidimensionnelles permettent des taux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amélioration qui varient selon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année et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âge.</w:t>
            </w:r>
            <w:bookmarkEnd w:id="128"/>
            <w:r w:rsidRPr="00257B5A">
              <w:rPr>
                <w:rFonts w:ascii="Arial" w:eastAsia="Times New Roman" w:hAnsi="Arial" w:cs="Arial"/>
                <w:sz w:val="19"/>
                <w:szCs w:val="19"/>
                <w:lang w:val="fr-CA" w:eastAsia="en-CA"/>
              </w:rPr>
              <w:t xml:space="preserve"> </w:t>
            </w:r>
            <w:bookmarkStart w:id="129" w:name="lt_pId161"/>
            <w:r w:rsidR="00257B5A" w:rsidRPr="00257B5A">
              <w:rPr>
                <w:rFonts w:ascii="Arial" w:eastAsia="Times New Roman" w:hAnsi="Arial" w:cs="Arial"/>
                <w:sz w:val="19"/>
                <w:szCs w:val="19"/>
                <w:lang w:val="fr-CA" w:eastAsia="en-CA"/>
              </w:rPr>
              <w:t xml:space="preserve">L’échelle </w:t>
            </w:r>
            <w:r w:rsidRPr="00257B5A">
              <w:rPr>
                <w:rFonts w:ascii="Arial" w:eastAsia="Times New Roman" w:hAnsi="Arial" w:cs="Arial"/>
                <w:sz w:val="19"/>
                <w:szCs w:val="19"/>
                <w:lang w:val="fr-CA" w:eastAsia="en-CA"/>
              </w:rPr>
              <w:t xml:space="preserve">MI-2017 a été </w:t>
            </w:r>
            <w:r w:rsidR="002171D0" w:rsidRPr="00257B5A">
              <w:rPr>
                <w:rFonts w:ascii="Arial" w:eastAsia="Times New Roman" w:hAnsi="Arial" w:cs="Arial"/>
                <w:sz w:val="19"/>
                <w:szCs w:val="19"/>
                <w:lang w:val="fr-CA" w:eastAsia="en-CA"/>
              </w:rPr>
              <w:t>élaborée</w:t>
            </w:r>
            <w:r w:rsidRPr="00257B5A">
              <w:rPr>
                <w:rFonts w:ascii="Arial" w:eastAsia="Times New Roman" w:hAnsi="Arial" w:cs="Arial"/>
                <w:sz w:val="19"/>
                <w:szCs w:val="19"/>
                <w:lang w:val="fr-CA" w:eastAsia="en-CA"/>
              </w:rPr>
              <w:t xml:space="preserve"> à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aide de données sur la population générale de 1967 à 2015.</w:t>
            </w:r>
            <w:bookmarkEnd w:id="129"/>
            <w:r w:rsidRPr="00257B5A">
              <w:rPr>
                <w:rFonts w:ascii="Arial" w:eastAsia="Times New Roman" w:hAnsi="Arial" w:cs="Arial"/>
                <w:sz w:val="19"/>
                <w:szCs w:val="19"/>
                <w:lang w:val="fr-CA" w:eastAsia="en-CA"/>
              </w:rPr>
              <w:t xml:space="preserve"> </w:t>
            </w:r>
            <w:bookmarkStart w:id="130" w:name="lt_pId162"/>
            <w:r w:rsidR="00257B5A" w:rsidRPr="00257B5A">
              <w:rPr>
                <w:rFonts w:ascii="Arial" w:eastAsia="Times New Roman" w:hAnsi="Arial" w:cs="Arial"/>
                <w:sz w:val="19"/>
                <w:szCs w:val="19"/>
                <w:lang w:val="fr-CA" w:eastAsia="en-CA"/>
              </w:rPr>
              <w:t xml:space="preserve">L’échelle </w:t>
            </w:r>
            <w:r w:rsidRPr="00257B5A">
              <w:rPr>
                <w:rFonts w:ascii="Arial" w:eastAsia="Times New Roman" w:hAnsi="Arial" w:cs="Arial"/>
                <w:sz w:val="19"/>
                <w:szCs w:val="19"/>
                <w:lang w:val="fr-CA" w:eastAsia="en-CA"/>
              </w:rPr>
              <w:t xml:space="preserve">CPM-B a été </w:t>
            </w:r>
            <w:r w:rsidR="002171D0" w:rsidRPr="00257B5A">
              <w:rPr>
                <w:rFonts w:ascii="Arial" w:eastAsia="Times New Roman" w:hAnsi="Arial" w:cs="Arial"/>
                <w:sz w:val="19"/>
                <w:szCs w:val="19"/>
                <w:lang w:val="fr-CA" w:eastAsia="en-CA"/>
              </w:rPr>
              <w:t>élaborée à l</w:t>
            </w:r>
            <w:r w:rsidR="00257B5A" w:rsidRPr="00257B5A">
              <w:rPr>
                <w:rFonts w:ascii="Arial" w:eastAsia="Times New Roman" w:hAnsi="Arial" w:cs="Arial"/>
                <w:sz w:val="19"/>
                <w:szCs w:val="19"/>
                <w:lang w:val="fr-CA" w:eastAsia="en-CA"/>
              </w:rPr>
              <w:t>’</w:t>
            </w:r>
            <w:r w:rsidR="002171D0" w:rsidRPr="00257B5A">
              <w:rPr>
                <w:rFonts w:ascii="Arial" w:eastAsia="Times New Roman" w:hAnsi="Arial" w:cs="Arial"/>
                <w:sz w:val="19"/>
                <w:szCs w:val="19"/>
                <w:lang w:val="fr-CA" w:eastAsia="en-CA"/>
              </w:rPr>
              <w:t xml:space="preserve">aide des </w:t>
            </w:r>
            <w:r w:rsidRPr="00257B5A">
              <w:rPr>
                <w:rFonts w:ascii="Arial" w:eastAsia="Times New Roman" w:hAnsi="Arial" w:cs="Arial"/>
                <w:sz w:val="19"/>
                <w:szCs w:val="19"/>
                <w:lang w:val="fr-CA" w:eastAsia="en-CA"/>
              </w:rPr>
              <w:t xml:space="preserve">résultats du rapport sur le RPC/RRQ phase III avec quelques raffinements, à </w:t>
            </w:r>
            <w:r w:rsidR="002171D0" w:rsidRPr="00257B5A">
              <w:rPr>
                <w:rFonts w:ascii="Arial" w:eastAsia="Times New Roman" w:hAnsi="Arial" w:cs="Arial"/>
                <w:sz w:val="19"/>
                <w:szCs w:val="19"/>
                <w:lang w:val="fr-CA" w:eastAsia="en-CA"/>
              </w:rPr>
              <w:t xml:space="preserve">partir de </w:t>
            </w:r>
            <w:r w:rsidRPr="00257B5A">
              <w:rPr>
                <w:rFonts w:ascii="Arial" w:eastAsia="Times New Roman" w:hAnsi="Arial" w:cs="Arial"/>
                <w:sz w:val="19"/>
                <w:szCs w:val="19"/>
                <w:lang w:val="fr-CA" w:eastAsia="en-CA"/>
              </w:rPr>
              <w:t>données de 1967 à 2007.</w:t>
            </w:r>
            <w:bookmarkEnd w:id="130"/>
            <w:r w:rsidRPr="00257B5A">
              <w:rPr>
                <w:rFonts w:ascii="Arial" w:eastAsia="Times New Roman" w:hAnsi="Arial" w:cs="Arial"/>
                <w:sz w:val="19"/>
                <w:szCs w:val="19"/>
                <w:lang w:val="fr-CA" w:eastAsia="en-CA"/>
              </w:rPr>
              <w:t xml:space="preserve"> </w:t>
            </w:r>
            <w:bookmarkStart w:id="131" w:name="lt_pId163"/>
            <w:r w:rsidRPr="00257B5A">
              <w:rPr>
                <w:rFonts w:ascii="Arial" w:eastAsia="Times New Roman" w:hAnsi="Arial" w:cs="Arial"/>
                <w:sz w:val="19"/>
                <w:szCs w:val="19"/>
                <w:lang w:val="fr-CA" w:eastAsia="en-CA"/>
              </w:rPr>
              <w:t xml:space="preserve">Ces deux </w:t>
            </w:r>
            <w:r w:rsidR="0057118A">
              <w:rPr>
                <w:rFonts w:ascii="Arial" w:eastAsia="Times New Roman" w:hAnsi="Arial" w:cs="Arial"/>
                <w:sz w:val="19"/>
                <w:szCs w:val="19"/>
                <w:lang w:val="fr-CA" w:eastAsia="en-CA"/>
              </w:rPr>
              <w:t>échelles</w:t>
            </w:r>
            <w:r w:rsidRPr="00257B5A">
              <w:rPr>
                <w:rFonts w:ascii="Arial" w:eastAsia="Times New Roman" w:hAnsi="Arial" w:cs="Arial"/>
                <w:sz w:val="19"/>
                <w:szCs w:val="19"/>
                <w:lang w:val="fr-CA" w:eastAsia="en-CA"/>
              </w:rPr>
              <w:t xml:space="preserve"> constituent des études de mortalité étendues et pertinentes pour </w:t>
            </w:r>
            <w:r w:rsidR="0057118A">
              <w:rPr>
                <w:rFonts w:ascii="Arial" w:eastAsia="Times New Roman" w:hAnsi="Arial" w:cs="Arial"/>
                <w:sz w:val="19"/>
                <w:szCs w:val="19"/>
                <w:lang w:val="fr-CA" w:eastAsia="en-CA"/>
              </w:rPr>
              <w:t>la population</w:t>
            </w:r>
            <w:r w:rsidRPr="00257B5A">
              <w:rPr>
                <w:rFonts w:ascii="Arial" w:eastAsia="Times New Roman" w:hAnsi="Arial" w:cs="Arial"/>
                <w:sz w:val="19"/>
                <w:szCs w:val="19"/>
                <w:lang w:val="fr-CA" w:eastAsia="en-CA"/>
              </w:rPr>
              <w:t xml:space="preserve"> canadien</w:t>
            </w:r>
            <w:r w:rsidR="002171D0" w:rsidRPr="00257B5A">
              <w:rPr>
                <w:rFonts w:ascii="Arial" w:eastAsia="Times New Roman" w:hAnsi="Arial" w:cs="Arial"/>
                <w:sz w:val="19"/>
                <w:szCs w:val="19"/>
                <w:lang w:val="fr-CA" w:eastAsia="en-CA"/>
              </w:rPr>
              <w:t>ne</w:t>
            </w:r>
            <w:r w:rsidRPr="00257B5A">
              <w:rPr>
                <w:rFonts w:ascii="Arial" w:eastAsia="Times New Roman" w:hAnsi="Arial" w:cs="Arial"/>
                <w:sz w:val="19"/>
                <w:szCs w:val="19"/>
                <w:lang w:val="fr-CA" w:eastAsia="en-CA"/>
              </w:rPr>
              <w:t>.</w:t>
            </w:r>
            <w:bookmarkEnd w:id="131"/>
            <w:r w:rsidRPr="00257B5A">
              <w:rPr>
                <w:rFonts w:ascii="Arial" w:eastAsia="Times New Roman" w:hAnsi="Arial" w:cs="Arial"/>
                <w:sz w:val="19"/>
                <w:szCs w:val="19"/>
                <w:lang w:val="fr-CA" w:eastAsia="en-CA"/>
              </w:rPr>
              <w:t xml:space="preserve"> </w:t>
            </w:r>
            <w:bookmarkStart w:id="132" w:name="lt_pId164"/>
            <w:r w:rsidRPr="00257B5A">
              <w:rPr>
                <w:rFonts w:ascii="Arial" w:eastAsia="Times New Roman" w:hAnsi="Arial" w:cs="Arial"/>
                <w:sz w:val="19"/>
                <w:szCs w:val="19"/>
                <w:lang w:val="fr-CA" w:eastAsia="en-CA"/>
              </w:rPr>
              <w:t>Compte tenu de la publication récente des deux échelles et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 xml:space="preserve">ensembles comparables de données utilisés pour leur </w:t>
            </w:r>
            <w:r w:rsidR="002171D0" w:rsidRPr="00257B5A">
              <w:rPr>
                <w:rFonts w:ascii="Arial" w:eastAsia="Times New Roman" w:hAnsi="Arial" w:cs="Arial"/>
                <w:sz w:val="19"/>
                <w:szCs w:val="19"/>
                <w:lang w:val="fr-CA" w:eastAsia="en-CA"/>
              </w:rPr>
              <w:t>élaboration</w:t>
            </w:r>
            <w:r w:rsidRPr="00257B5A">
              <w:rPr>
                <w:rFonts w:ascii="Arial" w:eastAsia="Times New Roman" w:hAnsi="Arial" w:cs="Arial"/>
                <w:sz w:val="19"/>
                <w:szCs w:val="19"/>
                <w:lang w:val="fr-CA" w:eastAsia="en-CA"/>
              </w:rPr>
              <w:t>, il pourrait être approprié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utiliser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une ou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autre des échelles en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absence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information crédible indiquant le contraire, par exemple la publication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une nouvelle échelle par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ICA.</w:t>
            </w:r>
            <w:bookmarkEnd w:id="132"/>
          </w:p>
          <w:p w14:paraId="1F0F87AB" w14:textId="2A37B0E4" w:rsidR="0061175A" w:rsidRPr="00257B5A" w:rsidRDefault="000304B3" w:rsidP="006C27E8">
            <w:pPr>
              <w:spacing w:before="100" w:beforeAutospacing="1" w:after="100" w:afterAutospacing="1"/>
              <w:rPr>
                <w:rFonts w:ascii="Arial" w:eastAsia="Times New Roman" w:hAnsi="Arial" w:cs="Arial"/>
                <w:sz w:val="19"/>
                <w:szCs w:val="19"/>
                <w:lang w:val="fr-CA" w:eastAsia="en-CA"/>
              </w:rPr>
            </w:pPr>
            <w:bookmarkStart w:id="133" w:name="lt_pId165"/>
            <w:r w:rsidRPr="00257B5A">
              <w:rPr>
                <w:rFonts w:ascii="Arial" w:eastAsia="Times New Roman" w:hAnsi="Arial" w:cs="Arial"/>
                <w:sz w:val="19"/>
                <w:szCs w:val="19"/>
                <w:lang w:val="fr-CA" w:eastAsia="en-CA"/>
              </w:rPr>
              <w:t>Des explications doivent être obtenues de la direction si aucune amélioration de la mortalité n</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est prise en considération ou si une échelle d</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amélioration autre que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échelle MI-2017 ou CPM-B est utilisée.</w:t>
            </w:r>
            <w:bookmarkEnd w:id="133"/>
          </w:p>
          <w:p w14:paraId="3A9D8286" w14:textId="44D8ECEC" w:rsidR="005A2480" w:rsidRPr="00257B5A" w:rsidRDefault="008B42C1" w:rsidP="006C27E8">
            <w:pPr>
              <w:spacing w:before="100" w:beforeAutospacing="1" w:after="100" w:afterAutospacing="1"/>
              <w:rPr>
                <w:rFonts w:ascii="Arial" w:eastAsia="Times New Roman" w:hAnsi="Arial" w:cs="Arial"/>
                <w:sz w:val="19"/>
                <w:szCs w:val="19"/>
                <w:lang w:val="fr-CA" w:eastAsia="en-CA"/>
              </w:rPr>
            </w:pPr>
            <w:r w:rsidRPr="00257B5A">
              <w:rPr>
                <w:rFonts w:ascii="Arial" w:eastAsia="Times New Roman" w:hAnsi="Arial" w:cs="Arial"/>
                <w:sz w:val="19"/>
                <w:szCs w:val="19"/>
                <w:lang w:val="fr-CA" w:eastAsia="en-CA"/>
              </w:rPr>
              <w:t>Le</w:t>
            </w:r>
            <w:r>
              <w:rPr>
                <w:rFonts w:ascii="Arial" w:eastAsia="Times New Roman" w:hAnsi="Arial" w:cs="Arial"/>
                <w:sz w:val="19"/>
                <w:szCs w:val="19"/>
                <w:lang w:val="fr-CA" w:eastAsia="en-CA"/>
              </w:rPr>
              <w:t>s auditrices et auditeurs</w:t>
            </w:r>
            <w:r w:rsidRPr="00257B5A">
              <w:rPr>
                <w:rFonts w:ascii="Arial" w:eastAsia="Times New Roman" w:hAnsi="Arial" w:cs="Arial"/>
                <w:sz w:val="19"/>
                <w:szCs w:val="19"/>
                <w:lang w:val="fr-CA" w:eastAsia="en-CA"/>
              </w:rPr>
              <w:t xml:space="preserve"> </w:t>
            </w:r>
            <w:r>
              <w:rPr>
                <w:rFonts w:ascii="Arial" w:eastAsia="Times New Roman" w:hAnsi="Arial" w:cs="Arial"/>
                <w:sz w:val="19"/>
                <w:szCs w:val="19"/>
                <w:lang w:val="fr-CA" w:eastAsia="en-CA"/>
              </w:rPr>
              <w:t xml:space="preserve">devraient </w:t>
            </w:r>
            <w:r w:rsidRPr="00257B5A">
              <w:rPr>
                <w:rFonts w:ascii="Arial" w:eastAsia="Times New Roman" w:hAnsi="Arial" w:cs="Arial"/>
                <w:sz w:val="19"/>
                <w:szCs w:val="19"/>
                <w:lang w:val="fr-CA" w:eastAsia="en-CA"/>
              </w:rPr>
              <w:t>comparer ces hypothèses aux hypothèses d’évaluation actuarielle du régime de retraite</w:t>
            </w:r>
            <w:r w:rsidR="00257B5A" w:rsidRPr="00257B5A">
              <w:rPr>
                <w:rFonts w:ascii="Arial" w:eastAsia="Times New Roman" w:hAnsi="Arial" w:cs="Arial"/>
                <w:sz w:val="19"/>
                <w:szCs w:val="19"/>
                <w:lang w:val="fr-CA" w:eastAsia="en-CA"/>
              </w:rPr>
              <w:t>. Elles devraient être les mêmes et tout écart relevé (qui devrait se rapporter au calendrier seulement) devrait être clarifié</w:t>
            </w:r>
            <w:r w:rsidR="002171D0" w:rsidRPr="00257B5A">
              <w:rPr>
                <w:rFonts w:ascii="Arial" w:eastAsia="Times New Roman" w:hAnsi="Arial" w:cs="Arial"/>
                <w:sz w:val="19"/>
                <w:szCs w:val="19"/>
                <w:lang w:val="fr-CA" w:eastAsia="en-CA"/>
              </w:rPr>
              <w:t>.</w:t>
            </w:r>
          </w:p>
        </w:tc>
      </w:tr>
      <w:tr w:rsidR="009714CB" w:rsidRPr="007637EE" w14:paraId="18071BC5" w14:textId="77777777" w:rsidTr="006C27E8">
        <w:tc>
          <w:tcPr>
            <w:tcW w:w="1346" w:type="dxa"/>
          </w:tcPr>
          <w:p w14:paraId="141C73FD" w14:textId="2EF094FA" w:rsidR="006C27E8" w:rsidRPr="00257B5A" w:rsidRDefault="000304B3">
            <w:pPr>
              <w:rPr>
                <w:rFonts w:ascii="Arial" w:eastAsia="Times New Roman" w:hAnsi="Arial" w:cs="Arial"/>
                <w:sz w:val="19"/>
                <w:szCs w:val="19"/>
                <w:lang w:val="fr-CA" w:eastAsia="en-CA"/>
              </w:rPr>
            </w:pPr>
            <w:bookmarkStart w:id="134" w:name="lt_pId168"/>
            <w:r w:rsidRPr="00257B5A">
              <w:rPr>
                <w:rFonts w:ascii="Arial" w:eastAsia="Times New Roman" w:hAnsi="Arial" w:cs="Arial"/>
                <w:sz w:val="19"/>
                <w:szCs w:val="19"/>
                <w:lang w:val="fr-CA" w:eastAsia="en-CA"/>
              </w:rPr>
              <w:t>Autres hypothèses démographiques</w:t>
            </w:r>
            <w:bookmarkEnd w:id="134"/>
          </w:p>
        </w:tc>
        <w:tc>
          <w:tcPr>
            <w:tcW w:w="8004" w:type="dxa"/>
          </w:tcPr>
          <w:p w14:paraId="34C375F8" w14:textId="03453595" w:rsidR="006C27E8" w:rsidRPr="00257B5A" w:rsidRDefault="000304B3" w:rsidP="006C27E8">
            <w:pPr>
              <w:spacing w:before="100" w:beforeAutospacing="1" w:after="100" w:afterAutospacing="1"/>
              <w:rPr>
                <w:rFonts w:ascii="Arial" w:eastAsia="Times New Roman" w:hAnsi="Arial" w:cs="Arial"/>
                <w:sz w:val="19"/>
                <w:szCs w:val="19"/>
                <w:lang w:val="fr-CA" w:eastAsia="en-CA"/>
              </w:rPr>
            </w:pPr>
            <w:bookmarkStart w:id="135" w:name="lt_pId169"/>
            <w:r w:rsidRPr="00257B5A">
              <w:rPr>
                <w:rFonts w:ascii="Arial" w:eastAsia="Times New Roman" w:hAnsi="Arial" w:cs="Arial"/>
                <w:sz w:val="19"/>
                <w:szCs w:val="19"/>
                <w:lang w:val="fr-CA" w:eastAsia="en-CA"/>
              </w:rPr>
              <w:t>Les autres hypothèses démographiques (p. ex.,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 xml:space="preserve">âge de la retraite et le taux de roulement) devraient </w:t>
            </w:r>
            <w:r w:rsidR="002171D0" w:rsidRPr="00257B5A">
              <w:rPr>
                <w:rFonts w:ascii="Arial" w:eastAsia="Times New Roman" w:hAnsi="Arial" w:cs="Arial"/>
                <w:sz w:val="19"/>
                <w:szCs w:val="19"/>
                <w:lang w:val="fr-CA" w:eastAsia="en-CA"/>
              </w:rPr>
              <w:t xml:space="preserve">tenir compte </w:t>
            </w:r>
            <w:r w:rsidRPr="00257B5A">
              <w:rPr>
                <w:rFonts w:ascii="Arial" w:eastAsia="Times New Roman" w:hAnsi="Arial" w:cs="Arial"/>
                <w:sz w:val="19"/>
                <w:szCs w:val="19"/>
                <w:lang w:val="fr-CA" w:eastAsia="en-CA"/>
              </w:rPr>
              <w:t>des dispositions et de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expérience du régime.</w:t>
            </w:r>
            <w:bookmarkEnd w:id="135"/>
            <w:r w:rsidRPr="00257B5A">
              <w:rPr>
                <w:rFonts w:ascii="Arial" w:eastAsia="Times New Roman" w:hAnsi="Arial" w:cs="Arial"/>
                <w:sz w:val="19"/>
                <w:szCs w:val="19"/>
                <w:lang w:val="fr-CA" w:eastAsia="en-CA"/>
              </w:rPr>
              <w:t xml:space="preserve"> </w:t>
            </w:r>
            <w:bookmarkStart w:id="136" w:name="lt_pId170"/>
            <w:r w:rsidRPr="00257B5A">
              <w:rPr>
                <w:rFonts w:ascii="Arial" w:eastAsia="Times New Roman" w:hAnsi="Arial" w:cs="Arial"/>
                <w:sz w:val="19"/>
                <w:szCs w:val="19"/>
                <w:lang w:val="fr-CA" w:eastAsia="en-CA"/>
              </w:rPr>
              <w:t>Par exemple, nous nous attendons à des taux de retraite élevés avant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âge normal de la retraite dans le cas des régimes offrant de généreux avantages de retraite anticipée et dont l</w:t>
            </w:r>
            <w:r w:rsidR="00257B5A" w:rsidRPr="00257B5A">
              <w:rPr>
                <w:rFonts w:ascii="Arial" w:eastAsia="Times New Roman" w:hAnsi="Arial" w:cs="Arial"/>
                <w:sz w:val="19"/>
                <w:szCs w:val="19"/>
                <w:lang w:val="fr-CA" w:eastAsia="en-CA"/>
              </w:rPr>
              <w:t>’</w:t>
            </w:r>
            <w:r w:rsidRPr="00257B5A">
              <w:rPr>
                <w:rFonts w:ascii="Arial" w:eastAsia="Times New Roman" w:hAnsi="Arial" w:cs="Arial"/>
                <w:sz w:val="19"/>
                <w:szCs w:val="19"/>
                <w:lang w:val="fr-CA" w:eastAsia="en-CA"/>
              </w:rPr>
              <w:t>expérience passée montre que les participants choisissent de prendre une retraite anticipée.</w:t>
            </w:r>
            <w:bookmarkEnd w:id="136"/>
          </w:p>
          <w:p w14:paraId="229A6450" w14:textId="6989C0A9" w:rsidR="005A2480" w:rsidRPr="00266734" w:rsidRDefault="008B42C1" w:rsidP="006C27E8">
            <w:pPr>
              <w:spacing w:before="100" w:beforeAutospacing="1" w:after="100" w:afterAutospacing="1"/>
              <w:rPr>
                <w:rFonts w:ascii="Arial" w:eastAsia="Times New Roman" w:hAnsi="Arial" w:cs="Arial"/>
                <w:sz w:val="19"/>
                <w:szCs w:val="19"/>
                <w:lang w:val="fr-CA" w:eastAsia="en-CA"/>
              </w:rPr>
            </w:pPr>
            <w:r w:rsidRPr="00257B5A">
              <w:rPr>
                <w:rFonts w:ascii="Arial" w:eastAsia="Times New Roman" w:hAnsi="Arial" w:cs="Arial"/>
                <w:sz w:val="19"/>
                <w:szCs w:val="19"/>
                <w:lang w:val="fr-CA" w:eastAsia="en-CA"/>
              </w:rPr>
              <w:t>Le</w:t>
            </w:r>
            <w:r>
              <w:rPr>
                <w:rFonts w:ascii="Arial" w:eastAsia="Times New Roman" w:hAnsi="Arial" w:cs="Arial"/>
                <w:sz w:val="19"/>
                <w:szCs w:val="19"/>
                <w:lang w:val="fr-CA" w:eastAsia="en-CA"/>
              </w:rPr>
              <w:t>s auditrices et auditeurs</w:t>
            </w:r>
            <w:r w:rsidRPr="00257B5A">
              <w:rPr>
                <w:rFonts w:ascii="Arial" w:eastAsia="Times New Roman" w:hAnsi="Arial" w:cs="Arial"/>
                <w:sz w:val="19"/>
                <w:szCs w:val="19"/>
                <w:lang w:val="fr-CA" w:eastAsia="en-CA"/>
              </w:rPr>
              <w:t xml:space="preserve"> </w:t>
            </w:r>
            <w:r>
              <w:rPr>
                <w:rFonts w:ascii="Arial" w:eastAsia="Times New Roman" w:hAnsi="Arial" w:cs="Arial"/>
                <w:sz w:val="19"/>
                <w:szCs w:val="19"/>
                <w:lang w:val="fr-CA" w:eastAsia="en-CA"/>
              </w:rPr>
              <w:t xml:space="preserve">devraient </w:t>
            </w:r>
            <w:r w:rsidRPr="00257B5A">
              <w:rPr>
                <w:rFonts w:ascii="Arial" w:eastAsia="Times New Roman" w:hAnsi="Arial" w:cs="Arial"/>
                <w:sz w:val="19"/>
                <w:szCs w:val="19"/>
                <w:lang w:val="fr-CA" w:eastAsia="en-CA"/>
              </w:rPr>
              <w:t>comparer ces hypothèses aux hypothèses d’évaluation actuarielle du régime de retraite</w:t>
            </w:r>
            <w:r w:rsidR="00257B5A" w:rsidRPr="00257B5A">
              <w:rPr>
                <w:rFonts w:ascii="Arial" w:eastAsia="Times New Roman" w:hAnsi="Arial" w:cs="Arial"/>
                <w:sz w:val="19"/>
                <w:szCs w:val="19"/>
                <w:lang w:val="fr-CA" w:eastAsia="en-CA"/>
              </w:rPr>
              <w:t>. Elles devraient être les mêmes et tout écart relevé (qui devrait se rapporter au calendrier seulement) devrait être clarifié</w:t>
            </w:r>
            <w:r w:rsidR="002171D0" w:rsidRPr="00257B5A">
              <w:rPr>
                <w:rFonts w:ascii="Arial" w:eastAsia="Times New Roman" w:hAnsi="Arial" w:cs="Arial"/>
                <w:sz w:val="19"/>
                <w:szCs w:val="19"/>
                <w:lang w:val="fr-CA" w:eastAsia="en-CA"/>
              </w:rPr>
              <w:t>.</w:t>
            </w:r>
          </w:p>
        </w:tc>
      </w:tr>
    </w:tbl>
    <w:p w14:paraId="7B5DCCBD" w14:textId="77777777" w:rsidR="0061175A" w:rsidRPr="00266734" w:rsidRDefault="0061175A">
      <w:pPr>
        <w:rPr>
          <w:rFonts w:ascii="Arial" w:eastAsia="Times New Roman" w:hAnsi="Arial" w:cs="Arial"/>
          <w:b/>
          <w:bCs/>
          <w:color w:val="000000"/>
          <w:sz w:val="27"/>
          <w:szCs w:val="27"/>
          <w:lang w:val="fr-CA" w:eastAsia="en-CA"/>
        </w:rPr>
      </w:pPr>
    </w:p>
    <w:p w14:paraId="6BE2E2ED" w14:textId="77777777" w:rsidR="0061175A" w:rsidRPr="00266734" w:rsidRDefault="0061175A">
      <w:pPr>
        <w:rPr>
          <w:rFonts w:ascii="Arial" w:eastAsia="Times New Roman" w:hAnsi="Arial" w:cs="Arial"/>
          <w:b/>
          <w:bCs/>
          <w:color w:val="000000"/>
          <w:sz w:val="27"/>
          <w:szCs w:val="27"/>
          <w:lang w:val="fr-CA" w:eastAsia="en-CA"/>
        </w:rPr>
      </w:pPr>
    </w:p>
    <w:sectPr w:rsidR="0061175A" w:rsidRPr="0026673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A33F" w14:textId="77777777" w:rsidR="000304B3" w:rsidRDefault="000304B3">
      <w:pPr>
        <w:spacing w:after="0" w:line="240" w:lineRule="auto"/>
      </w:pPr>
      <w:r>
        <w:separator/>
      </w:r>
    </w:p>
  </w:endnote>
  <w:endnote w:type="continuationSeparator" w:id="0">
    <w:p w14:paraId="0583E70A" w14:textId="77777777" w:rsidR="000304B3" w:rsidRDefault="00030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482F" w14:textId="77777777" w:rsidR="00002B76" w:rsidRDefault="00002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6936" w14:textId="77777777" w:rsidR="00002B76" w:rsidRDefault="00002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241C" w14:textId="77777777" w:rsidR="00002B76" w:rsidRDefault="00002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1BF6E" w14:textId="77777777" w:rsidR="000304B3" w:rsidRDefault="000304B3">
      <w:pPr>
        <w:spacing w:after="0" w:line="240" w:lineRule="auto"/>
      </w:pPr>
      <w:r>
        <w:separator/>
      </w:r>
    </w:p>
  </w:footnote>
  <w:footnote w:type="continuationSeparator" w:id="0">
    <w:p w14:paraId="40C9CF04" w14:textId="77777777" w:rsidR="000304B3" w:rsidRDefault="00030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BD99" w14:textId="77777777" w:rsidR="00002B76" w:rsidRDefault="00002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93A6" w14:textId="0747B3DA" w:rsidR="00A367CE" w:rsidRDefault="00A36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4DD5" w14:textId="77777777" w:rsidR="00002B76" w:rsidRDefault="00002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5C3E"/>
    <w:multiLevelType w:val="multilevel"/>
    <w:tmpl w:val="EE40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92659"/>
    <w:multiLevelType w:val="multilevel"/>
    <w:tmpl w:val="B94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028D2"/>
    <w:multiLevelType w:val="multilevel"/>
    <w:tmpl w:val="DE8082E4"/>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start w:val="1"/>
      <w:numFmt w:val="bullet"/>
      <w:lvlText w:val=""/>
      <w:lvlJc w:val="left"/>
      <w:pPr>
        <w:ind w:left="600" w:hanging="360"/>
      </w:pPr>
      <w:rPr>
        <w:rFonts w:ascii="Symbol" w:hAnsi="Symbol" w:hint="default"/>
      </w:rPr>
    </w:lvl>
    <w:lvl w:ilvl="3" w:tentative="1">
      <w:start w:val="1"/>
      <w:numFmt w:val="bullet"/>
      <w:lvlText w:val=""/>
      <w:lvlJc w:val="left"/>
      <w:pPr>
        <w:tabs>
          <w:tab w:val="num" w:pos="1320"/>
        </w:tabs>
        <w:ind w:left="1320" w:hanging="360"/>
      </w:pPr>
      <w:rPr>
        <w:rFonts w:ascii="Wingdings" w:hAnsi="Wingdings" w:hint="default"/>
        <w:sz w:val="20"/>
      </w:rPr>
    </w:lvl>
    <w:lvl w:ilvl="4" w:tentative="1">
      <w:start w:val="1"/>
      <w:numFmt w:val="bullet"/>
      <w:lvlText w:val=""/>
      <w:lvlJc w:val="left"/>
      <w:pPr>
        <w:tabs>
          <w:tab w:val="num" w:pos="2040"/>
        </w:tabs>
        <w:ind w:left="2040" w:hanging="360"/>
      </w:pPr>
      <w:rPr>
        <w:rFonts w:ascii="Wingdings" w:hAnsi="Wingdings" w:hint="default"/>
        <w:sz w:val="20"/>
      </w:rPr>
    </w:lvl>
    <w:lvl w:ilvl="5" w:tentative="1">
      <w:start w:val="1"/>
      <w:numFmt w:val="bullet"/>
      <w:lvlText w:val=""/>
      <w:lvlJc w:val="left"/>
      <w:pPr>
        <w:tabs>
          <w:tab w:val="num" w:pos="2760"/>
        </w:tabs>
        <w:ind w:left="2760" w:hanging="360"/>
      </w:pPr>
      <w:rPr>
        <w:rFonts w:ascii="Wingdings" w:hAnsi="Wingdings" w:hint="default"/>
        <w:sz w:val="20"/>
      </w:rPr>
    </w:lvl>
    <w:lvl w:ilvl="6" w:tentative="1">
      <w:start w:val="1"/>
      <w:numFmt w:val="bullet"/>
      <w:lvlText w:val=""/>
      <w:lvlJc w:val="left"/>
      <w:pPr>
        <w:tabs>
          <w:tab w:val="num" w:pos="3480"/>
        </w:tabs>
        <w:ind w:left="3480" w:hanging="360"/>
      </w:pPr>
      <w:rPr>
        <w:rFonts w:ascii="Wingdings" w:hAnsi="Wingdings" w:hint="default"/>
        <w:sz w:val="20"/>
      </w:rPr>
    </w:lvl>
    <w:lvl w:ilvl="7" w:tentative="1">
      <w:start w:val="1"/>
      <w:numFmt w:val="bullet"/>
      <w:lvlText w:val=""/>
      <w:lvlJc w:val="left"/>
      <w:pPr>
        <w:tabs>
          <w:tab w:val="num" w:pos="4200"/>
        </w:tabs>
        <w:ind w:left="4200" w:hanging="360"/>
      </w:pPr>
      <w:rPr>
        <w:rFonts w:ascii="Wingdings" w:hAnsi="Wingdings" w:hint="default"/>
        <w:sz w:val="20"/>
      </w:rPr>
    </w:lvl>
    <w:lvl w:ilvl="8" w:tentative="1">
      <w:start w:val="1"/>
      <w:numFmt w:val="bullet"/>
      <w:lvlText w:val=""/>
      <w:lvlJc w:val="left"/>
      <w:pPr>
        <w:tabs>
          <w:tab w:val="num" w:pos="4920"/>
        </w:tabs>
        <w:ind w:left="4920" w:hanging="360"/>
      </w:pPr>
      <w:rPr>
        <w:rFonts w:ascii="Wingdings" w:hAnsi="Wingdings" w:hint="default"/>
        <w:sz w:val="20"/>
      </w:rPr>
    </w:lvl>
  </w:abstractNum>
  <w:abstractNum w:abstractNumId="3" w15:restartNumberingAfterBreak="0">
    <w:nsid w:val="244B0BBA"/>
    <w:multiLevelType w:val="hybridMultilevel"/>
    <w:tmpl w:val="1D2C788E"/>
    <w:lvl w:ilvl="0" w:tplc="B704CA8E">
      <w:start w:val="1"/>
      <w:numFmt w:val="decimal"/>
      <w:lvlText w:val="%1."/>
      <w:lvlJc w:val="left"/>
      <w:pPr>
        <w:ind w:left="720" w:hanging="360"/>
      </w:pPr>
    </w:lvl>
    <w:lvl w:ilvl="1" w:tplc="49328870" w:tentative="1">
      <w:start w:val="1"/>
      <w:numFmt w:val="lowerLetter"/>
      <w:lvlText w:val="%2."/>
      <w:lvlJc w:val="left"/>
      <w:pPr>
        <w:ind w:left="1440" w:hanging="360"/>
      </w:pPr>
    </w:lvl>
    <w:lvl w:ilvl="2" w:tplc="D16CB080" w:tentative="1">
      <w:start w:val="1"/>
      <w:numFmt w:val="lowerRoman"/>
      <w:lvlText w:val="%3."/>
      <w:lvlJc w:val="right"/>
      <w:pPr>
        <w:ind w:left="2160" w:hanging="180"/>
      </w:pPr>
    </w:lvl>
    <w:lvl w:ilvl="3" w:tplc="B538A986" w:tentative="1">
      <w:start w:val="1"/>
      <w:numFmt w:val="decimal"/>
      <w:lvlText w:val="%4."/>
      <w:lvlJc w:val="left"/>
      <w:pPr>
        <w:ind w:left="2880" w:hanging="360"/>
      </w:pPr>
    </w:lvl>
    <w:lvl w:ilvl="4" w:tplc="03F66D5C" w:tentative="1">
      <w:start w:val="1"/>
      <w:numFmt w:val="lowerLetter"/>
      <w:lvlText w:val="%5."/>
      <w:lvlJc w:val="left"/>
      <w:pPr>
        <w:ind w:left="3600" w:hanging="360"/>
      </w:pPr>
    </w:lvl>
    <w:lvl w:ilvl="5" w:tplc="DC4C01B6" w:tentative="1">
      <w:start w:val="1"/>
      <w:numFmt w:val="lowerRoman"/>
      <w:lvlText w:val="%6."/>
      <w:lvlJc w:val="right"/>
      <w:pPr>
        <w:ind w:left="4320" w:hanging="180"/>
      </w:pPr>
    </w:lvl>
    <w:lvl w:ilvl="6" w:tplc="DB6EAF8E" w:tentative="1">
      <w:start w:val="1"/>
      <w:numFmt w:val="decimal"/>
      <w:lvlText w:val="%7."/>
      <w:lvlJc w:val="left"/>
      <w:pPr>
        <w:ind w:left="5040" w:hanging="360"/>
      </w:pPr>
    </w:lvl>
    <w:lvl w:ilvl="7" w:tplc="90D8164C" w:tentative="1">
      <w:start w:val="1"/>
      <w:numFmt w:val="lowerLetter"/>
      <w:lvlText w:val="%8."/>
      <w:lvlJc w:val="left"/>
      <w:pPr>
        <w:ind w:left="5760" w:hanging="360"/>
      </w:pPr>
    </w:lvl>
    <w:lvl w:ilvl="8" w:tplc="D28CEA80" w:tentative="1">
      <w:start w:val="1"/>
      <w:numFmt w:val="lowerRoman"/>
      <w:lvlText w:val="%9."/>
      <w:lvlJc w:val="right"/>
      <w:pPr>
        <w:ind w:left="6480" w:hanging="180"/>
      </w:pPr>
    </w:lvl>
  </w:abstractNum>
  <w:abstractNum w:abstractNumId="4" w15:restartNumberingAfterBreak="0">
    <w:nsid w:val="26791E48"/>
    <w:multiLevelType w:val="multilevel"/>
    <w:tmpl w:val="BE02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606B2"/>
    <w:multiLevelType w:val="multilevel"/>
    <w:tmpl w:val="214E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74B44"/>
    <w:multiLevelType w:val="multilevel"/>
    <w:tmpl w:val="6DAE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D44A73"/>
    <w:multiLevelType w:val="hybridMultilevel"/>
    <w:tmpl w:val="E468F568"/>
    <w:lvl w:ilvl="0" w:tplc="3EDA9434">
      <w:start w:val="1"/>
      <w:numFmt w:val="decimal"/>
      <w:lvlText w:val="%1."/>
      <w:lvlJc w:val="left"/>
      <w:pPr>
        <w:ind w:left="720" w:hanging="360"/>
      </w:pPr>
    </w:lvl>
    <w:lvl w:ilvl="1" w:tplc="F594B17C" w:tentative="1">
      <w:start w:val="1"/>
      <w:numFmt w:val="lowerLetter"/>
      <w:lvlText w:val="%2."/>
      <w:lvlJc w:val="left"/>
      <w:pPr>
        <w:ind w:left="1440" w:hanging="360"/>
      </w:pPr>
    </w:lvl>
    <w:lvl w:ilvl="2" w:tplc="68A63BB4" w:tentative="1">
      <w:start w:val="1"/>
      <w:numFmt w:val="lowerRoman"/>
      <w:lvlText w:val="%3."/>
      <w:lvlJc w:val="right"/>
      <w:pPr>
        <w:ind w:left="2160" w:hanging="180"/>
      </w:pPr>
    </w:lvl>
    <w:lvl w:ilvl="3" w:tplc="CD28022C" w:tentative="1">
      <w:start w:val="1"/>
      <w:numFmt w:val="decimal"/>
      <w:lvlText w:val="%4."/>
      <w:lvlJc w:val="left"/>
      <w:pPr>
        <w:ind w:left="2880" w:hanging="360"/>
      </w:pPr>
    </w:lvl>
    <w:lvl w:ilvl="4" w:tplc="C89A551A" w:tentative="1">
      <w:start w:val="1"/>
      <w:numFmt w:val="lowerLetter"/>
      <w:lvlText w:val="%5."/>
      <w:lvlJc w:val="left"/>
      <w:pPr>
        <w:ind w:left="3600" w:hanging="360"/>
      </w:pPr>
    </w:lvl>
    <w:lvl w:ilvl="5" w:tplc="1890CFB8" w:tentative="1">
      <w:start w:val="1"/>
      <w:numFmt w:val="lowerRoman"/>
      <w:lvlText w:val="%6."/>
      <w:lvlJc w:val="right"/>
      <w:pPr>
        <w:ind w:left="4320" w:hanging="180"/>
      </w:pPr>
    </w:lvl>
    <w:lvl w:ilvl="6" w:tplc="61F2E4A0" w:tentative="1">
      <w:start w:val="1"/>
      <w:numFmt w:val="decimal"/>
      <w:lvlText w:val="%7."/>
      <w:lvlJc w:val="left"/>
      <w:pPr>
        <w:ind w:left="5040" w:hanging="360"/>
      </w:pPr>
    </w:lvl>
    <w:lvl w:ilvl="7" w:tplc="804443C6" w:tentative="1">
      <w:start w:val="1"/>
      <w:numFmt w:val="lowerLetter"/>
      <w:lvlText w:val="%8."/>
      <w:lvlJc w:val="left"/>
      <w:pPr>
        <w:ind w:left="5760" w:hanging="360"/>
      </w:pPr>
    </w:lvl>
    <w:lvl w:ilvl="8" w:tplc="4DA87380" w:tentative="1">
      <w:start w:val="1"/>
      <w:numFmt w:val="lowerRoman"/>
      <w:lvlText w:val="%9."/>
      <w:lvlJc w:val="right"/>
      <w:pPr>
        <w:ind w:left="6480" w:hanging="180"/>
      </w:pPr>
    </w:lvl>
  </w:abstractNum>
  <w:abstractNum w:abstractNumId="8" w15:restartNumberingAfterBreak="0">
    <w:nsid w:val="3F6A19ED"/>
    <w:multiLevelType w:val="hybridMultilevel"/>
    <w:tmpl w:val="E468F568"/>
    <w:lvl w:ilvl="0" w:tplc="92C400E2">
      <w:start w:val="1"/>
      <w:numFmt w:val="decimal"/>
      <w:lvlText w:val="%1."/>
      <w:lvlJc w:val="left"/>
      <w:pPr>
        <w:ind w:left="720" w:hanging="360"/>
      </w:pPr>
    </w:lvl>
    <w:lvl w:ilvl="1" w:tplc="461021AC" w:tentative="1">
      <w:start w:val="1"/>
      <w:numFmt w:val="lowerLetter"/>
      <w:lvlText w:val="%2."/>
      <w:lvlJc w:val="left"/>
      <w:pPr>
        <w:ind w:left="1440" w:hanging="360"/>
      </w:pPr>
    </w:lvl>
    <w:lvl w:ilvl="2" w:tplc="3EBAC9BE" w:tentative="1">
      <w:start w:val="1"/>
      <w:numFmt w:val="lowerRoman"/>
      <w:lvlText w:val="%3."/>
      <w:lvlJc w:val="right"/>
      <w:pPr>
        <w:ind w:left="2160" w:hanging="180"/>
      </w:pPr>
    </w:lvl>
    <w:lvl w:ilvl="3" w:tplc="36F48E02" w:tentative="1">
      <w:start w:val="1"/>
      <w:numFmt w:val="decimal"/>
      <w:lvlText w:val="%4."/>
      <w:lvlJc w:val="left"/>
      <w:pPr>
        <w:ind w:left="2880" w:hanging="360"/>
      </w:pPr>
    </w:lvl>
    <w:lvl w:ilvl="4" w:tplc="47306B20" w:tentative="1">
      <w:start w:val="1"/>
      <w:numFmt w:val="lowerLetter"/>
      <w:lvlText w:val="%5."/>
      <w:lvlJc w:val="left"/>
      <w:pPr>
        <w:ind w:left="3600" w:hanging="360"/>
      </w:pPr>
    </w:lvl>
    <w:lvl w:ilvl="5" w:tplc="433488F8" w:tentative="1">
      <w:start w:val="1"/>
      <w:numFmt w:val="lowerRoman"/>
      <w:lvlText w:val="%6."/>
      <w:lvlJc w:val="right"/>
      <w:pPr>
        <w:ind w:left="4320" w:hanging="180"/>
      </w:pPr>
    </w:lvl>
    <w:lvl w:ilvl="6" w:tplc="1BD2BDFA" w:tentative="1">
      <w:start w:val="1"/>
      <w:numFmt w:val="decimal"/>
      <w:lvlText w:val="%7."/>
      <w:lvlJc w:val="left"/>
      <w:pPr>
        <w:ind w:left="5040" w:hanging="360"/>
      </w:pPr>
    </w:lvl>
    <w:lvl w:ilvl="7" w:tplc="D12047F2" w:tentative="1">
      <w:start w:val="1"/>
      <w:numFmt w:val="lowerLetter"/>
      <w:lvlText w:val="%8."/>
      <w:lvlJc w:val="left"/>
      <w:pPr>
        <w:ind w:left="5760" w:hanging="360"/>
      </w:pPr>
    </w:lvl>
    <w:lvl w:ilvl="8" w:tplc="8ACC3AE0" w:tentative="1">
      <w:start w:val="1"/>
      <w:numFmt w:val="lowerRoman"/>
      <w:lvlText w:val="%9."/>
      <w:lvlJc w:val="right"/>
      <w:pPr>
        <w:ind w:left="6480" w:hanging="180"/>
      </w:pPr>
    </w:lvl>
  </w:abstractNum>
  <w:abstractNum w:abstractNumId="9" w15:restartNumberingAfterBreak="0">
    <w:nsid w:val="4833056E"/>
    <w:multiLevelType w:val="hybridMultilevel"/>
    <w:tmpl w:val="D9B0D1C6"/>
    <w:lvl w:ilvl="0" w:tplc="710C49AA">
      <w:start w:val="1"/>
      <w:numFmt w:val="decimal"/>
      <w:lvlText w:val="%1."/>
      <w:lvlJc w:val="left"/>
      <w:pPr>
        <w:ind w:left="870" w:hanging="360"/>
      </w:pPr>
    </w:lvl>
    <w:lvl w:ilvl="1" w:tplc="537C3F8A" w:tentative="1">
      <w:start w:val="1"/>
      <w:numFmt w:val="lowerLetter"/>
      <w:lvlText w:val="%2."/>
      <w:lvlJc w:val="left"/>
      <w:pPr>
        <w:ind w:left="1590" w:hanging="360"/>
      </w:pPr>
    </w:lvl>
    <w:lvl w:ilvl="2" w:tplc="E1B6C3E2" w:tentative="1">
      <w:start w:val="1"/>
      <w:numFmt w:val="lowerRoman"/>
      <w:lvlText w:val="%3."/>
      <w:lvlJc w:val="right"/>
      <w:pPr>
        <w:ind w:left="2310" w:hanging="180"/>
      </w:pPr>
    </w:lvl>
    <w:lvl w:ilvl="3" w:tplc="48D22830" w:tentative="1">
      <w:start w:val="1"/>
      <w:numFmt w:val="decimal"/>
      <w:lvlText w:val="%4."/>
      <w:lvlJc w:val="left"/>
      <w:pPr>
        <w:ind w:left="3030" w:hanging="360"/>
      </w:pPr>
    </w:lvl>
    <w:lvl w:ilvl="4" w:tplc="36301700" w:tentative="1">
      <w:start w:val="1"/>
      <w:numFmt w:val="lowerLetter"/>
      <w:lvlText w:val="%5."/>
      <w:lvlJc w:val="left"/>
      <w:pPr>
        <w:ind w:left="3750" w:hanging="360"/>
      </w:pPr>
    </w:lvl>
    <w:lvl w:ilvl="5" w:tplc="BADC1C00" w:tentative="1">
      <w:start w:val="1"/>
      <w:numFmt w:val="lowerRoman"/>
      <w:lvlText w:val="%6."/>
      <w:lvlJc w:val="right"/>
      <w:pPr>
        <w:ind w:left="4470" w:hanging="180"/>
      </w:pPr>
    </w:lvl>
    <w:lvl w:ilvl="6" w:tplc="7CDC7306" w:tentative="1">
      <w:start w:val="1"/>
      <w:numFmt w:val="decimal"/>
      <w:lvlText w:val="%7."/>
      <w:lvlJc w:val="left"/>
      <w:pPr>
        <w:ind w:left="5190" w:hanging="360"/>
      </w:pPr>
    </w:lvl>
    <w:lvl w:ilvl="7" w:tplc="20641F3E" w:tentative="1">
      <w:start w:val="1"/>
      <w:numFmt w:val="lowerLetter"/>
      <w:lvlText w:val="%8."/>
      <w:lvlJc w:val="left"/>
      <w:pPr>
        <w:ind w:left="5910" w:hanging="360"/>
      </w:pPr>
    </w:lvl>
    <w:lvl w:ilvl="8" w:tplc="08A28770" w:tentative="1">
      <w:start w:val="1"/>
      <w:numFmt w:val="lowerRoman"/>
      <w:lvlText w:val="%9."/>
      <w:lvlJc w:val="right"/>
      <w:pPr>
        <w:ind w:left="6630" w:hanging="180"/>
      </w:pPr>
    </w:lvl>
  </w:abstractNum>
  <w:abstractNum w:abstractNumId="10" w15:restartNumberingAfterBreak="0">
    <w:nsid w:val="5D071FFA"/>
    <w:multiLevelType w:val="hybridMultilevel"/>
    <w:tmpl w:val="DF9E42C4"/>
    <w:lvl w:ilvl="0" w:tplc="06DC7DB8">
      <w:start w:val="1"/>
      <w:numFmt w:val="decimal"/>
      <w:lvlText w:val="%1."/>
      <w:lvlJc w:val="left"/>
      <w:pPr>
        <w:ind w:left="870" w:hanging="360"/>
      </w:pPr>
    </w:lvl>
    <w:lvl w:ilvl="1" w:tplc="927C462C" w:tentative="1">
      <w:start w:val="1"/>
      <w:numFmt w:val="lowerLetter"/>
      <w:lvlText w:val="%2."/>
      <w:lvlJc w:val="left"/>
      <w:pPr>
        <w:ind w:left="1590" w:hanging="360"/>
      </w:pPr>
    </w:lvl>
    <w:lvl w:ilvl="2" w:tplc="7B144214" w:tentative="1">
      <w:start w:val="1"/>
      <w:numFmt w:val="lowerRoman"/>
      <w:lvlText w:val="%3."/>
      <w:lvlJc w:val="right"/>
      <w:pPr>
        <w:ind w:left="2310" w:hanging="180"/>
      </w:pPr>
    </w:lvl>
    <w:lvl w:ilvl="3" w:tplc="5050A77E" w:tentative="1">
      <w:start w:val="1"/>
      <w:numFmt w:val="decimal"/>
      <w:lvlText w:val="%4."/>
      <w:lvlJc w:val="left"/>
      <w:pPr>
        <w:ind w:left="3030" w:hanging="360"/>
      </w:pPr>
    </w:lvl>
    <w:lvl w:ilvl="4" w:tplc="1F987D52" w:tentative="1">
      <w:start w:val="1"/>
      <w:numFmt w:val="lowerLetter"/>
      <w:lvlText w:val="%5."/>
      <w:lvlJc w:val="left"/>
      <w:pPr>
        <w:ind w:left="3750" w:hanging="360"/>
      </w:pPr>
    </w:lvl>
    <w:lvl w:ilvl="5" w:tplc="4906F7E0" w:tentative="1">
      <w:start w:val="1"/>
      <w:numFmt w:val="lowerRoman"/>
      <w:lvlText w:val="%6."/>
      <w:lvlJc w:val="right"/>
      <w:pPr>
        <w:ind w:left="4470" w:hanging="180"/>
      </w:pPr>
    </w:lvl>
    <w:lvl w:ilvl="6" w:tplc="DC08D4D2" w:tentative="1">
      <w:start w:val="1"/>
      <w:numFmt w:val="decimal"/>
      <w:lvlText w:val="%7."/>
      <w:lvlJc w:val="left"/>
      <w:pPr>
        <w:ind w:left="5190" w:hanging="360"/>
      </w:pPr>
    </w:lvl>
    <w:lvl w:ilvl="7" w:tplc="1480D85E" w:tentative="1">
      <w:start w:val="1"/>
      <w:numFmt w:val="lowerLetter"/>
      <w:lvlText w:val="%8."/>
      <w:lvlJc w:val="left"/>
      <w:pPr>
        <w:ind w:left="5910" w:hanging="360"/>
      </w:pPr>
    </w:lvl>
    <w:lvl w:ilvl="8" w:tplc="367CB0B2" w:tentative="1">
      <w:start w:val="1"/>
      <w:numFmt w:val="lowerRoman"/>
      <w:lvlText w:val="%9."/>
      <w:lvlJc w:val="right"/>
      <w:pPr>
        <w:ind w:left="6630" w:hanging="180"/>
      </w:pPr>
    </w:lvl>
  </w:abstractNum>
  <w:abstractNum w:abstractNumId="11" w15:restartNumberingAfterBreak="0">
    <w:nsid w:val="6454286E"/>
    <w:multiLevelType w:val="multilevel"/>
    <w:tmpl w:val="6CFC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F5603C"/>
    <w:multiLevelType w:val="hybridMultilevel"/>
    <w:tmpl w:val="7206BB9E"/>
    <w:lvl w:ilvl="0" w:tplc="A93C1486">
      <w:start w:val="1"/>
      <w:numFmt w:val="bullet"/>
      <w:lvlText w:val=""/>
      <w:lvlJc w:val="left"/>
      <w:pPr>
        <w:ind w:left="720" w:hanging="360"/>
      </w:pPr>
      <w:rPr>
        <w:rFonts w:ascii="Symbol" w:hAnsi="Symbol" w:hint="default"/>
      </w:rPr>
    </w:lvl>
    <w:lvl w:ilvl="1" w:tplc="A33A6B1E">
      <w:start w:val="1"/>
      <w:numFmt w:val="bullet"/>
      <w:lvlText w:val="o"/>
      <w:lvlJc w:val="left"/>
      <w:pPr>
        <w:ind w:left="1440" w:hanging="360"/>
      </w:pPr>
      <w:rPr>
        <w:rFonts w:ascii="Courier New" w:hAnsi="Courier New" w:cs="Courier New" w:hint="default"/>
      </w:rPr>
    </w:lvl>
    <w:lvl w:ilvl="2" w:tplc="C046C33C" w:tentative="1">
      <w:start w:val="1"/>
      <w:numFmt w:val="bullet"/>
      <w:lvlText w:val=""/>
      <w:lvlJc w:val="left"/>
      <w:pPr>
        <w:ind w:left="2160" w:hanging="360"/>
      </w:pPr>
      <w:rPr>
        <w:rFonts w:ascii="Wingdings" w:hAnsi="Wingdings" w:hint="default"/>
      </w:rPr>
    </w:lvl>
    <w:lvl w:ilvl="3" w:tplc="5608E5CA" w:tentative="1">
      <w:start w:val="1"/>
      <w:numFmt w:val="bullet"/>
      <w:lvlText w:val=""/>
      <w:lvlJc w:val="left"/>
      <w:pPr>
        <w:ind w:left="2880" w:hanging="360"/>
      </w:pPr>
      <w:rPr>
        <w:rFonts w:ascii="Symbol" w:hAnsi="Symbol" w:hint="default"/>
      </w:rPr>
    </w:lvl>
    <w:lvl w:ilvl="4" w:tplc="1A14BE4E" w:tentative="1">
      <w:start w:val="1"/>
      <w:numFmt w:val="bullet"/>
      <w:lvlText w:val="o"/>
      <w:lvlJc w:val="left"/>
      <w:pPr>
        <w:ind w:left="3600" w:hanging="360"/>
      </w:pPr>
      <w:rPr>
        <w:rFonts w:ascii="Courier New" w:hAnsi="Courier New" w:cs="Courier New" w:hint="default"/>
      </w:rPr>
    </w:lvl>
    <w:lvl w:ilvl="5" w:tplc="6F940E5C" w:tentative="1">
      <w:start w:val="1"/>
      <w:numFmt w:val="bullet"/>
      <w:lvlText w:val=""/>
      <w:lvlJc w:val="left"/>
      <w:pPr>
        <w:ind w:left="4320" w:hanging="360"/>
      </w:pPr>
      <w:rPr>
        <w:rFonts w:ascii="Wingdings" w:hAnsi="Wingdings" w:hint="default"/>
      </w:rPr>
    </w:lvl>
    <w:lvl w:ilvl="6" w:tplc="4C2A53FC" w:tentative="1">
      <w:start w:val="1"/>
      <w:numFmt w:val="bullet"/>
      <w:lvlText w:val=""/>
      <w:lvlJc w:val="left"/>
      <w:pPr>
        <w:ind w:left="5040" w:hanging="360"/>
      </w:pPr>
      <w:rPr>
        <w:rFonts w:ascii="Symbol" w:hAnsi="Symbol" w:hint="default"/>
      </w:rPr>
    </w:lvl>
    <w:lvl w:ilvl="7" w:tplc="78B2C566" w:tentative="1">
      <w:start w:val="1"/>
      <w:numFmt w:val="bullet"/>
      <w:lvlText w:val="o"/>
      <w:lvlJc w:val="left"/>
      <w:pPr>
        <w:ind w:left="5760" w:hanging="360"/>
      </w:pPr>
      <w:rPr>
        <w:rFonts w:ascii="Courier New" w:hAnsi="Courier New" w:cs="Courier New" w:hint="default"/>
      </w:rPr>
    </w:lvl>
    <w:lvl w:ilvl="8" w:tplc="63E81B3C" w:tentative="1">
      <w:start w:val="1"/>
      <w:numFmt w:val="bullet"/>
      <w:lvlText w:val=""/>
      <w:lvlJc w:val="left"/>
      <w:pPr>
        <w:ind w:left="6480" w:hanging="360"/>
      </w:pPr>
      <w:rPr>
        <w:rFonts w:ascii="Wingdings" w:hAnsi="Wingdings" w:hint="default"/>
      </w:rPr>
    </w:lvl>
  </w:abstractNum>
  <w:abstractNum w:abstractNumId="13" w15:restartNumberingAfterBreak="0">
    <w:nsid w:val="732B7D57"/>
    <w:multiLevelType w:val="multilevel"/>
    <w:tmpl w:val="9594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24516D"/>
    <w:multiLevelType w:val="multilevel"/>
    <w:tmpl w:val="1418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08986">
    <w:abstractNumId w:val="11"/>
  </w:num>
  <w:num w:numId="2" w16cid:durableId="724108372">
    <w:abstractNumId w:val="4"/>
  </w:num>
  <w:num w:numId="3" w16cid:durableId="1129206668">
    <w:abstractNumId w:val="5"/>
  </w:num>
  <w:num w:numId="4" w16cid:durableId="2067869909">
    <w:abstractNumId w:val="6"/>
  </w:num>
  <w:num w:numId="5" w16cid:durableId="1679699036">
    <w:abstractNumId w:val="14"/>
  </w:num>
  <w:num w:numId="6" w16cid:durableId="594289072">
    <w:abstractNumId w:val="10"/>
  </w:num>
  <w:num w:numId="7" w16cid:durableId="449011518">
    <w:abstractNumId w:val="9"/>
  </w:num>
  <w:num w:numId="8" w16cid:durableId="629824389">
    <w:abstractNumId w:val="7"/>
  </w:num>
  <w:num w:numId="9" w16cid:durableId="1778450527">
    <w:abstractNumId w:val="8"/>
  </w:num>
  <w:num w:numId="10" w16cid:durableId="320891979">
    <w:abstractNumId w:val="3"/>
  </w:num>
  <w:num w:numId="11" w16cid:durableId="1979844314">
    <w:abstractNumId w:val="1"/>
  </w:num>
  <w:num w:numId="12" w16cid:durableId="385833748">
    <w:abstractNumId w:val="12"/>
  </w:num>
  <w:num w:numId="13" w16cid:durableId="61561488">
    <w:abstractNumId w:val="2"/>
  </w:num>
  <w:num w:numId="14" w16cid:durableId="2137063789">
    <w:abstractNumId w:val="13"/>
  </w:num>
  <w:num w:numId="15" w16cid:durableId="57123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0E5"/>
    <w:rsid w:val="00002B76"/>
    <w:rsid w:val="00016BE9"/>
    <w:rsid w:val="00017BFC"/>
    <w:rsid w:val="000304B3"/>
    <w:rsid w:val="00045407"/>
    <w:rsid w:val="00074698"/>
    <w:rsid w:val="000764F9"/>
    <w:rsid w:val="00076A7C"/>
    <w:rsid w:val="000B5F12"/>
    <w:rsid w:val="000C1C76"/>
    <w:rsid w:val="000F055C"/>
    <w:rsid w:val="000F3693"/>
    <w:rsid w:val="000F7E59"/>
    <w:rsid w:val="001044E6"/>
    <w:rsid w:val="00116753"/>
    <w:rsid w:val="00150F94"/>
    <w:rsid w:val="00191622"/>
    <w:rsid w:val="001978A7"/>
    <w:rsid w:val="001C15FE"/>
    <w:rsid w:val="001C59FD"/>
    <w:rsid w:val="001C7F7C"/>
    <w:rsid w:val="001F0570"/>
    <w:rsid w:val="002049DB"/>
    <w:rsid w:val="002171D0"/>
    <w:rsid w:val="002547A3"/>
    <w:rsid w:val="00257B5A"/>
    <w:rsid w:val="00266734"/>
    <w:rsid w:val="0030094F"/>
    <w:rsid w:val="003152DF"/>
    <w:rsid w:val="00331BFB"/>
    <w:rsid w:val="00335219"/>
    <w:rsid w:val="003459FD"/>
    <w:rsid w:val="00351CD6"/>
    <w:rsid w:val="0037225B"/>
    <w:rsid w:val="00394326"/>
    <w:rsid w:val="00410C19"/>
    <w:rsid w:val="00437485"/>
    <w:rsid w:val="00446E21"/>
    <w:rsid w:val="00450726"/>
    <w:rsid w:val="00492064"/>
    <w:rsid w:val="00492CD6"/>
    <w:rsid w:val="005144FE"/>
    <w:rsid w:val="00533432"/>
    <w:rsid w:val="00565183"/>
    <w:rsid w:val="0057118A"/>
    <w:rsid w:val="005847A3"/>
    <w:rsid w:val="005A2480"/>
    <w:rsid w:val="005B1F7A"/>
    <w:rsid w:val="005D2914"/>
    <w:rsid w:val="005F64A2"/>
    <w:rsid w:val="0061175A"/>
    <w:rsid w:val="006878D0"/>
    <w:rsid w:val="006B7BF4"/>
    <w:rsid w:val="006C1382"/>
    <w:rsid w:val="006C27E8"/>
    <w:rsid w:val="006D71C3"/>
    <w:rsid w:val="007637EE"/>
    <w:rsid w:val="007903D5"/>
    <w:rsid w:val="007F27D3"/>
    <w:rsid w:val="00806EAD"/>
    <w:rsid w:val="00812543"/>
    <w:rsid w:val="00877EE4"/>
    <w:rsid w:val="008964F3"/>
    <w:rsid w:val="008A41D6"/>
    <w:rsid w:val="008B42C1"/>
    <w:rsid w:val="0092002C"/>
    <w:rsid w:val="0092439A"/>
    <w:rsid w:val="00947266"/>
    <w:rsid w:val="009714CB"/>
    <w:rsid w:val="0097198C"/>
    <w:rsid w:val="00973B19"/>
    <w:rsid w:val="00975FAB"/>
    <w:rsid w:val="00994D8E"/>
    <w:rsid w:val="009A2127"/>
    <w:rsid w:val="009B6FF9"/>
    <w:rsid w:val="009B7ED5"/>
    <w:rsid w:val="009E7008"/>
    <w:rsid w:val="00A03398"/>
    <w:rsid w:val="00A04086"/>
    <w:rsid w:val="00A20708"/>
    <w:rsid w:val="00A2503F"/>
    <w:rsid w:val="00A264B6"/>
    <w:rsid w:val="00A3327B"/>
    <w:rsid w:val="00A367CE"/>
    <w:rsid w:val="00A36F2C"/>
    <w:rsid w:val="00A40061"/>
    <w:rsid w:val="00A81BCE"/>
    <w:rsid w:val="00AA00E5"/>
    <w:rsid w:val="00AA0356"/>
    <w:rsid w:val="00AA3F31"/>
    <w:rsid w:val="00AB1688"/>
    <w:rsid w:val="00AE401F"/>
    <w:rsid w:val="00B01F90"/>
    <w:rsid w:val="00B042F6"/>
    <w:rsid w:val="00B56E1C"/>
    <w:rsid w:val="00B912B9"/>
    <w:rsid w:val="00B93A41"/>
    <w:rsid w:val="00BA65CA"/>
    <w:rsid w:val="00BB2424"/>
    <w:rsid w:val="00BC687F"/>
    <w:rsid w:val="00BD288F"/>
    <w:rsid w:val="00BF1C72"/>
    <w:rsid w:val="00C27AFD"/>
    <w:rsid w:val="00C609B9"/>
    <w:rsid w:val="00CA06CC"/>
    <w:rsid w:val="00CB0CBF"/>
    <w:rsid w:val="00CE2BE6"/>
    <w:rsid w:val="00CF3884"/>
    <w:rsid w:val="00D237C5"/>
    <w:rsid w:val="00D5150E"/>
    <w:rsid w:val="00DD1882"/>
    <w:rsid w:val="00E30762"/>
    <w:rsid w:val="00E31BBB"/>
    <w:rsid w:val="00E33E22"/>
    <w:rsid w:val="00E423BF"/>
    <w:rsid w:val="00E92CB8"/>
    <w:rsid w:val="00E94509"/>
    <w:rsid w:val="00EE28AD"/>
    <w:rsid w:val="00EE430F"/>
    <w:rsid w:val="00F0640E"/>
    <w:rsid w:val="00F205E0"/>
    <w:rsid w:val="00F27F9F"/>
    <w:rsid w:val="00F63F53"/>
    <w:rsid w:val="00F7138C"/>
    <w:rsid w:val="00F81551"/>
    <w:rsid w:val="00F859BA"/>
    <w:rsid w:val="00FB0FF4"/>
    <w:rsid w:val="00FD0CFC"/>
    <w:rsid w:val="00FD77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B7D0E17"/>
  <w15:chartTrackingRefBased/>
  <w15:docId w15:val="{079F81EB-62A3-4B32-B829-761E2DCB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00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AA00E5"/>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0E5"/>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AA00E5"/>
    <w:rPr>
      <w:rFonts w:ascii="Times New Roman" w:eastAsia="Times New Roman" w:hAnsi="Times New Roman" w:cs="Times New Roman"/>
      <w:b/>
      <w:bCs/>
      <w:sz w:val="27"/>
      <w:szCs w:val="27"/>
      <w:lang w:eastAsia="en-CA"/>
    </w:rPr>
  </w:style>
  <w:style w:type="paragraph" w:styleId="NormalWeb">
    <w:name w:val="Normal (Web)"/>
    <w:basedOn w:val="Normal"/>
    <w:uiPriority w:val="99"/>
    <w:unhideWhenUsed/>
    <w:rsid w:val="00AA00E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AA00E5"/>
    <w:rPr>
      <w:b/>
      <w:bCs/>
    </w:rPr>
  </w:style>
  <w:style w:type="character" w:styleId="Emphasis">
    <w:name w:val="Emphasis"/>
    <w:basedOn w:val="DefaultParagraphFont"/>
    <w:uiPriority w:val="20"/>
    <w:qFormat/>
    <w:rsid w:val="00AA00E5"/>
    <w:rPr>
      <w:i/>
      <w:iCs/>
    </w:rPr>
  </w:style>
  <w:style w:type="character" w:styleId="Hyperlink">
    <w:name w:val="Hyperlink"/>
    <w:basedOn w:val="DefaultParagraphFont"/>
    <w:uiPriority w:val="99"/>
    <w:unhideWhenUsed/>
    <w:rsid w:val="00AA00E5"/>
    <w:rPr>
      <w:color w:val="0000FF"/>
      <w:u w:val="single"/>
    </w:rPr>
  </w:style>
  <w:style w:type="character" w:styleId="CommentReference">
    <w:name w:val="annotation reference"/>
    <w:basedOn w:val="DefaultParagraphFont"/>
    <w:uiPriority w:val="99"/>
    <w:semiHidden/>
    <w:unhideWhenUsed/>
    <w:rsid w:val="00116753"/>
    <w:rPr>
      <w:sz w:val="16"/>
      <w:szCs w:val="16"/>
    </w:rPr>
  </w:style>
  <w:style w:type="paragraph" w:styleId="CommentText">
    <w:name w:val="annotation text"/>
    <w:basedOn w:val="Normal"/>
    <w:link w:val="CommentTextChar"/>
    <w:uiPriority w:val="99"/>
    <w:unhideWhenUsed/>
    <w:rsid w:val="00116753"/>
    <w:pPr>
      <w:spacing w:line="240" w:lineRule="auto"/>
    </w:pPr>
    <w:rPr>
      <w:sz w:val="20"/>
      <w:szCs w:val="20"/>
    </w:rPr>
  </w:style>
  <w:style w:type="character" w:customStyle="1" w:styleId="CommentTextChar">
    <w:name w:val="Comment Text Char"/>
    <w:basedOn w:val="DefaultParagraphFont"/>
    <w:link w:val="CommentText"/>
    <w:uiPriority w:val="99"/>
    <w:rsid w:val="00116753"/>
    <w:rPr>
      <w:sz w:val="20"/>
      <w:szCs w:val="20"/>
    </w:rPr>
  </w:style>
  <w:style w:type="paragraph" w:styleId="CommentSubject">
    <w:name w:val="annotation subject"/>
    <w:basedOn w:val="CommentText"/>
    <w:next w:val="CommentText"/>
    <w:link w:val="CommentSubjectChar"/>
    <w:uiPriority w:val="99"/>
    <w:semiHidden/>
    <w:unhideWhenUsed/>
    <w:rsid w:val="00116753"/>
    <w:rPr>
      <w:b/>
      <w:bCs/>
    </w:rPr>
  </w:style>
  <w:style w:type="character" w:customStyle="1" w:styleId="CommentSubjectChar">
    <w:name w:val="Comment Subject Char"/>
    <w:basedOn w:val="CommentTextChar"/>
    <w:link w:val="CommentSubject"/>
    <w:uiPriority w:val="99"/>
    <w:semiHidden/>
    <w:rsid w:val="00116753"/>
    <w:rPr>
      <w:b/>
      <w:bCs/>
      <w:sz w:val="20"/>
      <w:szCs w:val="20"/>
    </w:rPr>
  </w:style>
  <w:style w:type="paragraph" w:styleId="BalloonText">
    <w:name w:val="Balloon Text"/>
    <w:basedOn w:val="Normal"/>
    <w:link w:val="BalloonTextChar"/>
    <w:uiPriority w:val="99"/>
    <w:semiHidden/>
    <w:unhideWhenUsed/>
    <w:rsid w:val="00116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53"/>
    <w:rPr>
      <w:rFonts w:ascii="Segoe UI" w:hAnsi="Segoe UI" w:cs="Segoe UI"/>
      <w:sz w:val="18"/>
      <w:szCs w:val="18"/>
    </w:rPr>
  </w:style>
  <w:style w:type="paragraph" w:styleId="ListParagraph">
    <w:name w:val="List Paragraph"/>
    <w:basedOn w:val="Normal"/>
    <w:uiPriority w:val="34"/>
    <w:qFormat/>
    <w:rsid w:val="00E92CB8"/>
    <w:pPr>
      <w:ind w:left="720"/>
      <w:contextualSpacing/>
    </w:pPr>
  </w:style>
  <w:style w:type="paragraph" w:styleId="NoSpacing">
    <w:name w:val="No Spacing"/>
    <w:uiPriority w:val="1"/>
    <w:qFormat/>
    <w:rsid w:val="00437485"/>
    <w:pPr>
      <w:spacing w:after="0" w:line="240" w:lineRule="auto"/>
    </w:pPr>
  </w:style>
  <w:style w:type="paragraph" w:styleId="Header">
    <w:name w:val="header"/>
    <w:basedOn w:val="Normal"/>
    <w:link w:val="HeaderChar"/>
    <w:uiPriority w:val="99"/>
    <w:unhideWhenUsed/>
    <w:rsid w:val="00B91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2B9"/>
  </w:style>
  <w:style w:type="paragraph" w:styleId="Footer">
    <w:name w:val="footer"/>
    <w:basedOn w:val="Normal"/>
    <w:link w:val="FooterChar"/>
    <w:uiPriority w:val="99"/>
    <w:unhideWhenUsed/>
    <w:rsid w:val="00B91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2B9"/>
  </w:style>
  <w:style w:type="character" w:styleId="FollowedHyperlink">
    <w:name w:val="FollowedHyperlink"/>
    <w:basedOn w:val="DefaultParagraphFont"/>
    <w:uiPriority w:val="99"/>
    <w:semiHidden/>
    <w:unhideWhenUsed/>
    <w:rsid w:val="009B6FF9"/>
    <w:rPr>
      <w:color w:val="954F72" w:themeColor="followedHyperlink"/>
      <w:u w:val="single"/>
    </w:rPr>
  </w:style>
  <w:style w:type="table" w:styleId="TableGrid">
    <w:name w:val="Table Grid"/>
    <w:basedOn w:val="TableNormal"/>
    <w:uiPriority w:val="39"/>
    <w:rsid w:val="00611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1882"/>
    <w:pPr>
      <w:spacing w:after="0" w:line="240" w:lineRule="auto"/>
    </w:pPr>
  </w:style>
  <w:style w:type="character" w:customStyle="1" w:styleId="cf01">
    <w:name w:val="cf01"/>
    <w:basedOn w:val="DefaultParagraphFont"/>
    <w:rsid w:val="00E31BBB"/>
    <w:rPr>
      <w:rFonts w:ascii="Segoe UI" w:hAnsi="Segoe UI" w:cs="Segoe UI" w:hint="default"/>
      <w:sz w:val="18"/>
      <w:szCs w:val="18"/>
    </w:rPr>
  </w:style>
  <w:style w:type="paragraph" w:customStyle="1" w:styleId="pf0">
    <w:name w:val="pf0"/>
    <w:basedOn w:val="Normal"/>
    <w:rsid w:val="001C59F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eracapital.com/fr/marches-institutionnels/courbe-comptable-ica?switchlang=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B48CD-7ED7-4C01-AF23-D52F3E06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2627</Words>
  <Characters>14979</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OAG-BVG</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Hoben, Nicholas</dc:creator>
  <cp:lastModifiedBy>Wong, Clara</cp:lastModifiedBy>
  <cp:revision>12</cp:revision>
  <dcterms:created xsi:type="dcterms:W3CDTF">2024-02-09T19:02:00Z</dcterms:created>
  <dcterms:modified xsi:type="dcterms:W3CDTF">2024-02-09T21:03:00Z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ActionId">
    <vt:lpwstr>ceab1218-a9f3-426e-8a37-98a18396fd26</vt:lpwstr>
  </property>
  <property fmtid="{D5CDD505-2E9C-101B-9397-08002B2CF9AE}" pid="3" name="MSIP_Label_ea60d57e-af5b-4752-ac57-3e4f28ca11dc_ContentBits">
    <vt:lpwstr>0</vt:lpwstr>
  </property>
  <property fmtid="{D5CDD505-2E9C-101B-9397-08002B2CF9AE}" pid="4" name="MSIP_Label_ea60d57e-af5b-4752-ac57-3e4f28ca11dc_Enabled">
    <vt:lpwstr>true</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etDate">
    <vt:lpwstr>2024-01-22T15:14:59Z</vt:lpwstr>
  </property>
  <property fmtid="{D5CDD505-2E9C-101B-9397-08002B2CF9AE}" pid="8" name="MSIP_Label_ea60d57e-af5b-4752-ac57-3e4f28ca11dc_SiteId">
    <vt:lpwstr>36da45f1-dd2c-4d1f-af13-5abe46b99921</vt:lpwstr>
  </property>
</Properties>
</file>