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6DAA" w14:textId="1E0CC951" w:rsidR="00E92CB8" w:rsidRDefault="009B6FF9" w:rsidP="009B6FF9">
      <w:pPr>
        <w:spacing w:before="150" w:after="150" w:line="240" w:lineRule="auto"/>
        <w:ind w:right="150"/>
        <w:rPr>
          <w:rFonts w:ascii="Arial" w:eastAsia="Times New Roman" w:hAnsi="Arial" w:cs="Arial"/>
          <w:color w:val="000000"/>
          <w:kern w:val="36"/>
          <w:sz w:val="33"/>
          <w:szCs w:val="33"/>
          <w:lang w:eastAsia="en-CA"/>
        </w:rPr>
      </w:pPr>
      <w:r>
        <w:rPr>
          <w:rFonts w:ascii="Arial" w:eastAsia="Times New Roman" w:hAnsi="Arial" w:cs="Arial"/>
          <w:color w:val="000000"/>
          <w:kern w:val="36"/>
          <w:sz w:val="33"/>
          <w:szCs w:val="33"/>
          <w:lang w:eastAsia="en-CA"/>
        </w:rPr>
        <w:t>Annual</w:t>
      </w:r>
      <w:r w:rsidR="00CF3884">
        <w:rPr>
          <w:rFonts w:ascii="Arial" w:eastAsia="Times New Roman" w:hAnsi="Arial" w:cs="Arial"/>
          <w:color w:val="000000"/>
          <w:kern w:val="36"/>
          <w:sz w:val="33"/>
          <w:szCs w:val="33"/>
          <w:lang w:eastAsia="en-CA"/>
        </w:rPr>
        <w:t xml:space="preserve"> </w:t>
      </w:r>
      <w:r w:rsidR="00E92CB8">
        <w:rPr>
          <w:rFonts w:ascii="Arial" w:eastAsia="Times New Roman" w:hAnsi="Arial" w:cs="Arial"/>
          <w:color w:val="000000"/>
          <w:kern w:val="36"/>
          <w:sz w:val="33"/>
          <w:szCs w:val="33"/>
          <w:lang w:eastAsia="en-CA"/>
        </w:rPr>
        <w:t>Discount Rate Guidance</w:t>
      </w:r>
    </w:p>
    <w:p w14:paraId="7EB0EF11" w14:textId="22290E1D" w:rsidR="00AA00E5" w:rsidRPr="00AA00E5" w:rsidRDefault="009B6FF9" w:rsidP="009B6FF9">
      <w:pPr>
        <w:spacing w:before="150" w:after="150" w:line="240" w:lineRule="auto"/>
        <w:ind w:right="150"/>
        <w:rPr>
          <w:rFonts w:ascii="Arial" w:eastAsia="Times New Roman" w:hAnsi="Arial" w:cs="Arial"/>
          <w:color w:val="000000"/>
          <w:sz w:val="19"/>
          <w:szCs w:val="19"/>
          <w:lang w:eastAsia="en-CA"/>
        </w:rPr>
      </w:pPr>
      <w:r w:rsidRPr="009B6FF9">
        <w:rPr>
          <w:rFonts w:ascii="Arial" w:eastAsia="Times New Roman" w:hAnsi="Arial" w:cs="Arial"/>
          <w:bCs/>
          <w:color w:val="000000"/>
          <w:sz w:val="19"/>
          <w:szCs w:val="19"/>
          <w:lang w:eastAsia="en-CA"/>
        </w:rPr>
        <w:t xml:space="preserve">This </w:t>
      </w:r>
      <w:r w:rsidR="003172C8">
        <w:rPr>
          <w:rFonts w:ascii="Arial" w:eastAsia="Times New Roman" w:hAnsi="Arial" w:cs="Arial"/>
          <w:bCs/>
          <w:color w:val="000000"/>
          <w:sz w:val="19"/>
          <w:szCs w:val="19"/>
          <w:lang w:eastAsia="en-CA"/>
        </w:rPr>
        <w:t>section</w:t>
      </w:r>
      <w:r>
        <w:rPr>
          <w:rFonts w:ascii="Arial" w:eastAsia="Times New Roman" w:hAnsi="Arial" w:cs="Arial"/>
          <w:color w:val="000000"/>
          <w:sz w:val="19"/>
          <w:szCs w:val="19"/>
          <w:lang w:eastAsia="en-CA"/>
        </w:rPr>
        <w:t xml:space="preserve"> provides guidance to audit</w:t>
      </w:r>
      <w:r w:rsidR="00AA00E5" w:rsidRPr="00AA00E5">
        <w:rPr>
          <w:rFonts w:ascii="Arial" w:eastAsia="Times New Roman" w:hAnsi="Arial" w:cs="Arial"/>
          <w:color w:val="000000"/>
          <w:sz w:val="19"/>
          <w:szCs w:val="19"/>
          <w:lang w:eastAsia="en-CA"/>
        </w:rPr>
        <w:t>ors in assessing the accounting discount rate used in the calculation of the defined benefit obligation for a Canadian employee benefit plan when determined by reference to high-quality corporate bonds (or high quality debt instruments) as required under the following accounting standards (referred to in this document as the “Accounting Standards”):</w:t>
      </w:r>
    </w:p>
    <w:p w14:paraId="64D056FC" w14:textId="77777777" w:rsidR="00AA00E5" w:rsidRDefault="00AA00E5" w:rsidP="00AA00E5">
      <w:pPr>
        <w:numPr>
          <w:ilvl w:val="0"/>
          <w:numId w:val="1"/>
        </w:numPr>
        <w:spacing w:before="150" w:after="150" w:line="240" w:lineRule="auto"/>
        <w:ind w:left="750" w:right="300"/>
        <w:rPr>
          <w:rFonts w:ascii="Arial" w:eastAsia="Times New Roman" w:hAnsi="Arial" w:cs="Arial"/>
          <w:color w:val="000000"/>
          <w:sz w:val="19"/>
          <w:szCs w:val="19"/>
          <w:lang w:eastAsia="en-CA"/>
        </w:rPr>
      </w:pPr>
      <w:r w:rsidRPr="00AA00E5">
        <w:rPr>
          <w:rFonts w:ascii="Arial" w:eastAsia="Times New Roman" w:hAnsi="Arial" w:cs="Arial"/>
          <w:color w:val="000000"/>
          <w:sz w:val="19"/>
          <w:szCs w:val="19"/>
          <w:lang w:eastAsia="en-CA"/>
        </w:rPr>
        <w:t>International Accounting Standard 19 (IAS 19) under IFRS; and</w:t>
      </w:r>
    </w:p>
    <w:p w14:paraId="4BF2B8C7" w14:textId="6F5ED0A5" w:rsidR="009B6FF9" w:rsidRPr="009B6FF9" w:rsidRDefault="009B6FF9" w:rsidP="009B6FF9">
      <w:pPr>
        <w:pStyle w:val="NormalWeb"/>
        <w:numPr>
          <w:ilvl w:val="0"/>
          <w:numId w:val="1"/>
        </w:numPr>
        <w:spacing w:before="150" w:beforeAutospacing="0" w:after="150" w:afterAutospacing="0"/>
        <w:ind w:right="300"/>
        <w:rPr>
          <w:rFonts w:ascii="Arial" w:hAnsi="Arial" w:cs="Arial"/>
          <w:color w:val="000000"/>
          <w:sz w:val="19"/>
          <w:szCs w:val="19"/>
        </w:rPr>
      </w:pPr>
      <w:r>
        <w:rPr>
          <w:rFonts w:ascii="Arial" w:hAnsi="Arial" w:cs="Arial"/>
          <w:color w:val="000000"/>
          <w:sz w:val="19"/>
          <w:szCs w:val="19"/>
        </w:rPr>
        <w:t>Section 4600 of part IV (Pension Plans) of the Handbook when, as per paragraph 22, a pension plan measures the pension obligation at the accrued benefit obligation amount determined by the plan sponsor when the plan sponsor’s financial statements are prepared using IFRS.</w:t>
      </w:r>
    </w:p>
    <w:p w14:paraId="05A19B6F" w14:textId="2BF0F76E" w:rsidR="009B6FF9" w:rsidRPr="009B6FF9" w:rsidRDefault="009B6FF9" w:rsidP="009B6FF9">
      <w:pPr>
        <w:pStyle w:val="NormalWeb"/>
        <w:spacing w:before="150" w:beforeAutospacing="0" w:after="150" w:afterAutospacing="0"/>
        <w:ind w:right="150"/>
        <w:rPr>
          <w:rFonts w:ascii="Arial" w:hAnsi="Arial" w:cs="Arial"/>
          <w:color w:val="000000"/>
          <w:u w:val="single"/>
        </w:rPr>
      </w:pPr>
      <w:r w:rsidRPr="009B6FF9">
        <w:rPr>
          <w:rFonts w:ascii="Arial" w:hAnsi="Arial" w:cs="Arial"/>
          <w:color w:val="000000"/>
          <w:u w:val="single"/>
        </w:rPr>
        <w:t>Selecting the accounting discount rate</w:t>
      </w:r>
    </w:p>
    <w:p w14:paraId="4B36D84A" w14:textId="3A450A1C" w:rsidR="009B6FF9" w:rsidRDefault="009B6FF9" w:rsidP="009B6FF9">
      <w:pPr>
        <w:pStyle w:val="NormalWeb"/>
        <w:spacing w:before="150" w:beforeAutospacing="0" w:after="150" w:afterAutospacing="0"/>
        <w:ind w:right="150"/>
        <w:rPr>
          <w:rFonts w:ascii="Arial" w:hAnsi="Arial" w:cs="Arial"/>
          <w:color w:val="000000"/>
          <w:sz w:val="19"/>
          <w:szCs w:val="19"/>
        </w:rPr>
      </w:pPr>
      <w:r>
        <w:rPr>
          <w:rFonts w:ascii="Arial" w:hAnsi="Arial" w:cs="Arial"/>
          <w:color w:val="000000"/>
          <w:sz w:val="19"/>
          <w:szCs w:val="19"/>
        </w:rPr>
        <w:t>The discount rate under these Accounting Standards is based on high-quality corporate bonds and is re-evaluated at each measurement date. When long-term interest rates rise or decline, the accounting discount rate changes in a similar manner. Therefore, it is not permitted for an entity to determine a range of discount rates each year and continue to use the prior year’s discount rate assuming it falls within the range.</w:t>
      </w:r>
    </w:p>
    <w:p w14:paraId="12147A2F" w14:textId="6B8D5F5A" w:rsidR="009B6FF9" w:rsidRPr="00150F94" w:rsidRDefault="009B6FF9" w:rsidP="009B6FF9">
      <w:pPr>
        <w:pStyle w:val="NormalWeb"/>
        <w:spacing w:before="150" w:beforeAutospacing="0" w:after="150" w:afterAutospacing="0"/>
        <w:ind w:right="150"/>
        <w:rPr>
          <w:rFonts w:ascii="Arial" w:hAnsi="Arial" w:cs="Arial"/>
          <w:color w:val="000000"/>
          <w:sz w:val="19"/>
          <w:szCs w:val="19"/>
        </w:rPr>
      </w:pPr>
      <w:r>
        <w:rPr>
          <w:rFonts w:ascii="Arial" w:hAnsi="Arial" w:cs="Arial"/>
          <w:color w:val="000000"/>
          <w:sz w:val="19"/>
          <w:szCs w:val="19"/>
        </w:rPr>
        <w:t>Also, it is </w:t>
      </w:r>
      <w:r>
        <w:rPr>
          <w:rStyle w:val="Strong"/>
          <w:rFonts w:ascii="Arial" w:hAnsi="Arial" w:cs="Arial"/>
          <w:color w:val="000000"/>
          <w:sz w:val="19"/>
          <w:szCs w:val="19"/>
        </w:rPr>
        <w:t>not </w:t>
      </w:r>
      <w:r>
        <w:rPr>
          <w:rFonts w:ascii="Arial" w:hAnsi="Arial" w:cs="Arial"/>
          <w:color w:val="000000"/>
          <w:sz w:val="19"/>
          <w:szCs w:val="19"/>
        </w:rPr>
        <w:t xml:space="preserve">permitted for an entity to determine a range of discount rates and then arbitrarily select the discount rate to be used from within that range. </w:t>
      </w:r>
      <w:r w:rsidR="00E31BBB" w:rsidRPr="00E31BBB">
        <w:rPr>
          <w:rFonts w:ascii="Arial" w:hAnsi="Arial" w:cs="Arial"/>
          <w:color w:val="000000"/>
          <w:sz w:val="19"/>
          <w:szCs w:val="19"/>
        </w:rPr>
        <w:t>The Entity need</w:t>
      </w:r>
      <w:r w:rsidR="00150F94">
        <w:rPr>
          <w:rFonts w:ascii="Arial" w:hAnsi="Arial" w:cs="Arial"/>
          <w:color w:val="000000"/>
          <w:sz w:val="19"/>
          <w:szCs w:val="19"/>
        </w:rPr>
        <w:t>s</w:t>
      </w:r>
      <w:r w:rsidR="00E31BBB" w:rsidRPr="00E31BBB">
        <w:rPr>
          <w:rFonts w:ascii="Arial" w:hAnsi="Arial" w:cs="Arial"/>
          <w:color w:val="000000"/>
          <w:sz w:val="19"/>
          <w:szCs w:val="19"/>
        </w:rPr>
        <w:t xml:space="preserve"> to have a set methodology in place and apply it consistently from year to year.</w:t>
      </w:r>
      <w:r w:rsidR="00E31BBB">
        <w:rPr>
          <w:rFonts w:ascii="Arial" w:hAnsi="Arial" w:cs="Arial"/>
          <w:color w:val="000000"/>
          <w:sz w:val="19"/>
          <w:szCs w:val="19"/>
        </w:rPr>
        <w:t xml:space="preserve"> </w:t>
      </w:r>
      <w:r>
        <w:rPr>
          <w:rFonts w:ascii="Arial" w:hAnsi="Arial" w:cs="Arial"/>
          <w:color w:val="000000"/>
          <w:sz w:val="19"/>
          <w:szCs w:val="19"/>
        </w:rPr>
        <w:t>The reasonable ranges below will generally apply for a large number of pension plans that use high quality long-term corporate bonds to determine the discount rate. If an entity expects to choose a discount rate outside the range of reasonable discount rates, they should support the use of that rate with analysis matching a specific bond portfolio to the liability cash flows. The discount rate should be chosen to match each plan’s expected cash flows</w:t>
      </w:r>
      <w:r w:rsidR="00150F94">
        <w:rPr>
          <w:rFonts w:ascii="Arial" w:hAnsi="Arial" w:cs="Arial"/>
          <w:color w:val="000000"/>
          <w:sz w:val="19"/>
          <w:szCs w:val="19"/>
        </w:rPr>
        <w:t xml:space="preserve"> (</w:t>
      </w:r>
      <w:r w:rsidR="00150F94">
        <w:rPr>
          <w:rStyle w:val="cf01"/>
          <w:rFonts w:ascii="Arial" w:hAnsi="Arial" w:cs="Arial"/>
          <w:sz w:val="19"/>
          <w:szCs w:val="19"/>
        </w:rPr>
        <w:t>a</w:t>
      </w:r>
      <w:r w:rsidR="00150F94" w:rsidRPr="00935EFB">
        <w:rPr>
          <w:rStyle w:val="cf01"/>
          <w:rFonts w:ascii="Arial" w:hAnsi="Arial" w:cs="Arial"/>
          <w:sz w:val="19"/>
          <w:szCs w:val="19"/>
        </w:rPr>
        <w:t xml:space="preserve"> single rate for multiple plans may be acceptable, if the underlying plans do have comparable profile (profile for their future cash flows) - often called duration)</w:t>
      </w:r>
      <w:r w:rsidRPr="00150F94">
        <w:rPr>
          <w:rFonts w:ascii="Arial" w:hAnsi="Arial" w:cs="Arial"/>
          <w:color w:val="000000"/>
          <w:sz w:val="19"/>
          <w:szCs w:val="19"/>
        </w:rPr>
        <w:t>.</w:t>
      </w:r>
    </w:p>
    <w:p w14:paraId="36A014BF" w14:textId="3A44B261" w:rsidR="009B6FF9" w:rsidRDefault="009B6FF9" w:rsidP="009B6FF9">
      <w:pPr>
        <w:pStyle w:val="NormalWeb"/>
        <w:spacing w:before="150" w:beforeAutospacing="0" w:after="150" w:afterAutospacing="0"/>
        <w:ind w:right="150"/>
        <w:rPr>
          <w:rFonts w:ascii="Arial" w:hAnsi="Arial" w:cs="Arial"/>
          <w:color w:val="000000"/>
          <w:sz w:val="19"/>
          <w:szCs w:val="19"/>
        </w:rPr>
      </w:pPr>
      <w:r>
        <w:rPr>
          <w:rFonts w:ascii="Arial" w:hAnsi="Arial" w:cs="Arial"/>
          <w:color w:val="000000"/>
          <w:sz w:val="19"/>
          <w:szCs w:val="19"/>
        </w:rPr>
        <w:t>The discount rate assumption is not management’s best estimate long-term assumption, but rather a market interest rate set in reference to high-quality corporate bonds.</w:t>
      </w:r>
      <w:r w:rsidR="00E31BBB">
        <w:rPr>
          <w:rFonts w:ascii="Arial" w:hAnsi="Arial" w:cs="Arial"/>
          <w:color w:val="000000"/>
          <w:sz w:val="19"/>
          <w:szCs w:val="19"/>
        </w:rPr>
        <w:t xml:space="preserve"> </w:t>
      </w:r>
    </w:p>
    <w:p w14:paraId="265EC26E" w14:textId="44D51358" w:rsidR="009B6FF9" w:rsidRPr="009B6FF9" w:rsidRDefault="009B6FF9" w:rsidP="009B6FF9">
      <w:pPr>
        <w:pStyle w:val="NormalWeb"/>
        <w:spacing w:before="150" w:beforeAutospacing="0" w:after="150" w:afterAutospacing="0"/>
        <w:ind w:right="150"/>
        <w:rPr>
          <w:rFonts w:ascii="Arial" w:hAnsi="Arial" w:cs="Arial"/>
          <w:color w:val="000000"/>
          <w:u w:val="single"/>
        </w:rPr>
      </w:pPr>
      <w:r>
        <w:rPr>
          <w:rFonts w:ascii="Arial" w:hAnsi="Arial" w:cs="Arial"/>
          <w:color w:val="000000"/>
          <w:u w:val="single"/>
        </w:rPr>
        <w:t>Yield Curves used on the market</w:t>
      </w:r>
    </w:p>
    <w:p w14:paraId="07210FA8" w14:textId="3FBF7144" w:rsidR="00AA00E5" w:rsidRDefault="009B6FF9" w:rsidP="0092002C">
      <w:pP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There are</w:t>
      </w:r>
      <w:r w:rsidR="00E92CB8" w:rsidRPr="0092002C">
        <w:rPr>
          <w:rFonts w:ascii="Arial" w:eastAsia="Times New Roman" w:hAnsi="Arial" w:cs="Arial"/>
          <w:color w:val="000000"/>
          <w:sz w:val="19"/>
          <w:szCs w:val="19"/>
          <w:lang w:eastAsia="en-CA"/>
        </w:rPr>
        <w:t xml:space="preserve"> different approaches used in Canada</w:t>
      </w:r>
      <w:r>
        <w:rPr>
          <w:rFonts w:ascii="Arial" w:eastAsia="Times New Roman" w:hAnsi="Arial" w:cs="Arial"/>
          <w:color w:val="000000"/>
          <w:sz w:val="19"/>
          <w:szCs w:val="19"/>
          <w:lang w:eastAsia="en-CA"/>
        </w:rPr>
        <w:t xml:space="preserve"> to determine an</w:t>
      </w:r>
      <w:r w:rsidR="00E92CB8" w:rsidRPr="0092002C">
        <w:rPr>
          <w:rFonts w:ascii="Arial" w:eastAsia="Times New Roman" w:hAnsi="Arial" w:cs="Arial"/>
          <w:color w:val="000000"/>
          <w:sz w:val="19"/>
          <w:szCs w:val="19"/>
          <w:lang w:eastAsia="en-CA"/>
        </w:rPr>
        <w:t xml:space="preserve"> appropriate yield curve based on high quality corporate bonds</w:t>
      </w:r>
      <w:r>
        <w:rPr>
          <w:rFonts w:ascii="Arial" w:eastAsia="Times New Roman" w:hAnsi="Arial" w:cs="Arial"/>
          <w:color w:val="000000"/>
          <w:sz w:val="19"/>
          <w:szCs w:val="19"/>
          <w:lang w:eastAsia="en-CA"/>
        </w:rPr>
        <w:t xml:space="preserve">. </w:t>
      </w:r>
      <w:r w:rsidR="0092439A">
        <w:rPr>
          <w:rFonts w:ascii="Arial" w:eastAsia="Times New Roman" w:hAnsi="Arial" w:cs="Arial"/>
          <w:color w:val="000000"/>
          <w:sz w:val="19"/>
          <w:szCs w:val="19"/>
          <w:lang w:eastAsia="en-CA"/>
        </w:rPr>
        <w:t>The Canadian bond market has limited high quality corporate bonds, especially in the longer term. These can result in slightly different discount rates using the different approaches</w:t>
      </w:r>
      <w:r w:rsidR="0092439A" w:rsidRPr="0092439A">
        <w:rPr>
          <w:rFonts w:ascii="Arial" w:eastAsia="Times New Roman" w:hAnsi="Arial" w:cs="Arial"/>
          <w:color w:val="000000"/>
          <w:sz w:val="19"/>
          <w:szCs w:val="19"/>
          <w:lang w:eastAsia="en-CA"/>
        </w:rPr>
        <w:t xml:space="preserve">. </w:t>
      </w:r>
      <w:r w:rsidRPr="0092439A">
        <w:rPr>
          <w:rFonts w:ascii="Arial" w:eastAsia="Times New Roman" w:hAnsi="Arial" w:cs="Arial"/>
          <w:color w:val="000000"/>
          <w:sz w:val="19"/>
          <w:szCs w:val="19"/>
          <w:lang w:eastAsia="en-CA"/>
        </w:rPr>
        <w:t>The most common are:</w:t>
      </w:r>
    </w:p>
    <w:p w14:paraId="228FB626" w14:textId="3E71061D" w:rsidR="009B6FF9" w:rsidRPr="009B6FF9" w:rsidRDefault="008940B0" w:rsidP="009B6FF9">
      <w:pPr>
        <w:pStyle w:val="ListParagraph"/>
        <w:numPr>
          <w:ilvl w:val="0"/>
          <w:numId w:val="12"/>
        </w:numPr>
        <w:rPr>
          <w:rStyle w:val="Hyperlink"/>
          <w:rFonts w:ascii="Arial" w:eastAsia="Times New Roman" w:hAnsi="Arial" w:cs="Arial"/>
          <w:color w:val="000000"/>
          <w:sz w:val="19"/>
          <w:szCs w:val="19"/>
          <w:u w:val="none"/>
          <w:lang w:eastAsia="en-CA"/>
        </w:rPr>
      </w:pPr>
      <w:hyperlink r:id="rId8" w:history="1">
        <w:r w:rsidR="009B6FF9" w:rsidRPr="0092002C">
          <w:rPr>
            <w:rStyle w:val="Hyperlink"/>
            <w:rFonts w:ascii="Arial" w:eastAsia="Times New Roman" w:hAnsi="Arial" w:cs="Arial"/>
            <w:sz w:val="19"/>
            <w:szCs w:val="19"/>
          </w:rPr>
          <w:t>Fiera Capital</w:t>
        </w:r>
        <w:r w:rsidR="009B6FF9">
          <w:rPr>
            <w:rStyle w:val="Hyperlink"/>
            <w:rFonts w:ascii="Arial" w:eastAsia="Times New Roman" w:hAnsi="Arial" w:cs="Arial"/>
            <w:sz w:val="19"/>
            <w:szCs w:val="19"/>
            <w:lang w:eastAsia="en-CA"/>
          </w:rPr>
          <w:t>’s CIA Method Accounting Discount Rate C</w:t>
        </w:r>
        <w:r w:rsidR="009B6FF9" w:rsidRPr="0092002C">
          <w:rPr>
            <w:rStyle w:val="Hyperlink"/>
            <w:rFonts w:ascii="Arial" w:eastAsia="Times New Roman" w:hAnsi="Arial" w:cs="Arial"/>
            <w:sz w:val="19"/>
            <w:szCs w:val="19"/>
          </w:rPr>
          <w:t>urve</w:t>
        </w:r>
      </w:hyperlink>
    </w:p>
    <w:p w14:paraId="5A96FEBD" w14:textId="100EDDB5" w:rsidR="009B6FF9" w:rsidRPr="009B6FF9" w:rsidRDefault="009B6FF9" w:rsidP="009B6FF9">
      <w:pPr>
        <w:pStyle w:val="ListParagraph"/>
        <w:numPr>
          <w:ilvl w:val="1"/>
          <w:numId w:val="12"/>
        </w:numPr>
        <w:rPr>
          <w:rStyle w:val="Hyperlink"/>
          <w:rFonts w:ascii="Arial" w:eastAsia="Times New Roman" w:hAnsi="Arial" w:cs="Arial"/>
          <w:color w:val="auto"/>
          <w:sz w:val="19"/>
          <w:szCs w:val="19"/>
          <w:u w:val="none"/>
          <w:lang w:eastAsia="en-CA"/>
        </w:rPr>
      </w:pPr>
      <w:r w:rsidRPr="009B6FF9">
        <w:rPr>
          <w:rStyle w:val="Hyperlink"/>
          <w:rFonts w:ascii="Arial" w:eastAsia="Times New Roman" w:hAnsi="Arial" w:cs="Arial"/>
          <w:color w:val="auto"/>
          <w:sz w:val="19"/>
          <w:szCs w:val="19"/>
          <w:u w:val="none"/>
        </w:rPr>
        <w:t xml:space="preserve">To </w:t>
      </w:r>
      <w:r>
        <w:rPr>
          <w:rStyle w:val="Hyperlink"/>
          <w:rFonts w:ascii="Arial" w:eastAsia="Times New Roman" w:hAnsi="Arial" w:cs="Arial"/>
          <w:color w:val="auto"/>
          <w:sz w:val="19"/>
          <w:szCs w:val="19"/>
          <w:u w:val="none"/>
        </w:rPr>
        <w:t>account for the scarcity of high quality corporate bonds with longer</w:t>
      </w:r>
      <w:r w:rsidR="00E31BBB">
        <w:rPr>
          <w:rStyle w:val="Hyperlink"/>
          <w:rFonts w:ascii="Arial" w:eastAsia="Times New Roman" w:hAnsi="Arial" w:cs="Arial"/>
          <w:color w:val="auto"/>
          <w:sz w:val="19"/>
          <w:szCs w:val="19"/>
          <w:u w:val="none"/>
        </w:rPr>
        <w:t xml:space="preserve"> terms</w:t>
      </w:r>
      <w:r>
        <w:rPr>
          <w:rStyle w:val="Hyperlink"/>
          <w:rFonts w:ascii="Arial" w:eastAsia="Times New Roman" w:hAnsi="Arial" w:cs="Arial"/>
          <w:color w:val="auto"/>
          <w:sz w:val="19"/>
          <w:szCs w:val="19"/>
          <w:u w:val="none"/>
        </w:rPr>
        <w:t xml:space="preserve">, the Fiera Capital curve includes high quality provincial bonds with longer </w:t>
      </w:r>
      <w:r w:rsidR="00E31BBB">
        <w:rPr>
          <w:rStyle w:val="Hyperlink"/>
          <w:rFonts w:ascii="Arial" w:eastAsia="Times New Roman" w:hAnsi="Arial" w:cs="Arial"/>
          <w:color w:val="auto"/>
          <w:sz w:val="19"/>
          <w:szCs w:val="19"/>
          <w:u w:val="none"/>
        </w:rPr>
        <w:t>terms</w:t>
      </w:r>
      <w:r>
        <w:rPr>
          <w:rStyle w:val="Hyperlink"/>
          <w:rFonts w:ascii="Arial" w:eastAsia="Times New Roman" w:hAnsi="Arial" w:cs="Arial"/>
          <w:color w:val="auto"/>
          <w:sz w:val="19"/>
          <w:szCs w:val="19"/>
          <w:u w:val="none"/>
        </w:rPr>
        <w:t xml:space="preserve"> and adjusts with an appropriate spread in the analysis.</w:t>
      </w:r>
    </w:p>
    <w:p w14:paraId="357AFF00" w14:textId="255C2419" w:rsidR="009B6FF9" w:rsidRPr="009B6FF9" w:rsidRDefault="009B6FF9" w:rsidP="009B6FF9">
      <w:pPr>
        <w:pStyle w:val="ListParagraph"/>
        <w:numPr>
          <w:ilvl w:val="0"/>
          <w:numId w:val="12"/>
        </w:numP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 xml:space="preserve">Other curves </w:t>
      </w:r>
      <w:r w:rsidR="00E31BBB">
        <w:rPr>
          <w:rFonts w:ascii="Arial" w:eastAsia="Times New Roman" w:hAnsi="Arial" w:cs="Arial"/>
          <w:color w:val="000000"/>
          <w:sz w:val="19"/>
          <w:szCs w:val="19"/>
          <w:lang w:eastAsia="en-CA"/>
        </w:rPr>
        <w:t xml:space="preserve">(from actuarial firms) </w:t>
      </w:r>
      <w:r>
        <w:rPr>
          <w:rFonts w:ascii="Arial" w:eastAsia="Times New Roman" w:hAnsi="Arial" w:cs="Arial"/>
          <w:color w:val="000000"/>
          <w:sz w:val="19"/>
          <w:szCs w:val="19"/>
          <w:lang w:eastAsia="en-CA"/>
        </w:rPr>
        <w:t xml:space="preserve">– the CIA curve is not the only acceptable yield curve and other yield curves developed using similar approaches such as the Mercer Model, RATE:Link developed by Willis Towers Watson, or the models developed by </w:t>
      </w:r>
      <w:r w:rsidR="00E31BBB">
        <w:rPr>
          <w:rFonts w:ascii="Arial" w:eastAsia="Times New Roman" w:hAnsi="Arial" w:cs="Arial"/>
          <w:color w:val="000000"/>
          <w:sz w:val="19"/>
          <w:szCs w:val="19"/>
          <w:lang w:eastAsia="en-CA"/>
        </w:rPr>
        <w:t>Telus Health</w:t>
      </w:r>
      <w:r>
        <w:rPr>
          <w:rFonts w:ascii="Arial" w:eastAsia="Times New Roman" w:hAnsi="Arial" w:cs="Arial"/>
          <w:color w:val="000000"/>
          <w:sz w:val="19"/>
          <w:szCs w:val="19"/>
          <w:lang w:eastAsia="en-CA"/>
        </w:rPr>
        <w:t xml:space="preserve"> and Aon Hewitt.</w:t>
      </w:r>
    </w:p>
    <w:p w14:paraId="0B9E256D" w14:textId="4107C937" w:rsidR="00B042F6" w:rsidRDefault="00B042F6" w:rsidP="00B042F6">
      <w:pPr>
        <w:pStyle w:val="NormalWeb"/>
        <w:spacing w:before="150" w:beforeAutospacing="0" w:after="150" w:afterAutospacing="0"/>
        <w:ind w:right="150"/>
        <w:rPr>
          <w:rFonts w:ascii="Arial" w:hAnsi="Arial" w:cs="Arial"/>
          <w:color w:val="000000"/>
          <w:u w:val="single"/>
        </w:rPr>
      </w:pPr>
      <w:r>
        <w:rPr>
          <w:rFonts w:ascii="Arial" w:hAnsi="Arial" w:cs="Arial"/>
          <w:color w:val="000000"/>
          <w:u w:val="single"/>
        </w:rPr>
        <w:t>Reasonable Ranges for the Discount Rate:</w:t>
      </w:r>
    </w:p>
    <w:p w14:paraId="4A300821" w14:textId="4F0C9C14" w:rsidR="00E92CB8" w:rsidRDefault="00B042F6" w:rsidP="00B042F6">
      <w:pPr>
        <w:pStyle w:val="NormalWeb"/>
        <w:spacing w:before="150" w:beforeAutospacing="0" w:after="150" w:afterAutospacing="0"/>
        <w:ind w:right="150"/>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The following table provides a reasonable range for the accounting discount rates at various dates for typical pension </w:t>
      </w:r>
      <w:r w:rsidR="00E31BBB">
        <w:rPr>
          <w:rFonts w:ascii="Arial" w:hAnsi="Arial" w:cs="Arial"/>
          <w:color w:val="000000"/>
          <w:sz w:val="19"/>
          <w:szCs w:val="19"/>
          <w:shd w:val="clear" w:color="auto" w:fill="FFFFFF"/>
        </w:rPr>
        <w:t xml:space="preserve">and benefit </w:t>
      </w:r>
      <w:r>
        <w:rPr>
          <w:rFonts w:ascii="Arial" w:hAnsi="Arial" w:cs="Arial"/>
          <w:color w:val="000000"/>
          <w:sz w:val="19"/>
          <w:szCs w:val="19"/>
          <w:shd w:val="clear" w:color="auto" w:fill="FFFFFF"/>
        </w:rPr>
        <w:t>plan</w:t>
      </w:r>
      <w:r w:rsidR="00E31BBB">
        <w:rPr>
          <w:rFonts w:ascii="Arial" w:hAnsi="Arial" w:cs="Arial"/>
          <w:color w:val="000000"/>
          <w:sz w:val="19"/>
          <w:szCs w:val="19"/>
          <w:shd w:val="clear" w:color="auto" w:fill="FFFFFF"/>
        </w:rPr>
        <w:t>s</w:t>
      </w:r>
      <w:r>
        <w:rPr>
          <w:rFonts w:ascii="Arial" w:hAnsi="Arial" w:cs="Arial"/>
          <w:color w:val="000000"/>
          <w:sz w:val="19"/>
          <w:szCs w:val="19"/>
          <w:shd w:val="clear" w:color="auto" w:fill="FFFFFF"/>
        </w:rPr>
        <w:t>, when an entity has adopted the Fiera Capital curve to determine its accounting discount rates.</w:t>
      </w:r>
    </w:p>
    <w:p w14:paraId="36C90E8F" w14:textId="77777777" w:rsidR="0092439A" w:rsidRDefault="0092439A" w:rsidP="00B042F6">
      <w:pPr>
        <w:pStyle w:val="NormalWeb"/>
        <w:spacing w:before="150" w:beforeAutospacing="0" w:after="150" w:afterAutospacing="0"/>
        <w:ind w:right="150"/>
        <w:rPr>
          <w:rFonts w:ascii="Arial" w:hAnsi="Arial" w:cs="Arial"/>
          <w:color w:val="000000"/>
          <w:sz w:val="19"/>
          <w:szCs w:val="19"/>
          <w:shd w:val="clear" w:color="auto" w:fill="FFFFFF"/>
        </w:rPr>
      </w:pPr>
    </w:p>
    <w:p w14:paraId="1750DA45" w14:textId="77777777" w:rsidR="0092439A" w:rsidRDefault="0092439A" w:rsidP="00B042F6">
      <w:pPr>
        <w:pStyle w:val="NormalWeb"/>
        <w:spacing w:before="150" w:beforeAutospacing="0" w:after="150" w:afterAutospacing="0"/>
        <w:ind w:right="150"/>
        <w:rPr>
          <w:rFonts w:ascii="Arial" w:hAnsi="Arial" w:cs="Arial"/>
          <w:color w:val="000000"/>
          <w:sz w:val="19"/>
          <w:szCs w:val="19"/>
          <w:shd w:val="clear" w:color="auto" w:fill="FFFFFF"/>
        </w:rPr>
      </w:pPr>
    </w:p>
    <w:p w14:paraId="5A28C93D" w14:textId="77777777" w:rsidR="0092439A" w:rsidRDefault="0092439A" w:rsidP="00B042F6">
      <w:pPr>
        <w:pStyle w:val="NormalWeb"/>
        <w:spacing w:before="150" w:beforeAutospacing="0" w:after="150" w:afterAutospacing="0"/>
        <w:ind w:right="150"/>
        <w:rPr>
          <w:rFonts w:ascii="Arial" w:hAnsi="Arial" w:cs="Arial"/>
          <w:color w:val="000000"/>
          <w:sz w:val="19"/>
          <w:szCs w:val="19"/>
          <w:shd w:val="clear" w:color="auto" w:fill="FFFFFF"/>
        </w:rPr>
      </w:pPr>
    </w:p>
    <w:tbl>
      <w:tblPr>
        <w:tblW w:w="0" w:type="auto"/>
        <w:tblInd w:w="1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766"/>
        <w:gridCol w:w="1847"/>
        <w:gridCol w:w="1839"/>
        <w:gridCol w:w="2122"/>
      </w:tblGrid>
      <w:tr w:rsidR="0092439A" w:rsidRPr="00A40061" w14:paraId="5AC7230A" w14:textId="15FDB4F9" w:rsidTr="007B5E2F">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0319588" w14:textId="77777777"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b/>
                <w:bCs/>
                <w:color w:val="000000"/>
                <w:sz w:val="19"/>
                <w:szCs w:val="19"/>
                <w:lang w:eastAsia="en-CA"/>
              </w:rPr>
              <w:lastRenderedPageBreak/>
              <w:t xml:space="preserve">(e.g </w:t>
            </w:r>
            <w:r w:rsidRPr="00A40061">
              <w:rPr>
                <w:rFonts w:ascii="Arial" w:eastAsia="Times New Roman" w:hAnsi="Arial" w:cs="Arial"/>
                <w:b/>
                <w:bCs/>
                <w:color w:val="000000"/>
                <w:sz w:val="19"/>
                <w:szCs w:val="19"/>
                <w:lang w:eastAsia="en-CA"/>
              </w:rPr>
              <w:t>Fiera Capital</w:t>
            </w:r>
            <w:r>
              <w:rPr>
                <w:rFonts w:ascii="Arial" w:eastAsia="Times New Roman" w:hAnsi="Arial" w:cs="Arial"/>
                <w:b/>
                <w:bCs/>
                <w:color w:val="000000"/>
                <w:sz w:val="19"/>
                <w:szCs w:val="19"/>
                <w:lang w:eastAsia="en-CA"/>
              </w:rPr>
              <w:t>)</w:t>
            </w:r>
          </w:p>
        </w:tc>
        <w:tc>
          <w:tcPr>
            <w:tcW w:w="3613"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3F26ABBD" w14:textId="69F5C60A" w:rsidR="0092439A" w:rsidRDefault="0092439A" w:rsidP="0092439A">
            <w:pPr>
              <w:spacing w:after="150" w:line="240" w:lineRule="auto"/>
              <w:jc w:val="center"/>
              <w:rPr>
                <w:rFonts w:ascii="Arial" w:eastAsia="Times New Roman" w:hAnsi="Arial" w:cs="Arial"/>
                <w:b/>
                <w:bCs/>
                <w:color w:val="000000"/>
                <w:sz w:val="19"/>
                <w:szCs w:val="19"/>
                <w:lang w:eastAsia="en-CA"/>
              </w:rPr>
            </w:pPr>
            <w:r>
              <w:rPr>
                <w:rFonts w:ascii="Arial" w:eastAsia="Times New Roman" w:hAnsi="Arial" w:cs="Arial"/>
                <w:b/>
                <w:bCs/>
                <w:color w:val="000000"/>
                <w:sz w:val="19"/>
                <w:szCs w:val="19"/>
                <w:lang w:eastAsia="en-CA"/>
              </w:rPr>
              <w:t>2022</w:t>
            </w:r>
          </w:p>
        </w:tc>
        <w:tc>
          <w:tcPr>
            <w:tcW w:w="396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41147592" w14:textId="52EB8A39" w:rsidR="0092439A" w:rsidRDefault="0092439A" w:rsidP="0092439A">
            <w:pPr>
              <w:spacing w:after="150" w:line="240" w:lineRule="auto"/>
              <w:jc w:val="center"/>
              <w:rPr>
                <w:rFonts w:ascii="Arial" w:eastAsia="Times New Roman" w:hAnsi="Arial" w:cs="Arial"/>
                <w:b/>
                <w:bCs/>
                <w:color w:val="000000"/>
                <w:sz w:val="19"/>
                <w:szCs w:val="19"/>
                <w:lang w:eastAsia="en-CA"/>
              </w:rPr>
            </w:pPr>
            <w:r>
              <w:rPr>
                <w:rFonts w:ascii="Arial" w:eastAsia="Times New Roman" w:hAnsi="Arial" w:cs="Arial"/>
                <w:b/>
                <w:bCs/>
                <w:color w:val="000000"/>
                <w:sz w:val="19"/>
                <w:szCs w:val="19"/>
                <w:lang w:eastAsia="en-CA"/>
              </w:rPr>
              <w:t>2023</w:t>
            </w:r>
          </w:p>
        </w:tc>
      </w:tr>
      <w:tr w:rsidR="0092439A" w:rsidRPr="00A40061" w14:paraId="7DC5B345" w14:textId="48EF35F5"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498271A" w14:textId="77777777"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sidRPr="00A40061">
              <w:rPr>
                <w:rFonts w:ascii="Arial" w:eastAsia="Times New Roman" w:hAnsi="Arial" w:cs="Arial"/>
                <w:color w:val="000000"/>
                <w:sz w:val="19"/>
                <w:szCs w:val="19"/>
                <w:lang w:eastAsia="en-CA"/>
              </w:rPr>
              <w:t>Date</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7C20DC92" w14:textId="185AC884"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14 Year Duration</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4BCDE3F5" w14:textId="22A75DE0"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24 Year Duration</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13BABBDC" w14:textId="70EF48A5"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14 Year Duration</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1BF5E2A1" w14:textId="5E667D7E"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24 Year Duration</w:t>
            </w:r>
          </w:p>
        </w:tc>
      </w:tr>
      <w:tr w:rsidR="0092439A" w:rsidRPr="00A40061" w14:paraId="54AA8842" w14:textId="4304002C"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47B61CB"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sidRPr="00A40061">
              <w:rPr>
                <w:rFonts w:ascii="Arial" w:eastAsia="Times New Roman" w:hAnsi="Arial" w:cs="Arial"/>
                <w:color w:val="000000"/>
                <w:sz w:val="19"/>
                <w:szCs w:val="19"/>
                <w:lang w:eastAsia="en-CA"/>
              </w:rPr>
              <w:t>December 31</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C6368D0" w14:textId="1DFD10AB"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sidRPr="006D71C3">
              <w:rPr>
                <w:rFonts w:ascii="Arial" w:eastAsia="Times New Roman" w:hAnsi="Arial" w:cs="Arial"/>
                <w:color w:val="000000"/>
                <w:sz w:val="19"/>
                <w:szCs w:val="19"/>
                <w:lang w:eastAsia="en-CA"/>
              </w:rPr>
              <w:t>5.05%</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39961D99" w14:textId="0674C876" w:rsidR="0092439A"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5.10%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7CB8B2A6" w14:textId="562F5A21"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4.</w:t>
            </w:r>
            <w:r w:rsidR="00BD288F">
              <w:rPr>
                <w:rFonts w:ascii="Arial" w:eastAsia="Times New Roman" w:hAnsi="Arial" w:cs="Arial"/>
                <w:color w:val="000000"/>
                <w:sz w:val="19"/>
                <w:szCs w:val="19"/>
                <w:lang w:eastAsia="en-CA"/>
              </w:rPr>
              <w:t>65</w:t>
            </w:r>
            <w:r w:rsidRPr="00A40061">
              <w:rPr>
                <w:rFonts w:ascii="Arial" w:eastAsia="Times New Roman" w:hAnsi="Arial" w:cs="Arial"/>
                <w:color w:val="000000"/>
                <w:sz w:val="19"/>
                <w:szCs w:val="19"/>
                <w:lang w:eastAsia="en-CA"/>
              </w:rPr>
              <w:t>%</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0B876EFB" w14:textId="33525CEC" w:rsidR="0092439A"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4.6</w:t>
            </w:r>
            <w:r w:rsidR="00BD288F">
              <w:rPr>
                <w:rFonts w:ascii="Arial" w:eastAsia="Times New Roman" w:hAnsi="Arial" w:cs="Arial"/>
                <w:color w:val="000000"/>
                <w:sz w:val="19"/>
                <w:szCs w:val="19"/>
                <w:lang w:eastAsia="en-CA"/>
              </w:rPr>
              <w:t>0</w:t>
            </w:r>
            <w:r>
              <w:rPr>
                <w:rFonts w:ascii="Arial" w:eastAsia="Times New Roman" w:hAnsi="Arial" w:cs="Arial"/>
                <w:color w:val="000000"/>
                <w:sz w:val="19"/>
                <w:szCs w:val="19"/>
                <w:lang w:eastAsia="en-CA"/>
              </w:rPr>
              <w:t>%</w:t>
            </w:r>
          </w:p>
        </w:tc>
      </w:tr>
      <w:tr w:rsidR="0092439A" w:rsidRPr="00A40061" w14:paraId="5AFCC3F6" w14:textId="65B9423D"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D3A32DB"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sidRPr="00A40061">
              <w:rPr>
                <w:rFonts w:ascii="Arial" w:eastAsia="Times New Roman" w:hAnsi="Arial" w:cs="Arial"/>
                <w:color w:val="000000"/>
                <w:sz w:val="19"/>
                <w:szCs w:val="19"/>
                <w:lang w:eastAsia="en-CA"/>
              </w:rPr>
              <w:t>November 30</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CBDBE19" w14:textId="5BC0FB8C"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shd w:val="clear" w:color="auto" w:fill="FFFFFF"/>
              </w:rPr>
              <w:t>4.90%</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74172EF7" w14:textId="16D1DA13" w:rsidR="0092439A"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4.95%</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063283F3" w14:textId="47EE16F8"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5.15</w:t>
            </w:r>
            <w:r w:rsidRPr="00A40061">
              <w:rPr>
                <w:rFonts w:ascii="Arial" w:eastAsia="Times New Roman" w:hAnsi="Arial" w:cs="Arial"/>
                <w:color w:val="000000"/>
                <w:sz w:val="19"/>
                <w:szCs w:val="19"/>
                <w:lang w:eastAsia="en-CA"/>
              </w:rPr>
              <w:t>%</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0F2EFAB3" w14:textId="1BA218D5" w:rsidR="0092439A"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5.10%</w:t>
            </w:r>
          </w:p>
        </w:tc>
      </w:tr>
      <w:tr w:rsidR="0092439A" w:rsidRPr="00A40061" w14:paraId="67884F2B" w14:textId="18546505"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DF6A789"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October 31</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A85ED36" w14:textId="15BE1FAF"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5.30%</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7A61E0BF" w14:textId="0FFED7BB" w:rsidR="0092439A" w:rsidRDefault="00BD288F"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5.30%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EEA2488" w14:textId="52C60F26"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5.70</w:t>
            </w:r>
            <w:r w:rsidRPr="00A40061">
              <w:rPr>
                <w:rFonts w:ascii="Arial" w:eastAsia="Times New Roman" w:hAnsi="Arial" w:cs="Arial"/>
                <w:color w:val="000000"/>
                <w:sz w:val="19"/>
                <w:szCs w:val="19"/>
                <w:lang w:eastAsia="en-CA"/>
              </w:rPr>
              <w:t>%</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78B428EF" w14:textId="68891380" w:rsidR="0092439A" w:rsidRDefault="00BD288F" w:rsidP="00A2503F">
            <w:pPr>
              <w:spacing w:after="150" w:line="240" w:lineRule="auto"/>
              <w:jc w:val="center"/>
              <w:rPr>
                <w:rFonts w:ascii="Arial" w:eastAsia="Times New Roman" w:hAnsi="Arial" w:cs="Arial"/>
                <w:color w:val="000000"/>
                <w:sz w:val="19"/>
                <w:szCs w:val="19"/>
                <w:lang w:eastAsia="en-CA"/>
              </w:rPr>
            </w:pPr>
            <w:r>
              <w:rPr>
                <w:rFonts w:ascii="Arial" w:eastAsia="Times New Roman" w:hAnsi="Arial" w:cs="Arial"/>
                <w:color w:val="000000"/>
                <w:sz w:val="19"/>
                <w:szCs w:val="19"/>
                <w:lang w:eastAsia="en-CA"/>
              </w:rPr>
              <w:t>5.70%</w:t>
            </w:r>
          </w:p>
        </w:tc>
      </w:tr>
      <w:tr w:rsidR="0092439A" w:rsidRPr="00A40061" w14:paraId="673E82C3" w14:textId="32935AE7"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35215AF"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September 30</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F16DE73" w14:textId="19638E41"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4.95%</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218DA4BD" w14:textId="75D443F0"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4.95%</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B60AFA1" w14:textId="1E4FBE3C"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5.65%</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5A130FFB" w14:textId="62797524" w:rsidR="0092439A" w:rsidRDefault="0092439A" w:rsidP="00A2503F">
            <w:pPr>
              <w:spacing w:after="150" w:line="240" w:lineRule="auto"/>
              <w:jc w:val="center"/>
              <w:rPr>
                <w:rFonts w:ascii="Arial" w:hAnsi="Arial" w:cs="Arial"/>
                <w:color w:val="000000"/>
                <w:sz w:val="19"/>
                <w:szCs w:val="19"/>
              </w:rPr>
            </w:pPr>
            <w:r>
              <w:rPr>
                <w:rFonts w:ascii="Arial" w:hAnsi="Arial" w:cs="Arial"/>
                <w:color w:val="000000"/>
                <w:sz w:val="19"/>
                <w:szCs w:val="19"/>
              </w:rPr>
              <w:t>5.60%</w:t>
            </w:r>
          </w:p>
        </w:tc>
      </w:tr>
      <w:tr w:rsidR="0092439A" w:rsidRPr="00A40061" w14:paraId="232BDD53" w14:textId="2858F5A3"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42B536C"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August 31</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D2C353E" w14:textId="627D75FF"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4.80%</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57C20FE4" w14:textId="36108931"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4.80%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40371A6" w14:textId="53CD7A60"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5.15%</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77D445CE" w14:textId="1E96956D"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5.15%</w:t>
            </w:r>
          </w:p>
        </w:tc>
      </w:tr>
      <w:tr w:rsidR="0092439A" w:rsidRPr="00A40061" w14:paraId="0D4ACC22" w14:textId="2586D6A4"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4D681D5"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July 31</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43FA990" w14:textId="0CDC8BF3"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4.60%</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56DE6347" w14:textId="55D4AF2B"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4.75%</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958C357" w14:textId="5F39621B"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5.0</w:t>
            </w:r>
            <w:r w:rsidR="00BD288F">
              <w:rPr>
                <w:rFonts w:ascii="Arial" w:hAnsi="Arial" w:cs="Arial"/>
                <w:color w:val="000000"/>
                <w:sz w:val="19"/>
                <w:szCs w:val="19"/>
              </w:rPr>
              <w:t>5</w:t>
            </w:r>
            <w:r>
              <w:rPr>
                <w:rFonts w:ascii="Arial" w:hAnsi="Arial" w:cs="Arial"/>
                <w:color w:val="000000"/>
                <w:sz w:val="19"/>
                <w:szCs w:val="19"/>
              </w:rPr>
              <w:t>%</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40E50D25" w14:textId="319F2E24"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5.00%</w:t>
            </w:r>
          </w:p>
        </w:tc>
      </w:tr>
      <w:tr w:rsidR="0092439A" w:rsidRPr="00A40061" w14:paraId="5EE0EED9" w14:textId="2E362DCB"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985DA92"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June 30</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F1EB893" w14:textId="31D7132B"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5.0</w:t>
            </w:r>
            <w:r w:rsidR="00BD288F">
              <w:rPr>
                <w:rFonts w:ascii="Arial" w:hAnsi="Arial" w:cs="Arial"/>
                <w:color w:val="000000"/>
                <w:sz w:val="19"/>
                <w:szCs w:val="19"/>
              </w:rPr>
              <w:t>5</w:t>
            </w:r>
            <w:r>
              <w:rPr>
                <w:rFonts w:ascii="Arial" w:hAnsi="Arial" w:cs="Arial"/>
                <w:color w:val="000000"/>
                <w:sz w:val="19"/>
                <w:szCs w:val="19"/>
              </w:rPr>
              <w:t>%</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32D6BB07" w14:textId="661CE67F"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5.10%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89BDFAF" w14:textId="6330CCAE"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4.80%</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6F87870E" w14:textId="7BC50C81"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4.90%</w:t>
            </w:r>
          </w:p>
        </w:tc>
      </w:tr>
      <w:tr w:rsidR="0092439A" w:rsidRPr="00A40061" w14:paraId="6CA2EE47" w14:textId="3D551AC6"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637F676"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May 31</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BF701D4" w14:textId="5D4CB25F"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4.7</w:t>
            </w:r>
            <w:r w:rsidR="00BD288F">
              <w:rPr>
                <w:rFonts w:ascii="Arial" w:hAnsi="Arial" w:cs="Arial"/>
                <w:color w:val="000000"/>
                <w:sz w:val="19"/>
                <w:szCs w:val="19"/>
              </w:rPr>
              <w:t>5</w:t>
            </w:r>
            <w:r>
              <w:rPr>
                <w:rFonts w:ascii="Arial" w:hAnsi="Arial" w:cs="Arial"/>
                <w:color w:val="000000"/>
                <w:sz w:val="19"/>
                <w:szCs w:val="19"/>
              </w:rPr>
              <w:t>%</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77E83747" w14:textId="2E47C478"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4.80%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E0E10B0" w14:textId="2CD354F3"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4.8</w:t>
            </w:r>
            <w:r w:rsidR="00BD288F">
              <w:rPr>
                <w:rFonts w:ascii="Arial" w:hAnsi="Arial" w:cs="Arial"/>
                <w:color w:val="000000"/>
                <w:sz w:val="19"/>
                <w:szCs w:val="19"/>
              </w:rPr>
              <w:t>5</w:t>
            </w:r>
            <w:r>
              <w:rPr>
                <w:rFonts w:ascii="Arial" w:hAnsi="Arial" w:cs="Arial"/>
                <w:color w:val="000000"/>
                <w:sz w:val="19"/>
                <w:szCs w:val="19"/>
              </w:rPr>
              <w:t>%</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04F0ECFC" w14:textId="0341F021"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4.95%</w:t>
            </w:r>
          </w:p>
        </w:tc>
      </w:tr>
      <w:tr w:rsidR="0092439A" w:rsidRPr="00A40061" w14:paraId="1C7004A2" w14:textId="29C024DD"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419BF86D"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April 30</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7965753" w14:textId="426EACFE"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4.60%</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131A77B3" w14:textId="07DAB24D"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4.70%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DA0C9F0" w14:textId="3D5E1602"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4.6</w:t>
            </w:r>
            <w:r w:rsidR="00BD288F">
              <w:rPr>
                <w:rFonts w:ascii="Arial" w:hAnsi="Arial" w:cs="Arial"/>
                <w:color w:val="000000"/>
                <w:sz w:val="19"/>
                <w:szCs w:val="19"/>
              </w:rPr>
              <w:t>5</w:t>
            </w:r>
            <w:r>
              <w:rPr>
                <w:rFonts w:ascii="Arial" w:hAnsi="Arial" w:cs="Arial"/>
                <w:color w:val="000000"/>
                <w:sz w:val="19"/>
                <w:szCs w:val="19"/>
              </w:rPr>
              <w:t>%</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4B52F74B" w14:textId="21291C75"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4.75%</w:t>
            </w:r>
          </w:p>
        </w:tc>
      </w:tr>
      <w:tr w:rsidR="0092439A" w:rsidRPr="00A40061" w14:paraId="61367334" w14:textId="48E5DD40"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06E8BDA"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March 31</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BF7EB3B" w14:textId="77777777"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3.95% to 4.00%</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287569E0" w14:textId="21860046"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4.05%</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10829BF" w14:textId="7299359C"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w:t>
            </w:r>
            <w:r w:rsidR="00BD288F">
              <w:rPr>
                <w:rFonts w:ascii="Arial" w:hAnsi="Arial" w:cs="Arial"/>
                <w:color w:val="000000"/>
                <w:sz w:val="19"/>
                <w:szCs w:val="19"/>
              </w:rPr>
              <w:t>8</w:t>
            </w:r>
            <w:r>
              <w:rPr>
                <w:rFonts w:ascii="Arial" w:hAnsi="Arial" w:cs="Arial"/>
                <w:color w:val="000000"/>
                <w:sz w:val="19"/>
                <w:szCs w:val="19"/>
              </w:rPr>
              <w:t>5%</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3565B465" w14:textId="4942EA96"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5.00%</w:t>
            </w:r>
          </w:p>
        </w:tc>
      </w:tr>
      <w:tr w:rsidR="0092439A" w:rsidRPr="00A40061" w14:paraId="75187D08" w14:textId="19C65FDC"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0EE849C"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February 28</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9620BAB" w14:textId="7F7B3B42"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3.6</w:t>
            </w:r>
            <w:r w:rsidR="00BD288F">
              <w:rPr>
                <w:rFonts w:ascii="Arial" w:hAnsi="Arial" w:cs="Arial"/>
                <w:color w:val="000000"/>
                <w:sz w:val="19"/>
                <w:szCs w:val="19"/>
              </w:rPr>
              <w:t>5</w:t>
            </w:r>
            <w:r>
              <w:rPr>
                <w:rFonts w:ascii="Arial" w:hAnsi="Arial" w:cs="Arial"/>
                <w:color w:val="000000"/>
                <w:sz w:val="19"/>
                <w:szCs w:val="19"/>
              </w:rPr>
              <w:t>%</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243E510F" w14:textId="7ED02FC4"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3.80%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1668567" w14:textId="359D53C7"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4.90%</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6A58343D" w14:textId="17BE1B74"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4.95%</w:t>
            </w:r>
          </w:p>
        </w:tc>
      </w:tr>
      <w:tr w:rsidR="0092439A" w:rsidRPr="00A40061" w14:paraId="1FB2B2AD" w14:textId="54D906A3"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47819A16" w14:textId="77777777" w:rsidR="0092439A" w:rsidRPr="00A40061" w:rsidRDefault="0092439A" w:rsidP="00A2503F">
            <w:pPr>
              <w:spacing w:after="150" w:line="240" w:lineRule="auto"/>
              <w:rPr>
                <w:rFonts w:ascii="Arial" w:eastAsia="Times New Roman" w:hAnsi="Arial" w:cs="Arial"/>
                <w:color w:val="000000"/>
                <w:sz w:val="19"/>
                <w:szCs w:val="19"/>
                <w:lang w:eastAsia="en-CA"/>
              </w:rPr>
            </w:pPr>
            <w:r>
              <w:rPr>
                <w:rFonts w:ascii="Arial" w:hAnsi="Arial" w:cs="Arial"/>
                <w:color w:val="000000"/>
                <w:sz w:val="19"/>
                <w:szCs w:val="19"/>
              </w:rPr>
              <w:t>January 31</w:t>
            </w:r>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2011356" w14:textId="6FA3DC6C"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3.40%</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0D675739" w14:textId="4EA6651E"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3.60%</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E4F9FD0" w14:textId="7C4C00FC" w:rsidR="0092439A" w:rsidRPr="00A40061" w:rsidRDefault="0092439A" w:rsidP="00A2503F">
            <w:pPr>
              <w:spacing w:after="150" w:line="240" w:lineRule="auto"/>
              <w:jc w:val="center"/>
              <w:rPr>
                <w:rFonts w:ascii="Arial" w:eastAsia="Times New Roman" w:hAnsi="Arial" w:cs="Arial"/>
                <w:color w:val="000000"/>
                <w:sz w:val="19"/>
                <w:szCs w:val="19"/>
                <w:lang w:eastAsia="en-CA"/>
              </w:rPr>
            </w:pPr>
            <w:r>
              <w:rPr>
                <w:rFonts w:ascii="Arial" w:hAnsi="Arial" w:cs="Arial"/>
                <w:color w:val="000000"/>
                <w:sz w:val="19"/>
                <w:szCs w:val="19"/>
              </w:rPr>
              <w:t>4.65%</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24E08C6F" w14:textId="36790FD7" w:rsidR="0092439A" w:rsidRDefault="00BD288F" w:rsidP="00A2503F">
            <w:pPr>
              <w:spacing w:after="150" w:line="240" w:lineRule="auto"/>
              <w:jc w:val="center"/>
              <w:rPr>
                <w:rFonts w:ascii="Arial" w:hAnsi="Arial" w:cs="Arial"/>
                <w:color w:val="000000"/>
                <w:sz w:val="19"/>
                <w:szCs w:val="19"/>
              </w:rPr>
            </w:pPr>
            <w:r>
              <w:rPr>
                <w:rFonts w:ascii="Arial" w:hAnsi="Arial" w:cs="Arial"/>
                <w:color w:val="000000"/>
                <w:sz w:val="19"/>
                <w:szCs w:val="19"/>
              </w:rPr>
              <w:t>4.75%</w:t>
            </w:r>
          </w:p>
        </w:tc>
      </w:tr>
    </w:tbl>
    <w:p w14:paraId="60CF7151" w14:textId="77777777" w:rsidR="0092439A" w:rsidRDefault="0092439A" w:rsidP="00B042F6">
      <w:pPr>
        <w:pStyle w:val="NormalWeb"/>
        <w:spacing w:before="150" w:beforeAutospacing="0" w:after="150" w:afterAutospacing="0"/>
        <w:ind w:right="150"/>
        <w:rPr>
          <w:rFonts w:ascii="Arial" w:hAnsi="Arial" w:cs="Arial"/>
          <w:color w:val="000000"/>
          <w:sz w:val="19"/>
          <w:szCs w:val="19"/>
          <w:shd w:val="clear" w:color="auto" w:fill="FFFFFF"/>
        </w:rPr>
      </w:pPr>
    </w:p>
    <w:p w14:paraId="5732B279" w14:textId="66BE60DC" w:rsidR="00B042F6" w:rsidRDefault="00B042F6" w:rsidP="00B042F6">
      <w:pPr>
        <w:pStyle w:val="NormalWeb"/>
        <w:shd w:val="clear" w:color="auto" w:fill="FFFFFF"/>
        <w:spacing w:before="0" w:beforeAutospacing="0" w:after="150" w:afterAutospacing="0"/>
        <w:rPr>
          <w:rFonts w:ascii="Arial" w:hAnsi="Arial" w:cs="Arial"/>
          <w:color w:val="000000"/>
          <w:sz w:val="19"/>
          <w:szCs w:val="19"/>
        </w:rPr>
      </w:pPr>
      <w:r>
        <w:rPr>
          <w:rFonts w:ascii="Arial" w:hAnsi="Arial" w:cs="Arial"/>
          <w:color w:val="000000"/>
          <w:sz w:val="19"/>
          <w:szCs w:val="19"/>
        </w:rPr>
        <w:t>The ra</w:t>
      </w:r>
      <w:r w:rsidR="0092439A">
        <w:rPr>
          <w:rFonts w:ascii="Arial" w:hAnsi="Arial" w:cs="Arial"/>
          <w:color w:val="000000"/>
          <w:sz w:val="19"/>
          <w:szCs w:val="19"/>
        </w:rPr>
        <w:t>tes</w:t>
      </w:r>
      <w:r>
        <w:rPr>
          <w:rFonts w:ascii="Arial" w:hAnsi="Arial" w:cs="Arial"/>
          <w:color w:val="000000"/>
          <w:sz w:val="19"/>
          <w:szCs w:val="19"/>
        </w:rPr>
        <w:t xml:space="preserve"> provided above are applicable to typical pension</w:t>
      </w:r>
      <w:r w:rsidR="0097198C">
        <w:rPr>
          <w:rFonts w:ascii="Arial" w:hAnsi="Arial" w:cs="Arial"/>
          <w:color w:val="000000"/>
          <w:sz w:val="19"/>
          <w:szCs w:val="19"/>
        </w:rPr>
        <w:t xml:space="preserve"> and benefit</w:t>
      </w:r>
      <w:r>
        <w:rPr>
          <w:rFonts w:ascii="Arial" w:hAnsi="Arial" w:cs="Arial"/>
          <w:color w:val="000000"/>
          <w:sz w:val="19"/>
          <w:szCs w:val="19"/>
        </w:rPr>
        <w:t xml:space="preserve"> plans and may not be appropriate in certain cases. </w:t>
      </w:r>
    </w:p>
    <w:p w14:paraId="4EF5B18F" w14:textId="18298B44" w:rsidR="00B042F6" w:rsidRDefault="00806EAD" w:rsidP="00B042F6">
      <w:pPr>
        <w:pStyle w:val="NormalWeb"/>
        <w:shd w:val="clear" w:color="auto" w:fill="FFFFFF"/>
        <w:spacing w:before="0" w:beforeAutospacing="0" w:after="150" w:afterAutospacing="0"/>
        <w:rPr>
          <w:rFonts w:ascii="Arial" w:hAnsi="Arial" w:cs="Arial"/>
          <w:color w:val="000000"/>
          <w:sz w:val="19"/>
          <w:szCs w:val="19"/>
        </w:rPr>
      </w:pPr>
      <w:r>
        <w:rPr>
          <w:rFonts w:ascii="Arial" w:hAnsi="Arial" w:cs="Arial"/>
          <w:color w:val="000000"/>
          <w:sz w:val="19"/>
          <w:szCs w:val="19"/>
          <w:shd w:val="clear" w:color="auto" w:fill="FFFFFF"/>
        </w:rPr>
        <w:t>Certain</w:t>
      </w:r>
      <w:r w:rsidR="00DD1882">
        <w:rPr>
          <w:rFonts w:ascii="Arial" w:hAnsi="Arial" w:cs="Arial"/>
          <w:color w:val="000000"/>
          <w:sz w:val="19"/>
          <w:szCs w:val="19"/>
          <w:shd w:val="clear" w:color="auto" w:fill="FFFFFF"/>
        </w:rPr>
        <w:t xml:space="preserve"> yield curves </w:t>
      </w:r>
      <w:r>
        <w:rPr>
          <w:rFonts w:ascii="Arial" w:hAnsi="Arial" w:cs="Arial"/>
          <w:color w:val="000000"/>
          <w:sz w:val="19"/>
          <w:szCs w:val="19"/>
          <w:shd w:val="clear" w:color="auto" w:fill="FFFFFF"/>
        </w:rPr>
        <w:t>provided above</w:t>
      </w:r>
      <w:r w:rsidR="00DD1882">
        <w:rPr>
          <w:rFonts w:ascii="Arial" w:hAnsi="Arial" w:cs="Arial"/>
          <w:color w:val="000000"/>
          <w:sz w:val="19"/>
          <w:szCs w:val="19"/>
          <w:shd w:val="clear" w:color="auto" w:fill="FFFFFF"/>
        </w:rPr>
        <w:t xml:space="preserve"> are flat from duration 14 years to 24 years. As such, the low end of the range and the high end of the range results at the same rate.</w:t>
      </w:r>
      <w:r w:rsidR="00935EFB">
        <w:rPr>
          <w:rFonts w:ascii="Arial" w:hAnsi="Arial" w:cs="Arial"/>
          <w:color w:val="000000"/>
          <w:sz w:val="19"/>
          <w:szCs w:val="19"/>
          <w:shd w:val="clear" w:color="auto" w:fill="FFFFFF"/>
        </w:rPr>
        <w:t xml:space="preserve"> </w:t>
      </w:r>
      <w:r w:rsidR="004B7FF8">
        <w:rPr>
          <w:rFonts w:ascii="Arial" w:hAnsi="Arial" w:cs="Arial"/>
          <w:color w:val="000000"/>
          <w:sz w:val="19"/>
          <w:szCs w:val="19"/>
          <w:shd w:val="clear" w:color="auto" w:fill="FFFFFF"/>
        </w:rPr>
        <w:t>Note that</w:t>
      </w:r>
      <w:r w:rsidR="005837E2">
        <w:rPr>
          <w:rFonts w:ascii="Arial" w:hAnsi="Arial" w:cs="Arial"/>
          <w:color w:val="000000"/>
          <w:sz w:val="19"/>
          <w:szCs w:val="19"/>
          <w:shd w:val="clear" w:color="auto" w:fill="FFFFFF"/>
        </w:rPr>
        <w:t xml:space="preserve"> for</w:t>
      </w:r>
      <w:r w:rsidR="00935EFB">
        <w:rPr>
          <w:rFonts w:ascii="Arial" w:hAnsi="Arial" w:cs="Arial"/>
          <w:color w:val="000000"/>
          <w:sz w:val="19"/>
          <w:szCs w:val="19"/>
          <w:shd w:val="clear" w:color="auto" w:fill="FFFFFF"/>
        </w:rPr>
        <w:t xml:space="preserve"> a few of the months presented</w:t>
      </w:r>
      <w:r w:rsidR="005837E2">
        <w:rPr>
          <w:rFonts w:ascii="Arial" w:hAnsi="Arial" w:cs="Arial"/>
          <w:color w:val="000000"/>
          <w:sz w:val="19"/>
          <w:szCs w:val="19"/>
          <w:shd w:val="clear" w:color="auto" w:fill="FFFFFF"/>
        </w:rPr>
        <w:t>,</w:t>
      </w:r>
      <w:r w:rsidR="00935EFB">
        <w:rPr>
          <w:rFonts w:ascii="Arial" w:hAnsi="Arial" w:cs="Arial"/>
          <w:color w:val="000000"/>
          <w:sz w:val="19"/>
          <w:szCs w:val="19"/>
          <w:shd w:val="clear" w:color="auto" w:fill="FFFFFF"/>
        </w:rPr>
        <w:t xml:space="preserve"> the yield curve is slightly inverted leading to </w:t>
      </w:r>
      <w:r w:rsidR="004B7FF8">
        <w:rPr>
          <w:rFonts w:ascii="Arial" w:hAnsi="Arial" w:cs="Arial"/>
          <w:color w:val="000000"/>
          <w:sz w:val="19"/>
          <w:szCs w:val="19"/>
          <w:shd w:val="clear" w:color="auto" w:fill="FFFFFF"/>
        </w:rPr>
        <w:t xml:space="preserve">lower </w:t>
      </w:r>
      <w:r w:rsidR="00935EFB">
        <w:rPr>
          <w:rFonts w:ascii="Arial" w:hAnsi="Arial" w:cs="Arial"/>
          <w:color w:val="000000"/>
          <w:sz w:val="19"/>
          <w:szCs w:val="19"/>
          <w:shd w:val="clear" w:color="auto" w:fill="FFFFFF"/>
        </w:rPr>
        <w:t xml:space="preserve">rates at </w:t>
      </w:r>
      <w:r w:rsidR="004B7FF8">
        <w:rPr>
          <w:rFonts w:ascii="Arial" w:hAnsi="Arial" w:cs="Arial"/>
          <w:color w:val="000000"/>
          <w:sz w:val="19"/>
          <w:szCs w:val="19"/>
          <w:shd w:val="clear" w:color="auto" w:fill="FFFFFF"/>
        </w:rPr>
        <w:t xml:space="preserve">a </w:t>
      </w:r>
      <w:r w:rsidR="00935EFB">
        <w:rPr>
          <w:rFonts w:ascii="Arial" w:hAnsi="Arial" w:cs="Arial"/>
          <w:color w:val="000000"/>
          <w:sz w:val="19"/>
          <w:szCs w:val="19"/>
          <w:shd w:val="clear" w:color="auto" w:fill="FFFFFF"/>
        </w:rPr>
        <w:t>higher duration.</w:t>
      </w:r>
    </w:p>
    <w:p w14:paraId="7294A874" w14:textId="77777777" w:rsidR="00E33E22" w:rsidRPr="00E33E22" w:rsidRDefault="00E33E22">
      <w:pPr>
        <w:rPr>
          <w:rFonts w:ascii="Arial" w:eastAsia="Times New Roman" w:hAnsi="Arial" w:cs="Arial"/>
          <w:color w:val="000000"/>
          <w:sz w:val="24"/>
          <w:szCs w:val="24"/>
          <w:u w:val="single"/>
          <w:lang w:eastAsia="en-CA"/>
        </w:rPr>
      </w:pPr>
      <w:r w:rsidRPr="00E33E22">
        <w:rPr>
          <w:rFonts w:ascii="Arial" w:eastAsia="Times New Roman" w:hAnsi="Arial" w:cs="Arial"/>
          <w:color w:val="000000"/>
          <w:sz w:val="24"/>
          <w:szCs w:val="24"/>
          <w:u w:val="single"/>
          <w:lang w:eastAsia="en-CA"/>
        </w:rPr>
        <w:t>Additional Guidance:</w:t>
      </w:r>
    </w:p>
    <w:p w14:paraId="2FFCD629" w14:textId="34FF1657" w:rsidR="00E33E22" w:rsidRDefault="00E33E22" w:rsidP="00E33E22">
      <w:pPr>
        <w:pStyle w:val="NormalWeb"/>
        <w:numPr>
          <w:ilvl w:val="0"/>
          <w:numId w:val="13"/>
        </w:numPr>
        <w:spacing w:before="150" w:beforeAutospacing="0" w:after="150" w:afterAutospacing="0"/>
        <w:ind w:left="360" w:right="300"/>
        <w:rPr>
          <w:rFonts w:ascii="Arial" w:hAnsi="Arial" w:cs="Arial"/>
          <w:color w:val="000000"/>
          <w:sz w:val="19"/>
          <w:szCs w:val="19"/>
        </w:rPr>
      </w:pPr>
      <w:r>
        <w:rPr>
          <w:rFonts w:ascii="Arial" w:hAnsi="Arial" w:cs="Arial"/>
          <w:color w:val="000000"/>
          <w:sz w:val="19"/>
          <w:szCs w:val="19"/>
        </w:rPr>
        <w:t>We expect that the discount rate for a typical pension</w:t>
      </w:r>
      <w:r w:rsidR="0097198C">
        <w:rPr>
          <w:rFonts w:ascii="Arial" w:hAnsi="Arial" w:cs="Arial"/>
          <w:color w:val="000000"/>
          <w:sz w:val="19"/>
          <w:szCs w:val="19"/>
        </w:rPr>
        <w:t xml:space="preserve"> and benefit</w:t>
      </w:r>
      <w:r>
        <w:rPr>
          <w:rFonts w:ascii="Arial" w:hAnsi="Arial" w:cs="Arial"/>
          <w:color w:val="000000"/>
          <w:sz w:val="19"/>
          <w:szCs w:val="19"/>
        </w:rPr>
        <w:t xml:space="preserve"> plan falls within the range set out above.</w:t>
      </w:r>
    </w:p>
    <w:p w14:paraId="11B0B7B7" w14:textId="07A0EBB0" w:rsidR="00E33E22" w:rsidRDefault="00E33E22" w:rsidP="00E33E22">
      <w:pPr>
        <w:pStyle w:val="NormalWeb"/>
        <w:numPr>
          <w:ilvl w:val="0"/>
          <w:numId w:val="13"/>
        </w:numPr>
        <w:spacing w:before="150" w:beforeAutospacing="0" w:after="150" w:afterAutospacing="0"/>
        <w:ind w:left="360" w:right="300"/>
        <w:rPr>
          <w:rFonts w:ascii="Arial" w:hAnsi="Arial" w:cs="Arial"/>
          <w:color w:val="000000"/>
          <w:sz w:val="19"/>
          <w:szCs w:val="19"/>
        </w:rPr>
      </w:pPr>
      <w:r>
        <w:rPr>
          <w:rFonts w:ascii="Arial" w:hAnsi="Arial" w:cs="Arial"/>
          <w:color w:val="000000"/>
          <w:sz w:val="19"/>
          <w:szCs w:val="19"/>
        </w:rPr>
        <w:t>If the discount rate is outside the reasonable range it does not necessarily imply it is wrong; however the audit team should consider obtaining additional support from management.</w:t>
      </w:r>
      <w:r w:rsidR="0097198C">
        <w:rPr>
          <w:rFonts w:ascii="Arial" w:hAnsi="Arial" w:cs="Arial"/>
          <w:color w:val="000000"/>
          <w:sz w:val="19"/>
          <w:szCs w:val="19"/>
        </w:rPr>
        <w:t xml:space="preserve"> I</w:t>
      </w:r>
      <w:r w:rsidR="0097198C" w:rsidRPr="0097198C">
        <w:rPr>
          <w:rFonts w:ascii="Arial" w:hAnsi="Arial" w:cs="Arial"/>
          <w:color w:val="000000"/>
          <w:sz w:val="19"/>
          <w:szCs w:val="19"/>
        </w:rPr>
        <w:t>n practice we do observe that proprietary curves from actuarial firms will tend to produce rates that could be about 10-15</w:t>
      </w:r>
      <w:r w:rsidR="0097198C">
        <w:rPr>
          <w:rFonts w:ascii="Arial" w:hAnsi="Arial" w:cs="Arial"/>
          <w:color w:val="000000"/>
          <w:sz w:val="19"/>
          <w:szCs w:val="19"/>
        </w:rPr>
        <w:t xml:space="preserve"> </w:t>
      </w:r>
      <w:r w:rsidR="00935EFB">
        <w:rPr>
          <w:rFonts w:ascii="Arial" w:hAnsi="Arial" w:cs="Arial"/>
          <w:color w:val="000000"/>
          <w:sz w:val="19"/>
          <w:szCs w:val="19"/>
        </w:rPr>
        <w:t>bps</w:t>
      </w:r>
      <w:r w:rsidR="00935EFB" w:rsidRPr="0097198C">
        <w:rPr>
          <w:rFonts w:ascii="Arial" w:hAnsi="Arial" w:cs="Arial"/>
          <w:color w:val="000000"/>
          <w:sz w:val="19"/>
          <w:szCs w:val="19"/>
        </w:rPr>
        <w:t xml:space="preserve"> </w:t>
      </w:r>
      <w:r w:rsidR="0097198C" w:rsidRPr="0097198C">
        <w:rPr>
          <w:rFonts w:ascii="Arial" w:hAnsi="Arial" w:cs="Arial"/>
          <w:color w:val="000000"/>
          <w:sz w:val="19"/>
          <w:szCs w:val="19"/>
        </w:rPr>
        <w:t>above / below the range</w:t>
      </w:r>
      <w:r w:rsidR="0097198C">
        <w:rPr>
          <w:rFonts w:ascii="Arial" w:hAnsi="Arial" w:cs="Arial"/>
          <w:color w:val="000000"/>
          <w:sz w:val="19"/>
          <w:szCs w:val="19"/>
        </w:rPr>
        <w:t>.</w:t>
      </w:r>
    </w:p>
    <w:p w14:paraId="4384B2A2" w14:textId="77777777" w:rsidR="00E33E22" w:rsidRDefault="00E33E22" w:rsidP="00E33E22">
      <w:pPr>
        <w:pStyle w:val="NormalWeb"/>
        <w:numPr>
          <w:ilvl w:val="0"/>
          <w:numId w:val="13"/>
        </w:numPr>
        <w:spacing w:before="150" w:beforeAutospacing="0" w:after="150" w:afterAutospacing="0"/>
        <w:ind w:left="360" w:right="300"/>
        <w:rPr>
          <w:rFonts w:ascii="Arial" w:hAnsi="Arial" w:cs="Arial"/>
          <w:color w:val="000000"/>
          <w:sz w:val="19"/>
          <w:szCs w:val="19"/>
        </w:rPr>
      </w:pPr>
      <w:r>
        <w:rPr>
          <w:rFonts w:ascii="Arial" w:hAnsi="Arial" w:cs="Arial"/>
          <w:color w:val="000000"/>
          <w:sz w:val="19"/>
          <w:szCs w:val="19"/>
        </w:rPr>
        <w:t>We expect consistency within the range year over year. For example, for plans with a discount rate that fell near the high end of the reasonable range last year, they would also fall near the high end of the reasonable range this year.</w:t>
      </w:r>
    </w:p>
    <w:p w14:paraId="7BAD6BFD" w14:textId="3E2EA4F3" w:rsidR="00E33E22" w:rsidRPr="00E33E22" w:rsidRDefault="00E33E22" w:rsidP="00E33E22">
      <w:pPr>
        <w:pStyle w:val="NormalWeb"/>
        <w:numPr>
          <w:ilvl w:val="2"/>
          <w:numId w:val="13"/>
        </w:numPr>
        <w:spacing w:before="150" w:beforeAutospacing="0" w:after="150" w:afterAutospacing="0"/>
        <w:ind w:left="360" w:right="300"/>
        <w:rPr>
          <w:rFonts w:ascii="Arial" w:hAnsi="Arial" w:cs="Arial"/>
          <w:color w:val="000000"/>
          <w:sz w:val="19"/>
          <w:szCs w:val="19"/>
        </w:rPr>
      </w:pPr>
      <w:r>
        <w:rPr>
          <w:rFonts w:ascii="Arial" w:hAnsi="Arial" w:cs="Arial"/>
          <w:color w:val="000000"/>
          <w:sz w:val="19"/>
          <w:szCs w:val="19"/>
        </w:rPr>
        <w:lastRenderedPageBreak/>
        <w:t xml:space="preserve">Duration - </w:t>
      </w:r>
      <w:r>
        <w:rPr>
          <w:rFonts w:ascii="Arial" w:hAnsi="Arial" w:cs="Arial"/>
          <w:color w:val="000000"/>
          <w:sz w:val="19"/>
          <w:szCs w:val="19"/>
          <w:shd w:val="clear" w:color="auto" w:fill="FFFFFF"/>
        </w:rPr>
        <w:t>The duration of a pension</w:t>
      </w:r>
      <w:r w:rsidR="0097198C">
        <w:rPr>
          <w:rFonts w:ascii="Arial" w:hAnsi="Arial" w:cs="Arial"/>
          <w:color w:val="000000"/>
          <w:sz w:val="19"/>
          <w:szCs w:val="19"/>
          <w:shd w:val="clear" w:color="auto" w:fill="FFFFFF"/>
        </w:rPr>
        <w:t xml:space="preserve"> and benefit</w:t>
      </w:r>
      <w:r>
        <w:rPr>
          <w:rFonts w:ascii="Arial" w:hAnsi="Arial" w:cs="Arial"/>
          <w:color w:val="000000"/>
          <w:sz w:val="19"/>
          <w:szCs w:val="19"/>
          <w:shd w:val="clear" w:color="auto" w:fill="FFFFFF"/>
        </w:rPr>
        <w:t xml:space="preserve"> plan is a similar concept to the duration of a bond. Duration measures the defined benefit obligation sensitivity to a change in the accounting discount rate. </w:t>
      </w:r>
      <w:r w:rsidR="0097198C">
        <w:rPr>
          <w:rFonts w:ascii="Arial" w:hAnsi="Arial" w:cs="Arial"/>
          <w:color w:val="000000"/>
          <w:sz w:val="19"/>
          <w:szCs w:val="19"/>
          <w:shd w:val="clear" w:color="auto" w:fill="FFFFFF"/>
        </w:rPr>
        <w:t xml:space="preserve">In practice the </w:t>
      </w:r>
      <w:r>
        <w:rPr>
          <w:rFonts w:ascii="Arial" w:hAnsi="Arial" w:cs="Arial"/>
          <w:color w:val="000000"/>
          <w:sz w:val="19"/>
          <w:szCs w:val="19"/>
          <w:shd w:val="clear" w:color="auto" w:fill="FFFFFF"/>
        </w:rPr>
        <w:t>lower the accounting discount rate, the higher the obligation. At a certain level of discount rate the duration represents the slope of the “obligation curve”. If a plan has a duration of 15 (or 15 years), this means that for a 1% change in the discount rate, the obligation will change by 15%. The actuaries normally calculate the duration by recalculating the obligation at a slightly different discount rate, and determining the percentage change in the obligation divided by the change in the discount rate. The duration also represents the weighted average time until the expected benefit payments of the plan are paid.</w:t>
      </w:r>
      <w:r>
        <w:rPr>
          <w:rFonts w:ascii="Arial" w:hAnsi="Arial" w:cs="Arial"/>
          <w:color w:val="000000"/>
          <w:sz w:val="19"/>
          <w:szCs w:val="19"/>
        </w:rPr>
        <w:t xml:space="preserve"> </w:t>
      </w:r>
    </w:p>
    <w:p w14:paraId="31266FF2" w14:textId="77777777" w:rsidR="00DD55F9" w:rsidRDefault="00DD55F9" w:rsidP="00E33E22">
      <w:pPr>
        <w:spacing w:before="150" w:after="150" w:line="240" w:lineRule="auto"/>
        <w:ind w:right="150"/>
        <w:rPr>
          <w:rFonts w:ascii="Arial" w:eastAsia="Times New Roman" w:hAnsi="Arial" w:cs="Arial"/>
          <w:color w:val="000000"/>
          <w:kern w:val="36"/>
          <w:sz w:val="33"/>
          <w:szCs w:val="33"/>
          <w:lang w:eastAsia="en-CA"/>
        </w:rPr>
      </w:pPr>
    </w:p>
    <w:p w14:paraId="033CDF9F" w14:textId="271A25BC" w:rsidR="00CF3884" w:rsidRDefault="00CF3884" w:rsidP="00E33E22">
      <w:pPr>
        <w:spacing w:before="150" w:after="150" w:line="240" w:lineRule="auto"/>
        <w:ind w:right="150"/>
        <w:rPr>
          <w:rFonts w:ascii="Arial" w:eastAsia="Times New Roman" w:hAnsi="Arial" w:cs="Arial"/>
          <w:color w:val="000000"/>
          <w:kern w:val="36"/>
          <w:sz w:val="33"/>
          <w:szCs w:val="33"/>
          <w:lang w:eastAsia="en-CA"/>
        </w:rPr>
      </w:pPr>
      <w:r>
        <w:rPr>
          <w:rFonts w:ascii="Arial" w:eastAsia="Times New Roman" w:hAnsi="Arial" w:cs="Arial"/>
          <w:color w:val="000000"/>
          <w:kern w:val="36"/>
          <w:sz w:val="33"/>
          <w:szCs w:val="33"/>
          <w:lang w:eastAsia="en-CA"/>
        </w:rPr>
        <w:t xml:space="preserve">Annual </w:t>
      </w:r>
      <w:r w:rsidR="00A40061">
        <w:rPr>
          <w:rFonts w:ascii="Arial" w:eastAsia="Times New Roman" w:hAnsi="Arial" w:cs="Arial"/>
          <w:color w:val="000000"/>
          <w:kern w:val="36"/>
          <w:sz w:val="33"/>
          <w:szCs w:val="33"/>
          <w:lang w:eastAsia="en-CA"/>
        </w:rPr>
        <w:t>Guidance on all assumptions (other than the discount rate)</w:t>
      </w:r>
    </w:p>
    <w:p w14:paraId="2CEE551F" w14:textId="54386A6B" w:rsidR="0061175A" w:rsidRDefault="0061175A" w:rsidP="00437485">
      <w:pPr>
        <w:pStyle w:val="NormalWeb"/>
        <w:rPr>
          <w:rFonts w:ascii="Arial" w:hAnsi="Arial" w:cs="Arial"/>
          <w:color w:val="000000"/>
          <w:sz w:val="19"/>
          <w:szCs w:val="19"/>
        </w:rPr>
      </w:pPr>
      <w:r>
        <w:rPr>
          <w:rFonts w:ascii="Arial" w:hAnsi="Arial" w:cs="Arial"/>
          <w:color w:val="000000"/>
          <w:sz w:val="19"/>
          <w:szCs w:val="19"/>
        </w:rPr>
        <w:t xml:space="preserve">This </w:t>
      </w:r>
      <w:r w:rsidR="00DD55F9">
        <w:rPr>
          <w:rFonts w:ascii="Arial" w:hAnsi="Arial" w:cs="Arial"/>
          <w:color w:val="000000"/>
          <w:sz w:val="19"/>
          <w:szCs w:val="19"/>
        </w:rPr>
        <w:t>section</w:t>
      </w:r>
      <w:r w:rsidR="00437485" w:rsidRPr="0092002C">
        <w:rPr>
          <w:rFonts w:ascii="Arial" w:hAnsi="Arial" w:cs="Arial"/>
          <w:color w:val="000000"/>
          <w:sz w:val="19"/>
          <w:szCs w:val="19"/>
        </w:rPr>
        <w:t xml:space="preserve"> </w:t>
      </w:r>
      <w:r w:rsidR="00DD55F9">
        <w:rPr>
          <w:rFonts w:ascii="Arial" w:hAnsi="Arial" w:cs="Arial"/>
          <w:color w:val="000000"/>
          <w:sz w:val="19"/>
          <w:szCs w:val="19"/>
        </w:rPr>
        <w:t>supports</w:t>
      </w:r>
      <w:r w:rsidR="00DD55F9" w:rsidRPr="0092002C">
        <w:rPr>
          <w:rFonts w:ascii="Arial" w:hAnsi="Arial" w:cs="Arial"/>
          <w:color w:val="000000"/>
          <w:sz w:val="19"/>
          <w:szCs w:val="19"/>
        </w:rPr>
        <w:t xml:space="preserve"> </w:t>
      </w:r>
      <w:r w:rsidR="00437485" w:rsidRPr="0092002C">
        <w:rPr>
          <w:rFonts w:ascii="Arial" w:hAnsi="Arial" w:cs="Arial"/>
          <w:color w:val="000000"/>
          <w:sz w:val="19"/>
          <w:szCs w:val="19"/>
        </w:rPr>
        <w:t>auditors in assessing key actuarial assumptions used in the valuation of defined benefit obligations for employee benefit plans</w:t>
      </w:r>
      <w:r>
        <w:rPr>
          <w:rFonts w:ascii="Arial" w:hAnsi="Arial" w:cs="Arial"/>
          <w:color w:val="000000"/>
          <w:sz w:val="19"/>
          <w:szCs w:val="19"/>
        </w:rPr>
        <w:t xml:space="preserve"> at December 31</w:t>
      </w:r>
      <w:r w:rsidRPr="0061175A">
        <w:rPr>
          <w:rFonts w:ascii="Arial" w:hAnsi="Arial" w:cs="Arial"/>
          <w:color w:val="000000"/>
          <w:sz w:val="19"/>
          <w:szCs w:val="19"/>
          <w:vertAlign w:val="superscript"/>
        </w:rPr>
        <w:t>st</w:t>
      </w:r>
      <w:r>
        <w:rPr>
          <w:rFonts w:ascii="Arial" w:hAnsi="Arial" w:cs="Arial"/>
          <w:color w:val="000000"/>
          <w:sz w:val="19"/>
          <w:szCs w:val="19"/>
        </w:rPr>
        <w:t>.The selection of assumptions is a matter of judgment and auditors need to consider the key assumptions each year. Each assumption should be based on the experience of each plan and management’s expectation for the future.</w:t>
      </w:r>
    </w:p>
    <w:p w14:paraId="7A858876" w14:textId="1BB23D21" w:rsidR="0061175A" w:rsidRDefault="006C27E8" w:rsidP="00437485">
      <w:pPr>
        <w:pStyle w:val="NormalWeb"/>
        <w:rPr>
          <w:rFonts w:ascii="Arial" w:hAnsi="Arial" w:cs="Arial"/>
          <w:color w:val="000000"/>
          <w:sz w:val="19"/>
          <w:szCs w:val="19"/>
        </w:rPr>
      </w:pPr>
      <w:r>
        <w:rPr>
          <w:rFonts w:ascii="Arial" w:hAnsi="Arial" w:cs="Arial"/>
          <w:color w:val="000000"/>
          <w:sz w:val="19"/>
          <w:szCs w:val="19"/>
        </w:rPr>
        <w:t xml:space="preserve">All actuarial assumptions other than the discount rate are long term in nature. </w:t>
      </w:r>
      <w:r w:rsidR="0061175A">
        <w:rPr>
          <w:rFonts w:ascii="Arial" w:hAnsi="Arial" w:cs="Arial"/>
          <w:color w:val="000000"/>
          <w:sz w:val="19"/>
          <w:szCs w:val="19"/>
        </w:rPr>
        <w:t>The ra</w:t>
      </w:r>
      <w:r w:rsidR="006878D0">
        <w:rPr>
          <w:rFonts w:ascii="Arial" w:hAnsi="Arial" w:cs="Arial"/>
          <w:color w:val="000000"/>
          <w:sz w:val="19"/>
          <w:szCs w:val="19"/>
        </w:rPr>
        <w:t>n</w:t>
      </w:r>
      <w:r w:rsidR="0061175A">
        <w:rPr>
          <w:rFonts w:ascii="Arial" w:hAnsi="Arial" w:cs="Arial"/>
          <w:color w:val="000000"/>
          <w:sz w:val="19"/>
          <w:szCs w:val="19"/>
        </w:rPr>
        <w:t xml:space="preserve">ges noted </w:t>
      </w:r>
      <w:r w:rsidR="0061175A">
        <w:rPr>
          <w:rFonts w:ascii="Arial" w:hAnsi="Arial" w:cs="Arial"/>
          <w:color w:val="000000"/>
          <w:sz w:val="19"/>
          <w:szCs w:val="19"/>
        </w:rPr>
        <w:t xml:space="preserve">in this </w:t>
      </w:r>
      <w:r w:rsidR="004F5D72">
        <w:rPr>
          <w:rFonts w:ascii="Arial" w:hAnsi="Arial" w:cs="Arial"/>
          <w:color w:val="000000"/>
          <w:sz w:val="19"/>
          <w:szCs w:val="19"/>
        </w:rPr>
        <w:t>section</w:t>
      </w:r>
      <w:r w:rsidR="0061175A">
        <w:rPr>
          <w:rFonts w:ascii="Arial" w:hAnsi="Arial" w:cs="Arial"/>
          <w:color w:val="000000"/>
          <w:sz w:val="19"/>
          <w:szCs w:val="19"/>
        </w:rPr>
        <w:t xml:space="preserve"> </w:t>
      </w:r>
      <w:r w:rsidR="0061175A">
        <w:rPr>
          <w:rFonts w:ascii="Arial" w:hAnsi="Arial" w:cs="Arial"/>
          <w:color w:val="000000"/>
          <w:sz w:val="19"/>
          <w:szCs w:val="19"/>
        </w:rPr>
        <w:t xml:space="preserve">are applicable to typical employee benefit plans and may not be appropriate in certain cases. </w:t>
      </w:r>
    </w:p>
    <w:tbl>
      <w:tblPr>
        <w:tblStyle w:val="TableGrid"/>
        <w:tblW w:w="0" w:type="auto"/>
        <w:tblLook w:val="04A0" w:firstRow="1" w:lastRow="0" w:firstColumn="1" w:lastColumn="0" w:noHBand="0" w:noVBand="1"/>
      </w:tblPr>
      <w:tblGrid>
        <w:gridCol w:w="1346"/>
        <w:gridCol w:w="8004"/>
      </w:tblGrid>
      <w:tr w:rsidR="0061175A" w14:paraId="74D9CC4D" w14:textId="77777777" w:rsidTr="006C27E8">
        <w:tc>
          <w:tcPr>
            <w:tcW w:w="1346" w:type="dxa"/>
          </w:tcPr>
          <w:p w14:paraId="60A07785" w14:textId="230FD031" w:rsidR="0061175A" w:rsidRPr="0061175A" w:rsidRDefault="0061175A">
            <w:pPr>
              <w:rPr>
                <w:rFonts w:ascii="Arial" w:eastAsia="Times New Roman" w:hAnsi="Arial" w:cs="Arial"/>
                <w:b/>
                <w:bCs/>
                <w:color w:val="000000"/>
                <w:sz w:val="19"/>
                <w:szCs w:val="19"/>
                <w:lang w:eastAsia="en-CA"/>
              </w:rPr>
            </w:pPr>
            <w:r w:rsidRPr="0061175A">
              <w:rPr>
                <w:rFonts w:ascii="Arial" w:eastAsia="Times New Roman" w:hAnsi="Arial" w:cs="Arial"/>
                <w:b/>
                <w:bCs/>
                <w:color w:val="000000"/>
                <w:sz w:val="19"/>
                <w:szCs w:val="19"/>
                <w:lang w:eastAsia="en-CA"/>
              </w:rPr>
              <w:t>Assumption</w:t>
            </w:r>
          </w:p>
        </w:tc>
        <w:tc>
          <w:tcPr>
            <w:tcW w:w="8004" w:type="dxa"/>
          </w:tcPr>
          <w:p w14:paraId="071612BF" w14:textId="28F89A6D" w:rsidR="0061175A" w:rsidRPr="0061175A" w:rsidRDefault="0061175A">
            <w:pPr>
              <w:rPr>
                <w:rFonts w:ascii="Arial" w:eastAsia="Times New Roman" w:hAnsi="Arial" w:cs="Arial"/>
                <w:b/>
                <w:bCs/>
                <w:color w:val="000000"/>
                <w:sz w:val="19"/>
                <w:szCs w:val="19"/>
                <w:lang w:eastAsia="en-CA"/>
              </w:rPr>
            </w:pPr>
            <w:r w:rsidRPr="0061175A">
              <w:rPr>
                <w:rFonts w:ascii="Arial" w:eastAsia="Times New Roman" w:hAnsi="Arial" w:cs="Arial"/>
                <w:b/>
                <w:bCs/>
                <w:color w:val="000000"/>
                <w:sz w:val="19"/>
                <w:szCs w:val="19"/>
                <w:lang w:eastAsia="en-CA"/>
              </w:rPr>
              <w:t>Guidance</w:t>
            </w:r>
          </w:p>
        </w:tc>
      </w:tr>
      <w:tr w:rsidR="0061175A" w14:paraId="39151F10" w14:textId="77777777" w:rsidTr="006C27E8">
        <w:tc>
          <w:tcPr>
            <w:tcW w:w="1346" w:type="dxa"/>
          </w:tcPr>
          <w:p w14:paraId="259B0778" w14:textId="748FBF8F" w:rsidR="0061175A" w:rsidRDefault="0061175A">
            <w:pPr>
              <w:rPr>
                <w:rFonts w:ascii="Arial" w:eastAsia="Times New Roman" w:hAnsi="Arial" w:cs="Arial"/>
                <w:b/>
                <w:bCs/>
                <w:color w:val="000000"/>
                <w:sz w:val="27"/>
                <w:szCs w:val="27"/>
                <w:lang w:eastAsia="en-CA"/>
              </w:rPr>
            </w:pPr>
            <w:r w:rsidRPr="0061175A">
              <w:rPr>
                <w:rFonts w:ascii="Arial" w:eastAsia="Times New Roman" w:hAnsi="Arial" w:cs="Arial"/>
                <w:sz w:val="19"/>
                <w:szCs w:val="19"/>
                <w:lang w:val="en" w:eastAsia="en-CA"/>
              </w:rPr>
              <w:t>Inflation Assumption</w:t>
            </w:r>
          </w:p>
        </w:tc>
        <w:tc>
          <w:tcPr>
            <w:tcW w:w="8004" w:type="dxa"/>
          </w:tcPr>
          <w:p w14:paraId="477A477B" w14:textId="59CFEDE6" w:rsidR="0061175A" w:rsidRPr="00C27AFD" w:rsidRDefault="0061175A">
            <w:pPr>
              <w:rPr>
                <w:rFonts w:ascii="Arial" w:eastAsia="Times New Roman" w:hAnsi="Arial" w:cs="Arial"/>
                <w:b/>
                <w:bCs/>
                <w:color w:val="000000"/>
                <w:sz w:val="27"/>
                <w:szCs w:val="27"/>
                <w:lang w:eastAsia="en-CA"/>
              </w:rPr>
            </w:pPr>
            <w:r w:rsidRPr="00C27AFD">
              <w:rPr>
                <w:rFonts w:ascii="Arial" w:eastAsia="Times New Roman" w:hAnsi="Arial" w:cs="Arial"/>
                <w:sz w:val="19"/>
                <w:szCs w:val="19"/>
                <w:lang w:val="en" w:eastAsia="en-CA"/>
              </w:rPr>
              <w:t>A reasonable range for the inflation assumption is between 1.75% and 2.00% when the assumption is set with reference to long-term expectations and with reference to the Bank of Canada overnight target. Given the current higher than normal inflation, it would be reasonable that the inflation assumption is higher in the short term and reducing down to the reasonable range for long-term.</w:t>
            </w:r>
          </w:p>
        </w:tc>
      </w:tr>
      <w:tr w:rsidR="0061175A" w14:paraId="46318C85" w14:textId="77777777" w:rsidTr="006C27E8">
        <w:tc>
          <w:tcPr>
            <w:tcW w:w="1346" w:type="dxa"/>
          </w:tcPr>
          <w:p w14:paraId="7A55796F" w14:textId="4FE6070E" w:rsidR="0061175A" w:rsidRDefault="0061175A">
            <w:pPr>
              <w:rPr>
                <w:rFonts w:ascii="Arial" w:eastAsia="Times New Roman" w:hAnsi="Arial" w:cs="Arial"/>
                <w:b/>
                <w:bCs/>
                <w:color w:val="000000"/>
                <w:sz w:val="27"/>
                <w:szCs w:val="27"/>
                <w:lang w:eastAsia="en-CA"/>
              </w:rPr>
            </w:pPr>
            <w:r w:rsidRPr="0061175A">
              <w:rPr>
                <w:rFonts w:ascii="Arial" w:eastAsia="Times New Roman" w:hAnsi="Arial" w:cs="Arial"/>
                <w:sz w:val="19"/>
                <w:szCs w:val="19"/>
                <w:lang w:val="en" w:eastAsia="en-CA"/>
              </w:rPr>
              <w:t>Salary Increase Assumption</w:t>
            </w:r>
          </w:p>
        </w:tc>
        <w:tc>
          <w:tcPr>
            <w:tcW w:w="8004" w:type="dxa"/>
          </w:tcPr>
          <w:p w14:paraId="3C20823F" w14:textId="15E31979" w:rsidR="0061175A" w:rsidRPr="001C59FD" w:rsidRDefault="0061175A" w:rsidP="001D192E">
            <w:pPr>
              <w:pStyle w:val="pf0"/>
              <w:rPr>
                <w:rFonts w:ascii="Arial" w:hAnsi="Arial" w:cs="Arial"/>
                <w:sz w:val="19"/>
                <w:szCs w:val="19"/>
              </w:rPr>
            </w:pPr>
            <w:r w:rsidRPr="00C27AFD">
              <w:rPr>
                <w:rFonts w:ascii="Arial" w:hAnsi="Arial" w:cs="Arial"/>
                <w:sz w:val="19"/>
                <w:szCs w:val="19"/>
                <w:lang w:val="en"/>
              </w:rPr>
              <w:t>A reasonable range for the salary increase assumption incorporates (1) the inflation assumption (refer to the discussion above for this assumption) PLUS (2) an allowance for productivity, promotion and merit of about 0.75% to 1.75%. For example, if the inflation assumption is 2.00%, we would expect the salary increase assumption to be between 2.75% and 3.75%. The allowance added to the inflation assumption can be itself split again into two elements being (1) productivity (a range of 0.25% to 1.25% is expected) plus (2) promotion/merit/other company specific factors (at least 0.50% is expected, unless support is provided for a lower assumption). As such, the salary increase assumption should be internally consistent with the inflation assumption and reflect the productivity, promotion, and company specific factors for the particular client.</w:t>
            </w:r>
            <w:r w:rsidR="001C59FD">
              <w:rPr>
                <w:rFonts w:ascii="Arial" w:hAnsi="Arial" w:cs="Arial"/>
                <w:sz w:val="19"/>
                <w:szCs w:val="19"/>
                <w:lang w:val="en"/>
              </w:rPr>
              <w:t xml:space="preserve"> </w:t>
            </w:r>
            <w:r w:rsidR="001C59FD" w:rsidRPr="00806EAD">
              <w:rPr>
                <w:rFonts w:ascii="Arial" w:hAnsi="Arial" w:cs="Arial"/>
                <w:sz w:val="19"/>
                <w:szCs w:val="19"/>
                <w:lang w:val="en"/>
              </w:rPr>
              <w:t>Plans that are closed to new entrants and have an aging active membership will usually tend to have a smaller premium value for productivity, merit and promotion</w:t>
            </w:r>
            <w:r w:rsidR="00806EAD">
              <w:rPr>
                <w:rFonts w:ascii="Arial" w:hAnsi="Arial" w:cs="Arial"/>
                <w:sz w:val="19"/>
                <w:szCs w:val="19"/>
                <w:lang w:val="en"/>
              </w:rPr>
              <w:t>. In addition, s</w:t>
            </w:r>
            <w:r w:rsidR="001C59FD" w:rsidRPr="00806EAD">
              <w:rPr>
                <w:rFonts w:ascii="Arial" w:hAnsi="Arial" w:cs="Arial"/>
                <w:sz w:val="19"/>
                <w:szCs w:val="19"/>
                <w:lang w:val="en"/>
              </w:rPr>
              <w:t xml:space="preserve">ometimes the promotion and merit will be in form of scale based on age / service to reflect </w:t>
            </w:r>
            <w:r w:rsidR="00806EAD" w:rsidRPr="00806EAD">
              <w:rPr>
                <w:rFonts w:ascii="Arial" w:hAnsi="Arial" w:cs="Arial"/>
                <w:sz w:val="19"/>
                <w:szCs w:val="19"/>
                <w:lang w:val="en"/>
              </w:rPr>
              <w:t>expectations</w:t>
            </w:r>
            <w:r w:rsidR="001C59FD" w:rsidRPr="00806EAD">
              <w:rPr>
                <w:rFonts w:ascii="Arial" w:hAnsi="Arial" w:cs="Arial"/>
                <w:sz w:val="19"/>
                <w:szCs w:val="19"/>
                <w:lang w:val="en"/>
              </w:rPr>
              <w:t xml:space="preserve"> for the employee specifics</w:t>
            </w:r>
            <w:r w:rsidR="00806EAD">
              <w:rPr>
                <w:rFonts w:ascii="Arial" w:hAnsi="Arial" w:cs="Arial"/>
                <w:sz w:val="19"/>
                <w:szCs w:val="19"/>
                <w:lang w:val="en"/>
              </w:rPr>
              <w:t>.</w:t>
            </w:r>
          </w:p>
        </w:tc>
      </w:tr>
      <w:tr w:rsidR="0061175A" w14:paraId="5924B865" w14:textId="77777777" w:rsidTr="006C27E8">
        <w:tc>
          <w:tcPr>
            <w:tcW w:w="1346" w:type="dxa"/>
          </w:tcPr>
          <w:p w14:paraId="75E897CA" w14:textId="4AC62AE4" w:rsidR="0061175A" w:rsidRDefault="006C27E8">
            <w:pPr>
              <w:rPr>
                <w:rFonts w:ascii="Arial" w:eastAsia="Times New Roman" w:hAnsi="Arial" w:cs="Arial"/>
                <w:b/>
                <w:bCs/>
                <w:color w:val="000000"/>
                <w:sz w:val="27"/>
                <w:szCs w:val="27"/>
                <w:lang w:eastAsia="en-CA"/>
              </w:rPr>
            </w:pPr>
            <w:r w:rsidRPr="006C27E8">
              <w:rPr>
                <w:rFonts w:ascii="Arial" w:eastAsia="Times New Roman" w:hAnsi="Arial" w:cs="Arial"/>
                <w:sz w:val="19"/>
                <w:szCs w:val="19"/>
                <w:lang w:val="en" w:eastAsia="en-CA"/>
              </w:rPr>
              <w:t>Medical Trend Rates</w:t>
            </w:r>
          </w:p>
        </w:tc>
        <w:tc>
          <w:tcPr>
            <w:tcW w:w="8004" w:type="dxa"/>
          </w:tcPr>
          <w:p w14:paraId="7179F49C" w14:textId="28D63A44" w:rsidR="006C27E8" w:rsidRPr="00C27AFD" w:rsidRDefault="006C27E8" w:rsidP="006C27E8">
            <w:pPr>
              <w:spacing w:before="100" w:beforeAutospacing="1" w:after="100" w:afterAutospacing="1"/>
              <w:rPr>
                <w:rFonts w:ascii="Arial" w:eastAsia="Times New Roman" w:hAnsi="Arial" w:cs="Arial"/>
                <w:sz w:val="19"/>
                <w:szCs w:val="19"/>
                <w:lang w:val="en" w:eastAsia="en-CA"/>
              </w:rPr>
            </w:pPr>
            <w:r w:rsidRPr="00C27AFD">
              <w:rPr>
                <w:rFonts w:ascii="Arial" w:eastAsia="Times New Roman" w:hAnsi="Arial" w:cs="Arial"/>
                <w:sz w:val="19"/>
                <w:szCs w:val="19"/>
                <w:lang w:val="en" w:eastAsia="en-CA"/>
              </w:rPr>
              <w:t>For Other-than-pension Post-Retirement Employee Benefit (OPEB) plans that have a significant prescription drug component, the initial medical trend rate is expected to be 5.0% or greater. Moreover, the ultimate trend rate is expected to range between 3.5% and 4.5%. The period over which the initial rate is graded down to the ultimate rate is also expected to be at least 5 years</w:t>
            </w:r>
            <w:r w:rsidR="001C59FD">
              <w:rPr>
                <w:rFonts w:ascii="Arial" w:eastAsia="Times New Roman" w:hAnsi="Arial" w:cs="Arial"/>
                <w:sz w:val="19"/>
                <w:szCs w:val="19"/>
                <w:lang w:val="en" w:eastAsia="en-CA"/>
              </w:rPr>
              <w:t>, however it is often between 10-20 years</w:t>
            </w:r>
            <w:r w:rsidRPr="00C27AFD">
              <w:rPr>
                <w:rFonts w:ascii="Arial" w:eastAsia="Times New Roman" w:hAnsi="Arial" w:cs="Arial"/>
                <w:sz w:val="19"/>
                <w:szCs w:val="19"/>
                <w:lang w:val="en" w:eastAsia="en-CA"/>
              </w:rPr>
              <w:t>. However, the pattern of decline and the number of years between the initial and ultimate rates is generally the most subjective component of the assumption. The frequency of prior changes in this assumption should be considered in supporting this assumption (for example, if the employer changes the year when the ultimate rate will be reached in nearly every valuation, it may be difficult to support an assumption that the ultimate rate will be reached in a short time period and a period of 20 years instead of 5 years should be considered).</w:t>
            </w:r>
          </w:p>
          <w:p w14:paraId="7714198A" w14:textId="5BA9BDAD" w:rsidR="0061175A" w:rsidRPr="00C27AFD" w:rsidRDefault="006C27E8" w:rsidP="006C27E8">
            <w:pPr>
              <w:spacing w:before="100" w:beforeAutospacing="1" w:after="100" w:afterAutospacing="1"/>
              <w:rPr>
                <w:rFonts w:ascii="Arial" w:eastAsia="Times New Roman" w:hAnsi="Arial" w:cs="Arial"/>
                <w:sz w:val="19"/>
                <w:szCs w:val="19"/>
                <w:lang w:val="en" w:eastAsia="en-CA"/>
              </w:rPr>
            </w:pPr>
            <w:r w:rsidRPr="00C27AFD">
              <w:rPr>
                <w:rFonts w:ascii="Arial" w:eastAsia="Times New Roman" w:hAnsi="Arial" w:cs="Arial"/>
                <w:sz w:val="19"/>
                <w:szCs w:val="19"/>
                <w:lang w:val="en" w:eastAsia="en-CA"/>
              </w:rPr>
              <w:t xml:space="preserve">A significant prescription drug component would be for a plan where maybe 70% to 80% of the obligation is in respect of drugs. Many plans could justify a lower assumption based on </w:t>
            </w:r>
            <w:r w:rsidRPr="00C27AFD">
              <w:rPr>
                <w:rFonts w:ascii="Arial" w:eastAsia="Times New Roman" w:hAnsi="Arial" w:cs="Arial"/>
                <w:sz w:val="19"/>
                <w:szCs w:val="19"/>
                <w:lang w:val="en" w:eastAsia="en-CA"/>
              </w:rPr>
              <w:lastRenderedPageBreak/>
              <w:t xml:space="preserve">their recent experience and the steps they have taken to control the costs of the plan (e.g. introducing drug cards, covering generic drugs </w:t>
            </w:r>
            <w:r w:rsidRPr="00C27AFD">
              <w:rPr>
                <w:rFonts w:ascii="Arial" w:eastAsia="Times New Roman" w:hAnsi="Arial" w:cs="Arial"/>
                <w:sz w:val="19"/>
                <w:szCs w:val="19"/>
                <w:lang w:val="en" w:eastAsia="en-CA"/>
              </w:rPr>
              <w:t>only, etc.)</w:t>
            </w:r>
            <w:r w:rsidR="004F5D72">
              <w:rPr>
                <w:rFonts w:ascii="Arial" w:eastAsia="Times New Roman" w:hAnsi="Arial" w:cs="Arial"/>
                <w:sz w:val="19"/>
                <w:szCs w:val="19"/>
                <w:lang w:val="en" w:eastAsia="en-CA"/>
              </w:rPr>
              <w:t>.</w:t>
            </w:r>
            <w:r w:rsidR="001C59FD">
              <w:rPr>
                <w:rFonts w:ascii="Arial" w:eastAsia="Times New Roman" w:hAnsi="Arial" w:cs="Arial"/>
                <w:sz w:val="19"/>
                <w:szCs w:val="19"/>
                <w:lang w:val="en" w:eastAsia="en-CA"/>
              </w:rPr>
              <w:t xml:space="preserve"> </w:t>
            </w:r>
            <w:r w:rsidR="001C59FD" w:rsidRPr="00806EAD">
              <w:rPr>
                <w:rFonts w:ascii="Arial" w:eastAsia="Times New Roman" w:hAnsi="Arial" w:cs="Arial"/>
                <w:sz w:val="19"/>
                <w:szCs w:val="19"/>
                <w:lang w:val="en" w:eastAsia="en-CA"/>
              </w:rPr>
              <w:t xml:space="preserve">Applying </w:t>
            </w:r>
            <w:r w:rsidR="001C59FD" w:rsidRPr="00806EAD">
              <w:rPr>
                <w:rFonts w:ascii="Arial" w:eastAsia="Times New Roman" w:hAnsi="Arial" w:cs="Arial"/>
                <w:sz w:val="19"/>
                <w:szCs w:val="19"/>
                <w:lang w:val="en" w:eastAsia="en-CA"/>
              </w:rPr>
              <w:t xml:space="preserve">the McMaster model </w:t>
            </w:r>
            <w:r w:rsidR="00806EAD">
              <w:rPr>
                <w:rFonts w:ascii="Arial" w:eastAsia="Times New Roman" w:hAnsi="Arial" w:cs="Arial"/>
                <w:sz w:val="19"/>
                <w:szCs w:val="19"/>
                <w:lang w:val="en" w:eastAsia="en-CA"/>
              </w:rPr>
              <w:t>is</w:t>
            </w:r>
            <w:r w:rsidR="001C59FD" w:rsidRPr="00806EAD">
              <w:rPr>
                <w:rFonts w:ascii="Arial" w:eastAsia="Times New Roman" w:hAnsi="Arial" w:cs="Arial"/>
                <w:sz w:val="19"/>
                <w:szCs w:val="19"/>
                <w:lang w:val="en" w:eastAsia="en-CA"/>
              </w:rPr>
              <w:t xml:space="preserve"> seen as a good practice (even if alternative exist</w:t>
            </w:r>
            <w:r w:rsidR="00806EAD">
              <w:rPr>
                <w:rFonts w:ascii="Arial" w:eastAsia="Times New Roman" w:hAnsi="Arial" w:cs="Arial"/>
                <w:sz w:val="19"/>
                <w:szCs w:val="19"/>
                <w:lang w:val="en" w:eastAsia="en-CA"/>
              </w:rPr>
              <w:t>s</w:t>
            </w:r>
            <w:r w:rsidR="001C59FD" w:rsidRPr="00806EAD">
              <w:rPr>
                <w:rFonts w:ascii="Arial" w:eastAsia="Times New Roman" w:hAnsi="Arial" w:cs="Arial"/>
                <w:sz w:val="19"/>
                <w:szCs w:val="19"/>
                <w:lang w:val="en" w:eastAsia="en-CA"/>
              </w:rPr>
              <w:t>)</w:t>
            </w:r>
            <w:r w:rsidR="00806EAD">
              <w:rPr>
                <w:rFonts w:ascii="Arial" w:eastAsia="Times New Roman" w:hAnsi="Arial" w:cs="Arial"/>
                <w:sz w:val="19"/>
                <w:szCs w:val="19"/>
                <w:lang w:val="en" w:eastAsia="en-CA"/>
              </w:rPr>
              <w:t>.</w:t>
            </w:r>
          </w:p>
        </w:tc>
      </w:tr>
      <w:tr w:rsidR="0061175A" w14:paraId="6122E891" w14:textId="77777777" w:rsidTr="006C27E8">
        <w:tc>
          <w:tcPr>
            <w:tcW w:w="1346" w:type="dxa"/>
          </w:tcPr>
          <w:p w14:paraId="70C2DEDE" w14:textId="5A8B1BB0" w:rsidR="0061175A" w:rsidRDefault="006C27E8">
            <w:pPr>
              <w:rPr>
                <w:rFonts w:ascii="Arial" w:eastAsia="Times New Roman" w:hAnsi="Arial" w:cs="Arial"/>
                <w:b/>
                <w:bCs/>
                <w:color w:val="000000"/>
                <w:sz w:val="27"/>
                <w:szCs w:val="27"/>
                <w:lang w:eastAsia="en-CA"/>
              </w:rPr>
            </w:pPr>
            <w:r w:rsidRPr="006C27E8">
              <w:rPr>
                <w:rFonts w:ascii="Arial" w:eastAsia="Times New Roman" w:hAnsi="Arial" w:cs="Arial"/>
                <w:sz w:val="19"/>
                <w:szCs w:val="19"/>
                <w:lang w:val="en" w:eastAsia="en-CA"/>
              </w:rPr>
              <w:lastRenderedPageBreak/>
              <w:t>Mortality: Base Table</w:t>
            </w:r>
          </w:p>
        </w:tc>
        <w:tc>
          <w:tcPr>
            <w:tcW w:w="8004" w:type="dxa"/>
          </w:tcPr>
          <w:p w14:paraId="63013EB3" w14:textId="77777777" w:rsidR="006C27E8" w:rsidRPr="0061175A" w:rsidRDefault="006C27E8" w:rsidP="006C27E8">
            <w:p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Management should consider using one of the final mortality tables (with adjustments as appropriate—see below) published by the CIA in February 2014:</w:t>
            </w:r>
          </w:p>
          <w:p w14:paraId="41CF50D7" w14:textId="77777777" w:rsidR="006C27E8" w:rsidRPr="0061175A" w:rsidRDefault="006C27E8" w:rsidP="006C27E8">
            <w:pPr>
              <w:numPr>
                <w:ilvl w:val="0"/>
                <w:numId w:val="14"/>
              </w:num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2014 Mortality Table (CPM2014)—developed from the combined experience exhibited under the public and private sector plans;</w:t>
            </w:r>
          </w:p>
          <w:p w14:paraId="495D0C97" w14:textId="77777777" w:rsidR="006C27E8" w:rsidRPr="0061175A" w:rsidRDefault="006C27E8" w:rsidP="006C27E8">
            <w:pPr>
              <w:numPr>
                <w:ilvl w:val="0"/>
                <w:numId w:val="14"/>
              </w:num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2014 Public Sector Mortality Table (CPM2014Publ)—based on the separate experience exhibited under the public sector plans; or</w:t>
            </w:r>
          </w:p>
          <w:p w14:paraId="11B8D772" w14:textId="77777777" w:rsidR="006C27E8" w:rsidRPr="0061175A" w:rsidRDefault="006C27E8" w:rsidP="006C27E8">
            <w:pPr>
              <w:numPr>
                <w:ilvl w:val="0"/>
                <w:numId w:val="14"/>
              </w:num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2014 Private Sector Mortality Table (CPM2014Priv)—based on the separate experience exhibited under the private sector plans.</w:t>
            </w:r>
          </w:p>
          <w:p w14:paraId="7B2DFB0A" w14:textId="77777777" w:rsidR="006C27E8" w:rsidRPr="0061175A" w:rsidRDefault="006C27E8" w:rsidP="006C27E8">
            <w:p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Adjustments to the published mortality tables mentioned above may be appropriate in the following situations:</w:t>
            </w:r>
          </w:p>
          <w:p w14:paraId="2E04AB8A" w14:textId="3DCEDF4E" w:rsidR="006C27E8" w:rsidRPr="0061175A" w:rsidRDefault="006C27E8" w:rsidP="006C27E8">
            <w:pPr>
              <w:numPr>
                <w:ilvl w:val="0"/>
                <w:numId w:val="15"/>
              </w:num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 xml:space="preserve">Experience adjustment—the recent and credible mortality experience from the pension plan being </w:t>
            </w:r>
            <w:r w:rsidRPr="001C59FD">
              <w:rPr>
                <w:rFonts w:ascii="Arial" w:eastAsia="Times New Roman" w:hAnsi="Arial" w:cs="Arial"/>
                <w:sz w:val="19"/>
                <w:szCs w:val="19"/>
                <w:lang w:val="en" w:eastAsia="en-CA"/>
              </w:rPr>
              <w:t>reviewed may be used to adjust a standard table</w:t>
            </w:r>
            <w:r w:rsidR="001C59FD" w:rsidRPr="001C59FD">
              <w:rPr>
                <w:rFonts w:ascii="Arial" w:eastAsia="Times New Roman" w:hAnsi="Arial" w:cs="Arial"/>
                <w:sz w:val="19"/>
                <w:szCs w:val="19"/>
                <w:lang w:val="en" w:eastAsia="en-CA"/>
              </w:rPr>
              <w:t xml:space="preserve"> </w:t>
            </w:r>
            <w:r w:rsidR="001C59FD" w:rsidRPr="00806EAD">
              <w:rPr>
                <w:rFonts w:ascii="Arial" w:eastAsia="Times New Roman" w:hAnsi="Arial" w:cs="Arial"/>
                <w:sz w:val="19"/>
                <w:szCs w:val="19"/>
                <w:lang w:val="en" w:eastAsia="en-CA"/>
              </w:rPr>
              <w:t>(or a comparable industry experience study)</w:t>
            </w:r>
            <w:r w:rsidRPr="001C59FD">
              <w:rPr>
                <w:rFonts w:ascii="Arial" w:eastAsia="Times New Roman" w:hAnsi="Arial" w:cs="Arial"/>
                <w:sz w:val="19"/>
                <w:szCs w:val="19"/>
                <w:lang w:val="en" w:eastAsia="en-CA"/>
              </w:rPr>
              <w:t>.</w:t>
            </w:r>
            <w:r w:rsidRPr="0061175A">
              <w:rPr>
                <w:rFonts w:ascii="Arial" w:eastAsia="Times New Roman" w:hAnsi="Arial" w:cs="Arial"/>
                <w:sz w:val="19"/>
                <w:szCs w:val="19"/>
                <w:lang w:val="en" w:eastAsia="en-CA"/>
              </w:rPr>
              <w:t xml:space="preserve"> If the experience is not extensive (fully credible under actuarial principles) but partially credible, this should be reflected in the adjustment</w:t>
            </w:r>
            <w:r w:rsidR="00806EAD">
              <w:rPr>
                <w:rFonts w:ascii="Arial" w:eastAsia="Times New Roman" w:hAnsi="Arial" w:cs="Arial"/>
                <w:sz w:val="19"/>
                <w:szCs w:val="19"/>
                <w:lang w:val="en" w:eastAsia="en-CA"/>
              </w:rPr>
              <w:t xml:space="preserve">, </w:t>
            </w:r>
            <w:r w:rsidR="00935EFB">
              <w:rPr>
                <w:rFonts w:ascii="Arial" w:eastAsia="Times New Roman" w:hAnsi="Arial" w:cs="Arial"/>
                <w:sz w:val="19"/>
                <w:szCs w:val="19"/>
                <w:lang w:val="en" w:eastAsia="en-CA"/>
              </w:rPr>
              <w:t xml:space="preserve">applied so that </w:t>
            </w:r>
            <w:r w:rsidR="00806EAD">
              <w:rPr>
                <w:rFonts w:ascii="Arial" w:eastAsia="Times New Roman" w:hAnsi="Arial" w:cs="Arial"/>
                <w:sz w:val="19"/>
                <w:szCs w:val="19"/>
                <w:lang w:val="en" w:eastAsia="en-CA"/>
              </w:rPr>
              <w:t>it</w:t>
            </w:r>
            <w:r w:rsidR="001C59FD">
              <w:rPr>
                <w:rFonts w:ascii="Arial" w:eastAsia="Times New Roman" w:hAnsi="Arial" w:cs="Arial"/>
                <w:sz w:val="19"/>
                <w:szCs w:val="19"/>
                <w:lang w:val="en" w:eastAsia="en-CA"/>
              </w:rPr>
              <w:t xml:space="preserve"> </w:t>
            </w:r>
            <w:r w:rsidR="001C59FD" w:rsidRPr="00806EAD">
              <w:rPr>
                <w:rFonts w:ascii="Arial" w:eastAsia="Times New Roman" w:hAnsi="Arial" w:cs="Arial"/>
                <w:sz w:val="19"/>
                <w:szCs w:val="19"/>
                <w:lang w:val="en" w:eastAsia="en-CA"/>
              </w:rPr>
              <w:t>could represent a mix of plan experience</w:t>
            </w:r>
            <w:r w:rsidR="00935EFB">
              <w:rPr>
                <w:rFonts w:ascii="Arial" w:eastAsia="Times New Roman" w:hAnsi="Arial" w:cs="Arial"/>
                <w:sz w:val="19"/>
                <w:szCs w:val="19"/>
                <w:lang w:val="en" w:eastAsia="en-CA"/>
              </w:rPr>
              <w:t xml:space="preserve"> (the credible part)</w:t>
            </w:r>
            <w:r w:rsidR="001C59FD" w:rsidRPr="00806EAD">
              <w:rPr>
                <w:rFonts w:ascii="Arial" w:eastAsia="Times New Roman" w:hAnsi="Arial" w:cs="Arial"/>
                <w:sz w:val="19"/>
                <w:szCs w:val="19"/>
                <w:lang w:val="en" w:eastAsia="en-CA"/>
              </w:rPr>
              <w:t xml:space="preserve"> + the CIA experience</w:t>
            </w:r>
            <w:r w:rsidR="00935EFB">
              <w:rPr>
                <w:rFonts w:ascii="Arial" w:eastAsia="Times New Roman" w:hAnsi="Arial" w:cs="Arial"/>
                <w:sz w:val="19"/>
                <w:szCs w:val="19"/>
                <w:lang w:val="en" w:eastAsia="en-CA"/>
              </w:rPr>
              <w:t xml:space="preserve"> for the non credible part</w:t>
            </w:r>
            <w:r w:rsidRPr="00806EAD">
              <w:rPr>
                <w:rFonts w:ascii="Arial" w:eastAsia="Times New Roman" w:hAnsi="Arial" w:cs="Arial"/>
                <w:sz w:val="19"/>
                <w:szCs w:val="19"/>
                <w:lang w:val="en" w:eastAsia="en-CA"/>
              </w:rPr>
              <w:t>.</w:t>
            </w:r>
          </w:p>
          <w:p w14:paraId="04359F2F" w14:textId="77777777" w:rsidR="006C27E8" w:rsidRPr="0061175A" w:rsidRDefault="006C27E8" w:rsidP="006C27E8">
            <w:pPr>
              <w:numPr>
                <w:ilvl w:val="0"/>
                <w:numId w:val="15"/>
              </w:num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Size adjustment—mortality rates vary significantly with size of pension. Size adjustment factors were published by the CIA for each mortality table mentioned above that reflect the difference in mortality rates by income band, for males and females separately. If the pension plan does not have useful mortality experience to support an experience adjustment (e.g., the plan is too small) and there is no suitable reference by industry or a similar larger plan, it may be appropriate to adjust the mortality table using size adjustment factors, particularly when the average size of pensions in the plan being valued differs significantly from that underlying the standard table.</w:t>
            </w:r>
          </w:p>
          <w:p w14:paraId="7EECE53A" w14:textId="43B5564D" w:rsidR="0061175A" w:rsidRPr="006C27E8" w:rsidRDefault="006C27E8" w:rsidP="006C27E8">
            <w:p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Entities applying Public Sector Accounting Standards and using a valuation prepared for accounting purposes should consider this as well.</w:t>
            </w:r>
            <w:r w:rsidR="001C59FD">
              <w:rPr>
                <w:rFonts w:ascii="Arial" w:eastAsia="Times New Roman" w:hAnsi="Arial" w:cs="Arial"/>
                <w:sz w:val="19"/>
                <w:szCs w:val="19"/>
                <w:lang w:val="en" w:eastAsia="en-CA"/>
              </w:rPr>
              <w:t xml:space="preserve"> </w:t>
            </w:r>
            <w:r w:rsidR="00806EAD">
              <w:rPr>
                <w:rFonts w:ascii="Arial" w:eastAsia="Times New Roman" w:hAnsi="Arial" w:cs="Arial"/>
                <w:sz w:val="19"/>
                <w:szCs w:val="19"/>
                <w:lang w:val="en" w:eastAsia="en-CA"/>
              </w:rPr>
              <w:t>Auditors should compare these assumptions with the</w:t>
            </w:r>
            <w:r w:rsidR="001C59FD" w:rsidRPr="00806EAD">
              <w:rPr>
                <w:rFonts w:ascii="Arial" w:eastAsia="Times New Roman" w:hAnsi="Arial" w:cs="Arial"/>
                <w:sz w:val="19"/>
                <w:szCs w:val="19"/>
                <w:lang w:val="en" w:eastAsia="en-CA"/>
              </w:rPr>
              <w:t xml:space="preserve"> pension plan funding valuation assumptions</w:t>
            </w:r>
            <w:r w:rsidR="00806EAD">
              <w:rPr>
                <w:rFonts w:ascii="Arial" w:eastAsia="Times New Roman" w:hAnsi="Arial" w:cs="Arial"/>
                <w:sz w:val="19"/>
                <w:szCs w:val="19"/>
                <w:lang w:val="en" w:eastAsia="en-CA"/>
              </w:rPr>
              <w:t xml:space="preserve">. They should be the same and </w:t>
            </w:r>
            <w:r w:rsidR="001C59FD" w:rsidRPr="00806EAD">
              <w:rPr>
                <w:rFonts w:ascii="Arial" w:eastAsia="Times New Roman" w:hAnsi="Arial" w:cs="Arial"/>
                <w:sz w:val="19"/>
                <w:szCs w:val="19"/>
                <w:lang w:val="en" w:eastAsia="en-CA"/>
              </w:rPr>
              <w:t>any difference</w:t>
            </w:r>
            <w:r w:rsidR="00806EAD">
              <w:rPr>
                <w:rFonts w:ascii="Arial" w:eastAsia="Times New Roman" w:hAnsi="Arial" w:cs="Arial"/>
                <w:sz w:val="19"/>
                <w:szCs w:val="19"/>
                <w:lang w:val="en" w:eastAsia="en-CA"/>
              </w:rPr>
              <w:t xml:space="preserve">s identified should be </w:t>
            </w:r>
            <w:r w:rsidR="00806EAD">
              <w:rPr>
                <w:rFonts w:ascii="Arial" w:eastAsia="Times New Roman" w:hAnsi="Arial" w:cs="Arial"/>
                <w:sz w:val="19"/>
                <w:szCs w:val="19"/>
                <w:lang w:val="en" w:eastAsia="en-CA"/>
              </w:rPr>
              <w:t>clarifie</w:t>
            </w:r>
            <w:r w:rsidR="004F5D72">
              <w:rPr>
                <w:rFonts w:ascii="Arial" w:eastAsia="Times New Roman" w:hAnsi="Arial" w:cs="Arial"/>
                <w:sz w:val="19"/>
                <w:szCs w:val="19"/>
                <w:lang w:val="en" w:eastAsia="en-CA"/>
              </w:rPr>
              <w:t>d</w:t>
            </w:r>
            <w:r w:rsidR="001C59FD" w:rsidRPr="00806EAD">
              <w:rPr>
                <w:rFonts w:ascii="Arial" w:eastAsia="Times New Roman" w:hAnsi="Arial" w:cs="Arial"/>
                <w:sz w:val="19"/>
                <w:szCs w:val="19"/>
                <w:lang w:val="en" w:eastAsia="en-CA"/>
              </w:rPr>
              <w:t xml:space="preserve"> (</w:t>
            </w:r>
            <w:r w:rsidR="00806EAD">
              <w:rPr>
                <w:rFonts w:ascii="Arial" w:eastAsia="Times New Roman" w:hAnsi="Arial" w:cs="Arial"/>
                <w:sz w:val="19"/>
                <w:szCs w:val="19"/>
                <w:lang w:val="en" w:eastAsia="en-CA"/>
              </w:rPr>
              <w:t>should</w:t>
            </w:r>
            <w:r w:rsidR="001C59FD" w:rsidRPr="00806EAD">
              <w:rPr>
                <w:rFonts w:ascii="Arial" w:eastAsia="Times New Roman" w:hAnsi="Arial" w:cs="Arial"/>
                <w:sz w:val="19"/>
                <w:szCs w:val="19"/>
                <w:lang w:val="en" w:eastAsia="en-CA"/>
              </w:rPr>
              <w:t xml:space="preserve"> </w:t>
            </w:r>
            <w:r w:rsidR="00806EAD">
              <w:rPr>
                <w:rFonts w:ascii="Arial" w:eastAsia="Times New Roman" w:hAnsi="Arial" w:cs="Arial"/>
                <w:sz w:val="19"/>
                <w:szCs w:val="19"/>
                <w:lang w:val="en" w:eastAsia="en-CA"/>
              </w:rPr>
              <w:t>relate to timing</w:t>
            </w:r>
            <w:r w:rsidR="001C59FD" w:rsidRPr="00806EAD">
              <w:rPr>
                <w:rFonts w:ascii="Arial" w:eastAsia="Times New Roman" w:hAnsi="Arial" w:cs="Arial"/>
                <w:sz w:val="19"/>
                <w:szCs w:val="19"/>
                <w:lang w:val="en" w:eastAsia="en-CA"/>
              </w:rPr>
              <w:t xml:space="preserve"> only)</w:t>
            </w:r>
            <w:r w:rsidR="00806EAD">
              <w:rPr>
                <w:rFonts w:ascii="Arial" w:eastAsia="Times New Roman" w:hAnsi="Arial" w:cs="Arial"/>
                <w:sz w:val="19"/>
                <w:szCs w:val="19"/>
                <w:lang w:val="en" w:eastAsia="en-CA"/>
              </w:rPr>
              <w:t>.</w:t>
            </w:r>
          </w:p>
        </w:tc>
      </w:tr>
      <w:tr w:rsidR="0061175A" w14:paraId="47A511E4" w14:textId="77777777" w:rsidTr="006C27E8">
        <w:tc>
          <w:tcPr>
            <w:tcW w:w="1346" w:type="dxa"/>
          </w:tcPr>
          <w:p w14:paraId="1340DE51" w14:textId="1F2EADB1" w:rsidR="0061175A" w:rsidRPr="006C27E8" w:rsidRDefault="006C27E8">
            <w:pPr>
              <w:rPr>
                <w:rFonts w:ascii="Arial" w:eastAsia="Times New Roman" w:hAnsi="Arial" w:cs="Arial"/>
                <w:color w:val="000000"/>
                <w:sz w:val="27"/>
                <w:szCs w:val="27"/>
                <w:lang w:eastAsia="en-CA"/>
              </w:rPr>
            </w:pPr>
            <w:r w:rsidRPr="006C27E8">
              <w:rPr>
                <w:rFonts w:ascii="Arial" w:eastAsia="Times New Roman" w:hAnsi="Arial" w:cs="Arial"/>
                <w:sz w:val="19"/>
                <w:szCs w:val="19"/>
                <w:lang w:val="en" w:eastAsia="en-CA"/>
              </w:rPr>
              <w:t>Mortality: Improvement Scale</w:t>
            </w:r>
          </w:p>
        </w:tc>
        <w:tc>
          <w:tcPr>
            <w:tcW w:w="8004" w:type="dxa"/>
          </w:tcPr>
          <w:p w14:paraId="22C40F32" w14:textId="1A51894A" w:rsidR="005A2480" w:rsidRPr="005A2480" w:rsidRDefault="005A2480" w:rsidP="006C27E8">
            <w:pPr>
              <w:spacing w:before="100" w:beforeAutospacing="1" w:after="100" w:afterAutospacing="1"/>
              <w:rPr>
                <w:rFonts w:ascii="Arial" w:eastAsia="Times New Roman" w:hAnsi="Arial" w:cs="Arial"/>
                <w:sz w:val="19"/>
                <w:szCs w:val="19"/>
                <w:lang w:eastAsia="en-CA"/>
              </w:rPr>
            </w:pPr>
            <w:r w:rsidRPr="0061175A">
              <w:rPr>
                <w:rFonts w:ascii="Arial" w:eastAsia="Times New Roman" w:hAnsi="Arial" w:cs="Arial"/>
                <w:sz w:val="19"/>
                <w:szCs w:val="19"/>
                <w:lang w:val="en" w:eastAsia="en-CA"/>
              </w:rPr>
              <w:t xml:space="preserve">Entities are expected to include projections of future mortality improvements using a two-dimensional generational mortality scale (rates that vary by year and age), such as the CIA MI-2017 (MI-2017) or the CPM Improvement Scale B (CPM-B), after the base year of the mortality study (both from the base year of the related mortality study to the measurement date and from the measurement date to each future year). </w:t>
            </w:r>
          </w:p>
          <w:p w14:paraId="37C24F34" w14:textId="42E9EA08" w:rsidR="006C27E8" w:rsidRPr="0061175A" w:rsidRDefault="006C27E8" w:rsidP="006C27E8">
            <w:p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The CPM Improvement Scale B (CPM-B) was published by the CIA in 2014. In September 2017, the CIA also published a new mortality improvement scale, the CIA MI-2017 (MI-2017). Both are two-dimensional generational mortality scales, and allow for improvement rates that vary by year and age. MI-2017 was developed using general population data from 1967-2015. CPM-B was developed based on the results of the C/QPP Phase III Report with some refinements, using data from 1967-2007. These both constitute broad and relevant mortality improvement studies for the Canadian population. Given the recent publication of both scales and the similar data sets used in their development, it may be appropriate to use either scale in the absence of credible information to the contrary, such as the publication of a successor scale by the CIA.</w:t>
            </w:r>
          </w:p>
          <w:p w14:paraId="1F0F87AB" w14:textId="76BD8497" w:rsidR="0061175A" w:rsidRDefault="006C27E8" w:rsidP="006C27E8">
            <w:p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Support should be obtained from management if no mortality improvements are considered or if a different improvement scale than the MI-2017 or CPM-B is used.</w:t>
            </w:r>
          </w:p>
          <w:p w14:paraId="3A9D8286" w14:textId="194CC65A" w:rsidR="005A2480" w:rsidRPr="006C27E8" w:rsidRDefault="00806EAD" w:rsidP="006C27E8">
            <w:pPr>
              <w:spacing w:before="100" w:beforeAutospacing="1" w:after="100" w:afterAutospacing="1"/>
              <w:rPr>
                <w:rFonts w:ascii="Arial" w:eastAsia="Times New Roman" w:hAnsi="Arial" w:cs="Arial"/>
                <w:sz w:val="19"/>
                <w:szCs w:val="19"/>
                <w:lang w:val="en" w:eastAsia="en-CA"/>
              </w:rPr>
            </w:pPr>
            <w:r>
              <w:rPr>
                <w:rFonts w:ascii="Arial" w:eastAsia="Times New Roman" w:hAnsi="Arial" w:cs="Arial"/>
                <w:sz w:val="19"/>
                <w:szCs w:val="19"/>
                <w:lang w:val="en" w:eastAsia="en-CA"/>
              </w:rPr>
              <w:lastRenderedPageBreak/>
              <w:t>Auditors should compare these assumptions with the</w:t>
            </w:r>
            <w:r w:rsidRPr="00A2503F">
              <w:rPr>
                <w:rFonts w:ascii="Arial" w:eastAsia="Times New Roman" w:hAnsi="Arial" w:cs="Arial"/>
                <w:sz w:val="19"/>
                <w:szCs w:val="19"/>
                <w:lang w:val="en" w:eastAsia="en-CA"/>
              </w:rPr>
              <w:t xml:space="preserve"> pension plan funding valuation assumptions</w:t>
            </w:r>
            <w:r>
              <w:rPr>
                <w:rFonts w:ascii="Arial" w:eastAsia="Times New Roman" w:hAnsi="Arial" w:cs="Arial"/>
                <w:sz w:val="19"/>
                <w:szCs w:val="19"/>
                <w:lang w:val="en" w:eastAsia="en-CA"/>
              </w:rPr>
              <w:t xml:space="preserve">. They should be the same and </w:t>
            </w:r>
            <w:r w:rsidRPr="00A2503F">
              <w:rPr>
                <w:rFonts w:ascii="Arial" w:eastAsia="Times New Roman" w:hAnsi="Arial" w:cs="Arial"/>
                <w:sz w:val="19"/>
                <w:szCs w:val="19"/>
                <w:lang w:val="en" w:eastAsia="en-CA"/>
              </w:rPr>
              <w:t>any difference</w:t>
            </w:r>
            <w:r>
              <w:rPr>
                <w:rFonts w:ascii="Arial" w:eastAsia="Times New Roman" w:hAnsi="Arial" w:cs="Arial"/>
                <w:sz w:val="19"/>
                <w:szCs w:val="19"/>
                <w:lang w:val="en" w:eastAsia="en-CA"/>
              </w:rPr>
              <w:t>s identified should be cla</w:t>
            </w:r>
            <w:r>
              <w:rPr>
                <w:rFonts w:ascii="Arial" w:eastAsia="Times New Roman" w:hAnsi="Arial" w:cs="Arial"/>
                <w:sz w:val="19"/>
                <w:szCs w:val="19"/>
                <w:lang w:val="en" w:eastAsia="en-CA"/>
              </w:rPr>
              <w:t>rifie</w:t>
            </w:r>
            <w:r w:rsidR="004F5D72">
              <w:rPr>
                <w:rFonts w:ascii="Arial" w:eastAsia="Times New Roman" w:hAnsi="Arial" w:cs="Arial"/>
                <w:sz w:val="19"/>
                <w:szCs w:val="19"/>
                <w:lang w:val="en" w:eastAsia="en-CA"/>
              </w:rPr>
              <w:t>d</w:t>
            </w:r>
            <w:r w:rsidRPr="00A2503F">
              <w:rPr>
                <w:rFonts w:ascii="Arial" w:eastAsia="Times New Roman" w:hAnsi="Arial" w:cs="Arial"/>
                <w:sz w:val="19"/>
                <w:szCs w:val="19"/>
                <w:lang w:val="en" w:eastAsia="en-CA"/>
              </w:rPr>
              <w:t xml:space="preserve"> </w:t>
            </w:r>
            <w:r w:rsidRPr="00A2503F">
              <w:rPr>
                <w:rFonts w:ascii="Arial" w:eastAsia="Times New Roman" w:hAnsi="Arial" w:cs="Arial"/>
                <w:sz w:val="19"/>
                <w:szCs w:val="19"/>
                <w:lang w:val="en" w:eastAsia="en-CA"/>
              </w:rPr>
              <w:t>(</w:t>
            </w:r>
            <w:r>
              <w:rPr>
                <w:rFonts w:ascii="Arial" w:eastAsia="Times New Roman" w:hAnsi="Arial" w:cs="Arial"/>
                <w:sz w:val="19"/>
                <w:szCs w:val="19"/>
                <w:lang w:val="en" w:eastAsia="en-CA"/>
              </w:rPr>
              <w:t>should</w:t>
            </w:r>
            <w:r w:rsidRPr="00A2503F">
              <w:rPr>
                <w:rFonts w:ascii="Arial" w:eastAsia="Times New Roman" w:hAnsi="Arial" w:cs="Arial"/>
                <w:sz w:val="19"/>
                <w:szCs w:val="19"/>
                <w:lang w:val="en" w:eastAsia="en-CA"/>
              </w:rPr>
              <w:t xml:space="preserve"> </w:t>
            </w:r>
            <w:r>
              <w:rPr>
                <w:rFonts w:ascii="Arial" w:eastAsia="Times New Roman" w:hAnsi="Arial" w:cs="Arial"/>
                <w:sz w:val="19"/>
                <w:szCs w:val="19"/>
                <w:lang w:val="en" w:eastAsia="en-CA"/>
              </w:rPr>
              <w:t>relate to timing</w:t>
            </w:r>
            <w:r w:rsidRPr="00A2503F">
              <w:rPr>
                <w:rFonts w:ascii="Arial" w:eastAsia="Times New Roman" w:hAnsi="Arial" w:cs="Arial"/>
                <w:sz w:val="19"/>
                <w:szCs w:val="19"/>
                <w:lang w:val="en" w:eastAsia="en-CA"/>
              </w:rPr>
              <w:t xml:space="preserve"> only)</w:t>
            </w:r>
            <w:r>
              <w:rPr>
                <w:rFonts w:ascii="Arial" w:eastAsia="Times New Roman" w:hAnsi="Arial" w:cs="Arial"/>
                <w:sz w:val="19"/>
                <w:szCs w:val="19"/>
                <w:lang w:val="en" w:eastAsia="en-CA"/>
              </w:rPr>
              <w:t>.</w:t>
            </w:r>
          </w:p>
        </w:tc>
      </w:tr>
      <w:tr w:rsidR="006C27E8" w14:paraId="18071BC5" w14:textId="77777777" w:rsidTr="006C27E8">
        <w:tc>
          <w:tcPr>
            <w:tcW w:w="1346" w:type="dxa"/>
          </w:tcPr>
          <w:p w14:paraId="141C73FD" w14:textId="7E034126" w:rsidR="006C27E8" w:rsidRPr="006C27E8" w:rsidRDefault="006C27E8">
            <w:pPr>
              <w:rPr>
                <w:rFonts w:ascii="Arial" w:eastAsia="Times New Roman" w:hAnsi="Arial" w:cs="Arial"/>
                <w:sz w:val="19"/>
                <w:szCs w:val="19"/>
                <w:lang w:val="en" w:eastAsia="en-CA"/>
              </w:rPr>
            </w:pPr>
            <w:r w:rsidRPr="006C27E8">
              <w:rPr>
                <w:rFonts w:ascii="Arial" w:eastAsia="Times New Roman" w:hAnsi="Arial" w:cs="Arial"/>
                <w:sz w:val="19"/>
                <w:szCs w:val="19"/>
                <w:lang w:val="en" w:eastAsia="en-CA"/>
              </w:rPr>
              <w:lastRenderedPageBreak/>
              <w:t>Other Demographic Assumptions</w:t>
            </w:r>
          </w:p>
        </w:tc>
        <w:tc>
          <w:tcPr>
            <w:tcW w:w="8004" w:type="dxa"/>
          </w:tcPr>
          <w:p w14:paraId="34C375F8" w14:textId="77777777" w:rsidR="006C27E8" w:rsidRDefault="006C27E8" w:rsidP="006C27E8">
            <w:pPr>
              <w:spacing w:before="100" w:beforeAutospacing="1" w:after="100" w:afterAutospacing="1"/>
              <w:rPr>
                <w:rFonts w:ascii="Arial" w:eastAsia="Times New Roman" w:hAnsi="Arial" w:cs="Arial"/>
                <w:sz w:val="19"/>
                <w:szCs w:val="19"/>
                <w:lang w:val="en" w:eastAsia="en-CA"/>
              </w:rPr>
            </w:pPr>
            <w:r w:rsidRPr="0061175A">
              <w:rPr>
                <w:rFonts w:ascii="Arial" w:eastAsia="Times New Roman" w:hAnsi="Arial" w:cs="Arial"/>
                <w:sz w:val="19"/>
                <w:szCs w:val="19"/>
                <w:lang w:val="en" w:eastAsia="en-CA"/>
              </w:rPr>
              <w:t>Other key demographic assumptions (e.g. retirement age and turnover) should reflect the provisions of the plan and past experience. For instance, we would expect to see significant rates of retirement prior to the normal retirement age for a plan with generous early retirement benefits and past experience illustrating members electing to retire early.</w:t>
            </w:r>
          </w:p>
          <w:p w14:paraId="229A6450" w14:textId="4D9371BA" w:rsidR="005A2480" w:rsidRPr="0061175A" w:rsidRDefault="00806EAD" w:rsidP="006C27E8">
            <w:pPr>
              <w:spacing w:before="100" w:beforeAutospacing="1" w:after="100" w:afterAutospacing="1"/>
              <w:rPr>
                <w:rFonts w:ascii="Arial" w:eastAsia="Times New Roman" w:hAnsi="Arial" w:cs="Arial"/>
                <w:sz w:val="19"/>
                <w:szCs w:val="19"/>
                <w:lang w:val="en" w:eastAsia="en-CA"/>
              </w:rPr>
            </w:pPr>
            <w:r>
              <w:rPr>
                <w:rFonts w:ascii="Arial" w:eastAsia="Times New Roman" w:hAnsi="Arial" w:cs="Arial"/>
                <w:sz w:val="19"/>
                <w:szCs w:val="19"/>
                <w:lang w:val="en" w:eastAsia="en-CA"/>
              </w:rPr>
              <w:t>Auditors should compare these assumptions with the</w:t>
            </w:r>
            <w:r w:rsidRPr="00A2503F">
              <w:rPr>
                <w:rFonts w:ascii="Arial" w:eastAsia="Times New Roman" w:hAnsi="Arial" w:cs="Arial"/>
                <w:sz w:val="19"/>
                <w:szCs w:val="19"/>
                <w:lang w:val="en" w:eastAsia="en-CA"/>
              </w:rPr>
              <w:t xml:space="preserve"> pension plan funding valuation assumptions</w:t>
            </w:r>
            <w:r>
              <w:rPr>
                <w:rFonts w:ascii="Arial" w:eastAsia="Times New Roman" w:hAnsi="Arial" w:cs="Arial"/>
                <w:sz w:val="19"/>
                <w:szCs w:val="19"/>
                <w:lang w:val="en" w:eastAsia="en-CA"/>
              </w:rPr>
              <w:t xml:space="preserve">. They should be the same and </w:t>
            </w:r>
            <w:r w:rsidRPr="00A2503F">
              <w:rPr>
                <w:rFonts w:ascii="Arial" w:eastAsia="Times New Roman" w:hAnsi="Arial" w:cs="Arial"/>
                <w:sz w:val="19"/>
                <w:szCs w:val="19"/>
                <w:lang w:val="en" w:eastAsia="en-CA"/>
              </w:rPr>
              <w:t>any difference</w:t>
            </w:r>
            <w:r>
              <w:rPr>
                <w:rFonts w:ascii="Arial" w:eastAsia="Times New Roman" w:hAnsi="Arial" w:cs="Arial"/>
                <w:sz w:val="19"/>
                <w:szCs w:val="19"/>
                <w:lang w:val="en" w:eastAsia="en-CA"/>
              </w:rPr>
              <w:t xml:space="preserve">s identified should be </w:t>
            </w:r>
            <w:r>
              <w:rPr>
                <w:rFonts w:ascii="Arial" w:eastAsia="Times New Roman" w:hAnsi="Arial" w:cs="Arial"/>
                <w:sz w:val="19"/>
                <w:szCs w:val="19"/>
                <w:lang w:val="en" w:eastAsia="en-CA"/>
              </w:rPr>
              <w:t>clarifie</w:t>
            </w:r>
            <w:r w:rsidR="004F5D72">
              <w:rPr>
                <w:rFonts w:ascii="Arial" w:eastAsia="Times New Roman" w:hAnsi="Arial" w:cs="Arial"/>
                <w:sz w:val="19"/>
                <w:szCs w:val="19"/>
                <w:lang w:val="en" w:eastAsia="en-CA"/>
              </w:rPr>
              <w:t>d</w:t>
            </w:r>
            <w:r w:rsidRPr="00A2503F">
              <w:rPr>
                <w:rFonts w:ascii="Arial" w:eastAsia="Times New Roman" w:hAnsi="Arial" w:cs="Arial"/>
                <w:sz w:val="19"/>
                <w:szCs w:val="19"/>
                <w:lang w:val="en" w:eastAsia="en-CA"/>
              </w:rPr>
              <w:t xml:space="preserve"> (</w:t>
            </w:r>
            <w:r>
              <w:rPr>
                <w:rFonts w:ascii="Arial" w:eastAsia="Times New Roman" w:hAnsi="Arial" w:cs="Arial"/>
                <w:sz w:val="19"/>
                <w:szCs w:val="19"/>
                <w:lang w:val="en" w:eastAsia="en-CA"/>
              </w:rPr>
              <w:t>should</w:t>
            </w:r>
            <w:r w:rsidRPr="00A2503F">
              <w:rPr>
                <w:rFonts w:ascii="Arial" w:eastAsia="Times New Roman" w:hAnsi="Arial" w:cs="Arial"/>
                <w:sz w:val="19"/>
                <w:szCs w:val="19"/>
                <w:lang w:val="en" w:eastAsia="en-CA"/>
              </w:rPr>
              <w:t xml:space="preserve"> </w:t>
            </w:r>
            <w:r>
              <w:rPr>
                <w:rFonts w:ascii="Arial" w:eastAsia="Times New Roman" w:hAnsi="Arial" w:cs="Arial"/>
                <w:sz w:val="19"/>
                <w:szCs w:val="19"/>
                <w:lang w:val="en" w:eastAsia="en-CA"/>
              </w:rPr>
              <w:t>relate to timing</w:t>
            </w:r>
            <w:r w:rsidRPr="00A2503F">
              <w:rPr>
                <w:rFonts w:ascii="Arial" w:eastAsia="Times New Roman" w:hAnsi="Arial" w:cs="Arial"/>
                <w:sz w:val="19"/>
                <w:szCs w:val="19"/>
                <w:lang w:val="en" w:eastAsia="en-CA"/>
              </w:rPr>
              <w:t xml:space="preserve"> only)</w:t>
            </w:r>
            <w:r>
              <w:rPr>
                <w:rFonts w:ascii="Arial" w:eastAsia="Times New Roman" w:hAnsi="Arial" w:cs="Arial"/>
                <w:sz w:val="19"/>
                <w:szCs w:val="19"/>
                <w:lang w:val="en" w:eastAsia="en-CA"/>
              </w:rPr>
              <w:t>.</w:t>
            </w:r>
          </w:p>
        </w:tc>
      </w:tr>
    </w:tbl>
    <w:p w14:paraId="7B5DCCBD" w14:textId="77777777" w:rsidR="0061175A" w:rsidRDefault="0061175A">
      <w:pPr>
        <w:rPr>
          <w:rFonts w:ascii="Arial" w:eastAsia="Times New Roman" w:hAnsi="Arial" w:cs="Arial"/>
          <w:b/>
          <w:bCs/>
          <w:color w:val="000000"/>
          <w:sz w:val="27"/>
          <w:szCs w:val="27"/>
          <w:lang w:eastAsia="en-CA"/>
        </w:rPr>
      </w:pPr>
    </w:p>
    <w:p w14:paraId="6BE2E2ED" w14:textId="77777777" w:rsidR="0061175A" w:rsidRDefault="0061175A">
      <w:pPr>
        <w:rPr>
          <w:rFonts w:ascii="Arial" w:eastAsia="Times New Roman" w:hAnsi="Arial" w:cs="Arial"/>
          <w:b/>
          <w:bCs/>
          <w:color w:val="000000"/>
          <w:sz w:val="27"/>
          <w:szCs w:val="27"/>
          <w:lang w:eastAsia="en-CA"/>
        </w:rPr>
      </w:pPr>
    </w:p>
    <w:sectPr w:rsidR="006117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C79B" w14:textId="77777777" w:rsidR="00A3327B" w:rsidRDefault="00A3327B" w:rsidP="00B912B9">
      <w:pPr>
        <w:spacing w:after="0" w:line="240" w:lineRule="auto"/>
      </w:pPr>
      <w:r>
        <w:separator/>
      </w:r>
    </w:p>
  </w:endnote>
  <w:endnote w:type="continuationSeparator" w:id="0">
    <w:p w14:paraId="14E0AA49" w14:textId="77777777" w:rsidR="00A3327B" w:rsidRDefault="00A3327B" w:rsidP="00B9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4252" w14:textId="77777777" w:rsidR="00A367CE" w:rsidRDefault="00A36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6EA2" w14:textId="77777777" w:rsidR="00A367CE" w:rsidRDefault="00A36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9A4A" w14:textId="77777777" w:rsidR="00A367CE" w:rsidRDefault="00A3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A8D0" w14:textId="77777777" w:rsidR="00A3327B" w:rsidRDefault="00A3327B" w:rsidP="00B912B9">
      <w:pPr>
        <w:spacing w:after="0" w:line="240" w:lineRule="auto"/>
      </w:pPr>
      <w:r>
        <w:separator/>
      </w:r>
    </w:p>
  </w:footnote>
  <w:footnote w:type="continuationSeparator" w:id="0">
    <w:p w14:paraId="0B0843AA" w14:textId="77777777" w:rsidR="00A3327B" w:rsidRDefault="00A3327B" w:rsidP="00B91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0F28" w14:textId="77777777" w:rsidR="00A367CE" w:rsidRDefault="00A36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93A6" w14:textId="15710C25" w:rsidR="00A367CE" w:rsidRDefault="00A36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E70B" w14:textId="77777777" w:rsidR="00A367CE" w:rsidRDefault="00A3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5C3E"/>
    <w:multiLevelType w:val="multilevel"/>
    <w:tmpl w:val="EE4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92659"/>
    <w:multiLevelType w:val="multilevel"/>
    <w:tmpl w:val="B94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028D2"/>
    <w:multiLevelType w:val="multilevel"/>
    <w:tmpl w:val="DE8082E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start w:val="1"/>
      <w:numFmt w:val="bullet"/>
      <w:lvlText w:val=""/>
      <w:lvlJc w:val="left"/>
      <w:pPr>
        <w:ind w:left="600" w:hanging="360"/>
      </w:pPr>
      <w:rPr>
        <w:rFonts w:ascii="Symbol" w:hAnsi="Symbol" w:hint="default"/>
      </w:rPr>
    </w:lvl>
    <w:lvl w:ilvl="3" w:tentative="1">
      <w:start w:val="1"/>
      <w:numFmt w:val="bullet"/>
      <w:lvlText w:val=""/>
      <w:lvlJc w:val="left"/>
      <w:pPr>
        <w:tabs>
          <w:tab w:val="num" w:pos="1320"/>
        </w:tabs>
        <w:ind w:left="1320" w:hanging="360"/>
      </w:pPr>
      <w:rPr>
        <w:rFonts w:ascii="Wingdings" w:hAnsi="Wingdings" w:hint="default"/>
        <w:sz w:val="20"/>
      </w:rPr>
    </w:lvl>
    <w:lvl w:ilvl="4" w:tentative="1">
      <w:start w:val="1"/>
      <w:numFmt w:val="bullet"/>
      <w:lvlText w:val=""/>
      <w:lvlJc w:val="left"/>
      <w:pPr>
        <w:tabs>
          <w:tab w:val="num" w:pos="2040"/>
        </w:tabs>
        <w:ind w:left="2040" w:hanging="360"/>
      </w:pPr>
      <w:rPr>
        <w:rFonts w:ascii="Wingdings" w:hAnsi="Wingdings" w:hint="default"/>
        <w:sz w:val="20"/>
      </w:rPr>
    </w:lvl>
    <w:lvl w:ilvl="5" w:tentative="1">
      <w:start w:val="1"/>
      <w:numFmt w:val="bullet"/>
      <w:lvlText w:val=""/>
      <w:lvlJc w:val="left"/>
      <w:pPr>
        <w:tabs>
          <w:tab w:val="num" w:pos="2760"/>
        </w:tabs>
        <w:ind w:left="2760" w:hanging="360"/>
      </w:pPr>
      <w:rPr>
        <w:rFonts w:ascii="Wingdings" w:hAnsi="Wingdings" w:hint="default"/>
        <w:sz w:val="20"/>
      </w:rPr>
    </w:lvl>
    <w:lvl w:ilvl="6" w:tentative="1">
      <w:start w:val="1"/>
      <w:numFmt w:val="bullet"/>
      <w:lvlText w:val=""/>
      <w:lvlJc w:val="left"/>
      <w:pPr>
        <w:tabs>
          <w:tab w:val="num" w:pos="3480"/>
        </w:tabs>
        <w:ind w:left="3480" w:hanging="360"/>
      </w:pPr>
      <w:rPr>
        <w:rFonts w:ascii="Wingdings" w:hAnsi="Wingdings" w:hint="default"/>
        <w:sz w:val="20"/>
      </w:rPr>
    </w:lvl>
    <w:lvl w:ilvl="7" w:tentative="1">
      <w:start w:val="1"/>
      <w:numFmt w:val="bullet"/>
      <w:lvlText w:val=""/>
      <w:lvlJc w:val="left"/>
      <w:pPr>
        <w:tabs>
          <w:tab w:val="num" w:pos="4200"/>
        </w:tabs>
        <w:ind w:left="4200" w:hanging="360"/>
      </w:pPr>
      <w:rPr>
        <w:rFonts w:ascii="Wingdings" w:hAnsi="Wingdings" w:hint="default"/>
        <w:sz w:val="20"/>
      </w:rPr>
    </w:lvl>
    <w:lvl w:ilvl="8" w:tentative="1">
      <w:start w:val="1"/>
      <w:numFmt w:val="bullet"/>
      <w:lvlText w:val=""/>
      <w:lvlJc w:val="left"/>
      <w:pPr>
        <w:tabs>
          <w:tab w:val="num" w:pos="4920"/>
        </w:tabs>
        <w:ind w:left="4920" w:hanging="360"/>
      </w:pPr>
      <w:rPr>
        <w:rFonts w:ascii="Wingdings" w:hAnsi="Wingdings" w:hint="default"/>
        <w:sz w:val="20"/>
      </w:rPr>
    </w:lvl>
  </w:abstractNum>
  <w:abstractNum w:abstractNumId="3" w15:restartNumberingAfterBreak="0">
    <w:nsid w:val="244B0BBA"/>
    <w:multiLevelType w:val="hybridMultilevel"/>
    <w:tmpl w:val="1D2C7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791E48"/>
    <w:multiLevelType w:val="multilevel"/>
    <w:tmpl w:val="BE02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606B2"/>
    <w:multiLevelType w:val="multilevel"/>
    <w:tmpl w:val="214E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74B44"/>
    <w:multiLevelType w:val="multilevel"/>
    <w:tmpl w:val="6DAE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44A73"/>
    <w:multiLevelType w:val="hybridMultilevel"/>
    <w:tmpl w:val="E468F5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6A19ED"/>
    <w:multiLevelType w:val="hybridMultilevel"/>
    <w:tmpl w:val="E468F5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33056E"/>
    <w:multiLevelType w:val="hybridMultilevel"/>
    <w:tmpl w:val="D9B0D1C6"/>
    <w:lvl w:ilvl="0" w:tplc="1009000F">
      <w:start w:val="1"/>
      <w:numFmt w:val="decimal"/>
      <w:lvlText w:val="%1."/>
      <w:lvlJc w:val="left"/>
      <w:pPr>
        <w:ind w:left="870" w:hanging="360"/>
      </w:p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10" w15:restartNumberingAfterBreak="0">
    <w:nsid w:val="5D071FFA"/>
    <w:multiLevelType w:val="hybridMultilevel"/>
    <w:tmpl w:val="DF9E42C4"/>
    <w:lvl w:ilvl="0" w:tplc="1009000F">
      <w:start w:val="1"/>
      <w:numFmt w:val="decimal"/>
      <w:lvlText w:val="%1."/>
      <w:lvlJc w:val="left"/>
      <w:pPr>
        <w:ind w:left="870" w:hanging="360"/>
      </w:p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11" w15:restartNumberingAfterBreak="0">
    <w:nsid w:val="6454286E"/>
    <w:multiLevelType w:val="multilevel"/>
    <w:tmpl w:val="6CFC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5603C"/>
    <w:multiLevelType w:val="hybridMultilevel"/>
    <w:tmpl w:val="7206B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2B7D57"/>
    <w:multiLevelType w:val="multilevel"/>
    <w:tmpl w:val="959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4516D"/>
    <w:multiLevelType w:val="multilevel"/>
    <w:tmpl w:val="141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8986">
    <w:abstractNumId w:val="11"/>
  </w:num>
  <w:num w:numId="2" w16cid:durableId="724108372">
    <w:abstractNumId w:val="4"/>
  </w:num>
  <w:num w:numId="3" w16cid:durableId="1129206668">
    <w:abstractNumId w:val="5"/>
  </w:num>
  <w:num w:numId="4" w16cid:durableId="2067869909">
    <w:abstractNumId w:val="6"/>
  </w:num>
  <w:num w:numId="5" w16cid:durableId="1679699036">
    <w:abstractNumId w:val="14"/>
  </w:num>
  <w:num w:numId="6" w16cid:durableId="594289072">
    <w:abstractNumId w:val="10"/>
  </w:num>
  <w:num w:numId="7" w16cid:durableId="449011518">
    <w:abstractNumId w:val="9"/>
  </w:num>
  <w:num w:numId="8" w16cid:durableId="629824389">
    <w:abstractNumId w:val="7"/>
  </w:num>
  <w:num w:numId="9" w16cid:durableId="1778450527">
    <w:abstractNumId w:val="8"/>
  </w:num>
  <w:num w:numId="10" w16cid:durableId="320891979">
    <w:abstractNumId w:val="3"/>
  </w:num>
  <w:num w:numId="11" w16cid:durableId="1979844314">
    <w:abstractNumId w:val="1"/>
  </w:num>
  <w:num w:numId="12" w16cid:durableId="385833748">
    <w:abstractNumId w:val="12"/>
  </w:num>
  <w:num w:numId="13" w16cid:durableId="61561488">
    <w:abstractNumId w:val="2"/>
  </w:num>
  <w:num w:numId="14" w16cid:durableId="2137063789">
    <w:abstractNumId w:val="13"/>
  </w:num>
  <w:num w:numId="15" w16cid:durableId="57123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E5"/>
    <w:rsid w:val="00076A7C"/>
    <w:rsid w:val="000D2A99"/>
    <w:rsid w:val="00116753"/>
    <w:rsid w:val="00150F94"/>
    <w:rsid w:val="00191622"/>
    <w:rsid w:val="001978A7"/>
    <w:rsid w:val="001C59FD"/>
    <w:rsid w:val="001D192E"/>
    <w:rsid w:val="003172C8"/>
    <w:rsid w:val="00331BFB"/>
    <w:rsid w:val="00335219"/>
    <w:rsid w:val="0034399D"/>
    <w:rsid w:val="00351CD6"/>
    <w:rsid w:val="00386E6E"/>
    <w:rsid w:val="003F514A"/>
    <w:rsid w:val="00407F7A"/>
    <w:rsid w:val="00410C19"/>
    <w:rsid w:val="00437485"/>
    <w:rsid w:val="00483C8E"/>
    <w:rsid w:val="00492CD6"/>
    <w:rsid w:val="004B6EF6"/>
    <w:rsid w:val="004B7FF8"/>
    <w:rsid w:val="004F5D72"/>
    <w:rsid w:val="005837E2"/>
    <w:rsid w:val="005847A3"/>
    <w:rsid w:val="005A2480"/>
    <w:rsid w:val="005F64A2"/>
    <w:rsid w:val="0061175A"/>
    <w:rsid w:val="006878D0"/>
    <w:rsid w:val="006B7BF4"/>
    <w:rsid w:val="006C27E8"/>
    <w:rsid w:val="006D71C3"/>
    <w:rsid w:val="007F27D3"/>
    <w:rsid w:val="00806EAD"/>
    <w:rsid w:val="00851430"/>
    <w:rsid w:val="00877EE4"/>
    <w:rsid w:val="008940B0"/>
    <w:rsid w:val="008A41D6"/>
    <w:rsid w:val="008E215B"/>
    <w:rsid w:val="0092002C"/>
    <w:rsid w:val="0092439A"/>
    <w:rsid w:val="00935EFB"/>
    <w:rsid w:val="00947266"/>
    <w:rsid w:val="0097198C"/>
    <w:rsid w:val="00973B19"/>
    <w:rsid w:val="00975FAB"/>
    <w:rsid w:val="00994D8E"/>
    <w:rsid w:val="009B6FF9"/>
    <w:rsid w:val="009B7ED5"/>
    <w:rsid w:val="00A03398"/>
    <w:rsid w:val="00A13663"/>
    <w:rsid w:val="00A3327B"/>
    <w:rsid w:val="00A367CE"/>
    <w:rsid w:val="00A40061"/>
    <w:rsid w:val="00AA00E5"/>
    <w:rsid w:val="00AA3F31"/>
    <w:rsid w:val="00AB1688"/>
    <w:rsid w:val="00B042F6"/>
    <w:rsid w:val="00B45A68"/>
    <w:rsid w:val="00B56E1C"/>
    <w:rsid w:val="00B912B9"/>
    <w:rsid w:val="00B93A41"/>
    <w:rsid w:val="00BD288F"/>
    <w:rsid w:val="00C27AFD"/>
    <w:rsid w:val="00CA06CC"/>
    <w:rsid w:val="00CB0CBF"/>
    <w:rsid w:val="00CF3884"/>
    <w:rsid w:val="00D237C5"/>
    <w:rsid w:val="00DD1882"/>
    <w:rsid w:val="00DD55F9"/>
    <w:rsid w:val="00E31BBB"/>
    <w:rsid w:val="00E33E22"/>
    <w:rsid w:val="00E423BF"/>
    <w:rsid w:val="00E46525"/>
    <w:rsid w:val="00E65240"/>
    <w:rsid w:val="00E92CB8"/>
    <w:rsid w:val="00F07296"/>
    <w:rsid w:val="00F27F9F"/>
    <w:rsid w:val="00F7138C"/>
    <w:rsid w:val="00F81551"/>
    <w:rsid w:val="00F859BA"/>
    <w:rsid w:val="00FB0F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D0E17"/>
  <w15:chartTrackingRefBased/>
  <w15:docId w15:val="{079F81EB-62A3-4B32-B829-761E2DC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AA00E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0E5"/>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AA00E5"/>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AA00E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A00E5"/>
    <w:rPr>
      <w:b/>
      <w:bCs/>
    </w:rPr>
  </w:style>
  <w:style w:type="character" w:styleId="Emphasis">
    <w:name w:val="Emphasis"/>
    <w:basedOn w:val="DefaultParagraphFont"/>
    <w:uiPriority w:val="20"/>
    <w:qFormat/>
    <w:rsid w:val="00AA00E5"/>
    <w:rPr>
      <w:i/>
      <w:iCs/>
    </w:rPr>
  </w:style>
  <w:style w:type="character" w:styleId="Hyperlink">
    <w:name w:val="Hyperlink"/>
    <w:basedOn w:val="DefaultParagraphFont"/>
    <w:uiPriority w:val="99"/>
    <w:unhideWhenUsed/>
    <w:rsid w:val="00AA00E5"/>
    <w:rPr>
      <w:color w:val="0000FF"/>
      <w:u w:val="single"/>
    </w:rPr>
  </w:style>
  <w:style w:type="character" w:styleId="CommentReference">
    <w:name w:val="annotation reference"/>
    <w:basedOn w:val="DefaultParagraphFont"/>
    <w:uiPriority w:val="99"/>
    <w:semiHidden/>
    <w:unhideWhenUsed/>
    <w:rsid w:val="00116753"/>
    <w:rPr>
      <w:sz w:val="16"/>
      <w:szCs w:val="16"/>
    </w:rPr>
  </w:style>
  <w:style w:type="paragraph" w:styleId="CommentText">
    <w:name w:val="annotation text"/>
    <w:basedOn w:val="Normal"/>
    <w:link w:val="CommentTextChar"/>
    <w:uiPriority w:val="99"/>
    <w:unhideWhenUsed/>
    <w:rsid w:val="00116753"/>
    <w:pPr>
      <w:spacing w:line="240" w:lineRule="auto"/>
    </w:pPr>
    <w:rPr>
      <w:sz w:val="20"/>
      <w:szCs w:val="20"/>
    </w:rPr>
  </w:style>
  <w:style w:type="character" w:customStyle="1" w:styleId="CommentTextChar">
    <w:name w:val="Comment Text Char"/>
    <w:basedOn w:val="DefaultParagraphFont"/>
    <w:link w:val="CommentText"/>
    <w:uiPriority w:val="99"/>
    <w:rsid w:val="00116753"/>
    <w:rPr>
      <w:sz w:val="20"/>
      <w:szCs w:val="20"/>
    </w:rPr>
  </w:style>
  <w:style w:type="paragraph" w:styleId="CommentSubject">
    <w:name w:val="annotation subject"/>
    <w:basedOn w:val="CommentText"/>
    <w:next w:val="CommentText"/>
    <w:link w:val="CommentSubjectChar"/>
    <w:uiPriority w:val="99"/>
    <w:semiHidden/>
    <w:unhideWhenUsed/>
    <w:rsid w:val="00116753"/>
    <w:rPr>
      <w:b/>
      <w:bCs/>
    </w:rPr>
  </w:style>
  <w:style w:type="character" w:customStyle="1" w:styleId="CommentSubjectChar">
    <w:name w:val="Comment Subject Char"/>
    <w:basedOn w:val="CommentTextChar"/>
    <w:link w:val="CommentSubject"/>
    <w:uiPriority w:val="99"/>
    <w:semiHidden/>
    <w:rsid w:val="00116753"/>
    <w:rPr>
      <w:b/>
      <w:bCs/>
      <w:sz w:val="20"/>
      <w:szCs w:val="20"/>
    </w:rPr>
  </w:style>
  <w:style w:type="paragraph" w:styleId="BalloonText">
    <w:name w:val="Balloon Text"/>
    <w:basedOn w:val="Normal"/>
    <w:link w:val="BalloonTextChar"/>
    <w:uiPriority w:val="99"/>
    <w:semiHidden/>
    <w:unhideWhenUsed/>
    <w:rsid w:val="00116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53"/>
    <w:rPr>
      <w:rFonts w:ascii="Segoe UI" w:hAnsi="Segoe UI" w:cs="Segoe UI"/>
      <w:sz w:val="18"/>
      <w:szCs w:val="18"/>
    </w:rPr>
  </w:style>
  <w:style w:type="paragraph" w:styleId="ListParagraph">
    <w:name w:val="List Paragraph"/>
    <w:basedOn w:val="Normal"/>
    <w:uiPriority w:val="34"/>
    <w:qFormat/>
    <w:rsid w:val="00E92CB8"/>
    <w:pPr>
      <w:ind w:left="720"/>
      <w:contextualSpacing/>
    </w:pPr>
  </w:style>
  <w:style w:type="paragraph" w:styleId="NoSpacing">
    <w:name w:val="No Spacing"/>
    <w:uiPriority w:val="1"/>
    <w:qFormat/>
    <w:rsid w:val="00437485"/>
    <w:pPr>
      <w:spacing w:after="0" w:line="240" w:lineRule="auto"/>
    </w:pPr>
  </w:style>
  <w:style w:type="paragraph" w:styleId="Header">
    <w:name w:val="header"/>
    <w:basedOn w:val="Normal"/>
    <w:link w:val="HeaderChar"/>
    <w:uiPriority w:val="99"/>
    <w:unhideWhenUsed/>
    <w:rsid w:val="00B9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B9"/>
  </w:style>
  <w:style w:type="paragraph" w:styleId="Footer">
    <w:name w:val="footer"/>
    <w:basedOn w:val="Normal"/>
    <w:link w:val="FooterChar"/>
    <w:uiPriority w:val="99"/>
    <w:unhideWhenUsed/>
    <w:rsid w:val="00B9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2B9"/>
  </w:style>
  <w:style w:type="character" w:styleId="FollowedHyperlink">
    <w:name w:val="FollowedHyperlink"/>
    <w:basedOn w:val="DefaultParagraphFont"/>
    <w:uiPriority w:val="99"/>
    <w:semiHidden/>
    <w:unhideWhenUsed/>
    <w:rsid w:val="009B6FF9"/>
    <w:rPr>
      <w:color w:val="954F72" w:themeColor="followedHyperlink"/>
      <w:u w:val="single"/>
    </w:rPr>
  </w:style>
  <w:style w:type="table" w:styleId="TableGrid">
    <w:name w:val="Table Grid"/>
    <w:basedOn w:val="TableNormal"/>
    <w:uiPriority w:val="39"/>
    <w:rsid w:val="0061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1882"/>
    <w:pPr>
      <w:spacing w:after="0" w:line="240" w:lineRule="auto"/>
    </w:pPr>
  </w:style>
  <w:style w:type="character" w:customStyle="1" w:styleId="cf01">
    <w:name w:val="cf01"/>
    <w:basedOn w:val="DefaultParagraphFont"/>
    <w:rsid w:val="00E31BBB"/>
    <w:rPr>
      <w:rFonts w:ascii="Segoe UI" w:hAnsi="Segoe UI" w:cs="Segoe UI" w:hint="default"/>
      <w:sz w:val="18"/>
      <w:szCs w:val="18"/>
    </w:rPr>
  </w:style>
  <w:style w:type="paragraph" w:customStyle="1" w:styleId="pf0">
    <w:name w:val="pf0"/>
    <w:basedOn w:val="Normal"/>
    <w:rsid w:val="001C59F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6702">
      <w:bodyDiv w:val="1"/>
      <w:marLeft w:val="0"/>
      <w:marRight w:val="0"/>
      <w:marTop w:val="0"/>
      <w:marBottom w:val="0"/>
      <w:divBdr>
        <w:top w:val="none" w:sz="0" w:space="0" w:color="auto"/>
        <w:left w:val="none" w:sz="0" w:space="0" w:color="auto"/>
        <w:bottom w:val="none" w:sz="0" w:space="0" w:color="auto"/>
        <w:right w:val="none" w:sz="0" w:space="0" w:color="auto"/>
      </w:divBdr>
    </w:div>
    <w:div w:id="371225867">
      <w:bodyDiv w:val="1"/>
      <w:marLeft w:val="0"/>
      <w:marRight w:val="0"/>
      <w:marTop w:val="0"/>
      <w:marBottom w:val="0"/>
      <w:divBdr>
        <w:top w:val="none" w:sz="0" w:space="0" w:color="auto"/>
        <w:left w:val="none" w:sz="0" w:space="0" w:color="auto"/>
        <w:bottom w:val="none" w:sz="0" w:space="0" w:color="auto"/>
        <w:right w:val="none" w:sz="0" w:space="0" w:color="auto"/>
      </w:divBdr>
    </w:div>
    <w:div w:id="667368871">
      <w:bodyDiv w:val="1"/>
      <w:marLeft w:val="0"/>
      <w:marRight w:val="0"/>
      <w:marTop w:val="0"/>
      <w:marBottom w:val="0"/>
      <w:divBdr>
        <w:top w:val="none" w:sz="0" w:space="0" w:color="auto"/>
        <w:left w:val="none" w:sz="0" w:space="0" w:color="auto"/>
        <w:bottom w:val="none" w:sz="0" w:space="0" w:color="auto"/>
        <w:right w:val="none" w:sz="0" w:space="0" w:color="auto"/>
      </w:divBdr>
    </w:div>
    <w:div w:id="1257902224">
      <w:bodyDiv w:val="1"/>
      <w:marLeft w:val="0"/>
      <w:marRight w:val="0"/>
      <w:marTop w:val="0"/>
      <w:marBottom w:val="0"/>
      <w:divBdr>
        <w:top w:val="none" w:sz="0" w:space="0" w:color="auto"/>
        <w:left w:val="none" w:sz="0" w:space="0" w:color="auto"/>
        <w:bottom w:val="none" w:sz="0" w:space="0" w:color="auto"/>
        <w:right w:val="none" w:sz="0" w:space="0" w:color="auto"/>
      </w:divBdr>
    </w:div>
    <w:div w:id="1318917300">
      <w:bodyDiv w:val="1"/>
      <w:marLeft w:val="0"/>
      <w:marRight w:val="0"/>
      <w:marTop w:val="0"/>
      <w:marBottom w:val="0"/>
      <w:divBdr>
        <w:top w:val="none" w:sz="0" w:space="0" w:color="auto"/>
        <w:left w:val="none" w:sz="0" w:space="0" w:color="auto"/>
        <w:bottom w:val="none" w:sz="0" w:space="0" w:color="auto"/>
        <w:right w:val="none" w:sz="0" w:space="0" w:color="auto"/>
      </w:divBdr>
    </w:div>
    <w:div w:id="1341080354">
      <w:bodyDiv w:val="1"/>
      <w:marLeft w:val="0"/>
      <w:marRight w:val="0"/>
      <w:marTop w:val="0"/>
      <w:marBottom w:val="0"/>
      <w:divBdr>
        <w:top w:val="none" w:sz="0" w:space="0" w:color="auto"/>
        <w:left w:val="none" w:sz="0" w:space="0" w:color="auto"/>
        <w:bottom w:val="none" w:sz="0" w:space="0" w:color="auto"/>
        <w:right w:val="none" w:sz="0" w:space="0" w:color="auto"/>
      </w:divBdr>
    </w:div>
    <w:div w:id="1765568725">
      <w:bodyDiv w:val="1"/>
      <w:marLeft w:val="0"/>
      <w:marRight w:val="0"/>
      <w:marTop w:val="0"/>
      <w:marBottom w:val="0"/>
      <w:divBdr>
        <w:top w:val="none" w:sz="0" w:space="0" w:color="auto"/>
        <w:left w:val="none" w:sz="0" w:space="0" w:color="auto"/>
        <w:bottom w:val="none" w:sz="0" w:space="0" w:color="auto"/>
        <w:right w:val="none" w:sz="0" w:space="0" w:color="auto"/>
      </w:divBdr>
    </w:div>
    <w:div w:id="1811093205">
      <w:bodyDiv w:val="1"/>
      <w:marLeft w:val="0"/>
      <w:marRight w:val="0"/>
      <w:marTop w:val="0"/>
      <w:marBottom w:val="0"/>
      <w:divBdr>
        <w:top w:val="none" w:sz="0" w:space="0" w:color="auto"/>
        <w:left w:val="none" w:sz="0" w:space="0" w:color="auto"/>
        <w:bottom w:val="none" w:sz="0" w:space="0" w:color="auto"/>
        <w:right w:val="none" w:sz="0" w:space="0" w:color="auto"/>
      </w:divBdr>
    </w:div>
    <w:div w:id="2068675704">
      <w:bodyDiv w:val="1"/>
      <w:marLeft w:val="0"/>
      <w:marRight w:val="0"/>
      <w:marTop w:val="0"/>
      <w:marBottom w:val="0"/>
      <w:divBdr>
        <w:top w:val="none" w:sz="0" w:space="0" w:color="auto"/>
        <w:left w:val="none" w:sz="0" w:space="0" w:color="auto"/>
        <w:bottom w:val="none" w:sz="0" w:space="0" w:color="auto"/>
        <w:right w:val="none" w:sz="0" w:space="0" w:color="auto"/>
      </w:divBdr>
    </w:div>
    <w:div w:id="21069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eracapital.com/en/institutional-markets/cia-accounting-cur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48CD-7ED7-4C01-AF23-D52F3E06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OAG-BVG</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Hoben, Nicholas</dc:creator>
  <cp:keywords/>
  <dc:description/>
  <cp:lastModifiedBy>Wong, Clara</cp:lastModifiedBy>
  <cp:revision>8</cp:revision>
  <dcterms:created xsi:type="dcterms:W3CDTF">2024-02-09T19:03:00Z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2024-01-22T15:14:59Z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ceab1218-a9f3-426e-8a37-98a18396fd26</vt:lpwstr>
  </property>
  <property fmtid="{D5CDD505-2E9C-101B-9397-08002B2CF9AE}" pid="8" name="MSIP_Label_ea60d57e-af5b-4752-ac57-3e4f28ca11dc_ContentBits">
    <vt:lpwstr>0</vt:lpwstr>
  </property>
</Properties>
</file>