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3F" w:rsidRPr="00A874F7" w:rsidRDefault="004D058C" w:rsidP="00D5313F">
      <w:pPr>
        <w:rPr>
          <w:b/>
          <w:lang w:val="fr-CA"/>
        </w:rPr>
      </w:pPr>
      <w:r w:rsidRPr="004D058C">
        <w:rPr>
          <w:b/>
          <w:lang w:val="fr-CA"/>
        </w:rPr>
        <w:t xml:space="preserve">Impact de l’Examen stratégique et fonctionnel </w:t>
      </w:r>
    </w:p>
    <w:p w:rsidR="00A75BC3" w:rsidRDefault="00A75BC3" w:rsidP="00D5313F">
      <w:pPr>
        <w:rPr>
          <w:lang w:val="fr-CA"/>
        </w:rPr>
      </w:pPr>
    </w:p>
    <w:p w:rsidR="00A75BC3" w:rsidRDefault="00A75BC3" w:rsidP="00D5313F">
      <w:pPr>
        <w:rPr>
          <w:lang w:val="fr-CA"/>
        </w:rPr>
      </w:pPr>
    </w:p>
    <w:p w:rsidR="00A75BC3" w:rsidRDefault="00A75BC3" w:rsidP="00D5313F">
      <w:pPr>
        <w:rPr>
          <w:b/>
          <w:lang w:val="fr-CA"/>
        </w:rPr>
      </w:pPr>
      <w:r w:rsidRPr="00A75BC3">
        <w:rPr>
          <w:b/>
          <w:lang w:val="fr-CA"/>
        </w:rPr>
        <w:t>Contexte</w:t>
      </w:r>
    </w:p>
    <w:p w:rsidR="00A75BC3" w:rsidRDefault="00A75BC3" w:rsidP="00D5313F">
      <w:pPr>
        <w:rPr>
          <w:b/>
          <w:lang w:val="fr-CA"/>
        </w:rPr>
      </w:pPr>
    </w:p>
    <w:p w:rsidR="00A75BC3" w:rsidRDefault="00A75BC3" w:rsidP="00D5313F">
      <w:pPr>
        <w:rPr>
          <w:lang w:val="fr-CA"/>
        </w:rPr>
      </w:pPr>
      <w:r w:rsidRPr="00BD58BE">
        <w:rPr>
          <w:lang w:val="fr-CA"/>
        </w:rPr>
        <w:t>Le gouvernement du Can</w:t>
      </w:r>
      <w:r w:rsidR="00BD58BE" w:rsidRPr="00BD58BE">
        <w:rPr>
          <w:lang w:val="fr-CA"/>
        </w:rPr>
        <w:t>a</w:t>
      </w:r>
      <w:r w:rsidRPr="00BD58BE">
        <w:rPr>
          <w:lang w:val="fr-CA"/>
        </w:rPr>
        <w:t xml:space="preserve">da </w:t>
      </w:r>
      <w:r w:rsidR="00BD58BE" w:rsidRPr="00BD58BE">
        <w:rPr>
          <w:lang w:val="fr-CA"/>
        </w:rPr>
        <w:t xml:space="preserve">a </w:t>
      </w:r>
      <w:r w:rsidR="00BD58BE">
        <w:rPr>
          <w:lang w:val="fr-CA"/>
        </w:rPr>
        <w:t xml:space="preserve">mené un Examen stratégique et fonctionnel des dépenses de programmes </w:t>
      </w:r>
      <w:r w:rsidR="000544DD">
        <w:rPr>
          <w:lang w:val="fr-CA"/>
        </w:rPr>
        <w:t xml:space="preserve">dans le but </w:t>
      </w:r>
      <w:r w:rsidR="00BD58BE">
        <w:rPr>
          <w:lang w:val="fr-CA"/>
        </w:rPr>
        <w:t>d’identifier des secteurs où les coûts de prestation de services peuvent être diminu</w:t>
      </w:r>
      <w:r w:rsidR="000544DD">
        <w:rPr>
          <w:lang w:val="fr-CA"/>
        </w:rPr>
        <w:t>és</w:t>
      </w:r>
      <w:r w:rsidR="00297D84">
        <w:rPr>
          <w:lang w:val="fr-CA"/>
        </w:rPr>
        <w:t xml:space="preserve"> afin de</w:t>
      </w:r>
      <w:r w:rsidR="000544DD">
        <w:rPr>
          <w:lang w:val="fr-CA"/>
        </w:rPr>
        <w:t xml:space="preserve"> </w:t>
      </w:r>
      <w:r w:rsidR="00BD58BE">
        <w:rPr>
          <w:lang w:val="fr-CA"/>
        </w:rPr>
        <w:t xml:space="preserve">dégager des économies annuelles permanentes de 4 milliards </w:t>
      </w:r>
      <w:r w:rsidR="00200EF3">
        <w:rPr>
          <w:lang w:val="fr-CA"/>
        </w:rPr>
        <w:t xml:space="preserve">et </w:t>
      </w:r>
      <w:r w:rsidR="00297D84">
        <w:rPr>
          <w:lang w:val="fr-CA"/>
        </w:rPr>
        <w:t>d’</w:t>
      </w:r>
      <w:r w:rsidR="00200EF3">
        <w:rPr>
          <w:lang w:val="fr-CA"/>
        </w:rPr>
        <w:t>atteindre l’équilibre budgétaire d’ici 2014-2015</w:t>
      </w:r>
      <w:r w:rsidR="000544DD">
        <w:rPr>
          <w:lang w:val="fr-CA"/>
        </w:rPr>
        <w:t xml:space="preserve"> conformément à son engagement</w:t>
      </w:r>
      <w:r w:rsidR="00200EF3">
        <w:rPr>
          <w:lang w:val="fr-CA"/>
        </w:rPr>
        <w:t xml:space="preserve">. Dans le cadre de ce processus, </w:t>
      </w:r>
      <w:r w:rsidR="000544DD">
        <w:rPr>
          <w:lang w:val="fr-CA"/>
        </w:rPr>
        <w:t xml:space="preserve">on </w:t>
      </w:r>
      <w:r w:rsidR="00EA1AD2">
        <w:rPr>
          <w:lang w:val="fr-CA"/>
        </w:rPr>
        <w:t xml:space="preserve">peut s’attendre à ce </w:t>
      </w:r>
      <w:r w:rsidR="000544DD">
        <w:rPr>
          <w:lang w:val="fr-CA"/>
        </w:rPr>
        <w:t xml:space="preserve">que </w:t>
      </w:r>
      <w:r w:rsidR="00200EF3">
        <w:rPr>
          <w:lang w:val="fr-CA"/>
        </w:rPr>
        <w:t xml:space="preserve">des réductions de personnel </w:t>
      </w:r>
      <w:r w:rsidR="00EA1AD2">
        <w:rPr>
          <w:lang w:val="fr-CA"/>
        </w:rPr>
        <w:t xml:space="preserve">soient nécessaires </w:t>
      </w:r>
      <w:r w:rsidR="000544DD">
        <w:rPr>
          <w:lang w:val="fr-CA"/>
        </w:rPr>
        <w:t>au sein de certaines de</w:t>
      </w:r>
      <w:r w:rsidR="00297D84">
        <w:rPr>
          <w:lang w:val="fr-CA"/>
        </w:rPr>
        <w:t xml:space="preserve"> nos </w:t>
      </w:r>
      <w:r w:rsidR="000544DD">
        <w:rPr>
          <w:lang w:val="fr-CA"/>
        </w:rPr>
        <w:t xml:space="preserve">entités </w:t>
      </w:r>
      <w:r w:rsidR="00297D84">
        <w:rPr>
          <w:lang w:val="fr-CA"/>
        </w:rPr>
        <w:t>auditées</w:t>
      </w:r>
      <w:r w:rsidR="00996050">
        <w:rPr>
          <w:lang w:val="fr-CA"/>
        </w:rPr>
        <w:t xml:space="preserve">; selon le gouvernement, ces réductions pourraient </w:t>
      </w:r>
      <w:r w:rsidR="00EA1AD2">
        <w:rPr>
          <w:lang w:val="fr-CA"/>
        </w:rPr>
        <w:t xml:space="preserve">ne pas </w:t>
      </w:r>
      <w:r w:rsidR="00996050">
        <w:rPr>
          <w:lang w:val="fr-CA"/>
        </w:rPr>
        <w:t xml:space="preserve">se </w:t>
      </w:r>
      <w:r w:rsidR="00200EF3">
        <w:rPr>
          <w:lang w:val="fr-CA"/>
        </w:rPr>
        <w:t>réalis</w:t>
      </w:r>
      <w:r w:rsidR="00996050">
        <w:rPr>
          <w:lang w:val="fr-CA"/>
        </w:rPr>
        <w:t>er</w:t>
      </w:r>
      <w:r w:rsidR="00200EF3">
        <w:rPr>
          <w:lang w:val="fr-CA"/>
        </w:rPr>
        <w:t xml:space="preserve"> </w:t>
      </w:r>
      <w:r w:rsidR="00996050">
        <w:rPr>
          <w:lang w:val="fr-CA"/>
        </w:rPr>
        <w:t xml:space="preserve">que </w:t>
      </w:r>
      <w:r w:rsidR="00200EF3">
        <w:rPr>
          <w:lang w:val="fr-CA"/>
        </w:rPr>
        <w:t>par l’attrition</w:t>
      </w:r>
      <w:r w:rsidR="00EA1AD2">
        <w:rPr>
          <w:lang w:val="fr-CA"/>
        </w:rPr>
        <w:t xml:space="preserve"> normale</w:t>
      </w:r>
      <w:r w:rsidR="00200EF3">
        <w:rPr>
          <w:lang w:val="fr-CA"/>
        </w:rPr>
        <w:t>.</w:t>
      </w:r>
    </w:p>
    <w:p w:rsidR="00200EF3" w:rsidRDefault="00200EF3" w:rsidP="00D5313F">
      <w:pPr>
        <w:rPr>
          <w:lang w:val="fr-CA"/>
        </w:rPr>
      </w:pPr>
    </w:p>
    <w:p w:rsidR="00200EF3" w:rsidRDefault="00625EA3" w:rsidP="00D5313F">
      <w:pPr>
        <w:rPr>
          <w:lang w:val="fr-CA"/>
        </w:rPr>
      </w:pPr>
      <w:r>
        <w:rPr>
          <w:lang w:val="fr-CA"/>
        </w:rPr>
        <w:t xml:space="preserve">La </w:t>
      </w:r>
      <w:r w:rsidRPr="00822688">
        <w:rPr>
          <w:color w:val="1F497D" w:themeColor="text2"/>
          <w:u w:val="single"/>
          <w:lang w:val="fr-CA"/>
        </w:rPr>
        <w:t>Directive sur le réaménagement des effectifs du Conseil national mixte (CNM</w:t>
      </w:r>
      <w:r w:rsidRPr="00625EA3">
        <w:rPr>
          <w:u w:val="single"/>
          <w:lang w:val="fr-CA"/>
        </w:rPr>
        <w:t>)</w:t>
      </w:r>
      <w:r>
        <w:rPr>
          <w:u w:val="single"/>
          <w:lang w:val="fr-CA"/>
        </w:rPr>
        <w:t xml:space="preserve"> </w:t>
      </w:r>
      <w:r w:rsidR="00AB2A3B">
        <w:rPr>
          <w:lang w:val="fr-CA"/>
        </w:rPr>
        <w:t xml:space="preserve">présente </w:t>
      </w:r>
      <w:r>
        <w:rPr>
          <w:lang w:val="fr-CA"/>
        </w:rPr>
        <w:t xml:space="preserve">les </w:t>
      </w:r>
      <w:r w:rsidR="00297D84">
        <w:rPr>
          <w:lang w:val="fr-CA"/>
        </w:rPr>
        <w:t>stipulations et l</w:t>
      </w:r>
      <w:r w:rsidR="00822688">
        <w:rPr>
          <w:lang w:val="fr-CA"/>
        </w:rPr>
        <w:t xml:space="preserve">es </w:t>
      </w:r>
      <w:r>
        <w:rPr>
          <w:lang w:val="fr-CA"/>
        </w:rPr>
        <w:t>options offertes aux employés touchés par le réaménagement des effectifs</w:t>
      </w:r>
      <w:r w:rsidR="00822688">
        <w:rPr>
          <w:lang w:val="fr-CA"/>
        </w:rPr>
        <w:t xml:space="preserve"> qui font partie de</w:t>
      </w:r>
      <w:r w:rsidR="00AB2A3B">
        <w:rPr>
          <w:lang w:val="fr-CA"/>
        </w:rPr>
        <w:t xml:space="preserve"> groupes d’employés syndiqués spécifiques</w:t>
      </w:r>
      <w:r>
        <w:rPr>
          <w:lang w:val="fr-CA"/>
        </w:rPr>
        <w:t xml:space="preserve"> </w:t>
      </w:r>
      <w:r w:rsidR="00AB2A3B">
        <w:rPr>
          <w:lang w:val="fr-CA"/>
        </w:rPr>
        <w:t xml:space="preserve">i.e. ceux </w:t>
      </w:r>
      <w:r>
        <w:rPr>
          <w:lang w:val="fr-CA"/>
        </w:rPr>
        <w:t xml:space="preserve">dont la convention collective </w:t>
      </w:r>
      <w:r w:rsidR="00297D84">
        <w:rPr>
          <w:lang w:val="fr-CA"/>
        </w:rPr>
        <w:t xml:space="preserve">réfère à </w:t>
      </w:r>
      <w:r>
        <w:rPr>
          <w:lang w:val="fr-CA"/>
        </w:rPr>
        <w:t>la Directive</w:t>
      </w:r>
      <w:r w:rsidR="00AB2A3B">
        <w:rPr>
          <w:lang w:val="fr-CA"/>
        </w:rPr>
        <w:t xml:space="preserve"> </w:t>
      </w:r>
      <w:r w:rsidR="00AB2A3B" w:rsidRPr="00AB2A3B">
        <w:rPr>
          <w:lang w:val="fr-CA"/>
        </w:rPr>
        <w:t>du CNM</w:t>
      </w:r>
      <w:r w:rsidR="00AB2A3B">
        <w:rPr>
          <w:lang w:val="fr-CA"/>
        </w:rPr>
        <w:t xml:space="preserve">. Pour les </w:t>
      </w:r>
      <w:r w:rsidR="00822688">
        <w:rPr>
          <w:lang w:val="fr-CA"/>
        </w:rPr>
        <w:t xml:space="preserve">autres </w:t>
      </w:r>
      <w:r w:rsidR="00AB2A3B">
        <w:rPr>
          <w:lang w:val="fr-CA"/>
        </w:rPr>
        <w:t>groupes syndiqués non couverts par la Directive du CNM</w:t>
      </w:r>
      <w:r w:rsidR="00822688">
        <w:rPr>
          <w:lang w:val="fr-CA"/>
        </w:rPr>
        <w:t>,</w:t>
      </w:r>
      <w:r w:rsidR="00AB2A3B">
        <w:rPr>
          <w:lang w:val="fr-CA"/>
        </w:rPr>
        <w:t xml:space="preserve"> comme par exemple l’AFPC, les dispositions relatives au réaménagement des effectifs </w:t>
      </w:r>
      <w:r w:rsidR="00822688">
        <w:rPr>
          <w:lang w:val="fr-CA"/>
        </w:rPr>
        <w:t xml:space="preserve">peuvent être incluses </w:t>
      </w:r>
      <w:r w:rsidR="00AB2A3B">
        <w:rPr>
          <w:lang w:val="fr-CA"/>
        </w:rPr>
        <w:t>dans leurs conventions collectives.</w:t>
      </w:r>
      <w:r w:rsidR="00297D84">
        <w:rPr>
          <w:lang w:val="fr-CA"/>
        </w:rPr>
        <w:t xml:space="preserve"> En outre</w:t>
      </w:r>
      <w:r w:rsidR="00822688">
        <w:rPr>
          <w:lang w:val="fr-CA"/>
        </w:rPr>
        <w:t>,</w:t>
      </w:r>
      <w:r w:rsidR="00AB2A3B">
        <w:rPr>
          <w:lang w:val="fr-CA"/>
        </w:rPr>
        <w:t xml:space="preserve"> les dispositions de réaménagement des effectifs </w:t>
      </w:r>
      <w:r w:rsidR="00C15C32">
        <w:rPr>
          <w:lang w:val="fr-CA"/>
        </w:rPr>
        <w:t xml:space="preserve">concernant </w:t>
      </w:r>
      <w:r w:rsidR="00D1203E">
        <w:rPr>
          <w:lang w:val="fr-CA"/>
        </w:rPr>
        <w:t xml:space="preserve">les cadres supérieurs </w:t>
      </w:r>
      <w:r w:rsidR="00C15C32">
        <w:rPr>
          <w:lang w:val="fr-CA"/>
        </w:rPr>
        <w:t xml:space="preserve">sont </w:t>
      </w:r>
      <w:r w:rsidR="00822688">
        <w:rPr>
          <w:lang w:val="fr-CA"/>
        </w:rPr>
        <w:t xml:space="preserve">présentées </w:t>
      </w:r>
      <w:r w:rsidR="00C15C32">
        <w:rPr>
          <w:lang w:val="fr-CA"/>
        </w:rPr>
        <w:t xml:space="preserve">dans la </w:t>
      </w:r>
      <w:r w:rsidR="00C15C32" w:rsidRPr="00822688">
        <w:rPr>
          <w:color w:val="1F497D" w:themeColor="text2"/>
          <w:u w:val="single"/>
          <w:lang w:val="fr-CA"/>
        </w:rPr>
        <w:t>Directive sur la transition dans la carrière des cadres supérieurs</w:t>
      </w:r>
      <w:r w:rsidR="00C15C32">
        <w:rPr>
          <w:lang w:val="fr-CA"/>
        </w:rPr>
        <w:t xml:space="preserve"> du SCT.</w:t>
      </w:r>
    </w:p>
    <w:p w:rsidR="00C15C32" w:rsidRDefault="00C15C32" w:rsidP="00D5313F">
      <w:pPr>
        <w:rPr>
          <w:lang w:val="fr-CA"/>
        </w:rPr>
      </w:pPr>
    </w:p>
    <w:p w:rsidR="00C15C32" w:rsidRDefault="00C15C32" w:rsidP="00D5313F">
      <w:pPr>
        <w:rPr>
          <w:lang w:val="fr-CA"/>
        </w:rPr>
      </w:pPr>
      <w:r>
        <w:rPr>
          <w:lang w:val="fr-CA"/>
        </w:rPr>
        <w:t xml:space="preserve">Le gouvernement </w:t>
      </w:r>
      <w:r w:rsidR="00297D84">
        <w:rPr>
          <w:lang w:val="fr-CA"/>
        </w:rPr>
        <w:t xml:space="preserve">du Canada </w:t>
      </w:r>
      <w:r>
        <w:rPr>
          <w:lang w:val="fr-CA"/>
        </w:rPr>
        <w:t xml:space="preserve">a l’intention d’enregistrer un passif à l’égard des coûts de réaménagement des effectifs pour l’exercice terminé le 31 mars 2012. Chacune des organisations a </w:t>
      </w:r>
      <w:r w:rsidR="007B10ED">
        <w:rPr>
          <w:lang w:val="fr-CA"/>
        </w:rPr>
        <w:t xml:space="preserve">également </w:t>
      </w:r>
      <w:r>
        <w:rPr>
          <w:lang w:val="fr-CA"/>
        </w:rPr>
        <w:t>reçu des instructions du Bureau du contrôleur général</w:t>
      </w:r>
      <w:r w:rsidR="009C5471">
        <w:rPr>
          <w:lang w:val="fr-CA"/>
        </w:rPr>
        <w:t xml:space="preserve"> à l’effet qu’elles doivent enregistrer le coût des mesures de réaménagement des effectifs dans leurs états financiers 2011-2012.</w:t>
      </w:r>
    </w:p>
    <w:p w:rsidR="009C5471" w:rsidRDefault="009C5471" w:rsidP="00D5313F">
      <w:pPr>
        <w:rPr>
          <w:lang w:val="fr-CA"/>
        </w:rPr>
      </w:pPr>
    </w:p>
    <w:p w:rsidR="009C5471" w:rsidRDefault="009C5471" w:rsidP="00D5313F">
      <w:pPr>
        <w:rPr>
          <w:lang w:val="fr-CA"/>
        </w:rPr>
      </w:pPr>
      <w:r>
        <w:rPr>
          <w:lang w:val="fr-CA"/>
        </w:rPr>
        <w:t>L’Équipe des méthodes d’audit annuel</w:t>
      </w:r>
      <w:r w:rsidR="00E24939">
        <w:rPr>
          <w:lang w:val="fr-CA"/>
        </w:rPr>
        <w:t xml:space="preserve"> </w:t>
      </w:r>
      <w:r w:rsidR="007B10ED">
        <w:rPr>
          <w:lang w:val="fr-CA"/>
        </w:rPr>
        <w:t xml:space="preserve">(EMAA) </w:t>
      </w:r>
      <w:r>
        <w:rPr>
          <w:lang w:val="fr-CA"/>
        </w:rPr>
        <w:t xml:space="preserve">a revu cette question dans la perspective des audits menant à une opinion </w:t>
      </w:r>
      <w:r w:rsidR="007B10ED">
        <w:rPr>
          <w:lang w:val="fr-CA"/>
        </w:rPr>
        <w:t xml:space="preserve">distincte </w:t>
      </w:r>
      <w:r>
        <w:rPr>
          <w:lang w:val="fr-CA"/>
        </w:rPr>
        <w:t xml:space="preserve">sur les états financiers. Parmi les entités mentionnées à </w:t>
      </w:r>
      <w:r w:rsidRPr="0030661A">
        <w:rPr>
          <w:color w:val="1F497D" w:themeColor="text2"/>
          <w:u w:val="single"/>
          <w:lang w:val="fr-CA"/>
        </w:rPr>
        <w:t>l’Annexe 1 : Gestion responsable des dépenses</w:t>
      </w:r>
      <w:r>
        <w:rPr>
          <w:lang w:val="fr-CA"/>
        </w:rPr>
        <w:t xml:space="preserve"> du Budget 2012, la majorité des entités </w:t>
      </w:r>
      <w:r w:rsidR="007B10ED">
        <w:rPr>
          <w:lang w:val="fr-CA"/>
        </w:rPr>
        <w:t xml:space="preserve">touchées et </w:t>
      </w:r>
      <w:r>
        <w:rPr>
          <w:lang w:val="fr-CA"/>
        </w:rPr>
        <w:t>auditées par le Bureau utilise les normes comptables du secteur public, tandis que quelques</w:t>
      </w:r>
      <w:r w:rsidR="00E24939">
        <w:rPr>
          <w:lang w:val="fr-CA"/>
        </w:rPr>
        <w:t>-</w:t>
      </w:r>
      <w:r>
        <w:rPr>
          <w:lang w:val="fr-CA"/>
        </w:rPr>
        <w:t>unes applique</w:t>
      </w:r>
      <w:r w:rsidR="00E24939">
        <w:rPr>
          <w:lang w:val="fr-CA"/>
        </w:rPr>
        <w:t>nt</w:t>
      </w:r>
      <w:r>
        <w:rPr>
          <w:lang w:val="fr-CA"/>
        </w:rPr>
        <w:t xml:space="preserve"> les IFRS.</w:t>
      </w:r>
    </w:p>
    <w:p w:rsidR="009C5471" w:rsidRDefault="009C5471" w:rsidP="00D5313F">
      <w:pPr>
        <w:rPr>
          <w:lang w:val="fr-CA"/>
        </w:rPr>
      </w:pPr>
    </w:p>
    <w:p w:rsidR="009C5471" w:rsidRDefault="009C5471" w:rsidP="00D5313F">
      <w:pPr>
        <w:rPr>
          <w:b/>
          <w:lang w:val="fr-CA"/>
        </w:rPr>
      </w:pPr>
      <w:r w:rsidRPr="009C5471">
        <w:rPr>
          <w:b/>
          <w:lang w:val="fr-CA"/>
        </w:rPr>
        <w:t>Interprétation</w:t>
      </w:r>
    </w:p>
    <w:p w:rsidR="009C5471" w:rsidRDefault="009C5471" w:rsidP="00D5313F">
      <w:pPr>
        <w:rPr>
          <w:b/>
          <w:lang w:val="fr-CA"/>
        </w:rPr>
      </w:pPr>
    </w:p>
    <w:p w:rsidR="00E24939" w:rsidRDefault="00350080" w:rsidP="00D5313F">
      <w:pPr>
        <w:rPr>
          <w:lang w:val="fr-CA"/>
        </w:rPr>
      </w:pPr>
      <w:r>
        <w:rPr>
          <w:lang w:val="fr-CA"/>
        </w:rPr>
        <w:t xml:space="preserve">En ce qui concerne </w:t>
      </w:r>
      <w:r w:rsidR="00E24939">
        <w:rPr>
          <w:lang w:val="fr-CA"/>
        </w:rPr>
        <w:t xml:space="preserve">les </w:t>
      </w:r>
      <w:r w:rsidR="006A1774">
        <w:rPr>
          <w:lang w:val="fr-CA"/>
        </w:rPr>
        <w:t>normes comptables du secteur public</w:t>
      </w:r>
      <w:r w:rsidR="006A1774" w:rsidRPr="00E24939">
        <w:rPr>
          <w:lang w:val="fr-CA"/>
        </w:rPr>
        <w:t xml:space="preserve"> </w:t>
      </w:r>
      <w:r w:rsidR="006A1774">
        <w:rPr>
          <w:lang w:val="fr-CA"/>
        </w:rPr>
        <w:t>et les IFRS, l</w:t>
      </w:r>
      <w:r w:rsidR="00E24939" w:rsidRPr="00E24939">
        <w:rPr>
          <w:lang w:val="fr-CA"/>
        </w:rPr>
        <w:t>’EMAA a conclu</w:t>
      </w:r>
      <w:r w:rsidR="006A1774">
        <w:rPr>
          <w:lang w:val="fr-CA"/>
        </w:rPr>
        <w:t xml:space="preserve"> que les coûts de réaménagement des effectifs (et </w:t>
      </w:r>
      <w:r>
        <w:rPr>
          <w:lang w:val="fr-CA"/>
        </w:rPr>
        <w:t>d’</w:t>
      </w:r>
      <w:r w:rsidR="006A1774">
        <w:rPr>
          <w:lang w:val="fr-CA"/>
        </w:rPr>
        <w:t xml:space="preserve">autres </w:t>
      </w:r>
      <w:r>
        <w:rPr>
          <w:lang w:val="fr-CA"/>
        </w:rPr>
        <w:t xml:space="preserve">mesures </w:t>
      </w:r>
      <w:r w:rsidR="006A1774">
        <w:rPr>
          <w:lang w:val="fr-CA"/>
        </w:rPr>
        <w:t>similaires) doivent être évalués en considérant les critère</w:t>
      </w:r>
      <w:r w:rsidR="003F7B53">
        <w:rPr>
          <w:lang w:val="fr-CA"/>
        </w:rPr>
        <w:t>s</w:t>
      </w:r>
      <w:r w:rsidR="006A1774">
        <w:rPr>
          <w:lang w:val="fr-CA"/>
        </w:rPr>
        <w:t xml:space="preserve"> de</w:t>
      </w:r>
      <w:r w:rsidR="003F7B53">
        <w:rPr>
          <w:lang w:val="fr-CA"/>
        </w:rPr>
        <w:t xml:space="preserve"> comptabilisation spécifiés à SP3255.28 et .31 ou IAS 19.133 et .134. Les avantages liés au réaménagement des effectifs (et </w:t>
      </w:r>
      <w:r>
        <w:rPr>
          <w:lang w:val="fr-CA"/>
        </w:rPr>
        <w:t>à d’</w:t>
      </w:r>
      <w:r w:rsidR="003F7B53">
        <w:rPr>
          <w:lang w:val="fr-CA"/>
        </w:rPr>
        <w:t xml:space="preserve">autres </w:t>
      </w:r>
      <w:r>
        <w:rPr>
          <w:lang w:val="fr-CA"/>
        </w:rPr>
        <w:t xml:space="preserve">mesures </w:t>
      </w:r>
      <w:r w:rsidR="003F7B53">
        <w:rPr>
          <w:lang w:val="fr-CA"/>
        </w:rPr>
        <w:t xml:space="preserve">similaires) </w:t>
      </w:r>
      <w:r w:rsidR="00684C36">
        <w:rPr>
          <w:lang w:val="fr-CA"/>
        </w:rPr>
        <w:t xml:space="preserve">sont </w:t>
      </w:r>
      <w:r w:rsidR="003F7B53">
        <w:rPr>
          <w:lang w:val="fr-CA"/>
        </w:rPr>
        <w:t>des</w:t>
      </w:r>
      <w:r w:rsidR="00684C36">
        <w:rPr>
          <w:lang w:val="fr-CA"/>
        </w:rPr>
        <w:t xml:space="preserve"> prestation</w:t>
      </w:r>
      <w:r w:rsidR="004A4D2F">
        <w:rPr>
          <w:lang w:val="fr-CA"/>
        </w:rPr>
        <w:t>s</w:t>
      </w:r>
      <w:r w:rsidR="00684C36">
        <w:rPr>
          <w:lang w:val="fr-CA"/>
        </w:rPr>
        <w:t xml:space="preserve"> spéciales de cessation d’emploi</w:t>
      </w:r>
      <w:r w:rsidR="00106E04" w:rsidRPr="00106E04">
        <w:rPr>
          <w:lang w:val="fr-CA"/>
        </w:rPr>
        <w:t>.</w:t>
      </w:r>
    </w:p>
    <w:p w:rsidR="00106E04" w:rsidRDefault="00106E04" w:rsidP="00D5313F">
      <w:pPr>
        <w:rPr>
          <w:lang w:val="fr-CA"/>
        </w:rPr>
      </w:pPr>
    </w:p>
    <w:p w:rsidR="00106E04" w:rsidRDefault="00106E04" w:rsidP="00D5313F">
      <w:pPr>
        <w:rPr>
          <w:lang w:val="fr-CA"/>
        </w:rPr>
      </w:pPr>
      <w:r>
        <w:rPr>
          <w:lang w:val="fr-CA"/>
        </w:rPr>
        <w:t xml:space="preserve">Lorsque les critères </w:t>
      </w:r>
      <w:r w:rsidR="004A4D2F">
        <w:rPr>
          <w:lang w:val="fr-CA"/>
        </w:rPr>
        <w:t xml:space="preserve">mentionnés </w:t>
      </w:r>
      <w:r>
        <w:rPr>
          <w:lang w:val="fr-CA"/>
        </w:rPr>
        <w:t>à SP</w:t>
      </w:r>
      <w:r w:rsidR="004A4D2F">
        <w:rPr>
          <w:lang w:val="fr-CA"/>
        </w:rPr>
        <w:t xml:space="preserve"> </w:t>
      </w:r>
      <w:r>
        <w:rPr>
          <w:lang w:val="fr-CA"/>
        </w:rPr>
        <w:t xml:space="preserve">3255.28 et .31 ou IAS 19.133 sont rencontrés et que les montants peuvent </w:t>
      </w:r>
      <w:r w:rsidR="004A4D2F">
        <w:rPr>
          <w:lang w:val="fr-CA"/>
        </w:rPr>
        <w:t>faire l’objet d’une estimation raisonnable</w:t>
      </w:r>
      <w:r>
        <w:rPr>
          <w:lang w:val="fr-CA"/>
        </w:rPr>
        <w:t xml:space="preserve">, </w:t>
      </w:r>
      <w:r w:rsidR="004A4D2F">
        <w:rPr>
          <w:lang w:val="fr-CA"/>
        </w:rPr>
        <w:t xml:space="preserve">un passif doit être constaté au titre </w:t>
      </w:r>
      <w:r w:rsidR="00D1203E">
        <w:rPr>
          <w:lang w:val="fr-CA"/>
        </w:rPr>
        <w:t xml:space="preserve">de </w:t>
      </w:r>
      <w:r w:rsidR="00817F67">
        <w:rPr>
          <w:lang w:val="fr-CA"/>
        </w:rPr>
        <w:t>prestations spéciales de cessation d’emploi</w:t>
      </w:r>
      <w:r w:rsidR="00817F67" w:rsidDel="004A4D2F">
        <w:rPr>
          <w:lang w:val="fr-CA"/>
        </w:rPr>
        <w:t xml:space="preserve"> </w:t>
      </w:r>
      <w:r>
        <w:rPr>
          <w:lang w:val="fr-CA"/>
        </w:rPr>
        <w:t xml:space="preserve">dans l’exercice </w:t>
      </w:r>
      <w:r w:rsidR="00277985">
        <w:rPr>
          <w:lang w:val="fr-CA"/>
        </w:rPr>
        <w:t xml:space="preserve">courant (2011-2012) étant donné que ces coûts </w:t>
      </w:r>
      <w:r w:rsidR="00277985" w:rsidRPr="00277985">
        <w:rPr>
          <w:lang w:val="fr-CA"/>
        </w:rPr>
        <w:t xml:space="preserve">ne </w:t>
      </w:r>
      <w:r w:rsidR="00277985">
        <w:rPr>
          <w:lang w:val="fr-CA"/>
        </w:rPr>
        <w:t>donne</w:t>
      </w:r>
      <w:r w:rsidR="004A4D2F">
        <w:rPr>
          <w:lang w:val="fr-CA"/>
        </w:rPr>
        <w:t>nt</w:t>
      </w:r>
      <w:r w:rsidR="00277985" w:rsidRPr="00277985">
        <w:rPr>
          <w:lang w:val="fr-CA"/>
        </w:rPr>
        <w:t xml:space="preserve"> </w:t>
      </w:r>
      <w:r w:rsidR="00277985">
        <w:rPr>
          <w:lang w:val="fr-CA"/>
        </w:rPr>
        <w:t xml:space="preserve">aucun </w:t>
      </w:r>
      <w:r w:rsidR="00277985" w:rsidRPr="00277985">
        <w:rPr>
          <w:lang w:val="fr-CA"/>
        </w:rPr>
        <w:t xml:space="preserve">avantage économique </w:t>
      </w:r>
      <w:r w:rsidR="00277985">
        <w:rPr>
          <w:lang w:val="fr-CA"/>
        </w:rPr>
        <w:t>futur à l'entité.</w:t>
      </w:r>
    </w:p>
    <w:p w:rsidR="00277985" w:rsidRDefault="00277985" w:rsidP="00D5313F">
      <w:pPr>
        <w:rPr>
          <w:lang w:val="fr-CA"/>
        </w:rPr>
      </w:pPr>
    </w:p>
    <w:p w:rsidR="00277985" w:rsidRDefault="00277985" w:rsidP="00D5313F">
      <w:pPr>
        <w:rPr>
          <w:lang w:val="fr-CA"/>
        </w:rPr>
      </w:pPr>
      <w:r>
        <w:rPr>
          <w:lang w:val="fr-CA"/>
        </w:rPr>
        <w:lastRenderedPageBreak/>
        <w:t xml:space="preserve">Les coûts </w:t>
      </w:r>
      <w:r w:rsidR="0030661A">
        <w:rPr>
          <w:lang w:val="fr-CA"/>
        </w:rPr>
        <w:t xml:space="preserve">à </w:t>
      </w:r>
      <w:r>
        <w:rPr>
          <w:lang w:val="fr-CA"/>
        </w:rPr>
        <w:t>comptabilis</w:t>
      </w:r>
      <w:r w:rsidR="0030661A">
        <w:rPr>
          <w:lang w:val="fr-CA"/>
        </w:rPr>
        <w:t>er</w:t>
      </w:r>
      <w:r>
        <w:rPr>
          <w:lang w:val="fr-CA"/>
        </w:rPr>
        <w:t xml:space="preserve"> sont </w:t>
      </w:r>
      <w:r w:rsidR="004A4D2F">
        <w:rPr>
          <w:lang w:val="fr-CA"/>
        </w:rPr>
        <w:t xml:space="preserve">les </w:t>
      </w:r>
      <w:r w:rsidR="0030661A">
        <w:rPr>
          <w:lang w:val="fr-CA"/>
        </w:rPr>
        <w:t xml:space="preserve">coûts estimés des </w:t>
      </w:r>
      <w:r w:rsidR="004A4D2F">
        <w:rPr>
          <w:lang w:val="fr-CA"/>
        </w:rPr>
        <w:t>prestations spéciales de fin d’emploi</w:t>
      </w:r>
      <w:r>
        <w:rPr>
          <w:lang w:val="fr-CA"/>
        </w:rPr>
        <w:t xml:space="preserve"> à </w:t>
      </w:r>
      <w:r w:rsidR="0030661A">
        <w:rPr>
          <w:lang w:val="fr-CA"/>
        </w:rPr>
        <w:t>payer</w:t>
      </w:r>
      <w:r>
        <w:rPr>
          <w:lang w:val="fr-CA"/>
        </w:rPr>
        <w:t xml:space="preserve"> aux employés touchés. Ces coûts </w:t>
      </w:r>
      <w:r w:rsidR="004D058C" w:rsidRPr="004D058C">
        <w:rPr>
          <w:b/>
          <w:u w:val="single"/>
          <w:lang w:val="fr-CA"/>
        </w:rPr>
        <w:t>peuvent</w:t>
      </w:r>
      <w:r>
        <w:rPr>
          <w:lang w:val="fr-CA"/>
        </w:rPr>
        <w:t xml:space="preserve"> inclure:</w:t>
      </w:r>
    </w:p>
    <w:p w:rsidR="00277985" w:rsidRPr="00127EBC" w:rsidRDefault="00277985" w:rsidP="0027798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Les salaires et </w:t>
      </w:r>
      <w:r w:rsidR="004D058C" w:rsidRPr="004D058C">
        <w:rPr>
          <w:lang w:val="fr-CA"/>
        </w:rPr>
        <w:t>avantages durant toute période d’option (fournie ou</w:t>
      </w:r>
      <w:r w:rsidR="004D058C">
        <w:rPr>
          <w:lang w:val="fr-CA"/>
        </w:rPr>
        <w:t xml:space="preserve"> renoncée) </w:t>
      </w:r>
    </w:p>
    <w:p w:rsidR="001F3828" w:rsidRDefault="004D058C" w:rsidP="0027798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Les salaires et avantages</w:t>
      </w:r>
      <w:r w:rsidR="001F3828">
        <w:rPr>
          <w:lang w:val="fr-CA"/>
        </w:rPr>
        <w:t xml:space="preserve"> durant la période </w:t>
      </w:r>
      <w:r w:rsidR="00817F67">
        <w:rPr>
          <w:lang w:val="fr-CA"/>
        </w:rPr>
        <w:t xml:space="preserve">de </w:t>
      </w:r>
      <w:r w:rsidR="001F3828">
        <w:rPr>
          <w:lang w:val="fr-CA"/>
        </w:rPr>
        <w:t xml:space="preserve">priorité </w:t>
      </w:r>
      <w:r w:rsidR="00625DA1">
        <w:rPr>
          <w:lang w:val="fr-CA"/>
        </w:rPr>
        <w:t>d’</w:t>
      </w:r>
      <w:r w:rsidR="001F3828">
        <w:rPr>
          <w:lang w:val="fr-CA"/>
        </w:rPr>
        <w:t>excédentaire</w:t>
      </w:r>
    </w:p>
    <w:p w:rsidR="001F3828" w:rsidRDefault="001F3828" w:rsidP="0027798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Un montant forfaitaire </w:t>
      </w:r>
      <w:r w:rsidR="00817F67">
        <w:rPr>
          <w:lang w:val="fr-CA"/>
        </w:rPr>
        <w:t xml:space="preserve">à titre </w:t>
      </w:r>
      <w:r>
        <w:rPr>
          <w:lang w:val="fr-CA"/>
        </w:rPr>
        <w:t>mesure de soutien à la transition</w:t>
      </w:r>
    </w:p>
    <w:p w:rsidR="001F3828" w:rsidRDefault="001F3828" w:rsidP="0027798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Les indemnités d’étude</w:t>
      </w:r>
    </w:p>
    <w:p w:rsidR="001F3828" w:rsidRDefault="001F3828" w:rsidP="0027798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Les </w:t>
      </w:r>
      <w:r w:rsidR="006D0424">
        <w:rPr>
          <w:lang w:val="fr-CA"/>
        </w:rPr>
        <w:t>déplacements</w:t>
      </w:r>
      <w:r>
        <w:rPr>
          <w:lang w:val="fr-CA"/>
        </w:rPr>
        <w:t xml:space="preserve"> et frais de relocalisation</w:t>
      </w:r>
    </w:p>
    <w:p w:rsidR="001F3828" w:rsidRDefault="001F3828" w:rsidP="0027798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Les coûts de recyclage (formation)</w:t>
      </w:r>
    </w:p>
    <w:p w:rsidR="001F3828" w:rsidRDefault="001F3828" w:rsidP="001F3828">
      <w:pPr>
        <w:rPr>
          <w:lang w:val="fr-CA"/>
        </w:rPr>
      </w:pPr>
    </w:p>
    <w:p w:rsidR="001F3828" w:rsidRDefault="006D0424" w:rsidP="001F3828">
      <w:pPr>
        <w:rPr>
          <w:lang w:val="fr-CA"/>
        </w:rPr>
      </w:pPr>
      <w:r>
        <w:rPr>
          <w:lang w:val="fr-CA"/>
        </w:rPr>
        <w:t>Lors de l’analyse des critères mentionnés à SP 3255.3</w:t>
      </w:r>
      <w:r w:rsidR="00127EBC">
        <w:rPr>
          <w:lang w:val="fr-CA"/>
        </w:rPr>
        <w:t xml:space="preserve">1 </w:t>
      </w:r>
      <w:r>
        <w:rPr>
          <w:lang w:val="fr-CA"/>
        </w:rPr>
        <w:t>et IAS 19.134</w:t>
      </w:r>
      <w:r w:rsidR="00996050">
        <w:rPr>
          <w:lang w:val="fr-CA"/>
        </w:rPr>
        <w:t>,</w:t>
      </w:r>
      <w:r w:rsidR="00996050" w:rsidRPr="00996050">
        <w:rPr>
          <w:lang w:val="fr-CA"/>
        </w:rPr>
        <w:t xml:space="preserve"> </w:t>
      </w:r>
      <w:r w:rsidR="00996050">
        <w:rPr>
          <w:lang w:val="fr-CA"/>
        </w:rPr>
        <w:t>à moins d’indication contraire</w:t>
      </w:r>
      <w:r w:rsidR="005F586F">
        <w:rPr>
          <w:lang w:val="fr-CA"/>
        </w:rPr>
        <w:t xml:space="preserve">: </w:t>
      </w:r>
    </w:p>
    <w:p w:rsidR="001F3828" w:rsidRDefault="001F3828" w:rsidP="001F3828">
      <w:pPr>
        <w:rPr>
          <w:lang w:val="fr-CA"/>
        </w:rPr>
      </w:pPr>
    </w:p>
    <w:p w:rsidR="0030373A" w:rsidRDefault="0030373A" w:rsidP="0030373A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Le</w:t>
      </w:r>
      <w:r w:rsidR="005A7B15">
        <w:rPr>
          <w:lang w:val="fr-CA"/>
        </w:rPr>
        <w:t xml:space="preserve">s directives sur le </w:t>
      </w:r>
      <w:r>
        <w:rPr>
          <w:lang w:val="fr-CA"/>
        </w:rPr>
        <w:t xml:space="preserve">réaménagement des effectifs (et </w:t>
      </w:r>
      <w:r w:rsidR="005A7B15">
        <w:rPr>
          <w:lang w:val="fr-CA"/>
        </w:rPr>
        <w:t xml:space="preserve">autre </w:t>
      </w:r>
      <w:r w:rsidR="005F586F">
        <w:rPr>
          <w:lang w:val="fr-CA"/>
        </w:rPr>
        <w:t xml:space="preserve">mesure </w:t>
      </w:r>
      <w:r>
        <w:rPr>
          <w:lang w:val="fr-CA"/>
        </w:rPr>
        <w:t>similaire</w:t>
      </w:r>
      <w:r w:rsidR="005A7B15">
        <w:rPr>
          <w:lang w:val="fr-CA"/>
        </w:rPr>
        <w:t>)</w:t>
      </w:r>
      <w:r>
        <w:rPr>
          <w:lang w:val="fr-CA"/>
        </w:rPr>
        <w:t xml:space="preserve"> </w:t>
      </w:r>
      <w:r w:rsidR="005A7B15">
        <w:rPr>
          <w:lang w:val="fr-CA"/>
        </w:rPr>
        <w:t>établissent les prestations que les salariés recevront lors de leur licenciement – SP 3255.31(b), IAS 19.134(b)</w:t>
      </w:r>
    </w:p>
    <w:p w:rsidR="005A7B15" w:rsidRDefault="005A7B15" w:rsidP="0030373A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Les directives sur le réaménagement des effectifs (et autre </w:t>
      </w:r>
      <w:r w:rsidR="005F586F">
        <w:rPr>
          <w:lang w:val="fr-CA"/>
        </w:rPr>
        <w:t xml:space="preserve">mesure </w:t>
      </w:r>
      <w:r>
        <w:rPr>
          <w:lang w:val="fr-CA"/>
        </w:rPr>
        <w:t xml:space="preserve">similaire) sont des documents </w:t>
      </w:r>
      <w:r w:rsidR="005F586F">
        <w:rPr>
          <w:lang w:val="fr-CA"/>
        </w:rPr>
        <w:t xml:space="preserve">disponibles au </w:t>
      </w:r>
      <w:r>
        <w:rPr>
          <w:lang w:val="fr-CA"/>
        </w:rPr>
        <w:t>public (ont été communiqués aux salariés)</w:t>
      </w:r>
      <w:r w:rsidR="001A0F8A">
        <w:rPr>
          <w:lang w:val="fr-CA"/>
        </w:rPr>
        <w:t xml:space="preserve"> SP 3255.31(b)</w:t>
      </w:r>
    </w:p>
    <w:p w:rsidR="001A0F8A" w:rsidRDefault="001A0F8A" w:rsidP="001A0F8A">
      <w:pPr>
        <w:rPr>
          <w:lang w:val="fr-CA"/>
        </w:rPr>
      </w:pPr>
    </w:p>
    <w:p w:rsidR="001A0F8A" w:rsidRDefault="005F586F" w:rsidP="00F6293F">
      <w:pPr>
        <w:rPr>
          <w:lang w:val="fr-CA"/>
        </w:rPr>
      </w:pPr>
      <w:r>
        <w:rPr>
          <w:lang w:val="fr-CA"/>
        </w:rPr>
        <w:t>Les autres critères mentionnés à SP 3255.31 et IAS 19.134 ne peuvent être évalués qu’au niveau de chacune des entités. Par conséquent, l</w:t>
      </w:r>
      <w:r w:rsidR="001A0F8A">
        <w:rPr>
          <w:lang w:val="fr-CA"/>
        </w:rPr>
        <w:t xml:space="preserve">es équipes d’audit doivent conclure sur </w:t>
      </w:r>
      <w:r w:rsidR="00F6293F">
        <w:rPr>
          <w:lang w:val="fr-CA"/>
        </w:rPr>
        <w:t>c</w:t>
      </w:r>
      <w:r w:rsidR="001A0F8A">
        <w:rPr>
          <w:lang w:val="fr-CA"/>
        </w:rPr>
        <w:t>es critères</w:t>
      </w:r>
      <w:r w:rsidR="00F6293F">
        <w:rPr>
          <w:lang w:val="fr-CA"/>
        </w:rPr>
        <w:t>.</w:t>
      </w:r>
      <w:r w:rsidR="001A0F8A">
        <w:rPr>
          <w:lang w:val="fr-CA"/>
        </w:rPr>
        <w:t xml:space="preserve"> </w:t>
      </w:r>
    </w:p>
    <w:p w:rsidR="001A0F8A" w:rsidRDefault="001A0F8A" w:rsidP="001A0F8A">
      <w:pPr>
        <w:ind w:left="360"/>
        <w:rPr>
          <w:lang w:val="fr-CA"/>
        </w:rPr>
      </w:pPr>
    </w:p>
    <w:p w:rsidR="00F6293F" w:rsidRPr="00F6293F" w:rsidRDefault="00F6293F" w:rsidP="00F6293F">
      <w:pPr>
        <w:pStyle w:val="ListParagraph"/>
        <w:numPr>
          <w:ilvl w:val="0"/>
          <w:numId w:val="1"/>
        </w:numPr>
        <w:rPr>
          <w:b/>
          <w:lang w:val="fr-CA"/>
        </w:rPr>
      </w:pPr>
      <w:r>
        <w:rPr>
          <w:lang w:val="fr-CA"/>
        </w:rPr>
        <w:t xml:space="preserve">À la fin de l’exercice de l’entité ou avant, ceux qui possèdent le degré d’autorité approprié à l’intérieur de l’entité ont engagé l’entité à l’égard du plan de licenciement et ont établi les prestations que les salariés recevront lors de leur licenciement – SP 3255.31(a), IAS 19.134 - </w:t>
      </w:r>
      <w:r w:rsidRPr="00A9259E">
        <w:rPr>
          <w:b/>
          <w:lang w:val="fr-CA"/>
        </w:rPr>
        <w:t xml:space="preserve">évaluation et conclusion de l’équipe </w:t>
      </w:r>
      <w:r>
        <w:rPr>
          <w:b/>
          <w:lang w:val="fr-CA"/>
        </w:rPr>
        <w:t>requises</w:t>
      </w:r>
    </w:p>
    <w:p w:rsidR="001A0F8A" w:rsidRPr="00A9259E" w:rsidRDefault="00F6293F" w:rsidP="00F6293F">
      <w:pPr>
        <w:pStyle w:val="ListParagraph"/>
        <w:numPr>
          <w:ilvl w:val="0"/>
          <w:numId w:val="1"/>
        </w:numPr>
        <w:rPr>
          <w:b/>
          <w:lang w:val="fr-CA"/>
        </w:rPr>
      </w:pPr>
      <w:r>
        <w:rPr>
          <w:lang w:val="fr-CA"/>
        </w:rPr>
        <w:t>L</w:t>
      </w:r>
      <w:r w:rsidR="001A0F8A" w:rsidRPr="001A0F8A">
        <w:rPr>
          <w:lang w:val="fr-CA"/>
        </w:rPr>
        <w:t xml:space="preserve">e plan de cessation d'emploi précise le niveau cible de réduction des effectifs, les catégories d'emploi ou les fonctions visées et le lieu </w:t>
      </w:r>
      <w:r w:rsidR="00A9259E">
        <w:rPr>
          <w:lang w:val="fr-CA"/>
        </w:rPr>
        <w:t>de travail des salariés touchés – SP</w:t>
      </w:r>
      <w:r w:rsidR="001D3AC4">
        <w:rPr>
          <w:lang w:val="fr-CA"/>
        </w:rPr>
        <w:t xml:space="preserve"> </w:t>
      </w:r>
      <w:r w:rsidR="00A9259E">
        <w:rPr>
          <w:lang w:val="fr-CA"/>
        </w:rPr>
        <w:t xml:space="preserve">3255.31(c), IAS 19.134 (a) – </w:t>
      </w:r>
      <w:r w:rsidR="00A9259E" w:rsidRPr="00A9259E">
        <w:rPr>
          <w:b/>
          <w:lang w:val="fr-CA"/>
        </w:rPr>
        <w:t xml:space="preserve">évaluation et conclusion de l’équipe </w:t>
      </w:r>
      <w:r>
        <w:rPr>
          <w:b/>
          <w:lang w:val="fr-CA"/>
        </w:rPr>
        <w:t>requises</w:t>
      </w:r>
    </w:p>
    <w:p w:rsidR="001A0F8A" w:rsidRDefault="001D3AC4" w:rsidP="00F6293F">
      <w:pPr>
        <w:pStyle w:val="ListParagraph"/>
        <w:numPr>
          <w:ilvl w:val="0"/>
          <w:numId w:val="1"/>
        </w:numPr>
        <w:rPr>
          <w:b/>
          <w:lang w:val="fr-CA"/>
        </w:rPr>
      </w:pPr>
      <w:r>
        <w:rPr>
          <w:lang w:val="fr-CA"/>
        </w:rPr>
        <w:t>L</w:t>
      </w:r>
      <w:r w:rsidR="001A0F8A" w:rsidRPr="001A0F8A">
        <w:rPr>
          <w:lang w:val="fr-CA"/>
        </w:rPr>
        <w:t>es délais prévus pour l'exécution du plan ont été déterminés et il est improbable que des changements imp</w:t>
      </w:r>
      <w:r w:rsidR="00A9259E">
        <w:rPr>
          <w:lang w:val="fr-CA"/>
        </w:rPr>
        <w:t xml:space="preserve">ortants soient apportés au plan - </w:t>
      </w:r>
      <w:r w:rsidR="00A9259E" w:rsidRPr="00A9259E">
        <w:rPr>
          <w:lang w:val="fr-CA"/>
        </w:rPr>
        <w:t xml:space="preserve"> </w:t>
      </w:r>
      <w:r w:rsidR="00A9259E">
        <w:rPr>
          <w:lang w:val="fr-CA"/>
        </w:rPr>
        <w:t>SP</w:t>
      </w:r>
      <w:r>
        <w:rPr>
          <w:lang w:val="fr-CA"/>
        </w:rPr>
        <w:t xml:space="preserve"> </w:t>
      </w:r>
      <w:r w:rsidR="00A9259E">
        <w:rPr>
          <w:lang w:val="fr-CA"/>
        </w:rPr>
        <w:t xml:space="preserve">3255.31(d), IAS 19.134 (c) – </w:t>
      </w:r>
      <w:r w:rsidR="00A9259E" w:rsidRPr="00A9259E">
        <w:rPr>
          <w:b/>
          <w:lang w:val="fr-CA"/>
        </w:rPr>
        <w:t xml:space="preserve">évaluation et conclusion de l’équipe </w:t>
      </w:r>
      <w:r>
        <w:rPr>
          <w:b/>
          <w:lang w:val="fr-CA"/>
        </w:rPr>
        <w:t>requises</w:t>
      </w:r>
    </w:p>
    <w:p w:rsidR="00A9259E" w:rsidRDefault="00A9259E" w:rsidP="00A9259E">
      <w:pPr>
        <w:rPr>
          <w:lang w:val="fr-CA"/>
        </w:rPr>
      </w:pPr>
    </w:p>
    <w:p w:rsidR="00A9259E" w:rsidRDefault="00A9259E" w:rsidP="00A9259E">
      <w:pPr>
        <w:rPr>
          <w:lang w:val="fr-CA"/>
        </w:rPr>
      </w:pPr>
      <w:r>
        <w:rPr>
          <w:lang w:val="fr-CA"/>
        </w:rPr>
        <w:t xml:space="preserve">Les équipes d’audit doivent revoir avec attention </w:t>
      </w:r>
      <w:r w:rsidR="001D3AC4">
        <w:rPr>
          <w:lang w:val="fr-CA"/>
        </w:rPr>
        <w:t xml:space="preserve">les estimations </w:t>
      </w:r>
      <w:r>
        <w:rPr>
          <w:lang w:val="fr-CA"/>
        </w:rPr>
        <w:t>et les hypothèses de la direction lorsque les salariés n’ont pas eu suffisamment de temps pour choisir parmi les mesures de transition. Étant donné la flexibilité et la discrétion accordés au</w:t>
      </w:r>
      <w:r w:rsidR="00322A85">
        <w:rPr>
          <w:lang w:val="fr-CA"/>
        </w:rPr>
        <w:t>x</w:t>
      </w:r>
      <w:r>
        <w:rPr>
          <w:lang w:val="fr-CA"/>
        </w:rPr>
        <w:t xml:space="preserve"> </w:t>
      </w:r>
      <w:r w:rsidR="00322A85">
        <w:rPr>
          <w:lang w:val="fr-CA"/>
        </w:rPr>
        <w:t xml:space="preserve">cadres supérieurs </w:t>
      </w:r>
      <w:r>
        <w:rPr>
          <w:lang w:val="fr-CA"/>
        </w:rPr>
        <w:t xml:space="preserve">dans la </w:t>
      </w:r>
      <w:r w:rsidRPr="00A9259E">
        <w:rPr>
          <w:i/>
          <w:lang w:val="fr-CA"/>
        </w:rPr>
        <w:t>Directive sur la transition dans la carrière des cadres supérieurs</w:t>
      </w:r>
      <w:r>
        <w:rPr>
          <w:i/>
          <w:lang w:val="fr-CA"/>
        </w:rPr>
        <w:t xml:space="preserve">, </w:t>
      </w:r>
      <w:r w:rsidRPr="00A9259E">
        <w:rPr>
          <w:lang w:val="fr-CA"/>
        </w:rPr>
        <w:t xml:space="preserve">il peut </w:t>
      </w:r>
      <w:r>
        <w:rPr>
          <w:lang w:val="fr-CA"/>
        </w:rPr>
        <w:t xml:space="preserve">être impossible de déterminer un estimé raisonnable des charges et des passifs liés à ce groupe de salariés. </w:t>
      </w:r>
      <w:r w:rsidR="00322A85">
        <w:rPr>
          <w:lang w:val="fr-CA"/>
        </w:rPr>
        <w:t>L</w:t>
      </w:r>
      <w:r>
        <w:rPr>
          <w:lang w:val="fr-CA"/>
        </w:rPr>
        <w:t xml:space="preserve">es entités </w:t>
      </w:r>
      <w:r w:rsidR="00322A85">
        <w:rPr>
          <w:lang w:val="fr-CA"/>
        </w:rPr>
        <w:t>dev</w:t>
      </w:r>
      <w:r w:rsidR="003E739E">
        <w:rPr>
          <w:lang w:val="fr-CA"/>
        </w:rPr>
        <w:t xml:space="preserve">ront peut-être </w:t>
      </w:r>
      <w:r>
        <w:rPr>
          <w:lang w:val="fr-CA"/>
        </w:rPr>
        <w:t xml:space="preserve">escompter </w:t>
      </w:r>
      <w:r w:rsidR="00322A85">
        <w:rPr>
          <w:lang w:val="fr-CA"/>
        </w:rPr>
        <w:t xml:space="preserve">(calculer la valeur actualisée) </w:t>
      </w:r>
      <w:r>
        <w:rPr>
          <w:lang w:val="fr-CA"/>
        </w:rPr>
        <w:t xml:space="preserve">les montants de réaménagement des effectifs dus sur une période plus longue que 12 mois après la fin d’exercice sur lequel porte le rapport. </w:t>
      </w:r>
    </w:p>
    <w:p w:rsidR="00A9259E" w:rsidRDefault="00A9259E" w:rsidP="00A9259E">
      <w:pPr>
        <w:rPr>
          <w:lang w:val="fr-CA"/>
        </w:rPr>
      </w:pPr>
    </w:p>
    <w:p w:rsidR="00322A85" w:rsidRDefault="00322A85" w:rsidP="00A9259E">
      <w:pPr>
        <w:rPr>
          <w:lang w:val="fr-CA"/>
        </w:rPr>
      </w:pPr>
      <w:r>
        <w:rPr>
          <w:lang w:val="fr-CA"/>
        </w:rPr>
        <w:t xml:space="preserve">Les équipes d’audit qui </w:t>
      </w:r>
      <w:r w:rsidR="00EB1DE3">
        <w:rPr>
          <w:lang w:val="fr-CA"/>
        </w:rPr>
        <w:t xml:space="preserve">analysent </w:t>
      </w:r>
      <w:r>
        <w:rPr>
          <w:lang w:val="fr-CA"/>
        </w:rPr>
        <w:t xml:space="preserve">la </w:t>
      </w:r>
      <w:r w:rsidR="00EB1DE3">
        <w:rPr>
          <w:lang w:val="fr-CA"/>
        </w:rPr>
        <w:t xml:space="preserve">comptabilisation </w:t>
      </w:r>
      <w:r>
        <w:rPr>
          <w:lang w:val="fr-CA"/>
        </w:rPr>
        <w:t>des avantages liés au réaménagement des effectifs (et autres mesures similaires) et d’un passif dans l’exercice courant doivent, avant de conclure, consulter un directeur principal de l’Équipe centrale à propos des résultats de leurs analyse.</w:t>
      </w:r>
    </w:p>
    <w:p w:rsidR="00322A85" w:rsidRDefault="00322A85" w:rsidP="00A9259E">
      <w:pPr>
        <w:rPr>
          <w:lang w:val="fr-CA"/>
        </w:rPr>
      </w:pPr>
    </w:p>
    <w:p w:rsidR="00A9259E" w:rsidRDefault="00A9259E" w:rsidP="00A9259E">
      <w:pPr>
        <w:rPr>
          <w:lang w:val="fr-CA"/>
        </w:rPr>
      </w:pPr>
      <w:r>
        <w:rPr>
          <w:lang w:val="fr-CA"/>
        </w:rPr>
        <w:lastRenderedPageBreak/>
        <w:t xml:space="preserve">Notez que les avantages de fin d’emploi supplémentaires </w:t>
      </w:r>
      <w:r w:rsidR="0082797E">
        <w:rPr>
          <w:lang w:val="fr-CA"/>
        </w:rPr>
        <w:t xml:space="preserve">dus à un licenciement doivent </w:t>
      </w:r>
      <w:r w:rsidR="00322A85">
        <w:rPr>
          <w:lang w:val="fr-CA"/>
        </w:rPr>
        <w:t xml:space="preserve">également </w:t>
      </w:r>
      <w:r w:rsidR="0082797E">
        <w:rPr>
          <w:lang w:val="fr-CA"/>
        </w:rPr>
        <w:t>être considér</w:t>
      </w:r>
      <w:r w:rsidR="00322A85">
        <w:rPr>
          <w:lang w:val="fr-CA"/>
        </w:rPr>
        <w:t>és</w:t>
      </w:r>
      <w:r w:rsidR="0082797E">
        <w:rPr>
          <w:lang w:val="fr-CA"/>
        </w:rPr>
        <w:t xml:space="preserve"> et </w:t>
      </w:r>
      <w:r w:rsidR="003E739E">
        <w:rPr>
          <w:lang w:val="fr-CA"/>
        </w:rPr>
        <w:t xml:space="preserve">peut-être </w:t>
      </w:r>
      <w:r w:rsidR="0082797E">
        <w:rPr>
          <w:lang w:val="fr-CA"/>
        </w:rPr>
        <w:t>comptabilisé</w:t>
      </w:r>
      <w:r w:rsidR="00322A85">
        <w:rPr>
          <w:lang w:val="fr-CA"/>
        </w:rPr>
        <w:t>s</w:t>
      </w:r>
      <w:r w:rsidR="0082797E">
        <w:rPr>
          <w:lang w:val="fr-CA"/>
        </w:rPr>
        <w:t xml:space="preserve"> lorsque les employés excédentaires ont mis fin à leur contrat de travail avant la fin de l’exercice en vertu de la directive </w:t>
      </w:r>
      <w:r w:rsidR="00322A85">
        <w:rPr>
          <w:lang w:val="fr-CA"/>
        </w:rPr>
        <w:t>sur le</w:t>
      </w:r>
      <w:r w:rsidR="0082797E">
        <w:rPr>
          <w:lang w:val="fr-CA"/>
        </w:rPr>
        <w:t xml:space="preserve"> réaménagement des effectifs.</w:t>
      </w:r>
    </w:p>
    <w:p w:rsidR="0082797E" w:rsidRDefault="0082797E" w:rsidP="00A9259E">
      <w:pPr>
        <w:rPr>
          <w:lang w:val="fr-CA"/>
        </w:rPr>
      </w:pPr>
    </w:p>
    <w:p w:rsidR="0082797E" w:rsidRDefault="0082797E" w:rsidP="00A9259E">
      <w:pPr>
        <w:rPr>
          <w:b/>
          <w:lang w:val="fr-CA"/>
        </w:rPr>
      </w:pPr>
      <w:r w:rsidRPr="0082797E">
        <w:rPr>
          <w:b/>
          <w:lang w:val="fr-CA"/>
        </w:rPr>
        <w:t>Présentation et information à fournir</w:t>
      </w:r>
    </w:p>
    <w:p w:rsidR="0082797E" w:rsidRDefault="0082797E" w:rsidP="00A9259E">
      <w:pPr>
        <w:rPr>
          <w:b/>
          <w:lang w:val="fr-CA"/>
        </w:rPr>
      </w:pPr>
    </w:p>
    <w:p w:rsidR="0082797E" w:rsidRDefault="003E739E" w:rsidP="00A9259E">
      <w:pPr>
        <w:rPr>
          <w:lang w:val="fr-CA"/>
        </w:rPr>
      </w:pPr>
      <w:r w:rsidRPr="0082797E">
        <w:rPr>
          <w:lang w:val="fr-CA"/>
        </w:rPr>
        <w:t>Lorsque les</w:t>
      </w:r>
      <w:r w:rsidR="0082797E" w:rsidRPr="0082797E">
        <w:rPr>
          <w:lang w:val="fr-CA"/>
        </w:rPr>
        <w:t xml:space="preserve"> </w:t>
      </w:r>
      <w:r>
        <w:rPr>
          <w:lang w:val="fr-CA"/>
        </w:rPr>
        <w:t xml:space="preserve">charges </w:t>
      </w:r>
      <w:r w:rsidR="0003391F">
        <w:rPr>
          <w:lang w:val="fr-CA"/>
        </w:rPr>
        <w:t xml:space="preserve">et les passifs en fin d’exercice </w:t>
      </w:r>
      <w:r>
        <w:rPr>
          <w:lang w:val="fr-CA"/>
        </w:rPr>
        <w:t>liés au</w:t>
      </w:r>
      <w:r w:rsidR="0082797E" w:rsidRPr="0082797E">
        <w:rPr>
          <w:lang w:val="fr-CA"/>
        </w:rPr>
        <w:t xml:space="preserve"> réaménagement des effectifs </w:t>
      </w:r>
      <w:r w:rsidR="0003391F">
        <w:rPr>
          <w:lang w:val="fr-CA"/>
        </w:rPr>
        <w:t xml:space="preserve"> </w:t>
      </w:r>
      <w:r>
        <w:rPr>
          <w:lang w:val="fr-CA"/>
        </w:rPr>
        <w:t>sont significatifs</w:t>
      </w:r>
      <w:r w:rsidR="0082797E" w:rsidRPr="0082797E">
        <w:rPr>
          <w:lang w:val="fr-CA"/>
        </w:rPr>
        <w:t xml:space="preserve">, </w:t>
      </w:r>
      <w:r>
        <w:rPr>
          <w:lang w:val="fr-CA"/>
        </w:rPr>
        <w:t xml:space="preserve">l’information à fournir doit être celle exigée </w:t>
      </w:r>
      <w:r w:rsidR="0003391F">
        <w:rPr>
          <w:lang w:val="fr-CA"/>
        </w:rPr>
        <w:t xml:space="preserve">par </w:t>
      </w:r>
      <w:r>
        <w:rPr>
          <w:lang w:val="fr-CA"/>
        </w:rPr>
        <w:t xml:space="preserve">le </w:t>
      </w:r>
      <w:r w:rsidR="0003391F">
        <w:rPr>
          <w:lang w:val="fr-CA"/>
        </w:rPr>
        <w:t xml:space="preserve">référentiel d’information financière applicable. </w:t>
      </w:r>
      <w:r w:rsidR="0082797E" w:rsidRPr="0082797E">
        <w:rPr>
          <w:lang w:val="fr-CA"/>
        </w:rPr>
        <w:t>.</w:t>
      </w:r>
    </w:p>
    <w:p w:rsidR="0003391F" w:rsidRPr="0082797E" w:rsidRDefault="0003391F" w:rsidP="00A9259E">
      <w:pPr>
        <w:rPr>
          <w:lang w:val="fr-CA"/>
        </w:rPr>
      </w:pPr>
    </w:p>
    <w:p w:rsidR="0082797E" w:rsidRPr="0082797E" w:rsidRDefault="0082797E" w:rsidP="00A9259E">
      <w:pPr>
        <w:rPr>
          <w:lang w:val="fr-CA"/>
        </w:rPr>
      </w:pPr>
      <w:r w:rsidRPr="0082797E">
        <w:rPr>
          <w:lang w:val="fr-CA"/>
        </w:rPr>
        <w:t>L</w:t>
      </w:r>
      <w:r w:rsidR="0003391F">
        <w:rPr>
          <w:lang w:val="fr-CA"/>
        </w:rPr>
        <w:t xml:space="preserve">es informations fournies quant à </w:t>
      </w:r>
      <w:r w:rsidRPr="0082797E">
        <w:rPr>
          <w:lang w:val="fr-CA"/>
        </w:rPr>
        <w:t xml:space="preserve">l’incertitude </w:t>
      </w:r>
      <w:r w:rsidR="00E161F3">
        <w:rPr>
          <w:lang w:val="fr-CA"/>
        </w:rPr>
        <w:t>relative à la</w:t>
      </w:r>
      <w:r w:rsidR="00246454">
        <w:rPr>
          <w:lang w:val="fr-CA"/>
        </w:rPr>
        <w:t xml:space="preserve"> </w:t>
      </w:r>
      <w:r w:rsidRPr="0082797E">
        <w:rPr>
          <w:lang w:val="fr-CA"/>
        </w:rPr>
        <w:t>mesure peu</w:t>
      </w:r>
      <w:r w:rsidR="00E161F3">
        <w:rPr>
          <w:lang w:val="fr-CA"/>
        </w:rPr>
        <w:t xml:space="preserve">vent </w:t>
      </w:r>
      <w:r w:rsidRPr="0082797E">
        <w:rPr>
          <w:lang w:val="fr-CA"/>
        </w:rPr>
        <w:t xml:space="preserve">nécessiter une mise à jour afin de présenter la nature et l’étendue de </w:t>
      </w:r>
      <w:r>
        <w:rPr>
          <w:lang w:val="fr-CA"/>
        </w:rPr>
        <w:t xml:space="preserve">toute </w:t>
      </w:r>
      <w:r w:rsidRPr="0082797E">
        <w:rPr>
          <w:lang w:val="fr-CA"/>
        </w:rPr>
        <w:t xml:space="preserve">incertitude </w:t>
      </w:r>
      <w:r w:rsidR="00E161F3">
        <w:rPr>
          <w:lang w:val="fr-CA"/>
        </w:rPr>
        <w:t xml:space="preserve">relative à la </w:t>
      </w:r>
      <w:r w:rsidR="00246454">
        <w:rPr>
          <w:lang w:val="fr-CA"/>
        </w:rPr>
        <w:t xml:space="preserve"> </w:t>
      </w:r>
      <w:r w:rsidRPr="0082797E">
        <w:rPr>
          <w:lang w:val="fr-CA"/>
        </w:rPr>
        <w:t xml:space="preserve">mesure </w:t>
      </w:r>
      <w:r w:rsidR="00E161F3">
        <w:rPr>
          <w:lang w:val="fr-CA"/>
        </w:rPr>
        <w:t xml:space="preserve">correspondante </w:t>
      </w:r>
      <w:r w:rsidR="00246454">
        <w:rPr>
          <w:lang w:val="fr-CA"/>
        </w:rPr>
        <w:t xml:space="preserve">et </w:t>
      </w:r>
      <w:r>
        <w:rPr>
          <w:lang w:val="fr-CA"/>
        </w:rPr>
        <w:t xml:space="preserve"> significative.</w:t>
      </w:r>
    </w:p>
    <w:sectPr w:rsidR="0082797E" w:rsidRPr="0082797E" w:rsidSect="00D5313F">
      <w:pgSz w:w="12240" w:h="15840" w:code="1"/>
      <w:pgMar w:top="1440" w:right="1800" w:bottom="1440" w:left="1800" w:header="706" w:footer="56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B3E"/>
    <w:multiLevelType w:val="hybridMultilevel"/>
    <w:tmpl w:val="2436708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FD7C49"/>
    <w:multiLevelType w:val="hybridMultilevel"/>
    <w:tmpl w:val="CC706A20"/>
    <w:lvl w:ilvl="0" w:tplc="6570FB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75BC3"/>
    <w:rsid w:val="00022DF8"/>
    <w:rsid w:val="00023771"/>
    <w:rsid w:val="0003391F"/>
    <w:rsid w:val="00033ACC"/>
    <w:rsid w:val="00050CE6"/>
    <w:rsid w:val="00051ADC"/>
    <w:rsid w:val="000544DD"/>
    <w:rsid w:val="000613C5"/>
    <w:rsid w:val="00092506"/>
    <w:rsid w:val="000945A2"/>
    <w:rsid w:val="000A6AB5"/>
    <w:rsid w:val="000A73ED"/>
    <w:rsid w:val="000B6818"/>
    <w:rsid w:val="000C6821"/>
    <w:rsid w:val="000F4717"/>
    <w:rsid w:val="000F6DEC"/>
    <w:rsid w:val="001066B9"/>
    <w:rsid w:val="00106E04"/>
    <w:rsid w:val="00121BB7"/>
    <w:rsid w:val="00127EBC"/>
    <w:rsid w:val="00134304"/>
    <w:rsid w:val="00142287"/>
    <w:rsid w:val="001849F8"/>
    <w:rsid w:val="00184A1B"/>
    <w:rsid w:val="001A0F8A"/>
    <w:rsid w:val="001C353A"/>
    <w:rsid w:val="001C4ED2"/>
    <w:rsid w:val="001D3AC4"/>
    <w:rsid w:val="001D6EB4"/>
    <w:rsid w:val="001F3828"/>
    <w:rsid w:val="001F56E7"/>
    <w:rsid w:val="00200EF3"/>
    <w:rsid w:val="00213553"/>
    <w:rsid w:val="002270F8"/>
    <w:rsid w:val="00231156"/>
    <w:rsid w:val="00232231"/>
    <w:rsid w:val="00234C59"/>
    <w:rsid w:val="00245FEF"/>
    <w:rsid w:val="00246454"/>
    <w:rsid w:val="00263F36"/>
    <w:rsid w:val="002673A9"/>
    <w:rsid w:val="00277985"/>
    <w:rsid w:val="00284C62"/>
    <w:rsid w:val="002852AB"/>
    <w:rsid w:val="0028696C"/>
    <w:rsid w:val="002907FD"/>
    <w:rsid w:val="00296F5C"/>
    <w:rsid w:val="00297D84"/>
    <w:rsid w:val="002B26FE"/>
    <w:rsid w:val="002D67A1"/>
    <w:rsid w:val="002E0DD1"/>
    <w:rsid w:val="002E3D9C"/>
    <w:rsid w:val="002E4088"/>
    <w:rsid w:val="002F795F"/>
    <w:rsid w:val="00301F77"/>
    <w:rsid w:val="0030373A"/>
    <w:rsid w:val="0030661A"/>
    <w:rsid w:val="00321E53"/>
    <w:rsid w:val="00322A85"/>
    <w:rsid w:val="00350080"/>
    <w:rsid w:val="0036202E"/>
    <w:rsid w:val="00362914"/>
    <w:rsid w:val="00385FB2"/>
    <w:rsid w:val="003867B4"/>
    <w:rsid w:val="0039286C"/>
    <w:rsid w:val="003A2935"/>
    <w:rsid w:val="003C01DF"/>
    <w:rsid w:val="003C76A4"/>
    <w:rsid w:val="003D7AD4"/>
    <w:rsid w:val="003E739E"/>
    <w:rsid w:val="003F7B53"/>
    <w:rsid w:val="004014F6"/>
    <w:rsid w:val="00407BE0"/>
    <w:rsid w:val="004164F0"/>
    <w:rsid w:val="00420DEF"/>
    <w:rsid w:val="004570EA"/>
    <w:rsid w:val="00474FCF"/>
    <w:rsid w:val="004A16DA"/>
    <w:rsid w:val="004A4D2F"/>
    <w:rsid w:val="004A593B"/>
    <w:rsid w:val="004C16C9"/>
    <w:rsid w:val="004C5A65"/>
    <w:rsid w:val="004D058C"/>
    <w:rsid w:val="004D09CB"/>
    <w:rsid w:val="004D1784"/>
    <w:rsid w:val="004E20D8"/>
    <w:rsid w:val="004E2C7A"/>
    <w:rsid w:val="004E2E05"/>
    <w:rsid w:val="004E7FF4"/>
    <w:rsid w:val="004F0FA4"/>
    <w:rsid w:val="005026B4"/>
    <w:rsid w:val="005363EE"/>
    <w:rsid w:val="00537C94"/>
    <w:rsid w:val="00550455"/>
    <w:rsid w:val="00572671"/>
    <w:rsid w:val="005916CD"/>
    <w:rsid w:val="00593409"/>
    <w:rsid w:val="00594123"/>
    <w:rsid w:val="005A3DC8"/>
    <w:rsid w:val="005A64EC"/>
    <w:rsid w:val="005A7B15"/>
    <w:rsid w:val="005B3F6C"/>
    <w:rsid w:val="005F586F"/>
    <w:rsid w:val="00604E6B"/>
    <w:rsid w:val="006115BE"/>
    <w:rsid w:val="00625744"/>
    <w:rsid w:val="00625DA1"/>
    <w:rsid w:val="00625EA3"/>
    <w:rsid w:val="006303F9"/>
    <w:rsid w:val="00635A86"/>
    <w:rsid w:val="00653118"/>
    <w:rsid w:val="0065576F"/>
    <w:rsid w:val="00660345"/>
    <w:rsid w:val="00661DDD"/>
    <w:rsid w:val="00666347"/>
    <w:rsid w:val="00670ABE"/>
    <w:rsid w:val="00681991"/>
    <w:rsid w:val="00682D0C"/>
    <w:rsid w:val="00684C36"/>
    <w:rsid w:val="00696E35"/>
    <w:rsid w:val="006A0D2B"/>
    <w:rsid w:val="006A1774"/>
    <w:rsid w:val="006A28E7"/>
    <w:rsid w:val="006A2E9E"/>
    <w:rsid w:val="006D0424"/>
    <w:rsid w:val="006D4110"/>
    <w:rsid w:val="006F56AB"/>
    <w:rsid w:val="00704E4B"/>
    <w:rsid w:val="00711CE7"/>
    <w:rsid w:val="007134FF"/>
    <w:rsid w:val="007208FB"/>
    <w:rsid w:val="0072402A"/>
    <w:rsid w:val="007241EA"/>
    <w:rsid w:val="00750786"/>
    <w:rsid w:val="00782CFF"/>
    <w:rsid w:val="007839BA"/>
    <w:rsid w:val="00794A29"/>
    <w:rsid w:val="00796AE5"/>
    <w:rsid w:val="007B10ED"/>
    <w:rsid w:val="007D0CAE"/>
    <w:rsid w:val="007E1363"/>
    <w:rsid w:val="007E3020"/>
    <w:rsid w:val="007E4EDC"/>
    <w:rsid w:val="007E5D7D"/>
    <w:rsid w:val="007E67E0"/>
    <w:rsid w:val="007F4971"/>
    <w:rsid w:val="00817F67"/>
    <w:rsid w:val="0082022B"/>
    <w:rsid w:val="00822688"/>
    <w:rsid w:val="0082735D"/>
    <w:rsid w:val="0082797E"/>
    <w:rsid w:val="008347A8"/>
    <w:rsid w:val="008451B3"/>
    <w:rsid w:val="00847E57"/>
    <w:rsid w:val="00867ACD"/>
    <w:rsid w:val="008845C4"/>
    <w:rsid w:val="00885D7B"/>
    <w:rsid w:val="00886436"/>
    <w:rsid w:val="0089418C"/>
    <w:rsid w:val="008A1BBB"/>
    <w:rsid w:val="008A3477"/>
    <w:rsid w:val="008B1C26"/>
    <w:rsid w:val="008D1509"/>
    <w:rsid w:val="008E0005"/>
    <w:rsid w:val="008E5DB9"/>
    <w:rsid w:val="008F3B57"/>
    <w:rsid w:val="00901897"/>
    <w:rsid w:val="009170B4"/>
    <w:rsid w:val="0092344A"/>
    <w:rsid w:val="00925372"/>
    <w:rsid w:val="00934798"/>
    <w:rsid w:val="00936257"/>
    <w:rsid w:val="00945E4B"/>
    <w:rsid w:val="00970F26"/>
    <w:rsid w:val="00980AD9"/>
    <w:rsid w:val="00996050"/>
    <w:rsid w:val="009C3351"/>
    <w:rsid w:val="009C4225"/>
    <w:rsid w:val="009C5471"/>
    <w:rsid w:val="009C759E"/>
    <w:rsid w:val="009F56AB"/>
    <w:rsid w:val="00A543B6"/>
    <w:rsid w:val="00A67DD6"/>
    <w:rsid w:val="00A75BC3"/>
    <w:rsid w:val="00A75C9A"/>
    <w:rsid w:val="00A874F7"/>
    <w:rsid w:val="00A9259E"/>
    <w:rsid w:val="00AA2CCD"/>
    <w:rsid w:val="00AB09C5"/>
    <w:rsid w:val="00AB2A3B"/>
    <w:rsid w:val="00AB534D"/>
    <w:rsid w:val="00AB7721"/>
    <w:rsid w:val="00AC3886"/>
    <w:rsid w:val="00AE1293"/>
    <w:rsid w:val="00AF0470"/>
    <w:rsid w:val="00B12226"/>
    <w:rsid w:val="00B14135"/>
    <w:rsid w:val="00B14F80"/>
    <w:rsid w:val="00B16C16"/>
    <w:rsid w:val="00B17405"/>
    <w:rsid w:val="00B20B4E"/>
    <w:rsid w:val="00B7411A"/>
    <w:rsid w:val="00B8337E"/>
    <w:rsid w:val="00B8768F"/>
    <w:rsid w:val="00B87D54"/>
    <w:rsid w:val="00B94D0E"/>
    <w:rsid w:val="00B953A1"/>
    <w:rsid w:val="00BC54D3"/>
    <w:rsid w:val="00BD58BE"/>
    <w:rsid w:val="00BD7D72"/>
    <w:rsid w:val="00BF24B0"/>
    <w:rsid w:val="00C07D46"/>
    <w:rsid w:val="00C12EDB"/>
    <w:rsid w:val="00C15C32"/>
    <w:rsid w:val="00C16888"/>
    <w:rsid w:val="00C62F2F"/>
    <w:rsid w:val="00C71101"/>
    <w:rsid w:val="00C73878"/>
    <w:rsid w:val="00C85C0A"/>
    <w:rsid w:val="00CA22D4"/>
    <w:rsid w:val="00CC1DCE"/>
    <w:rsid w:val="00CC228F"/>
    <w:rsid w:val="00CF5A36"/>
    <w:rsid w:val="00D0046F"/>
    <w:rsid w:val="00D1203E"/>
    <w:rsid w:val="00D24740"/>
    <w:rsid w:val="00D37A3B"/>
    <w:rsid w:val="00D5313F"/>
    <w:rsid w:val="00D61D28"/>
    <w:rsid w:val="00D9014F"/>
    <w:rsid w:val="00D90EE2"/>
    <w:rsid w:val="00DB5420"/>
    <w:rsid w:val="00DE62CD"/>
    <w:rsid w:val="00DF2132"/>
    <w:rsid w:val="00E161F3"/>
    <w:rsid w:val="00E20BA8"/>
    <w:rsid w:val="00E24939"/>
    <w:rsid w:val="00E5466B"/>
    <w:rsid w:val="00E61E0E"/>
    <w:rsid w:val="00E62E75"/>
    <w:rsid w:val="00E65D36"/>
    <w:rsid w:val="00EA1AD2"/>
    <w:rsid w:val="00EB1DE3"/>
    <w:rsid w:val="00EC7F48"/>
    <w:rsid w:val="00EE0FEF"/>
    <w:rsid w:val="00EE3C71"/>
    <w:rsid w:val="00EE6BAF"/>
    <w:rsid w:val="00EF0820"/>
    <w:rsid w:val="00F14C4B"/>
    <w:rsid w:val="00F21C79"/>
    <w:rsid w:val="00F23976"/>
    <w:rsid w:val="00F254E2"/>
    <w:rsid w:val="00F3087A"/>
    <w:rsid w:val="00F372BE"/>
    <w:rsid w:val="00F50A4B"/>
    <w:rsid w:val="00F57F47"/>
    <w:rsid w:val="00F6293F"/>
    <w:rsid w:val="00F6684E"/>
    <w:rsid w:val="00F7631C"/>
    <w:rsid w:val="00F80F08"/>
    <w:rsid w:val="00FC4FAA"/>
    <w:rsid w:val="00FD0DC6"/>
    <w:rsid w:val="00FE0A70"/>
    <w:rsid w:val="00FF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3F"/>
    <w:pPr>
      <w:spacing w:after="0" w:line="240" w:lineRule="auto"/>
    </w:pPr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13F"/>
    <w:pPr>
      <w:keepNext/>
      <w:spacing w:before="360" w:after="320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94123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F6684E"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color w:val="000000"/>
      <w:sz w:val="24"/>
      <w:szCs w:val="28"/>
      <w:lang w:eastAsia="en-CA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3F"/>
    <w:rPr>
      <w:rFonts w:ascii="Arial" w:eastAsiaTheme="majorEastAsia" w:hAnsi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5313F"/>
    <w:rPr>
      <w:rFonts w:ascii="Arial" w:eastAsiaTheme="majorEastAsia" w:hAnsi="Arial"/>
      <w:b/>
      <w:bCs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5941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684E"/>
    <w:rPr>
      <w:rFonts w:ascii="Times New Roman" w:eastAsiaTheme="minorEastAsia" w:hAnsi="Times New Roman"/>
      <w:b/>
      <w:bCs/>
      <w:color w:val="000000"/>
      <w:sz w:val="24"/>
      <w:szCs w:val="28"/>
      <w:lang w:val="en-CA" w:eastAsia="en-C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33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33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3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337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qFormat/>
    <w:rsid w:val="00B833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rsid w:val="00B83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33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33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37E"/>
    <w:rPr>
      <w:b/>
      <w:i/>
      <w:sz w:val="24"/>
    </w:rPr>
  </w:style>
  <w:style w:type="character" w:styleId="SubtleEmphasis">
    <w:name w:val="Subtle Emphasis"/>
    <w:uiPriority w:val="19"/>
    <w:qFormat/>
    <w:rsid w:val="00B833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37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C5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671C-2569-4897-BCE9-6502DAB9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Grand'Maison</dc:creator>
  <cp:keywords/>
  <dc:description/>
  <cp:lastModifiedBy>stongedn</cp:lastModifiedBy>
  <cp:revision>2</cp:revision>
  <cp:lastPrinted>2012-05-11T16:22:00Z</cp:lastPrinted>
  <dcterms:created xsi:type="dcterms:W3CDTF">2012-05-15T17:58:00Z</dcterms:created>
  <dcterms:modified xsi:type="dcterms:W3CDTF">2012-05-15T17:58:00Z</dcterms:modified>
</cp:coreProperties>
</file>