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13F" w:rsidRPr="008F7646" w:rsidRDefault="008D5157" w:rsidP="00D5313F">
      <w:pPr>
        <w:rPr>
          <w:b/>
        </w:rPr>
      </w:pPr>
      <w:r>
        <w:rPr>
          <w:b/>
        </w:rPr>
        <w:t xml:space="preserve">Impact of </w:t>
      </w:r>
      <w:r w:rsidRPr="008D5157">
        <w:rPr>
          <w:b/>
        </w:rPr>
        <w:t>Strategic Operating Reviews</w:t>
      </w:r>
    </w:p>
    <w:p w:rsidR="00B84389" w:rsidRDefault="00B84389" w:rsidP="00D5313F"/>
    <w:p w:rsidR="00B84389" w:rsidRPr="00B84389" w:rsidRDefault="00B84389" w:rsidP="00B84389">
      <w:pPr>
        <w:rPr>
          <w:b/>
        </w:rPr>
      </w:pPr>
      <w:r w:rsidRPr="00B84389">
        <w:rPr>
          <w:b/>
        </w:rPr>
        <w:t>Background</w:t>
      </w:r>
    </w:p>
    <w:p w:rsidR="00B84389" w:rsidRDefault="00B84389" w:rsidP="00B84389"/>
    <w:p w:rsidR="00B84389" w:rsidRPr="00227A62" w:rsidRDefault="00B84389" w:rsidP="00B84389">
      <w:r w:rsidRPr="00227A62">
        <w:t xml:space="preserve">The Government of Canada has conducted Strategic Operating Reviews (SOR) to identify areas where </w:t>
      </w:r>
      <w:r>
        <w:t>costs</w:t>
      </w:r>
      <w:r w:rsidRPr="00227A62">
        <w:t xml:space="preserve"> can be </w:t>
      </w:r>
      <w:r>
        <w:t>reduced</w:t>
      </w:r>
      <w:r w:rsidRPr="00227A62">
        <w:t xml:space="preserve"> to deliver on the Government’s commitment to achieve $4 billion in annual savings and return to a balanced budget by 2014-15.  As part of this process, it is expected that staff reductions </w:t>
      </w:r>
      <w:r w:rsidR="00EB4236">
        <w:t xml:space="preserve">at some of our audit entities </w:t>
      </w:r>
      <w:r w:rsidRPr="00227A62">
        <w:t xml:space="preserve">will be </w:t>
      </w:r>
      <w:r>
        <w:t>necessary</w:t>
      </w:r>
      <w:r w:rsidRPr="00227A62">
        <w:t xml:space="preserve"> which</w:t>
      </w:r>
      <w:r w:rsidR="00741756">
        <w:t>, per government,</w:t>
      </w:r>
      <w:r w:rsidRPr="00227A62">
        <w:t xml:space="preserve"> </w:t>
      </w:r>
      <w:r w:rsidR="00EB4236">
        <w:t xml:space="preserve">may </w:t>
      </w:r>
      <w:r w:rsidRPr="00227A62">
        <w:t xml:space="preserve">not be managed through normal attrition.  </w:t>
      </w:r>
    </w:p>
    <w:p w:rsidR="00B84389" w:rsidRPr="00227A62" w:rsidRDefault="00B84389" w:rsidP="00B84389"/>
    <w:p w:rsidR="00B84389" w:rsidRDefault="00B84389" w:rsidP="00B84389">
      <w:pPr>
        <w:rPr>
          <w:bCs/>
          <w:i/>
        </w:rPr>
      </w:pPr>
      <w:r w:rsidRPr="00227A62">
        <w:t xml:space="preserve">The </w:t>
      </w:r>
      <w:hyperlink r:id="rId6" w:history="1">
        <w:r w:rsidRPr="00111D2E">
          <w:rPr>
            <w:rStyle w:val="Hyperlink"/>
            <w:i/>
          </w:rPr>
          <w:t>National Joint Council (NJC) Work Force Adjustment (WFA) Directive</w:t>
        </w:r>
      </w:hyperlink>
      <w:r w:rsidRPr="00227A62">
        <w:t xml:space="preserve"> </w:t>
      </w:r>
      <w:r w:rsidR="00FD3A4E">
        <w:t xml:space="preserve">outlines </w:t>
      </w:r>
      <w:r w:rsidRPr="00227A62">
        <w:t xml:space="preserve">the conditions and options for employees affected by work force adjustment situations in specified union groups, and is referred to in their collective agreements. For other union groups not covered by the NJC directive, such as PSAC, work force adjustment provisions </w:t>
      </w:r>
      <w:r w:rsidR="00BB60A6">
        <w:t>may be</w:t>
      </w:r>
      <w:r w:rsidRPr="00227A62">
        <w:t xml:space="preserve"> included in their collective agreements. In addition, work force adjustment provisions for executives are included in the </w:t>
      </w:r>
      <w:bookmarkStart w:id="0" w:name="cont"/>
      <w:bookmarkEnd w:id="0"/>
      <w:r w:rsidRPr="00227A62">
        <w:t xml:space="preserve">TBS </w:t>
      </w:r>
      <w:hyperlink r:id="rId7" w:history="1">
        <w:r w:rsidRPr="00111D2E">
          <w:rPr>
            <w:rStyle w:val="Hyperlink"/>
            <w:bCs/>
            <w:i/>
          </w:rPr>
          <w:t>Directive on Career Transition for Executives</w:t>
        </w:r>
      </w:hyperlink>
      <w:r w:rsidR="00111D2E">
        <w:rPr>
          <w:bCs/>
          <w:i/>
        </w:rPr>
        <w:t>.</w:t>
      </w:r>
    </w:p>
    <w:p w:rsidR="00D87191" w:rsidRDefault="00D87191" w:rsidP="00B84389">
      <w:pPr>
        <w:rPr>
          <w:bCs/>
          <w:i/>
        </w:rPr>
      </w:pPr>
    </w:p>
    <w:p w:rsidR="00D87191" w:rsidRPr="00D87191" w:rsidRDefault="00D87191" w:rsidP="00D87191">
      <w:pPr>
        <w:rPr>
          <w:b/>
          <w:bCs/>
        </w:rPr>
      </w:pPr>
      <w:r w:rsidRPr="00D87191">
        <w:rPr>
          <w:bCs/>
        </w:rPr>
        <w:t>The government of Canada</w:t>
      </w:r>
      <w:r>
        <w:rPr>
          <w:bCs/>
        </w:rPr>
        <w:t xml:space="preserve"> intends to record a liability in respect of workforce adjustment costs for the year ended </w:t>
      </w:r>
      <w:r w:rsidR="00741756">
        <w:rPr>
          <w:bCs/>
        </w:rPr>
        <w:t xml:space="preserve">31 </w:t>
      </w:r>
      <w:r>
        <w:rPr>
          <w:bCs/>
        </w:rPr>
        <w:t xml:space="preserve">March 2012.  Individual organizations have received instructions from the Office of the Comptroller General that they should also record the cost of workforce adjustment measures in their 2011/12 financial statements.  </w:t>
      </w:r>
    </w:p>
    <w:p w:rsidR="00B84389" w:rsidRDefault="00B84389" w:rsidP="00D5313F"/>
    <w:p w:rsidR="00F530E4" w:rsidRDefault="004102AB" w:rsidP="00A659AF">
      <w:r>
        <w:t xml:space="preserve">The Annual Audit Practice Team has reviewed this issue </w:t>
      </w:r>
      <w:r w:rsidR="00D87191">
        <w:t xml:space="preserve">from the perspective of </w:t>
      </w:r>
      <w:r w:rsidR="00F530E4">
        <w:t xml:space="preserve">separate opinion </w:t>
      </w:r>
      <w:r w:rsidR="00D87191">
        <w:t>financial statement audits</w:t>
      </w:r>
      <w:r w:rsidR="00A54AEC">
        <w:t xml:space="preserve">.  Of those entities listed in Budget 2012 </w:t>
      </w:r>
      <w:hyperlink r:id="rId8" w:anchor="a1" w:history="1">
        <w:r w:rsidR="00A54AEC" w:rsidRPr="00A54AEC">
          <w:rPr>
            <w:rStyle w:val="Hyperlink"/>
          </w:rPr>
          <w:t xml:space="preserve">Annex 1: </w:t>
        </w:r>
        <w:r w:rsidR="00A54AEC">
          <w:rPr>
            <w:rStyle w:val="Hyperlink"/>
          </w:rPr>
          <w:t>R</w:t>
        </w:r>
        <w:r w:rsidR="00A54AEC" w:rsidRPr="00A54AEC">
          <w:rPr>
            <w:rStyle w:val="Hyperlink"/>
          </w:rPr>
          <w:t>esponsible Spending</w:t>
        </w:r>
      </w:hyperlink>
      <w:r w:rsidR="00A54AEC">
        <w:t xml:space="preserve">, the significant majority of </w:t>
      </w:r>
      <w:r w:rsidR="00F530E4">
        <w:t xml:space="preserve">impacted </w:t>
      </w:r>
      <w:r w:rsidR="00A54AEC">
        <w:t>entities audited by the Office use public se</w:t>
      </w:r>
      <w:r w:rsidR="00A606B1">
        <w:t>ctor accounting standards, while some apply IFRS.</w:t>
      </w:r>
    </w:p>
    <w:p w:rsidR="00F530E4" w:rsidRDefault="00F530E4" w:rsidP="00A659AF"/>
    <w:p w:rsidR="00111D2E" w:rsidRPr="00111D2E" w:rsidRDefault="00111D2E" w:rsidP="00A659AF">
      <w:pPr>
        <w:rPr>
          <w:b/>
        </w:rPr>
      </w:pPr>
      <w:r w:rsidRPr="00111D2E">
        <w:rPr>
          <w:b/>
        </w:rPr>
        <w:t>Interpretation</w:t>
      </w:r>
    </w:p>
    <w:p w:rsidR="00111D2E" w:rsidRDefault="00111D2E" w:rsidP="00A659AF"/>
    <w:p w:rsidR="00F530E4" w:rsidRDefault="00A54AEC" w:rsidP="00F530E4">
      <w:r>
        <w:t>AAPT has</w:t>
      </w:r>
      <w:r w:rsidR="00D87191">
        <w:t xml:space="preserve"> concluded</w:t>
      </w:r>
      <w:r w:rsidR="00F530E4">
        <w:t xml:space="preserve">, with respect to </w:t>
      </w:r>
      <w:r w:rsidR="004102AB" w:rsidRPr="00A606B1">
        <w:t>Public Sector Accounting Standards</w:t>
      </w:r>
      <w:r w:rsidR="00A606B1">
        <w:t xml:space="preserve"> and IFRS</w:t>
      </w:r>
      <w:r w:rsidR="00FD3A4E">
        <w:t>,</w:t>
      </w:r>
      <w:r w:rsidR="00F530E4">
        <w:t xml:space="preserve"> workforce adjustment (and similar) costs should be assessed against the recognition criteria set out in PS3255.28 and .31</w:t>
      </w:r>
      <w:r w:rsidR="00A606B1">
        <w:t xml:space="preserve"> or IAS19.133 and .134</w:t>
      </w:r>
      <w:r w:rsidR="00F530E4">
        <w:t>.  Workforce adjustment (and similar) benefits are involuntary special termination benefits.</w:t>
      </w:r>
    </w:p>
    <w:p w:rsidR="00F530E4" w:rsidRPr="00F530E4" w:rsidRDefault="00F530E4" w:rsidP="00F530E4">
      <w:pPr>
        <w:rPr>
          <w:b/>
        </w:rPr>
      </w:pPr>
    </w:p>
    <w:p w:rsidR="00F530E4" w:rsidRDefault="00F530E4" w:rsidP="00F530E4">
      <w:r>
        <w:t>Where t</w:t>
      </w:r>
      <w:r w:rsidR="00A606B1">
        <w:t>he criteria set out in PS3255.28</w:t>
      </w:r>
      <w:r>
        <w:t xml:space="preserve"> </w:t>
      </w:r>
      <w:r w:rsidR="00A606B1">
        <w:t>or IAS</w:t>
      </w:r>
      <w:r w:rsidR="00283343">
        <w:t>19.</w:t>
      </w:r>
      <w:r w:rsidR="00A606B1">
        <w:t xml:space="preserve">133 </w:t>
      </w:r>
      <w:r>
        <w:t>are met, and amounts can be reasonabl</w:t>
      </w:r>
      <w:r w:rsidR="00EB4236">
        <w:t>y</w:t>
      </w:r>
      <w:r>
        <w:t xml:space="preserve"> estimated, costs of workforce adjustment measures shall be accrued in the current (2011/12) year</w:t>
      </w:r>
      <w:r w:rsidR="00111D2E">
        <w:t xml:space="preserve"> assuming the entity is not provided with any future economic benefits from these costs.  </w:t>
      </w:r>
    </w:p>
    <w:p w:rsidR="00F530E4" w:rsidRDefault="00F530E4" w:rsidP="00F530E4"/>
    <w:p w:rsidR="00F530E4" w:rsidRDefault="00F530E4" w:rsidP="00F530E4">
      <w:r>
        <w:t xml:space="preserve">Costs to be recognized are those special termination benefits estimated to be payable to affected employees.  These costs </w:t>
      </w:r>
      <w:r w:rsidR="008D5157" w:rsidRPr="008D5157">
        <w:rPr>
          <w:b/>
          <w:u w:val="single"/>
        </w:rPr>
        <w:t>may</w:t>
      </w:r>
      <w:r>
        <w:t xml:space="preserve"> include:</w:t>
      </w:r>
    </w:p>
    <w:p w:rsidR="00F530E4" w:rsidRDefault="00F530E4" w:rsidP="00F530E4"/>
    <w:p w:rsidR="00F530E4" w:rsidRDefault="00F530E4" w:rsidP="00F530E4">
      <w:pPr>
        <w:pStyle w:val="ListParagraph"/>
        <w:numPr>
          <w:ilvl w:val="0"/>
          <w:numId w:val="1"/>
        </w:numPr>
      </w:pPr>
      <w:r>
        <w:t xml:space="preserve">Salaries </w:t>
      </w:r>
      <w:r w:rsidR="008D5157" w:rsidRPr="008D5157">
        <w:t>and benefits</w:t>
      </w:r>
      <w:r>
        <w:t xml:space="preserve"> during any opting period (provided or foregone)</w:t>
      </w:r>
    </w:p>
    <w:p w:rsidR="00F530E4" w:rsidRDefault="00F530E4" w:rsidP="00F530E4">
      <w:pPr>
        <w:pStyle w:val="ListParagraph"/>
        <w:numPr>
          <w:ilvl w:val="0"/>
          <w:numId w:val="1"/>
        </w:numPr>
      </w:pPr>
      <w:r>
        <w:t xml:space="preserve">Salaries </w:t>
      </w:r>
      <w:r w:rsidR="008D5157" w:rsidRPr="008D5157">
        <w:t>and benefits</w:t>
      </w:r>
      <w:r>
        <w:t xml:space="preserve"> during a surplus priority period </w:t>
      </w:r>
    </w:p>
    <w:p w:rsidR="00F530E4" w:rsidRDefault="00F530E4" w:rsidP="00F530E4">
      <w:pPr>
        <w:pStyle w:val="ListParagraph"/>
        <w:numPr>
          <w:ilvl w:val="0"/>
          <w:numId w:val="1"/>
        </w:numPr>
      </w:pPr>
      <w:r>
        <w:t xml:space="preserve">A transitional support measure cash payment </w:t>
      </w:r>
    </w:p>
    <w:p w:rsidR="00F530E4" w:rsidRDefault="00F530E4" w:rsidP="00F530E4">
      <w:pPr>
        <w:pStyle w:val="ListParagraph"/>
        <w:numPr>
          <w:ilvl w:val="0"/>
          <w:numId w:val="1"/>
        </w:numPr>
      </w:pPr>
      <w:r>
        <w:t>Education allowances</w:t>
      </w:r>
    </w:p>
    <w:p w:rsidR="00F530E4" w:rsidRDefault="00F530E4" w:rsidP="00F530E4">
      <w:pPr>
        <w:pStyle w:val="ListParagraph"/>
        <w:numPr>
          <w:ilvl w:val="0"/>
          <w:numId w:val="1"/>
        </w:numPr>
      </w:pPr>
      <w:r>
        <w:t>Travel and relocation</w:t>
      </w:r>
      <w:r w:rsidR="00EB4236">
        <w:t xml:space="preserve"> </w:t>
      </w:r>
      <w:r>
        <w:t xml:space="preserve"> </w:t>
      </w:r>
    </w:p>
    <w:p w:rsidR="00F530E4" w:rsidRDefault="00F530E4" w:rsidP="00F530E4">
      <w:pPr>
        <w:pStyle w:val="ListParagraph"/>
        <w:numPr>
          <w:ilvl w:val="0"/>
          <w:numId w:val="1"/>
        </w:numPr>
      </w:pPr>
      <w:r>
        <w:t>Retraining</w:t>
      </w:r>
    </w:p>
    <w:p w:rsidR="00F530E4" w:rsidRDefault="00F530E4" w:rsidP="00D5313F"/>
    <w:p w:rsidR="00EF1614" w:rsidRDefault="00EF1614" w:rsidP="00D5313F"/>
    <w:p w:rsidR="00F530E4" w:rsidRDefault="00F530E4" w:rsidP="00D5313F">
      <w:r>
        <w:lastRenderedPageBreak/>
        <w:t>In reviewing the criteria</w:t>
      </w:r>
      <w:r w:rsidR="003644EA">
        <w:t xml:space="preserve"> set out in PS3255.31 and IAS19.134, </w:t>
      </w:r>
      <w:r w:rsidR="008D5157" w:rsidRPr="008D5157">
        <w:rPr>
          <w:u w:val="single"/>
        </w:rPr>
        <w:t>unless there are indications to the contrary</w:t>
      </w:r>
      <w:r>
        <w:t>:</w:t>
      </w:r>
    </w:p>
    <w:p w:rsidR="004102AB" w:rsidRDefault="004102AB" w:rsidP="004102AB">
      <w:pPr>
        <w:pStyle w:val="ListParagraph"/>
        <w:numPr>
          <w:ilvl w:val="0"/>
          <w:numId w:val="1"/>
        </w:numPr>
      </w:pPr>
      <w:r>
        <w:t>Workforce adjustment (and similar) directives establish the benefits employees are to receive upon termination of employment – PS3255.31(b)</w:t>
      </w:r>
      <w:r w:rsidR="003644EA">
        <w:t>, IAS 19.134(b)</w:t>
      </w:r>
    </w:p>
    <w:p w:rsidR="004102AB" w:rsidRDefault="004102AB" w:rsidP="004102AB">
      <w:pPr>
        <w:pStyle w:val="ListParagraph"/>
        <w:numPr>
          <w:ilvl w:val="0"/>
          <w:numId w:val="1"/>
        </w:numPr>
      </w:pPr>
      <w:r>
        <w:t>Workforce adjustment (and similar) directives are publicly available documents (have been communicated to employees) – PS3255.31</w:t>
      </w:r>
      <w:r w:rsidR="005E32FC">
        <w:t>(b</w:t>
      </w:r>
      <w:r>
        <w:t>)</w:t>
      </w:r>
    </w:p>
    <w:p w:rsidR="00A659AF" w:rsidRDefault="00A659AF" w:rsidP="00A659AF"/>
    <w:p w:rsidR="00B85E1C" w:rsidRDefault="00A659AF">
      <w:r>
        <w:t>Audit team</w:t>
      </w:r>
      <w:r w:rsidR="00F530E4">
        <w:t xml:space="preserve">s must </w:t>
      </w:r>
      <w:r>
        <w:t>conclude on the remaining criteria un</w:t>
      </w:r>
      <w:r w:rsidR="00F530E4">
        <w:t>der PS3255.31</w:t>
      </w:r>
      <w:r w:rsidR="003644EA">
        <w:t xml:space="preserve"> and IAS19.134 </w:t>
      </w:r>
      <w:r w:rsidR="00F530E4">
        <w:t>as these criteria</w:t>
      </w:r>
      <w:r>
        <w:t xml:space="preserve"> can only be </w:t>
      </w:r>
      <w:r w:rsidR="00F530E4">
        <w:t xml:space="preserve">assessed </w:t>
      </w:r>
      <w:r>
        <w:t xml:space="preserve">on an entity by entity </w:t>
      </w:r>
      <w:r w:rsidR="0098709A">
        <w:t>basis</w:t>
      </w:r>
      <w:r>
        <w:t xml:space="preserve">: </w:t>
      </w:r>
    </w:p>
    <w:p w:rsidR="001B29CF" w:rsidRDefault="001B29CF"/>
    <w:p w:rsidR="001B29CF" w:rsidRDefault="00BB60A6">
      <w:pPr>
        <w:pStyle w:val="ListParagraph"/>
        <w:numPr>
          <w:ilvl w:val="0"/>
          <w:numId w:val="1"/>
        </w:numPr>
      </w:pPr>
      <w:r>
        <w:t xml:space="preserve">On or before the entity fiscal year end, those with the appropriate level of authority within the entity have committed the entity to a </w:t>
      </w:r>
      <w:r w:rsidR="00F37984">
        <w:t xml:space="preserve">plan </w:t>
      </w:r>
      <w:r>
        <w:t>of termination including the benefits employees will receive upon their termination of employment</w:t>
      </w:r>
      <w:r w:rsidR="00F37984">
        <w:t xml:space="preserve"> </w:t>
      </w:r>
      <w:r>
        <w:t xml:space="preserve">– PS3255.31(a), IAS19.134 </w:t>
      </w:r>
      <w:r w:rsidR="0098709A">
        <w:t xml:space="preserve">– </w:t>
      </w:r>
      <w:r w:rsidR="005D1FF6">
        <w:rPr>
          <w:b/>
        </w:rPr>
        <w:t>audit team assessment and conclusion required</w:t>
      </w:r>
    </w:p>
    <w:p w:rsidR="00B85E1C" w:rsidRDefault="005E32FC">
      <w:pPr>
        <w:pStyle w:val="ListParagraph"/>
        <w:numPr>
          <w:ilvl w:val="0"/>
          <w:numId w:val="1"/>
        </w:numPr>
      </w:pPr>
      <w:r>
        <w:t>The plan of termination specifically identifies</w:t>
      </w:r>
      <w:r w:rsidR="004102AB">
        <w:t xml:space="preserve"> </w:t>
      </w:r>
      <w:r w:rsidR="00E214B9">
        <w:t xml:space="preserve">the target level of reduction in the number of employees, the job classifications or functions and their locations </w:t>
      </w:r>
      <w:r>
        <w:t>– PS3255.31(c)</w:t>
      </w:r>
      <w:r w:rsidR="003644EA">
        <w:t>, IAS19.134(a)</w:t>
      </w:r>
      <w:r>
        <w:t xml:space="preserve"> </w:t>
      </w:r>
      <w:r w:rsidR="0098709A">
        <w:t xml:space="preserve">– </w:t>
      </w:r>
      <w:r w:rsidR="005D1FF6">
        <w:rPr>
          <w:b/>
        </w:rPr>
        <w:t>audit team assessment and conclusion required</w:t>
      </w:r>
    </w:p>
    <w:p w:rsidR="00B85E1C" w:rsidRDefault="005E32FC">
      <w:pPr>
        <w:pStyle w:val="ListParagraph"/>
        <w:numPr>
          <w:ilvl w:val="0"/>
          <w:numId w:val="1"/>
        </w:numPr>
      </w:pPr>
      <w:r>
        <w:t>The time frame for implementing the plan has been identified and significant change</w:t>
      </w:r>
      <w:r w:rsidR="0098709A">
        <w:t>s</w:t>
      </w:r>
      <w:r>
        <w:t xml:space="preserve"> to the plan of termination are not likely – </w:t>
      </w:r>
      <w:r w:rsidR="003644EA">
        <w:t xml:space="preserve">PS3255.31(d), IAS19.134(c) </w:t>
      </w:r>
      <w:r w:rsidR="00A659AF">
        <w:t xml:space="preserve">- </w:t>
      </w:r>
      <w:r w:rsidR="005D1FF6">
        <w:rPr>
          <w:b/>
        </w:rPr>
        <w:t>audit team assessment and conclusions required</w:t>
      </w:r>
    </w:p>
    <w:p w:rsidR="00495D31" w:rsidRDefault="00495D31" w:rsidP="004102AB">
      <w:pPr>
        <w:pStyle w:val="ListParagraph"/>
      </w:pPr>
    </w:p>
    <w:p w:rsidR="008707D1" w:rsidRDefault="008707D1" w:rsidP="008707D1">
      <w:r>
        <w:t xml:space="preserve">Audit teams shall carefully review the use of management estimates and assumptions where employees have not had sufficient time to select their particular </w:t>
      </w:r>
      <w:r w:rsidR="00A02C7B">
        <w:t xml:space="preserve">transitional </w:t>
      </w:r>
      <w:r>
        <w:t xml:space="preserve">options.  </w:t>
      </w:r>
      <w:r w:rsidR="0031749D">
        <w:t xml:space="preserve">Given the flexibility and discretion provided for Executive positions in the </w:t>
      </w:r>
      <w:r w:rsidR="0031749D" w:rsidRPr="0031749D">
        <w:rPr>
          <w:i/>
        </w:rPr>
        <w:t>Directive on Career Transition for Executives</w:t>
      </w:r>
      <w:r w:rsidR="0031749D">
        <w:t xml:space="preserve">, it may not be possible to determine a reasonable estimate of costs and liabilities associated with this employee group.  </w:t>
      </w:r>
      <w:r w:rsidR="00062F4B">
        <w:t xml:space="preserve">Audit entities may need to discount workforce adjustment amounts falling due more than 12 months after the </w:t>
      </w:r>
      <w:r w:rsidR="0098709A">
        <w:t xml:space="preserve">end of the </w:t>
      </w:r>
      <w:r w:rsidR="00062F4B">
        <w:t>reporting period.</w:t>
      </w:r>
    </w:p>
    <w:p w:rsidR="007F3F2E" w:rsidRDefault="007F3F2E" w:rsidP="008707D1"/>
    <w:p w:rsidR="007F3F2E" w:rsidRDefault="007F3F2E" w:rsidP="008707D1">
      <w:r>
        <w:t>Audit teams who analyse the issue of workforce adjustment (and similar) benefits and liability recognition in the current year are asked to consult with a Central Team Principal on the results of their analysis prior to concluding.</w:t>
      </w:r>
    </w:p>
    <w:p w:rsidR="00F43834" w:rsidRDefault="00F43834" w:rsidP="008707D1"/>
    <w:p w:rsidR="00F43834" w:rsidRDefault="00F43834" w:rsidP="00F43834">
      <w:r>
        <w:t>Note that incremental severance benefits due to lay off</w:t>
      </w:r>
      <w:r w:rsidR="00495D31">
        <w:t xml:space="preserve"> should </w:t>
      </w:r>
      <w:r w:rsidR="0098709A">
        <w:t xml:space="preserve">also </w:t>
      </w:r>
      <w:r w:rsidR="00495D31">
        <w:t>be considered and may need to be recognized</w:t>
      </w:r>
      <w:r w:rsidR="000E5CFF">
        <w:t xml:space="preserve"> where surplus employees have resigned prior to year-end under the workforce adjustment directive.</w:t>
      </w:r>
    </w:p>
    <w:p w:rsidR="00F43834" w:rsidRDefault="00F43834" w:rsidP="008707D1"/>
    <w:p w:rsidR="0031749D" w:rsidRDefault="0031749D" w:rsidP="008707D1"/>
    <w:p w:rsidR="008707D1" w:rsidRPr="00EF1614" w:rsidRDefault="00E214B9" w:rsidP="008707D1">
      <w:pPr>
        <w:rPr>
          <w:b/>
        </w:rPr>
      </w:pPr>
      <w:r w:rsidRPr="00EF1614">
        <w:rPr>
          <w:b/>
        </w:rPr>
        <w:t>Presentation and Disclosure</w:t>
      </w:r>
    </w:p>
    <w:p w:rsidR="00D87191" w:rsidRPr="00EF1614" w:rsidRDefault="00D87191" w:rsidP="008707D1"/>
    <w:p w:rsidR="00D87191" w:rsidRDefault="00D87191" w:rsidP="008707D1">
      <w:r w:rsidRPr="00EF1614">
        <w:t>Where material,</w:t>
      </w:r>
      <w:r w:rsidR="0098709A">
        <w:t xml:space="preserve"> </w:t>
      </w:r>
      <w:r w:rsidRPr="00EF1614">
        <w:t xml:space="preserve">disclosure of recognized workforce adjustment costs </w:t>
      </w:r>
      <w:r w:rsidR="00E92A4E">
        <w:t xml:space="preserve">incurred </w:t>
      </w:r>
      <w:r w:rsidRPr="00EF1614">
        <w:t xml:space="preserve">and accruals outstanding at year end </w:t>
      </w:r>
      <w:r w:rsidR="0098709A">
        <w:t xml:space="preserve">shall be made as required by applicable financial reporting frameworks.  </w:t>
      </w:r>
      <w:r>
        <w:t xml:space="preserve">  </w:t>
      </w:r>
    </w:p>
    <w:p w:rsidR="00EF1614" w:rsidRDefault="00EF1614" w:rsidP="008707D1"/>
    <w:p w:rsidR="00D80093" w:rsidRDefault="003644EA" w:rsidP="008707D1">
      <w:r>
        <w:t xml:space="preserve">Measurement uncertainty disclosure may need to be updated to capture the nature and extent of any associated </w:t>
      </w:r>
      <w:r w:rsidR="000E5CFF">
        <w:t xml:space="preserve">material </w:t>
      </w:r>
      <w:r>
        <w:t>measurement uncertainty.</w:t>
      </w:r>
    </w:p>
    <w:p w:rsidR="004102AB" w:rsidRPr="00D5313F" w:rsidRDefault="004102AB" w:rsidP="00D5313F"/>
    <w:sectPr w:rsidR="004102AB" w:rsidRPr="00D5313F" w:rsidSect="00D5313F">
      <w:pgSz w:w="12240" w:h="15840" w:code="1"/>
      <w:pgMar w:top="1440" w:right="1800" w:bottom="1440" w:left="1800" w:header="706" w:footer="562"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737D"/>
    <w:multiLevelType w:val="hybridMultilevel"/>
    <w:tmpl w:val="5CC2EA16"/>
    <w:lvl w:ilvl="0" w:tplc="6252589A">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9E4177"/>
    <w:multiLevelType w:val="hybridMultilevel"/>
    <w:tmpl w:val="48488962"/>
    <w:lvl w:ilvl="0" w:tplc="6252589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displayVerticalDrawingGridEvery w:val="2"/>
  <w:characterSpacingControl w:val="doNotCompress"/>
  <w:compat/>
  <w:rsids>
    <w:rsidRoot w:val="00B84389"/>
    <w:rsid w:val="00000BBD"/>
    <w:rsid w:val="00007263"/>
    <w:rsid w:val="0000764E"/>
    <w:rsid w:val="00022DF8"/>
    <w:rsid w:val="0004240B"/>
    <w:rsid w:val="0004460E"/>
    <w:rsid w:val="00062F4B"/>
    <w:rsid w:val="0007097E"/>
    <w:rsid w:val="00076A10"/>
    <w:rsid w:val="00080665"/>
    <w:rsid w:val="00085ADD"/>
    <w:rsid w:val="00092F9C"/>
    <w:rsid w:val="000945A2"/>
    <w:rsid w:val="000A5AE3"/>
    <w:rsid w:val="000A60A5"/>
    <w:rsid w:val="000B60C7"/>
    <w:rsid w:val="000B6818"/>
    <w:rsid w:val="000C6821"/>
    <w:rsid w:val="000E5CFF"/>
    <w:rsid w:val="000F35CB"/>
    <w:rsid w:val="000F5731"/>
    <w:rsid w:val="001066B9"/>
    <w:rsid w:val="001111AF"/>
    <w:rsid w:val="00111D2E"/>
    <w:rsid w:val="00120AC4"/>
    <w:rsid w:val="001279D1"/>
    <w:rsid w:val="00134304"/>
    <w:rsid w:val="001435E9"/>
    <w:rsid w:val="001467A4"/>
    <w:rsid w:val="001775BD"/>
    <w:rsid w:val="00180E39"/>
    <w:rsid w:val="00184A1B"/>
    <w:rsid w:val="00193EB4"/>
    <w:rsid w:val="001A2AFA"/>
    <w:rsid w:val="001B13F2"/>
    <w:rsid w:val="001B29CF"/>
    <w:rsid w:val="001C353A"/>
    <w:rsid w:val="001D1833"/>
    <w:rsid w:val="001D38A6"/>
    <w:rsid w:val="001E19FE"/>
    <w:rsid w:val="0022629D"/>
    <w:rsid w:val="00226A78"/>
    <w:rsid w:val="00231156"/>
    <w:rsid w:val="00232231"/>
    <w:rsid w:val="00234783"/>
    <w:rsid w:val="002613C6"/>
    <w:rsid w:val="002673A9"/>
    <w:rsid w:val="00283343"/>
    <w:rsid w:val="002835A6"/>
    <w:rsid w:val="0028483F"/>
    <w:rsid w:val="002B253C"/>
    <w:rsid w:val="002D67A1"/>
    <w:rsid w:val="002E0A56"/>
    <w:rsid w:val="002E10E8"/>
    <w:rsid w:val="00303A3A"/>
    <w:rsid w:val="0031749D"/>
    <w:rsid w:val="00317C26"/>
    <w:rsid w:val="00321E53"/>
    <w:rsid w:val="0032325D"/>
    <w:rsid w:val="00326DE0"/>
    <w:rsid w:val="003342E3"/>
    <w:rsid w:val="00340059"/>
    <w:rsid w:val="00344308"/>
    <w:rsid w:val="00362914"/>
    <w:rsid w:val="003644EA"/>
    <w:rsid w:val="00374B51"/>
    <w:rsid w:val="003773EB"/>
    <w:rsid w:val="003958DE"/>
    <w:rsid w:val="0039764B"/>
    <w:rsid w:val="003A2935"/>
    <w:rsid w:val="003A31F5"/>
    <w:rsid w:val="003A34E3"/>
    <w:rsid w:val="003B1788"/>
    <w:rsid w:val="003C01DF"/>
    <w:rsid w:val="003C1A99"/>
    <w:rsid w:val="003C76A4"/>
    <w:rsid w:val="003D0819"/>
    <w:rsid w:val="003F5A9C"/>
    <w:rsid w:val="004014F6"/>
    <w:rsid w:val="004102AB"/>
    <w:rsid w:val="00420DEF"/>
    <w:rsid w:val="004528DC"/>
    <w:rsid w:val="004566C1"/>
    <w:rsid w:val="004570EA"/>
    <w:rsid w:val="00467F68"/>
    <w:rsid w:val="00486DCB"/>
    <w:rsid w:val="00495D31"/>
    <w:rsid w:val="004D1868"/>
    <w:rsid w:val="004D6305"/>
    <w:rsid w:val="004E20D8"/>
    <w:rsid w:val="004E2E05"/>
    <w:rsid w:val="005103E2"/>
    <w:rsid w:val="00520567"/>
    <w:rsid w:val="00522177"/>
    <w:rsid w:val="005301BA"/>
    <w:rsid w:val="00530A67"/>
    <w:rsid w:val="0053534B"/>
    <w:rsid w:val="005363EE"/>
    <w:rsid w:val="0055168C"/>
    <w:rsid w:val="00564AFE"/>
    <w:rsid w:val="00593409"/>
    <w:rsid w:val="005953C5"/>
    <w:rsid w:val="0059704F"/>
    <w:rsid w:val="005B2303"/>
    <w:rsid w:val="005B3F6C"/>
    <w:rsid w:val="005C2D52"/>
    <w:rsid w:val="005D1FF6"/>
    <w:rsid w:val="005E32FC"/>
    <w:rsid w:val="005F12F5"/>
    <w:rsid w:val="005F2097"/>
    <w:rsid w:val="005F629B"/>
    <w:rsid w:val="006014B6"/>
    <w:rsid w:val="00603CA8"/>
    <w:rsid w:val="006050EC"/>
    <w:rsid w:val="00607FA5"/>
    <w:rsid w:val="006102CC"/>
    <w:rsid w:val="006224AB"/>
    <w:rsid w:val="00625552"/>
    <w:rsid w:val="00625B40"/>
    <w:rsid w:val="00635A86"/>
    <w:rsid w:val="00660345"/>
    <w:rsid w:val="00681991"/>
    <w:rsid w:val="006E2CD5"/>
    <w:rsid w:val="00711CE7"/>
    <w:rsid w:val="0071760C"/>
    <w:rsid w:val="00717D4B"/>
    <w:rsid w:val="00741756"/>
    <w:rsid w:val="00745680"/>
    <w:rsid w:val="00750204"/>
    <w:rsid w:val="00750998"/>
    <w:rsid w:val="007B59FB"/>
    <w:rsid w:val="007D0CAE"/>
    <w:rsid w:val="007D6FEB"/>
    <w:rsid w:val="007E3020"/>
    <w:rsid w:val="007F3064"/>
    <w:rsid w:val="007F3F2E"/>
    <w:rsid w:val="007F4971"/>
    <w:rsid w:val="007F663C"/>
    <w:rsid w:val="0082735D"/>
    <w:rsid w:val="008347A8"/>
    <w:rsid w:val="00847E57"/>
    <w:rsid w:val="00853DB3"/>
    <w:rsid w:val="008707D1"/>
    <w:rsid w:val="008845C4"/>
    <w:rsid w:val="00884D08"/>
    <w:rsid w:val="00885D7B"/>
    <w:rsid w:val="00886436"/>
    <w:rsid w:val="0089418C"/>
    <w:rsid w:val="008B1C26"/>
    <w:rsid w:val="008B5EB6"/>
    <w:rsid w:val="008D31B9"/>
    <w:rsid w:val="008D5157"/>
    <w:rsid w:val="008D581D"/>
    <w:rsid w:val="008D60A9"/>
    <w:rsid w:val="008F3B57"/>
    <w:rsid w:val="008F6E7E"/>
    <w:rsid w:val="008F7646"/>
    <w:rsid w:val="00903826"/>
    <w:rsid w:val="0090731A"/>
    <w:rsid w:val="009170B4"/>
    <w:rsid w:val="0091754C"/>
    <w:rsid w:val="00943F89"/>
    <w:rsid w:val="00945E4B"/>
    <w:rsid w:val="009537FF"/>
    <w:rsid w:val="009630D7"/>
    <w:rsid w:val="00980AD9"/>
    <w:rsid w:val="00981C51"/>
    <w:rsid w:val="0098709A"/>
    <w:rsid w:val="00990732"/>
    <w:rsid w:val="00994A9E"/>
    <w:rsid w:val="009C4225"/>
    <w:rsid w:val="009D0ED4"/>
    <w:rsid w:val="00A02C7B"/>
    <w:rsid w:val="00A05CC4"/>
    <w:rsid w:val="00A11DD7"/>
    <w:rsid w:val="00A269CD"/>
    <w:rsid w:val="00A30ACD"/>
    <w:rsid w:val="00A4544B"/>
    <w:rsid w:val="00A46371"/>
    <w:rsid w:val="00A53CA1"/>
    <w:rsid w:val="00A54AEC"/>
    <w:rsid w:val="00A606B1"/>
    <w:rsid w:val="00A63F5A"/>
    <w:rsid w:val="00A659AF"/>
    <w:rsid w:val="00A75C9A"/>
    <w:rsid w:val="00A814FC"/>
    <w:rsid w:val="00A81BD6"/>
    <w:rsid w:val="00A8289D"/>
    <w:rsid w:val="00AB00AD"/>
    <w:rsid w:val="00AB534D"/>
    <w:rsid w:val="00AC1F63"/>
    <w:rsid w:val="00AE6F3C"/>
    <w:rsid w:val="00AF0470"/>
    <w:rsid w:val="00AF18B3"/>
    <w:rsid w:val="00AF1EF9"/>
    <w:rsid w:val="00B07A8A"/>
    <w:rsid w:val="00B1182D"/>
    <w:rsid w:val="00B14135"/>
    <w:rsid w:val="00B14F80"/>
    <w:rsid w:val="00B16C16"/>
    <w:rsid w:val="00B20B4E"/>
    <w:rsid w:val="00B32093"/>
    <w:rsid w:val="00B63C5B"/>
    <w:rsid w:val="00B7411A"/>
    <w:rsid w:val="00B74CD7"/>
    <w:rsid w:val="00B8337E"/>
    <w:rsid w:val="00B84389"/>
    <w:rsid w:val="00B85E1C"/>
    <w:rsid w:val="00B953A1"/>
    <w:rsid w:val="00BB4396"/>
    <w:rsid w:val="00BB60A6"/>
    <w:rsid w:val="00BC63E3"/>
    <w:rsid w:val="00BD49B1"/>
    <w:rsid w:val="00BD5F19"/>
    <w:rsid w:val="00BF1206"/>
    <w:rsid w:val="00BF24B0"/>
    <w:rsid w:val="00C07D46"/>
    <w:rsid w:val="00C12EDB"/>
    <w:rsid w:val="00C2507D"/>
    <w:rsid w:val="00C36D8C"/>
    <w:rsid w:val="00C419A2"/>
    <w:rsid w:val="00C50193"/>
    <w:rsid w:val="00C561D3"/>
    <w:rsid w:val="00C62E58"/>
    <w:rsid w:val="00C661A1"/>
    <w:rsid w:val="00C72CB3"/>
    <w:rsid w:val="00C73878"/>
    <w:rsid w:val="00C83EA2"/>
    <w:rsid w:val="00CA1491"/>
    <w:rsid w:val="00CA5B60"/>
    <w:rsid w:val="00CC1DCE"/>
    <w:rsid w:val="00CE14DA"/>
    <w:rsid w:val="00CF5A36"/>
    <w:rsid w:val="00D07DF3"/>
    <w:rsid w:val="00D12D4E"/>
    <w:rsid w:val="00D309AE"/>
    <w:rsid w:val="00D4767B"/>
    <w:rsid w:val="00D5313F"/>
    <w:rsid w:val="00D57C92"/>
    <w:rsid w:val="00D6027A"/>
    <w:rsid w:val="00D61D28"/>
    <w:rsid w:val="00D657C8"/>
    <w:rsid w:val="00D71843"/>
    <w:rsid w:val="00D73D5C"/>
    <w:rsid w:val="00D80093"/>
    <w:rsid w:val="00D8522C"/>
    <w:rsid w:val="00D87191"/>
    <w:rsid w:val="00D9615C"/>
    <w:rsid w:val="00D96848"/>
    <w:rsid w:val="00DA4191"/>
    <w:rsid w:val="00DA44C2"/>
    <w:rsid w:val="00DA7EF5"/>
    <w:rsid w:val="00DB2434"/>
    <w:rsid w:val="00DB306F"/>
    <w:rsid w:val="00DE2F9D"/>
    <w:rsid w:val="00DE62CD"/>
    <w:rsid w:val="00DE69A0"/>
    <w:rsid w:val="00E20BA8"/>
    <w:rsid w:val="00E214B9"/>
    <w:rsid w:val="00E5466B"/>
    <w:rsid w:val="00E54FC2"/>
    <w:rsid w:val="00E551FF"/>
    <w:rsid w:val="00E65D36"/>
    <w:rsid w:val="00E85FD7"/>
    <w:rsid w:val="00E92A4E"/>
    <w:rsid w:val="00EA790F"/>
    <w:rsid w:val="00EB36A1"/>
    <w:rsid w:val="00EB4236"/>
    <w:rsid w:val="00EB63AA"/>
    <w:rsid w:val="00EC15E9"/>
    <w:rsid w:val="00ED4213"/>
    <w:rsid w:val="00EE1170"/>
    <w:rsid w:val="00EE3C71"/>
    <w:rsid w:val="00EF1614"/>
    <w:rsid w:val="00F0027D"/>
    <w:rsid w:val="00F01D24"/>
    <w:rsid w:val="00F05412"/>
    <w:rsid w:val="00F10943"/>
    <w:rsid w:val="00F12315"/>
    <w:rsid w:val="00F23976"/>
    <w:rsid w:val="00F25EF4"/>
    <w:rsid w:val="00F3087A"/>
    <w:rsid w:val="00F31358"/>
    <w:rsid w:val="00F37984"/>
    <w:rsid w:val="00F4206B"/>
    <w:rsid w:val="00F43834"/>
    <w:rsid w:val="00F530E4"/>
    <w:rsid w:val="00F600A2"/>
    <w:rsid w:val="00F66041"/>
    <w:rsid w:val="00F80F08"/>
    <w:rsid w:val="00FC11DB"/>
    <w:rsid w:val="00FC4C8A"/>
    <w:rsid w:val="00FC4FAA"/>
    <w:rsid w:val="00FC5B42"/>
    <w:rsid w:val="00FC6C70"/>
    <w:rsid w:val="00FD0DC6"/>
    <w:rsid w:val="00FD3A4E"/>
    <w:rsid w:val="00FD52D7"/>
    <w:rsid w:val="00FE0A70"/>
    <w:rsid w:val="00FE5A2E"/>
    <w:rsid w:val="00FF2E0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3F"/>
    <w:pPr>
      <w:spacing w:after="0" w:line="240" w:lineRule="auto"/>
    </w:pPr>
    <w:rPr>
      <w:rFonts w:ascii="Arial" w:hAnsi="Arial"/>
      <w:szCs w:val="24"/>
      <w:lang w:val="en-CA"/>
    </w:rPr>
  </w:style>
  <w:style w:type="paragraph" w:styleId="Heading1">
    <w:name w:val="heading 1"/>
    <w:basedOn w:val="Normal"/>
    <w:next w:val="Normal"/>
    <w:link w:val="Heading1Char"/>
    <w:uiPriority w:val="9"/>
    <w:qFormat/>
    <w:rsid w:val="00D5313F"/>
    <w:pPr>
      <w:keepNext/>
      <w:spacing w:before="400" w:after="360"/>
      <w:outlineLvl w:val="0"/>
    </w:pPr>
    <w:rPr>
      <w:rFonts w:eastAsiaTheme="majorEastAsia"/>
      <w:b/>
      <w:bCs/>
      <w:kern w:val="32"/>
      <w:sz w:val="32"/>
      <w:szCs w:val="32"/>
    </w:rPr>
  </w:style>
  <w:style w:type="paragraph" w:styleId="Heading2">
    <w:name w:val="heading 2"/>
    <w:basedOn w:val="Normal"/>
    <w:next w:val="Normal"/>
    <w:link w:val="Heading2Char"/>
    <w:uiPriority w:val="9"/>
    <w:unhideWhenUsed/>
    <w:qFormat/>
    <w:rsid w:val="00D5313F"/>
    <w:pPr>
      <w:keepNext/>
      <w:spacing w:before="360" w:after="320"/>
      <w:outlineLvl w:val="1"/>
    </w:pPr>
    <w:rPr>
      <w:rFonts w:eastAsiaTheme="majorEastAsia"/>
      <w:b/>
      <w:bCs/>
      <w:iCs/>
      <w:sz w:val="28"/>
      <w:szCs w:val="28"/>
    </w:rPr>
  </w:style>
  <w:style w:type="paragraph" w:styleId="Heading3">
    <w:name w:val="heading 3"/>
    <w:basedOn w:val="Normal"/>
    <w:next w:val="Normal"/>
    <w:link w:val="Heading3Char"/>
    <w:uiPriority w:val="9"/>
    <w:unhideWhenUsed/>
    <w:qFormat/>
    <w:rsid w:val="00D5313F"/>
    <w:pPr>
      <w:keepNext/>
      <w:spacing w:before="280" w:after="240"/>
      <w:outlineLvl w:val="2"/>
    </w:pPr>
    <w:rPr>
      <w:rFonts w:eastAsiaTheme="majorEastAsia"/>
      <w:b/>
      <w:bCs/>
      <w:sz w:val="24"/>
      <w:szCs w:val="26"/>
    </w:rPr>
  </w:style>
  <w:style w:type="paragraph" w:styleId="Heading4">
    <w:name w:val="heading 4"/>
    <w:basedOn w:val="Normal"/>
    <w:next w:val="Normal"/>
    <w:link w:val="Heading4Char"/>
    <w:uiPriority w:val="9"/>
    <w:semiHidden/>
    <w:unhideWhenUsed/>
    <w:qFormat/>
    <w:rsid w:val="00B8337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33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37E"/>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B8337E"/>
    <w:pPr>
      <w:spacing w:before="240" w:after="60"/>
      <w:outlineLvl w:val="6"/>
    </w:pPr>
  </w:style>
  <w:style w:type="paragraph" w:styleId="Heading8">
    <w:name w:val="heading 8"/>
    <w:basedOn w:val="Normal"/>
    <w:next w:val="Normal"/>
    <w:link w:val="Heading8Char"/>
    <w:uiPriority w:val="9"/>
    <w:semiHidden/>
    <w:unhideWhenUsed/>
    <w:qFormat/>
    <w:rsid w:val="00B8337E"/>
    <w:pPr>
      <w:spacing w:before="240" w:after="60"/>
      <w:outlineLvl w:val="7"/>
    </w:pPr>
    <w:rPr>
      <w:i/>
      <w:iCs/>
    </w:rPr>
  </w:style>
  <w:style w:type="paragraph" w:styleId="Heading9">
    <w:name w:val="heading 9"/>
    <w:basedOn w:val="Normal"/>
    <w:next w:val="Normal"/>
    <w:link w:val="Heading9Char"/>
    <w:uiPriority w:val="9"/>
    <w:semiHidden/>
    <w:unhideWhenUsed/>
    <w:qFormat/>
    <w:rsid w:val="00B8337E"/>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3F"/>
    <w:rPr>
      <w:rFonts w:ascii="Arial" w:eastAsiaTheme="majorEastAsia" w:hAnsi="Arial"/>
      <w:b/>
      <w:bCs/>
      <w:kern w:val="32"/>
      <w:sz w:val="32"/>
      <w:szCs w:val="32"/>
      <w:lang w:val="en-CA"/>
    </w:rPr>
  </w:style>
  <w:style w:type="character" w:customStyle="1" w:styleId="Heading2Char">
    <w:name w:val="Heading 2 Char"/>
    <w:basedOn w:val="DefaultParagraphFont"/>
    <w:link w:val="Heading2"/>
    <w:uiPriority w:val="9"/>
    <w:rsid w:val="00D5313F"/>
    <w:rPr>
      <w:rFonts w:ascii="Arial" w:eastAsiaTheme="majorEastAsia" w:hAnsi="Arial"/>
      <w:b/>
      <w:bCs/>
      <w:iCs/>
      <w:sz w:val="28"/>
      <w:szCs w:val="28"/>
      <w:lang w:val="en-CA"/>
    </w:rPr>
  </w:style>
  <w:style w:type="character" w:customStyle="1" w:styleId="Heading3Char">
    <w:name w:val="Heading 3 Char"/>
    <w:basedOn w:val="DefaultParagraphFont"/>
    <w:link w:val="Heading3"/>
    <w:uiPriority w:val="9"/>
    <w:rsid w:val="00D5313F"/>
    <w:rPr>
      <w:rFonts w:ascii="Arial" w:eastAsiaTheme="majorEastAsia" w:hAnsi="Arial"/>
      <w:b/>
      <w:bCs/>
      <w:sz w:val="24"/>
      <w:szCs w:val="26"/>
      <w:lang w:val="en-CA"/>
    </w:rPr>
  </w:style>
  <w:style w:type="character" w:customStyle="1" w:styleId="Heading4Char">
    <w:name w:val="Heading 4 Char"/>
    <w:basedOn w:val="DefaultParagraphFont"/>
    <w:link w:val="Heading4"/>
    <w:uiPriority w:val="9"/>
    <w:rsid w:val="00B8337E"/>
    <w:rPr>
      <w:b/>
      <w:bCs/>
      <w:sz w:val="28"/>
      <w:szCs w:val="28"/>
    </w:rPr>
  </w:style>
  <w:style w:type="character" w:customStyle="1" w:styleId="Heading5Char">
    <w:name w:val="Heading 5 Char"/>
    <w:basedOn w:val="DefaultParagraphFont"/>
    <w:link w:val="Heading5"/>
    <w:uiPriority w:val="9"/>
    <w:semiHidden/>
    <w:rsid w:val="00B8337E"/>
    <w:rPr>
      <w:b/>
      <w:bCs/>
      <w:i/>
      <w:iCs/>
      <w:sz w:val="26"/>
      <w:szCs w:val="26"/>
    </w:rPr>
  </w:style>
  <w:style w:type="character" w:customStyle="1" w:styleId="Heading6Char">
    <w:name w:val="Heading 6 Char"/>
    <w:basedOn w:val="DefaultParagraphFont"/>
    <w:link w:val="Heading6"/>
    <w:uiPriority w:val="9"/>
    <w:semiHidden/>
    <w:rsid w:val="00B8337E"/>
    <w:rPr>
      <w:b/>
      <w:bCs/>
    </w:rPr>
  </w:style>
  <w:style w:type="character" w:customStyle="1" w:styleId="Heading7Char">
    <w:name w:val="Heading 7 Char"/>
    <w:basedOn w:val="DefaultParagraphFont"/>
    <w:link w:val="Heading7"/>
    <w:uiPriority w:val="9"/>
    <w:semiHidden/>
    <w:rsid w:val="00B8337E"/>
    <w:rPr>
      <w:sz w:val="24"/>
      <w:szCs w:val="24"/>
    </w:rPr>
  </w:style>
  <w:style w:type="character" w:customStyle="1" w:styleId="Heading8Char">
    <w:name w:val="Heading 8 Char"/>
    <w:basedOn w:val="DefaultParagraphFont"/>
    <w:link w:val="Heading8"/>
    <w:uiPriority w:val="9"/>
    <w:semiHidden/>
    <w:rsid w:val="00B8337E"/>
    <w:rPr>
      <w:i/>
      <w:iCs/>
      <w:sz w:val="24"/>
      <w:szCs w:val="24"/>
    </w:rPr>
  </w:style>
  <w:style w:type="character" w:customStyle="1" w:styleId="Heading9Char">
    <w:name w:val="Heading 9 Char"/>
    <w:basedOn w:val="DefaultParagraphFont"/>
    <w:link w:val="Heading9"/>
    <w:uiPriority w:val="9"/>
    <w:semiHidden/>
    <w:rsid w:val="00B8337E"/>
    <w:rPr>
      <w:rFonts w:asciiTheme="majorHAnsi" w:eastAsiaTheme="majorEastAsia" w:hAnsiTheme="majorHAnsi"/>
    </w:rPr>
  </w:style>
  <w:style w:type="paragraph" w:styleId="Title">
    <w:name w:val="Title"/>
    <w:basedOn w:val="Normal"/>
    <w:next w:val="Normal"/>
    <w:link w:val="TitleChar"/>
    <w:uiPriority w:val="10"/>
    <w:qFormat/>
    <w:rsid w:val="00B8337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337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337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337E"/>
    <w:rPr>
      <w:rFonts w:asciiTheme="majorHAnsi" w:eastAsiaTheme="majorEastAsia" w:hAnsiTheme="majorHAnsi"/>
      <w:sz w:val="24"/>
      <w:szCs w:val="24"/>
    </w:rPr>
  </w:style>
  <w:style w:type="character" w:styleId="Strong">
    <w:name w:val="Strong"/>
    <w:basedOn w:val="DefaultParagraphFont"/>
    <w:uiPriority w:val="22"/>
    <w:qFormat/>
    <w:rsid w:val="00B8337E"/>
    <w:rPr>
      <w:b/>
      <w:bCs/>
    </w:rPr>
  </w:style>
  <w:style w:type="character" w:styleId="Emphasis">
    <w:name w:val="Emphasis"/>
    <w:basedOn w:val="DefaultParagraphFont"/>
    <w:uiPriority w:val="20"/>
    <w:qFormat/>
    <w:rsid w:val="00B8337E"/>
    <w:rPr>
      <w:rFonts w:asciiTheme="minorHAnsi" w:hAnsiTheme="minorHAnsi"/>
      <w:b/>
      <w:i/>
      <w:iCs/>
    </w:rPr>
  </w:style>
  <w:style w:type="paragraph" w:styleId="NoSpacing">
    <w:name w:val="No Spacing"/>
    <w:basedOn w:val="Normal"/>
    <w:uiPriority w:val="1"/>
    <w:qFormat/>
    <w:rsid w:val="00B8337E"/>
    <w:rPr>
      <w:szCs w:val="32"/>
    </w:rPr>
  </w:style>
  <w:style w:type="paragraph" w:styleId="ListParagraph">
    <w:name w:val="List Paragraph"/>
    <w:basedOn w:val="Normal"/>
    <w:uiPriority w:val="34"/>
    <w:qFormat/>
    <w:rsid w:val="00B8337E"/>
    <w:pPr>
      <w:ind w:left="720"/>
      <w:contextualSpacing/>
    </w:pPr>
  </w:style>
  <w:style w:type="paragraph" w:styleId="Quote">
    <w:name w:val="Quote"/>
    <w:basedOn w:val="Normal"/>
    <w:next w:val="Normal"/>
    <w:link w:val="QuoteChar"/>
    <w:uiPriority w:val="29"/>
    <w:qFormat/>
    <w:rsid w:val="00B8337E"/>
    <w:rPr>
      <w:i/>
    </w:rPr>
  </w:style>
  <w:style w:type="character" w:customStyle="1" w:styleId="QuoteChar">
    <w:name w:val="Quote Char"/>
    <w:basedOn w:val="DefaultParagraphFont"/>
    <w:link w:val="Quote"/>
    <w:uiPriority w:val="29"/>
    <w:rsid w:val="00B8337E"/>
    <w:rPr>
      <w:i/>
      <w:sz w:val="24"/>
      <w:szCs w:val="24"/>
    </w:rPr>
  </w:style>
  <w:style w:type="paragraph" w:styleId="IntenseQuote">
    <w:name w:val="Intense Quote"/>
    <w:basedOn w:val="Normal"/>
    <w:next w:val="Normal"/>
    <w:link w:val="IntenseQuoteChar"/>
    <w:uiPriority w:val="30"/>
    <w:qFormat/>
    <w:rsid w:val="00B8337E"/>
    <w:pPr>
      <w:ind w:left="720" w:right="720"/>
    </w:pPr>
    <w:rPr>
      <w:b/>
      <w:i/>
      <w:szCs w:val="22"/>
    </w:rPr>
  </w:style>
  <w:style w:type="character" w:customStyle="1" w:styleId="IntenseQuoteChar">
    <w:name w:val="Intense Quote Char"/>
    <w:basedOn w:val="DefaultParagraphFont"/>
    <w:link w:val="IntenseQuote"/>
    <w:uiPriority w:val="30"/>
    <w:rsid w:val="00B8337E"/>
    <w:rPr>
      <w:b/>
      <w:i/>
      <w:sz w:val="24"/>
    </w:rPr>
  </w:style>
  <w:style w:type="character" w:styleId="SubtleEmphasis">
    <w:name w:val="Subtle Emphasis"/>
    <w:uiPriority w:val="19"/>
    <w:qFormat/>
    <w:rsid w:val="00B8337E"/>
    <w:rPr>
      <w:i/>
      <w:color w:val="5A5A5A" w:themeColor="text1" w:themeTint="A5"/>
    </w:rPr>
  </w:style>
  <w:style w:type="character" w:styleId="IntenseEmphasis">
    <w:name w:val="Intense Emphasis"/>
    <w:basedOn w:val="DefaultParagraphFont"/>
    <w:uiPriority w:val="21"/>
    <w:qFormat/>
    <w:rsid w:val="00B8337E"/>
    <w:rPr>
      <w:b/>
      <w:i/>
      <w:sz w:val="24"/>
      <w:szCs w:val="24"/>
      <w:u w:val="single"/>
    </w:rPr>
  </w:style>
  <w:style w:type="character" w:styleId="SubtleReference">
    <w:name w:val="Subtle Reference"/>
    <w:basedOn w:val="DefaultParagraphFont"/>
    <w:uiPriority w:val="31"/>
    <w:qFormat/>
    <w:rsid w:val="00B8337E"/>
    <w:rPr>
      <w:sz w:val="24"/>
      <w:szCs w:val="24"/>
      <w:u w:val="single"/>
    </w:rPr>
  </w:style>
  <w:style w:type="character" w:styleId="IntenseReference">
    <w:name w:val="Intense Reference"/>
    <w:basedOn w:val="DefaultParagraphFont"/>
    <w:uiPriority w:val="32"/>
    <w:qFormat/>
    <w:rsid w:val="00B8337E"/>
    <w:rPr>
      <w:b/>
      <w:sz w:val="24"/>
      <w:u w:val="single"/>
    </w:rPr>
  </w:style>
  <w:style w:type="character" w:styleId="BookTitle">
    <w:name w:val="Book Title"/>
    <w:basedOn w:val="DefaultParagraphFont"/>
    <w:uiPriority w:val="33"/>
    <w:qFormat/>
    <w:rsid w:val="00B8337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337E"/>
    <w:pPr>
      <w:outlineLvl w:val="9"/>
    </w:pPr>
  </w:style>
  <w:style w:type="character" w:styleId="CommentReference">
    <w:name w:val="annotation reference"/>
    <w:basedOn w:val="DefaultParagraphFont"/>
    <w:semiHidden/>
    <w:rsid w:val="00B84389"/>
    <w:rPr>
      <w:sz w:val="16"/>
      <w:szCs w:val="16"/>
    </w:rPr>
  </w:style>
  <w:style w:type="paragraph" w:styleId="CommentText">
    <w:name w:val="annotation text"/>
    <w:basedOn w:val="Normal"/>
    <w:link w:val="CommentTextChar"/>
    <w:semiHidden/>
    <w:rsid w:val="00B84389"/>
    <w:pPr>
      <w:spacing w:after="240"/>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semiHidden/>
    <w:rsid w:val="00B84389"/>
    <w:rPr>
      <w:rFonts w:ascii="Times New Roman" w:eastAsia="Times New Roman" w:hAnsi="Times New Roman"/>
      <w:sz w:val="20"/>
      <w:szCs w:val="20"/>
      <w:lang w:val="en-CA" w:bidi="ar-SA"/>
    </w:rPr>
  </w:style>
  <w:style w:type="paragraph" w:styleId="BalloonText">
    <w:name w:val="Balloon Text"/>
    <w:basedOn w:val="Normal"/>
    <w:link w:val="BalloonTextChar"/>
    <w:uiPriority w:val="99"/>
    <w:semiHidden/>
    <w:unhideWhenUsed/>
    <w:rsid w:val="00B84389"/>
    <w:rPr>
      <w:rFonts w:ascii="Tahoma" w:hAnsi="Tahoma" w:cs="Tahoma"/>
      <w:sz w:val="16"/>
      <w:szCs w:val="16"/>
    </w:rPr>
  </w:style>
  <w:style w:type="character" w:customStyle="1" w:styleId="BalloonTextChar">
    <w:name w:val="Balloon Text Char"/>
    <w:basedOn w:val="DefaultParagraphFont"/>
    <w:link w:val="BalloonText"/>
    <w:uiPriority w:val="99"/>
    <w:semiHidden/>
    <w:rsid w:val="00B84389"/>
    <w:rPr>
      <w:rFonts w:ascii="Tahoma" w:hAnsi="Tahoma" w:cs="Tahoma"/>
      <w:sz w:val="16"/>
      <w:szCs w:val="16"/>
      <w:lang w:val="en-CA"/>
    </w:rPr>
  </w:style>
  <w:style w:type="character" w:styleId="Hyperlink">
    <w:name w:val="Hyperlink"/>
    <w:basedOn w:val="DefaultParagraphFont"/>
    <w:uiPriority w:val="99"/>
    <w:unhideWhenUsed/>
    <w:rsid w:val="00A54AEC"/>
    <w:rPr>
      <w:color w:val="0000FF" w:themeColor="hyperlink"/>
      <w:u w:val="single"/>
    </w:rPr>
  </w:style>
  <w:style w:type="character" w:styleId="FollowedHyperlink">
    <w:name w:val="FollowedHyperlink"/>
    <w:basedOn w:val="DefaultParagraphFont"/>
    <w:uiPriority w:val="99"/>
    <w:semiHidden/>
    <w:unhideWhenUsed/>
    <w:rsid w:val="00EB423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90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dget.gc.ca/2012/plan/anx1-eng.html" TargetMode="External"/><Relationship Id="rId3" Type="http://schemas.openxmlformats.org/officeDocument/2006/relationships/styles" Target="styles.xml"/><Relationship Id="rId7" Type="http://schemas.openxmlformats.org/officeDocument/2006/relationships/hyperlink" Target="http://www.tbs-sct.gc.ca/pol/doc-eng.aspx?section=text&amp;id=142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jc-cnm.gc.ca/directive/wfad-dre/index-eng.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CA09F-67D9-483B-94A6-9659F2F19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OAG-BVG</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Ruthman, Gregg</dc:creator>
  <cp:keywords/>
  <dc:description/>
  <cp:lastModifiedBy>stongedn</cp:lastModifiedBy>
  <cp:revision>2</cp:revision>
  <cp:lastPrinted>2012-05-11T13:46:00Z</cp:lastPrinted>
  <dcterms:created xsi:type="dcterms:W3CDTF">2012-05-15T17:58:00Z</dcterms:created>
  <dcterms:modified xsi:type="dcterms:W3CDTF">2012-05-15T17:58:00Z</dcterms:modified>
</cp:coreProperties>
</file>