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5EC84" w14:textId="566A7E57" w:rsidR="004D00F4" w:rsidRPr="00AB12DD" w:rsidRDefault="007168AC" w:rsidP="004D00F4">
      <w:pPr>
        <w:pStyle w:val="Title"/>
        <w:rPr>
          <w:rFonts w:ascii="Calibri" w:hAnsi="Calibri" w:cs="Calibri"/>
          <w:b/>
        </w:rPr>
      </w:pPr>
      <w:r>
        <w:rPr>
          <w:noProof/>
          <w:lang w:eastAsia="en-CA"/>
        </w:rPr>
        <mc:AlternateContent>
          <mc:Choice Requires="wps">
            <w:drawing>
              <wp:anchor distT="0" distB="0" distL="114300" distR="114300" simplePos="0" relativeHeight="251657728" behindDoc="0" locked="0" layoutInCell="1" allowOverlap="1" wp14:anchorId="1A68AC1B" wp14:editId="0DEEA08A">
                <wp:simplePos x="0" y="0"/>
                <wp:positionH relativeFrom="margin">
                  <wp:align>left</wp:align>
                </wp:positionH>
                <wp:positionV relativeFrom="paragraph">
                  <wp:posOffset>-725170</wp:posOffset>
                </wp:positionV>
                <wp:extent cx="2546350" cy="725170"/>
                <wp:effectExtent l="0" t="0" r="635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72517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1E87A" w14:textId="77777777" w:rsidR="00EA1E0F" w:rsidRDefault="00EA1E0F" w:rsidP="0002120E">
                            <w:pPr>
                              <w:rPr>
                                <w:sz w:val="16"/>
                                <w:szCs w:val="16"/>
                              </w:rPr>
                            </w:pPr>
                            <w:r>
                              <w:rPr>
                                <w:sz w:val="16"/>
                                <w:szCs w:val="16"/>
                              </w:rPr>
                              <w:t>Report to the Audit Committee—User Guide for Completing the Annual Audit Results</w:t>
                            </w:r>
                          </w:p>
                          <w:p w14:paraId="4D60691C" w14:textId="34DCF0A4" w:rsidR="00EA1E0F" w:rsidRDefault="00B16E6F" w:rsidP="0002120E">
                            <w:pPr>
                              <w:rPr>
                                <w:sz w:val="16"/>
                                <w:szCs w:val="16"/>
                              </w:rPr>
                            </w:pPr>
                            <w:r>
                              <w:rPr>
                                <w:sz w:val="16"/>
                                <w:szCs w:val="16"/>
                              </w:rPr>
                              <w:t>Feb</w:t>
                            </w:r>
                            <w:r w:rsidR="00EA1E0F" w:rsidRPr="00D9625E">
                              <w:rPr>
                                <w:sz w:val="16"/>
                                <w:szCs w:val="16"/>
                              </w:rPr>
                              <w:t>-</w:t>
                            </w:r>
                            <w:r w:rsidR="00EA1E0F">
                              <w:rPr>
                                <w:sz w:val="16"/>
                                <w:szCs w:val="16"/>
                              </w:rPr>
                              <w:t>202</w:t>
                            </w:r>
                            <w:r w:rsidR="00F51C73">
                              <w:rPr>
                                <w:sz w:val="16"/>
                                <w:szCs w:val="16"/>
                              </w:rPr>
                              <w:t>3</w:t>
                            </w:r>
                          </w:p>
                          <w:p w14:paraId="06AD3A61" w14:textId="77777777" w:rsidR="00EA1E0F" w:rsidRDefault="00EA1E0F" w:rsidP="0002120E">
                            <w:pPr>
                              <w:rPr>
                                <w:sz w:val="16"/>
                                <w:szCs w:val="16"/>
                              </w:rPr>
                            </w:pPr>
                            <w:r>
                              <w:rPr>
                                <w:sz w:val="16"/>
                                <w:szCs w:val="16"/>
                              </w:rPr>
                              <w:t>Template Owner: Audit Services</w:t>
                            </w:r>
                          </w:p>
                          <w:p w14:paraId="3EA56199" w14:textId="77777777" w:rsidR="00EA1E0F" w:rsidRDefault="00EA1E0F" w:rsidP="0002120E">
                            <w:r>
                              <w:rPr>
                                <w:sz w:val="16"/>
                                <w:szCs w:val="16"/>
                              </w:rPr>
                              <w:t>Maintained by: Design and 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AC1B" id="_x0000_t202" coordsize="21600,21600" o:spt="202" path="m,l,21600r21600,l21600,xe">
                <v:stroke joinstyle="miter"/>
                <v:path gradientshapeok="t" o:connecttype="rect"/>
              </v:shapetype>
              <v:shape id="Text Box 8" o:spid="_x0000_s1026" type="#_x0000_t202" style="position:absolute;margin-left:0;margin-top:-57.1pt;width:200.5pt;height:57.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JNqwIAAFMFAAAOAAAAZHJzL2Uyb0RvYy54bWysVNuO0zAQfUfiHyy/d3MhaZto09VeKEJa&#10;LtIuH+DGTmPheILtNi2If2fstN0WXhCiD6k9Mz5zZubY1ze7TpGtMFaCrmhyFVMidA1c6nVFvzwv&#10;J3NKrGOaMwVaVHQvLL1ZvH51PfSlSKEFxYUhCKJtOfQVbZ3ryyiydSs6Zq+gFxqdDZiOOdyadcQN&#10;GxC9U1Eax9NoAMN7A7WwFq0Po5MuAn7TiNp9ahorHFEVRW4ufE34rvw3Wlyzcm1Y38r6QIP9A4uO&#10;SY1JT1APzDGyMfIPqE7WBiw07qqGLoKmkbUINWA1SfxbNU8t60WoBZtj+1Ob7P+DrT9uPxsieUVT&#10;SjTrcETPYufIHezI3Hdn6G2JQU89hrkdmnHKoVLbP0L91RIN9y3Ta3FrDAytYBzZJf5kdHZ0xLEe&#10;ZDV8AI5p2MZBANo1pvOtw2YQRMcp7U+T8VRqNKZ5Nn2To6tG3yzNk1kYXcTK4+neWPdOQEf8oqIG&#10;Jx/Q2fbROs+GlccQn8yCknwplQqbvb1XhmwZigS1xWGgRDHr0FjRZfgFLLXpkPsYV+RxfJAPmlFk&#10;o/lIywbIkPYildI+oQafemQ1WrBQ5Ol9vuSgnB9FkmbxXVpMltP5bJIts3xSzOL5JE6Ku2IaZ0X2&#10;sPzpiSVZ2UrOhX6UWhxVnGR/p5LDfRr1F3RMhooWeZqHmi/YW7NenTqF9R9agL29COukw0utZFfR&#10;+SmIlV4cbzXHslnpmFTjOrqkH1qGPTj+h64EKXn1jDpyu9UOUby+VsD3KCoDOHOUB75EuGjBfKdk&#10;wFtdUfttw4zAeb7XKMwiyTL/DIRNls9S3Jhzz+rcw3SNUBV1lIzLezc+HZveyHWLmcaroOEWxdzI&#10;oLMXVliC3+DNDcUcXhn/NJzvQ9TLW7j4BQAA//8DAFBLAwQUAAYACAAAACEAhjshudwAAAAGAQAA&#10;DwAAAGRycy9kb3ducmV2LnhtbEyPwU7DMAyG70i8Q2Qkblva0SFUmk5oCG5IYyCh3bLGNBWNEzXZ&#10;2vH0eKdxtL9fvz9Xq8n14ohD7DwpyOcZCKTGm45aBZ8fL7MHEDFpMrr3hApOGGFVX19VujR+pHc8&#10;blMruIRiqRXYlEIpZWwsOh3nPiAx+/aD04nHoZVm0COXu14usuxeOt0RX7A64Npi87M9OAXr5+L1&#10;a7dc/sq3u40NdgzNqdgpdXszPT2CSDilSxjO+qwONTvt/YFMFL0CfiQpmOV5sQDBvMhyXu3PQNaV&#10;/K9f/wEAAP//AwBQSwECLQAUAAYACAAAACEAtoM4kv4AAADhAQAAEwAAAAAAAAAAAAAAAAAAAAAA&#10;W0NvbnRlbnRfVHlwZXNdLnhtbFBLAQItABQABgAIAAAAIQA4/SH/1gAAAJQBAAALAAAAAAAAAAAA&#10;AAAAAC8BAABfcmVscy8ucmVsc1BLAQItABQABgAIAAAAIQD0nkJNqwIAAFMFAAAOAAAAAAAAAAAA&#10;AAAAAC4CAABkcnMvZTJvRG9jLnhtbFBLAQItABQABgAIAAAAIQCGOyG53AAAAAYBAAAPAAAAAAAA&#10;AAAAAAAAAAUFAABkcnMvZG93bnJldi54bWxQSwUGAAAAAAQABADzAAAADgYAAAAA&#10;" fillcolor="#f2f2f2" stroked="f">
                <v:textbox>
                  <w:txbxContent>
                    <w:p w14:paraId="3BA1E87A" w14:textId="77777777" w:rsidR="00EA1E0F" w:rsidRDefault="00EA1E0F" w:rsidP="0002120E">
                      <w:pPr>
                        <w:rPr>
                          <w:sz w:val="16"/>
                          <w:szCs w:val="16"/>
                        </w:rPr>
                      </w:pPr>
                      <w:r>
                        <w:rPr>
                          <w:sz w:val="16"/>
                          <w:szCs w:val="16"/>
                        </w:rPr>
                        <w:t>Report to the Audit Committee—User Guide for Completing the Annual Audit Results</w:t>
                      </w:r>
                    </w:p>
                    <w:p w14:paraId="4D60691C" w14:textId="34DCF0A4" w:rsidR="00EA1E0F" w:rsidRDefault="00B16E6F" w:rsidP="0002120E">
                      <w:pPr>
                        <w:rPr>
                          <w:sz w:val="16"/>
                          <w:szCs w:val="16"/>
                        </w:rPr>
                      </w:pPr>
                      <w:r>
                        <w:rPr>
                          <w:sz w:val="16"/>
                          <w:szCs w:val="16"/>
                        </w:rPr>
                        <w:t>Feb</w:t>
                      </w:r>
                      <w:r w:rsidR="00EA1E0F" w:rsidRPr="00D9625E">
                        <w:rPr>
                          <w:sz w:val="16"/>
                          <w:szCs w:val="16"/>
                        </w:rPr>
                        <w:t>-</w:t>
                      </w:r>
                      <w:r w:rsidR="00EA1E0F">
                        <w:rPr>
                          <w:sz w:val="16"/>
                          <w:szCs w:val="16"/>
                        </w:rPr>
                        <w:t>202</w:t>
                      </w:r>
                      <w:r w:rsidR="00F51C73">
                        <w:rPr>
                          <w:sz w:val="16"/>
                          <w:szCs w:val="16"/>
                        </w:rPr>
                        <w:t>3</w:t>
                      </w:r>
                    </w:p>
                    <w:p w14:paraId="06AD3A61" w14:textId="77777777" w:rsidR="00EA1E0F" w:rsidRDefault="00EA1E0F" w:rsidP="0002120E">
                      <w:pPr>
                        <w:rPr>
                          <w:sz w:val="16"/>
                          <w:szCs w:val="16"/>
                        </w:rPr>
                      </w:pPr>
                      <w:r>
                        <w:rPr>
                          <w:sz w:val="16"/>
                          <w:szCs w:val="16"/>
                        </w:rPr>
                        <w:t>Template Owner: Audit Services</w:t>
                      </w:r>
                    </w:p>
                    <w:p w14:paraId="3EA56199" w14:textId="77777777" w:rsidR="00EA1E0F" w:rsidRDefault="00EA1E0F" w:rsidP="0002120E">
                      <w:r>
                        <w:rPr>
                          <w:sz w:val="16"/>
                          <w:szCs w:val="16"/>
                        </w:rPr>
                        <w:t>Maintained by: Design and publishing</w:t>
                      </w:r>
                    </w:p>
                  </w:txbxContent>
                </v:textbox>
                <w10:wrap anchorx="margin"/>
              </v:shape>
            </w:pict>
          </mc:Fallback>
        </mc:AlternateContent>
      </w:r>
      <w:r w:rsidR="00CC092F" w:rsidRPr="00AB12DD">
        <w:rPr>
          <w:rFonts w:ascii="Calibri" w:hAnsi="Calibri" w:cs="Calibri"/>
          <w:b/>
        </w:rPr>
        <w:t>Report to the Audit Committee—</w:t>
      </w:r>
      <w:r w:rsidR="004D00F4" w:rsidRPr="00AB12DD">
        <w:rPr>
          <w:rFonts w:ascii="Calibri" w:hAnsi="Calibri" w:cs="Calibri"/>
          <w:b/>
        </w:rPr>
        <w:t xml:space="preserve">User Guide </w:t>
      </w:r>
      <w:r w:rsidR="002E5A09">
        <w:rPr>
          <w:rFonts w:ascii="Calibri" w:hAnsi="Calibri" w:cs="Calibri"/>
          <w:b/>
        </w:rPr>
        <w:t>for Comp</w:t>
      </w:r>
      <w:bookmarkStart w:id="0" w:name="_GoBack"/>
      <w:bookmarkEnd w:id="0"/>
      <w:r w:rsidR="002E5A09">
        <w:rPr>
          <w:rFonts w:ascii="Calibri" w:hAnsi="Calibri" w:cs="Calibri"/>
          <w:b/>
        </w:rPr>
        <w:t>leting the Annual Audit </w:t>
      </w:r>
      <w:r w:rsidR="00247CB0" w:rsidRPr="00AB12DD">
        <w:rPr>
          <w:rFonts w:ascii="Calibri" w:hAnsi="Calibri" w:cs="Calibri"/>
          <w:b/>
        </w:rPr>
        <w:t>Results</w:t>
      </w:r>
    </w:p>
    <w:p w14:paraId="399F679C" w14:textId="77777777" w:rsidR="004D00F4" w:rsidRDefault="004D00F4" w:rsidP="004D00F4">
      <w:pPr>
        <w:pStyle w:val="Para"/>
        <w:spacing w:before="0"/>
        <w:rPr>
          <w:b/>
        </w:rPr>
      </w:pPr>
      <w:r>
        <w:rPr>
          <w:b/>
        </w:rPr>
        <w:t>This guide contains i</w:t>
      </w:r>
      <w:r w:rsidRPr="00C42D94">
        <w:rPr>
          <w:b/>
        </w:rPr>
        <w:t xml:space="preserve">nstructions for preparing </w:t>
      </w:r>
      <w:r>
        <w:rPr>
          <w:b/>
        </w:rPr>
        <w:t xml:space="preserve">an Annual Audit </w:t>
      </w:r>
      <w:r w:rsidR="00247CB0">
        <w:rPr>
          <w:b/>
        </w:rPr>
        <w:t>Results</w:t>
      </w:r>
      <w:r>
        <w:rPr>
          <w:b/>
        </w:rPr>
        <w:t xml:space="preserve"> </w:t>
      </w:r>
      <w:r w:rsidRPr="00C42D94">
        <w:rPr>
          <w:b/>
        </w:rPr>
        <w:t>for the Report to the Audit Committee</w:t>
      </w:r>
      <w:r>
        <w:rPr>
          <w:b/>
        </w:rPr>
        <w:t>.</w:t>
      </w:r>
      <w:r w:rsidRPr="00C42D94">
        <w:rPr>
          <w:b/>
        </w:rPr>
        <w:t xml:space="preserve"> </w:t>
      </w:r>
      <w:r>
        <w:rPr>
          <w:b/>
        </w:rPr>
        <w:t xml:space="preserve">Referring to this guide is strongly recommended when using the template to complete the </w:t>
      </w:r>
      <w:hyperlink r:id="rId8" w:history="1">
        <w:r w:rsidRPr="00A247C5">
          <w:rPr>
            <w:rStyle w:val="Hyperlink"/>
            <w:b/>
          </w:rPr>
          <w:t>Report to the Audit Committee</w:t>
        </w:r>
      </w:hyperlink>
      <w:r>
        <w:rPr>
          <w:b/>
        </w:rPr>
        <w:t>.</w:t>
      </w:r>
    </w:p>
    <w:p w14:paraId="3356957A" w14:textId="77777777" w:rsidR="004D00F4" w:rsidRPr="00A24D0F" w:rsidRDefault="004D00F4" w:rsidP="004D00F4">
      <w:pPr>
        <w:pStyle w:val="Para"/>
        <w:rPr>
          <w:b/>
        </w:rPr>
      </w:pPr>
      <w:r w:rsidRPr="00A24D0F">
        <w:rPr>
          <w:b/>
        </w:rPr>
        <w:t>Note to teams:</w:t>
      </w:r>
    </w:p>
    <w:p w14:paraId="1BB13FF1" w14:textId="77777777" w:rsidR="004D00F4" w:rsidRPr="00A24D0F" w:rsidRDefault="004D00F4" w:rsidP="004D00F4">
      <w:pPr>
        <w:pStyle w:val="ParaList1"/>
      </w:pPr>
      <w:r>
        <w:t>T</w:t>
      </w:r>
      <w:r w:rsidRPr="00A24D0F">
        <w:t xml:space="preserve">o comply with communication requirements </w:t>
      </w:r>
      <w:r>
        <w:t>of</w:t>
      </w:r>
      <w:r w:rsidRPr="00A24D0F">
        <w:t xml:space="preserve"> CAS 2</w:t>
      </w:r>
      <w:r>
        <w:t xml:space="preserve">60, a report based on </w:t>
      </w:r>
      <w:r w:rsidR="00247CB0">
        <w:t>this model</w:t>
      </w:r>
      <w:r w:rsidRPr="00A24D0F">
        <w:t xml:space="preserve"> should be prepared and presented to those charged with governance</w:t>
      </w:r>
      <w:r w:rsidR="00247CB0">
        <w:t xml:space="preserve"> (</w:t>
      </w:r>
      <w:r w:rsidRPr="00A24D0F">
        <w:t>the Audit Committee or any other person(s) or organization(s) with responsibility for overseeing the strategic direction of the entity and obligations related to the accountability of the entity</w:t>
      </w:r>
      <w:r w:rsidRPr="00A24D0F">
        <w:rPr>
          <w:rFonts w:cs="Times New Roman"/>
        </w:rPr>
        <w:t>—</w:t>
      </w:r>
      <w:r w:rsidRPr="00A24D0F">
        <w:t>CAS 260.10</w:t>
      </w:r>
      <w:r w:rsidR="00247CB0">
        <w:t>)</w:t>
      </w:r>
      <w:r w:rsidRPr="00A24D0F">
        <w:t>. If it has been determined that addressing the report to the Audit Committee or</w:t>
      </w:r>
      <w:r>
        <w:t>,</w:t>
      </w:r>
      <w:r w:rsidRPr="00A24D0F">
        <w:t xml:space="preserve"> where applicable, the Departmental Audit Committee, is not appropriate, determine the appropriate person(s) within the entity’s governance structure with whom to communicate and modify the template accordingly.</w:t>
      </w:r>
    </w:p>
    <w:p w14:paraId="79EEB320" w14:textId="77777777" w:rsidR="004D00F4" w:rsidRPr="00A24D0F" w:rsidRDefault="004D00F4" w:rsidP="004D00F4">
      <w:pPr>
        <w:pStyle w:val="ParaList1"/>
      </w:pPr>
      <w:r>
        <w:t>The template for the Report to the Audit Committee</w:t>
      </w:r>
      <w:r w:rsidRPr="00A24D0F">
        <w:t xml:space="preserve"> is intended to be a </w:t>
      </w:r>
      <w:r w:rsidRPr="00A24D0F">
        <w:rPr>
          <w:b/>
        </w:rPr>
        <w:t>guide only</w:t>
      </w:r>
      <w:r w:rsidRPr="00A24D0F">
        <w:t>. It has been prepared using plain language and its tone has been chosen accordingly. Any material added should respect that style.</w:t>
      </w:r>
    </w:p>
    <w:p w14:paraId="555AC3C4" w14:textId="77777777" w:rsidR="004D00F4" w:rsidRPr="007C6C94" w:rsidRDefault="004D00F4" w:rsidP="004D00F4">
      <w:pPr>
        <w:pStyle w:val="ParaList1"/>
        <w:rPr>
          <w:b/>
        </w:rPr>
      </w:pPr>
      <w:r w:rsidRPr="00A24D0F">
        <w:t xml:space="preserve">This document is formatted using Microsoft Word. </w:t>
      </w:r>
      <w:r>
        <w:t>For technical issues with the template, please contact desktop publishing.</w:t>
      </w:r>
    </w:p>
    <w:p w14:paraId="16151AD6" w14:textId="77777777" w:rsidR="004D00F4" w:rsidRPr="002D4A04" w:rsidRDefault="004D00F4" w:rsidP="004D00F4">
      <w:pPr>
        <w:pStyle w:val="ParaList1"/>
      </w:pPr>
      <w:r w:rsidRPr="002D4A04">
        <w:t>Within the body of th</w:t>
      </w:r>
      <w:r w:rsidR="00385A8E">
        <w:t xml:space="preserve">is document or </w:t>
      </w:r>
      <w:r w:rsidRPr="00DA24F2">
        <w:t xml:space="preserve">the </w:t>
      </w:r>
      <w:r>
        <w:t>template</w:t>
      </w:r>
      <w:r w:rsidRPr="002D4A04">
        <w:t>, text in [</w:t>
      </w:r>
      <w:r w:rsidRPr="002D4A04">
        <w:rPr>
          <w:color w:val="0000FF"/>
        </w:rPr>
        <w:t>brackets</w:t>
      </w:r>
      <w:r w:rsidRPr="002D4A04">
        <w:t>]</w:t>
      </w:r>
      <w:r>
        <w:t xml:space="preserve"> includes instructions or</w:t>
      </w:r>
      <w:r w:rsidRPr="002D4A04">
        <w:t xml:space="preserve"> is expected to be modified or deleted by audit teams. When the </w:t>
      </w:r>
      <w:r w:rsidRPr="00641D8E">
        <w:rPr>
          <w:b/>
        </w:rPr>
        <w:t>Report to the Audit Committee</w:t>
      </w:r>
      <w:r w:rsidRPr="002D4A04">
        <w:t xml:space="preserve"> is completed</w:t>
      </w:r>
      <w:r>
        <w:t>,</w:t>
      </w:r>
      <w:r w:rsidRPr="002D4A04">
        <w:t xml:space="preserve"> there should not be any remaining blue text or text in brackets in the document.</w:t>
      </w:r>
      <w:r>
        <w:t xml:space="preserve"> All the red and green boxes in the template (indicating which pages are “required’’ and “optional’’) should also be removed from the template when the </w:t>
      </w:r>
      <w:r w:rsidRPr="00CC092F">
        <w:t>Report to the Audit Committee</w:t>
      </w:r>
      <w:r>
        <w:rPr>
          <w:b/>
        </w:rPr>
        <w:t xml:space="preserve"> </w:t>
      </w:r>
      <w:r>
        <w:t>is completed.</w:t>
      </w:r>
    </w:p>
    <w:p w14:paraId="42B3350C" w14:textId="77777777" w:rsidR="004D00F4" w:rsidRDefault="004D00F4" w:rsidP="004D00F4">
      <w:pPr>
        <w:pStyle w:val="ParaList1"/>
        <w:spacing w:after="160" w:line="259" w:lineRule="auto"/>
        <w:sectPr w:rsidR="004D00F4" w:rsidSect="00F5295E">
          <w:headerReference w:type="default" r:id="rId9"/>
          <w:footerReference w:type="even" r:id="rId10"/>
          <w:headerReference w:type="first" r:id="rId11"/>
          <w:footerReference w:type="first" r:id="rId12"/>
          <w:type w:val="oddPage"/>
          <w:pgSz w:w="12240" w:h="15840" w:code="1"/>
          <w:pgMar w:top="1440" w:right="1440" w:bottom="1440" w:left="1440" w:header="706" w:footer="706" w:gutter="0"/>
          <w:cols w:space="708"/>
          <w:titlePg/>
          <w:docGrid w:linePitch="360"/>
        </w:sectPr>
      </w:pPr>
      <w:r w:rsidRPr="00926762">
        <w:rPr>
          <w:b/>
        </w:rPr>
        <w:t xml:space="preserve">Except for the sections of the report required by standards and identified as such, the remaining contents of individual reports should be modified according to the professional judgment </w:t>
      </w:r>
      <w:r w:rsidRPr="002D4A04">
        <w:t>of the audit team to best suit the information needs of audit committee members</w:t>
      </w:r>
      <w:r w:rsidRPr="00926762">
        <w:rPr>
          <w:b/>
        </w:rPr>
        <w:t>.</w:t>
      </w:r>
      <w:r w:rsidRPr="002D4A04">
        <w:t xml:space="preserve"> You know your audience best and should tailor the report accordingly.</w:t>
      </w:r>
    </w:p>
    <w:p w14:paraId="7006D4C3" w14:textId="77777777" w:rsidR="004D00F4" w:rsidRPr="006E00B6" w:rsidRDefault="004D00F4" w:rsidP="004D00F4">
      <w:pPr>
        <w:pStyle w:val="TOCHeading"/>
        <w:spacing w:after="240"/>
      </w:pPr>
      <w:r w:rsidRPr="009C1CBD">
        <w:lastRenderedPageBreak/>
        <w:t>Table of Contents</w:t>
      </w:r>
    </w:p>
    <w:p w14:paraId="2DA7E40B" w14:textId="77777777" w:rsidR="005F6AA4" w:rsidRDefault="00CD5B58">
      <w:pPr>
        <w:pStyle w:val="TOC1"/>
        <w:rPr>
          <w:rFonts w:asciiTheme="minorHAnsi" w:eastAsiaTheme="minorEastAsia" w:hAnsiTheme="minorHAnsi" w:cstheme="minorBidi"/>
          <w:b w:val="0"/>
          <w:noProof/>
          <w:lang w:eastAsia="en-CA"/>
        </w:rPr>
      </w:pPr>
      <w:r>
        <w:rPr>
          <w:bCs/>
          <w:noProof/>
        </w:rPr>
        <w:fldChar w:fldCharType="begin"/>
      </w:r>
      <w:r>
        <w:rPr>
          <w:bCs/>
          <w:noProof/>
        </w:rPr>
        <w:instrText xml:space="preserve"> TOC \o "1-2" \h \z \u </w:instrText>
      </w:r>
      <w:r>
        <w:rPr>
          <w:bCs/>
          <w:noProof/>
        </w:rPr>
        <w:fldChar w:fldCharType="separate"/>
      </w:r>
      <w:hyperlink w:anchor="_Toc102134018" w:history="1">
        <w:r w:rsidR="005F6AA4" w:rsidRPr="00613D16">
          <w:rPr>
            <w:rStyle w:val="Hyperlink"/>
            <w:noProof/>
          </w:rPr>
          <w:t>Significant audit, accounting, and financial reporting matters</w:t>
        </w:r>
        <w:r w:rsidR="005F6AA4">
          <w:rPr>
            <w:noProof/>
            <w:webHidden/>
          </w:rPr>
          <w:tab/>
        </w:r>
        <w:r w:rsidR="005F6AA4">
          <w:rPr>
            <w:noProof/>
            <w:webHidden/>
          </w:rPr>
          <w:fldChar w:fldCharType="begin"/>
        </w:r>
        <w:r w:rsidR="005F6AA4">
          <w:rPr>
            <w:noProof/>
            <w:webHidden/>
          </w:rPr>
          <w:instrText xml:space="preserve"> PAGEREF _Toc102134018 \h </w:instrText>
        </w:r>
        <w:r w:rsidR="005F6AA4">
          <w:rPr>
            <w:noProof/>
            <w:webHidden/>
          </w:rPr>
        </w:r>
        <w:r w:rsidR="005F6AA4">
          <w:rPr>
            <w:noProof/>
            <w:webHidden/>
          </w:rPr>
          <w:fldChar w:fldCharType="separate"/>
        </w:r>
        <w:r w:rsidR="005F6AA4">
          <w:rPr>
            <w:noProof/>
            <w:webHidden/>
          </w:rPr>
          <w:t>5</w:t>
        </w:r>
        <w:r w:rsidR="005F6AA4">
          <w:rPr>
            <w:noProof/>
            <w:webHidden/>
          </w:rPr>
          <w:fldChar w:fldCharType="end"/>
        </w:r>
      </w:hyperlink>
    </w:p>
    <w:p w14:paraId="1CE45017" w14:textId="77777777" w:rsidR="005F6AA4" w:rsidRDefault="002E5A09">
      <w:pPr>
        <w:pStyle w:val="TOC2"/>
        <w:tabs>
          <w:tab w:val="right" w:leader="dot" w:pos="9350"/>
        </w:tabs>
        <w:rPr>
          <w:rFonts w:asciiTheme="minorHAnsi" w:eastAsiaTheme="minorEastAsia" w:hAnsiTheme="minorHAnsi" w:cstheme="minorBidi"/>
          <w:noProof/>
          <w:lang w:eastAsia="en-CA"/>
        </w:rPr>
      </w:pPr>
      <w:hyperlink w:anchor="_Toc102134019" w:history="1">
        <w:r w:rsidR="005F6AA4" w:rsidRPr="00613D16">
          <w:rPr>
            <w:rStyle w:val="Hyperlink"/>
            <w:noProof/>
          </w:rPr>
          <w:t>Implementation of [</w:t>
        </w:r>
        <w:r w:rsidR="005F6AA4" w:rsidRPr="00613D16">
          <w:rPr>
            <w:rStyle w:val="Hyperlink"/>
            <w:noProof/>
            <w:lang w:val="en-US" w:eastAsia="en-CA"/>
          </w:rPr>
          <w:t>new information technology systems</w:t>
        </w:r>
        <w:r w:rsidR="005F6AA4" w:rsidRPr="00613D16">
          <w:rPr>
            <w:rStyle w:val="Hyperlink"/>
            <w:noProof/>
          </w:rPr>
          <w:t xml:space="preserve"> </w:t>
        </w:r>
        <w:r w:rsidR="005F6AA4" w:rsidRPr="00613D16">
          <w:rPr>
            <w:rStyle w:val="Hyperlink"/>
            <w:rFonts w:cs="Arial"/>
            <w:noProof/>
          </w:rPr>
          <w:t>/</w:t>
        </w:r>
        <w:r w:rsidR="005F6AA4" w:rsidRPr="00613D16">
          <w:rPr>
            <w:rStyle w:val="Hyperlink"/>
            <w:noProof/>
          </w:rPr>
          <w:t xml:space="preserve"> robotic process automation </w:t>
        </w:r>
        <w:r w:rsidR="005F6AA4" w:rsidRPr="00613D16">
          <w:rPr>
            <w:rStyle w:val="Hyperlink"/>
            <w:rFonts w:cs="Arial"/>
            <w:noProof/>
          </w:rPr>
          <w:t>/ technology]</w:t>
        </w:r>
        <w:r w:rsidR="005F6AA4">
          <w:rPr>
            <w:noProof/>
            <w:webHidden/>
          </w:rPr>
          <w:tab/>
        </w:r>
        <w:r w:rsidR="005F6AA4">
          <w:rPr>
            <w:noProof/>
            <w:webHidden/>
          </w:rPr>
          <w:fldChar w:fldCharType="begin"/>
        </w:r>
        <w:r w:rsidR="005F6AA4">
          <w:rPr>
            <w:noProof/>
            <w:webHidden/>
          </w:rPr>
          <w:instrText xml:space="preserve"> PAGEREF _Toc102134019 \h </w:instrText>
        </w:r>
        <w:r w:rsidR="005F6AA4">
          <w:rPr>
            <w:noProof/>
            <w:webHidden/>
          </w:rPr>
        </w:r>
        <w:r w:rsidR="005F6AA4">
          <w:rPr>
            <w:noProof/>
            <w:webHidden/>
          </w:rPr>
          <w:fldChar w:fldCharType="separate"/>
        </w:r>
        <w:r w:rsidR="005F6AA4">
          <w:rPr>
            <w:noProof/>
            <w:webHidden/>
          </w:rPr>
          <w:t>5</w:t>
        </w:r>
        <w:r w:rsidR="005F6AA4">
          <w:rPr>
            <w:noProof/>
            <w:webHidden/>
          </w:rPr>
          <w:fldChar w:fldCharType="end"/>
        </w:r>
      </w:hyperlink>
    </w:p>
    <w:p w14:paraId="7DE150E0" w14:textId="77777777" w:rsidR="005F6AA4" w:rsidRDefault="002E5A09">
      <w:pPr>
        <w:pStyle w:val="TOC2"/>
        <w:tabs>
          <w:tab w:val="right" w:leader="dot" w:pos="9350"/>
        </w:tabs>
        <w:rPr>
          <w:rFonts w:asciiTheme="minorHAnsi" w:eastAsiaTheme="minorEastAsia" w:hAnsiTheme="minorHAnsi" w:cstheme="minorBidi"/>
          <w:noProof/>
          <w:lang w:eastAsia="en-CA"/>
        </w:rPr>
      </w:pPr>
      <w:hyperlink w:anchor="_Toc102134020" w:history="1">
        <w:r w:rsidR="005F6AA4" w:rsidRPr="00613D16">
          <w:rPr>
            <w:rStyle w:val="Hyperlink"/>
            <w:noProof/>
          </w:rPr>
          <w:t xml:space="preserve">Going concern </w:t>
        </w:r>
        <w:r w:rsidR="005F6AA4" w:rsidRPr="00613D16">
          <w:rPr>
            <w:rStyle w:val="Hyperlink"/>
            <w:rFonts w:cs="Arial"/>
            <w:noProof/>
          </w:rPr>
          <w:t>and debt covenants</w:t>
        </w:r>
        <w:r w:rsidR="005F6AA4">
          <w:rPr>
            <w:noProof/>
            <w:webHidden/>
          </w:rPr>
          <w:tab/>
        </w:r>
        <w:r w:rsidR="005F6AA4">
          <w:rPr>
            <w:noProof/>
            <w:webHidden/>
          </w:rPr>
          <w:fldChar w:fldCharType="begin"/>
        </w:r>
        <w:r w:rsidR="005F6AA4">
          <w:rPr>
            <w:noProof/>
            <w:webHidden/>
          </w:rPr>
          <w:instrText xml:space="preserve"> PAGEREF _Toc102134020 \h </w:instrText>
        </w:r>
        <w:r w:rsidR="005F6AA4">
          <w:rPr>
            <w:noProof/>
            <w:webHidden/>
          </w:rPr>
        </w:r>
        <w:r w:rsidR="005F6AA4">
          <w:rPr>
            <w:noProof/>
            <w:webHidden/>
          </w:rPr>
          <w:fldChar w:fldCharType="separate"/>
        </w:r>
        <w:r w:rsidR="005F6AA4">
          <w:rPr>
            <w:noProof/>
            <w:webHidden/>
          </w:rPr>
          <w:t>5</w:t>
        </w:r>
        <w:r w:rsidR="005F6AA4">
          <w:rPr>
            <w:noProof/>
            <w:webHidden/>
          </w:rPr>
          <w:fldChar w:fldCharType="end"/>
        </w:r>
      </w:hyperlink>
    </w:p>
    <w:p w14:paraId="47E8AF5D" w14:textId="77777777" w:rsidR="005F6AA4" w:rsidRDefault="002E5A09">
      <w:pPr>
        <w:pStyle w:val="TOC2"/>
        <w:tabs>
          <w:tab w:val="right" w:leader="dot" w:pos="9350"/>
        </w:tabs>
        <w:rPr>
          <w:rFonts w:asciiTheme="minorHAnsi" w:eastAsiaTheme="minorEastAsia" w:hAnsiTheme="minorHAnsi" w:cstheme="minorBidi"/>
          <w:noProof/>
          <w:lang w:eastAsia="en-CA"/>
        </w:rPr>
      </w:pPr>
      <w:hyperlink w:anchor="_Toc102134021" w:history="1">
        <w:r w:rsidR="005F6AA4" w:rsidRPr="00613D16">
          <w:rPr>
            <w:rStyle w:val="Hyperlink"/>
            <w:noProof/>
          </w:rPr>
          <w:t>Impairment of [</w:t>
        </w:r>
        <w:r w:rsidR="005F6AA4" w:rsidRPr="00613D16">
          <w:rPr>
            <w:rStyle w:val="Hyperlink"/>
            <w:noProof/>
            <w:lang w:val="en-US" w:eastAsia="en-CA"/>
          </w:rPr>
          <w:t>goodwill and intangible assets</w:t>
        </w:r>
        <w:r w:rsidR="005F6AA4" w:rsidRPr="00613D16">
          <w:rPr>
            <w:rStyle w:val="Hyperlink"/>
            <w:noProof/>
          </w:rPr>
          <w:t>]</w:t>
        </w:r>
        <w:r w:rsidR="005F6AA4">
          <w:rPr>
            <w:noProof/>
            <w:webHidden/>
          </w:rPr>
          <w:tab/>
        </w:r>
        <w:r w:rsidR="005F6AA4">
          <w:rPr>
            <w:noProof/>
            <w:webHidden/>
          </w:rPr>
          <w:fldChar w:fldCharType="begin"/>
        </w:r>
        <w:r w:rsidR="005F6AA4">
          <w:rPr>
            <w:noProof/>
            <w:webHidden/>
          </w:rPr>
          <w:instrText xml:space="preserve"> PAGEREF _Toc102134021 \h </w:instrText>
        </w:r>
        <w:r w:rsidR="005F6AA4">
          <w:rPr>
            <w:noProof/>
            <w:webHidden/>
          </w:rPr>
        </w:r>
        <w:r w:rsidR="005F6AA4">
          <w:rPr>
            <w:noProof/>
            <w:webHidden/>
          </w:rPr>
          <w:fldChar w:fldCharType="separate"/>
        </w:r>
        <w:r w:rsidR="005F6AA4">
          <w:rPr>
            <w:noProof/>
            <w:webHidden/>
          </w:rPr>
          <w:t>6</w:t>
        </w:r>
        <w:r w:rsidR="005F6AA4">
          <w:rPr>
            <w:noProof/>
            <w:webHidden/>
          </w:rPr>
          <w:fldChar w:fldCharType="end"/>
        </w:r>
      </w:hyperlink>
    </w:p>
    <w:p w14:paraId="449C64B7" w14:textId="77777777" w:rsidR="005F6AA4" w:rsidRDefault="002E5A09">
      <w:pPr>
        <w:pStyle w:val="TOC1"/>
        <w:rPr>
          <w:rFonts w:asciiTheme="minorHAnsi" w:eastAsiaTheme="minorEastAsia" w:hAnsiTheme="minorHAnsi" w:cstheme="minorBidi"/>
          <w:b w:val="0"/>
          <w:noProof/>
          <w:lang w:eastAsia="en-CA"/>
        </w:rPr>
      </w:pPr>
      <w:hyperlink w:anchor="_Toc102134022" w:history="1">
        <w:r w:rsidR="005F6AA4" w:rsidRPr="00613D16">
          <w:rPr>
            <w:rStyle w:val="Hyperlink"/>
            <w:noProof/>
          </w:rPr>
          <w:t>Supplemental guidance A—Significant matters framework for communication</w:t>
        </w:r>
        <w:r w:rsidR="005F6AA4">
          <w:rPr>
            <w:noProof/>
            <w:webHidden/>
          </w:rPr>
          <w:tab/>
        </w:r>
        <w:r w:rsidR="005F6AA4">
          <w:rPr>
            <w:noProof/>
            <w:webHidden/>
          </w:rPr>
          <w:fldChar w:fldCharType="begin"/>
        </w:r>
        <w:r w:rsidR="005F6AA4">
          <w:rPr>
            <w:noProof/>
            <w:webHidden/>
          </w:rPr>
          <w:instrText xml:space="preserve"> PAGEREF _Toc102134022 \h </w:instrText>
        </w:r>
        <w:r w:rsidR="005F6AA4">
          <w:rPr>
            <w:noProof/>
            <w:webHidden/>
          </w:rPr>
        </w:r>
        <w:r w:rsidR="005F6AA4">
          <w:rPr>
            <w:noProof/>
            <w:webHidden/>
          </w:rPr>
          <w:fldChar w:fldCharType="separate"/>
        </w:r>
        <w:r w:rsidR="005F6AA4">
          <w:rPr>
            <w:noProof/>
            <w:webHidden/>
          </w:rPr>
          <w:t>7</w:t>
        </w:r>
        <w:r w:rsidR="005F6AA4">
          <w:rPr>
            <w:noProof/>
            <w:webHidden/>
          </w:rPr>
          <w:fldChar w:fldCharType="end"/>
        </w:r>
      </w:hyperlink>
    </w:p>
    <w:p w14:paraId="3ED0A9D4" w14:textId="77777777" w:rsidR="005F6AA4" w:rsidRDefault="002E5A09">
      <w:pPr>
        <w:pStyle w:val="TOC1"/>
        <w:rPr>
          <w:rFonts w:asciiTheme="minorHAnsi" w:eastAsiaTheme="minorEastAsia" w:hAnsiTheme="minorHAnsi" w:cstheme="minorBidi"/>
          <w:b w:val="0"/>
          <w:noProof/>
          <w:lang w:eastAsia="en-CA"/>
        </w:rPr>
      </w:pPr>
      <w:hyperlink w:anchor="_Toc102134023" w:history="1">
        <w:r w:rsidR="005F6AA4" w:rsidRPr="00613D16">
          <w:rPr>
            <w:rStyle w:val="Hyperlink"/>
            <w:noProof/>
          </w:rPr>
          <w:t>Supplemental guidance B—Modifications to the standard auditor’s report and key audit matters</w:t>
        </w:r>
        <w:r w:rsidR="005F6AA4">
          <w:rPr>
            <w:noProof/>
            <w:webHidden/>
          </w:rPr>
          <w:tab/>
        </w:r>
        <w:r w:rsidR="005F6AA4">
          <w:rPr>
            <w:noProof/>
            <w:webHidden/>
          </w:rPr>
          <w:fldChar w:fldCharType="begin"/>
        </w:r>
        <w:r w:rsidR="005F6AA4">
          <w:rPr>
            <w:noProof/>
            <w:webHidden/>
          </w:rPr>
          <w:instrText xml:space="preserve"> PAGEREF _Toc102134023 \h </w:instrText>
        </w:r>
        <w:r w:rsidR="005F6AA4">
          <w:rPr>
            <w:noProof/>
            <w:webHidden/>
          </w:rPr>
        </w:r>
        <w:r w:rsidR="005F6AA4">
          <w:rPr>
            <w:noProof/>
            <w:webHidden/>
          </w:rPr>
          <w:fldChar w:fldCharType="separate"/>
        </w:r>
        <w:r w:rsidR="005F6AA4">
          <w:rPr>
            <w:noProof/>
            <w:webHidden/>
          </w:rPr>
          <w:t>11</w:t>
        </w:r>
        <w:r w:rsidR="005F6AA4">
          <w:rPr>
            <w:noProof/>
            <w:webHidden/>
          </w:rPr>
          <w:fldChar w:fldCharType="end"/>
        </w:r>
      </w:hyperlink>
    </w:p>
    <w:p w14:paraId="661012B0" w14:textId="77777777" w:rsidR="005F6AA4" w:rsidRDefault="002E5A09">
      <w:pPr>
        <w:pStyle w:val="TOC1"/>
        <w:rPr>
          <w:rFonts w:asciiTheme="minorHAnsi" w:eastAsiaTheme="minorEastAsia" w:hAnsiTheme="minorHAnsi" w:cstheme="minorBidi"/>
          <w:b w:val="0"/>
          <w:noProof/>
          <w:lang w:eastAsia="en-CA"/>
        </w:rPr>
      </w:pPr>
      <w:hyperlink w:anchor="_Toc102134024" w:history="1">
        <w:r w:rsidR="005F6AA4" w:rsidRPr="00613D16">
          <w:rPr>
            <w:rStyle w:val="Hyperlink"/>
            <w:noProof/>
          </w:rPr>
          <w:t>Supplemental guidance C—Significant matters arising from the audit</w:t>
        </w:r>
        <w:r w:rsidR="005F6AA4">
          <w:rPr>
            <w:noProof/>
            <w:webHidden/>
          </w:rPr>
          <w:tab/>
        </w:r>
        <w:r w:rsidR="005F6AA4">
          <w:rPr>
            <w:noProof/>
            <w:webHidden/>
          </w:rPr>
          <w:fldChar w:fldCharType="begin"/>
        </w:r>
        <w:r w:rsidR="005F6AA4">
          <w:rPr>
            <w:noProof/>
            <w:webHidden/>
          </w:rPr>
          <w:instrText xml:space="preserve"> PAGEREF _Toc102134024 \h </w:instrText>
        </w:r>
        <w:r w:rsidR="005F6AA4">
          <w:rPr>
            <w:noProof/>
            <w:webHidden/>
          </w:rPr>
        </w:r>
        <w:r w:rsidR="005F6AA4">
          <w:rPr>
            <w:noProof/>
            <w:webHidden/>
          </w:rPr>
          <w:fldChar w:fldCharType="separate"/>
        </w:r>
        <w:r w:rsidR="005F6AA4">
          <w:rPr>
            <w:noProof/>
            <w:webHidden/>
          </w:rPr>
          <w:t>12</w:t>
        </w:r>
        <w:r w:rsidR="005F6AA4">
          <w:rPr>
            <w:noProof/>
            <w:webHidden/>
          </w:rPr>
          <w:fldChar w:fldCharType="end"/>
        </w:r>
      </w:hyperlink>
    </w:p>
    <w:p w14:paraId="4F49B681" w14:textId="77777777" w:rsidR="004D00F4" w:rsidRDefault="00CD5B58" w:rsidP="004D00F4">
      <w:r>
        <w:rPr>
          <w:b/>
          <w:bCs/>
          <w:noProof/>
        </w:rPr>
        <w:fldChar w:fldCharType="end"/>
      </w:r>
    </w:p>
    <w:p w14:paraId="59EB613B" w14:textId="77777777" w:rsidR="004D00F4" w:rsidRDefault="004D00F4" w:rsidP="004D00F4">
      <w:pPr>
        <w:spacing w:after="160" w:line="259" w:lineRule="auto"/>
        <w:sectPr w:rsidR="004D00F4" w:rsidSect="00F5295E">
          <w:headerReference w:type="default" r:id="rId13"/>
          <w:footerReference w:type="default" r:id="rId14"/>
          <w:footerReference w:type="first" r:id="rId15"/>
          <w:type w:val="oddPage"/>
          <w:pgSz w:w="12240" w:h="15840"/>
          <w:pgMar w:top="1440" w:right="1440" w:bottom="1440" w:left="1440" w:header="708" w:footer="708" w:gutter="0"/>
          <w:pgNumType w:fmt="lowerRoman"/>
          <w:cols w:space="708"/>
          <w:docGrid w:linePitch="360"/>
        </w:sectPr>
      </w:pPr>
    </w:p>
    <w:p w14:paraId="35FE03A1" w14:textId="35E5AB94" w:rsidR="004D00F4" w:rsidRDefault="004D00F4" w:rsidP="004D00F4">
      <w:pPr>
        <w:pStyle w:val="Heading1"/>
      </w:pPr>
      <w:bookmarkStart w:id="1" w:name="_Toc102134018"/>
      <w:r>
        <w:lastRenderedPageBreak/>
        <w:t>Significant audit</w:t>
      </w:r>
      <w:r w:rsidR="005311EE">
        <w:t>, accounting, and financial reporting matters</w:t>
      </w:r>
      <w:bookmarkEnd w:id="1"/>
    </w:p>
    <w:p w14:paraId="6CDE003E" w14:textId="26761575" w:rsidR="004D00F4" w:rsidRDefault="004D00F4" w:rsidP="004D00F4">
      <w:pPr>
        <w:pStyle w:val="Heading2"/>
      </w:pPr>
      <w:bookmarkStart w:id="2" w:name="_Toc102134019"/>
      <w:r w:rsidRPr="00463562">
        <w:t xml:space="preserve">Implementation of </w:t>
      </w:r>
      <w:r w:rsidR="003F7C8F" w:rsidRPr="000343B9">
        <w:t>[</w:t>
      </w:r>
      <w:r w:rsidRPr="00AD0CD3">
        <w:rPr>
          <w:color w:val="0000FF"/>
          <w:szCs w:val="32"/>
          <w:lang w:val="en-US" w:eastAsia="en-CA"/>
        </w:rPr>
        <w:t>new information technology systems</w:t>
      </w:r>
      <w:r w:rsidR="003F7C8F" w:rsidRPr="005F6AA4">
        <w:rPr>
          <w:color w:val="0000FF"/>
        </w:rPr>
        <w:t xml:space="preserve"> </w:t>
      </w:r>
      <w:r w:rsidR="003F7C8F" w:rsidRPr="005F6AA4">
        <w:rPr>
          <w:rFonts w:cs="Arial"/>
          <w:color w:val="0000FF"/>
        </w:rPr>
        <w:t>/</w:t>
      </w:r>
      <w:r w:rsidR="003F7C8F" w:rsidRPr="005F6AA4">
        <w:rPr>
          <w:color w:val="0000FF"/>
        </w:rPr>
        <w:t xml:space="preserve"> robotic process automation </w:t>
      </w:r>
      <w:r w:rsidR="003F7C8F" w:rsidRPr="005F6AA4">
        <w:rPr>
          <w:rFonts w:cs="Arial"/>
          <w:color w:val="0000FF"/>
        </w:rPr>
        <w:t>/ technology</w:t>
      </w:r>
      <w:r w:rsidR="003F7C8F" w:rsidRPr="00324BB7">
        <w:rPr>
          <w:rFonts w:cs="Arial"/>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00F4" w14:paraId="1DF0DCE8" w14:textId="77777777" w:rsidTr="00273FEC">
        <w:tc>
          <w:tcPr>
            <w:tcW w:w="9350" w:type="dxa"/>
          </w:tcPr>
          <w:p w14:paraId="1BBC32AD" w14:textId="77777777" w:rsidR="004D00F4" w:rsidRDefault="004D00F4" w:rsidP="00DB214B">
            <w:pPr>
              <w:pStyle w:val="T1-TableHeading"/>
            </w:pPr>
            <w:r>
              <w:t>Risk</w:t>
            </w:r>
          </w:p>
        </w:tc>
      </w:tr>
      <w:tr w:rsidR="004D00F4" w14:paraId="6248B981" w14:textId="77777777" w:rsidTr="00273FEC">
        <w:tc>
          <w:tcPr>
            <w:tcW w:w="9350" w:type="dxa"/>
          </w:tcPr>
          <w:p w14:paraId="3C5783C0" w14:textId="3188CBC1" w:rsidR="004D00F4" w:rsidRPr="005F6AA4" w:rsidRDefault="004D00F4" w:rsidP="00DB214B">
            <w:pPr>
              <w:pStyle w:val="T3-TableBullet1instructions"/>
            </w:pPr>
            <w:r w:rsidRPr="00463562">
              <w:t>The implementation of new financial systems creates a risk to the business, as issues with the usage or transfer of data could affect the data gathered by the systems. This risk to the validity of the underlying data could have a pervasive impact on the financial information.</w:t>
            </w:r>
          </w:p>
          <w:p w14:paraId="046643EE" w14:textId="29C7B66F" w:rsidR="00B72CDE" w:rsidRDefault="00657A1E" w:rsidP="00657A1E">
            <w:pPr>
              <w:pStyle w:val="T3-TableBullet1instructions"/>
            </w:pPr>
            <w:r w:rsidRPr="00657A1E">
              <w:t xml:space="preserve">The adoption of new technologies such as robotic process automation to replace previously manual controls creates risks to the business </w:t>
            </w:r>
            <w:r w:rsidRPr="005F6AA4">
              <w:rPr>
                <w:color w:val="auto"/>
              </w:rPr>
              <w:t>[</w:t>
            </w:r>
            <w:r>
              <w:t>D</w:t>
            </w:r>
            <w:r w:rsidRPr="00657A1E">
              <w:t>escribe risks related to the specific technology</w:t>
            </w:r>
            <w:r w:rsidRPr="005F6AA4">
              <w:rPr>
                <w:color w:val="auto"/>
              </w:rPr>
              <w:t>]</w:t>
            </w:r>
            <w:r w:rsidRPr="00657A1E">
              <w:t>.</w:t>
            </w:r>
          </w:p>
        </w:tc>
      </w:tr>
      <w:tr w:rsidR="004D00F4" w14:paraId="245708A5" w14:textId="77777777" w:rsidTr="00273FEC">
        <w:tc>
          <w:tcPr>
            <w:tcW w:w="9350" w:type="dxa"/>
          </w:tcPr>
          <w:p w14:paraId="1B0184F9" w14:textId="77777777" w:rsidR="004D00F4" w:rsidRDefault="005311EE" w:rsidP="00DB214B">
            <w:pPr>
              <w:pStyle w:val="T1-TableHeading"/>
            </w:pPr>
            <w:r>
              <w:t xml:space="preserve">Our </w:t>
            </w:r>
            <w:r w:rsidR="004D00F4">
              <w:t>response</w:t>
            </w:r>
          </w:p>
        </w:tc>
      </w:tr>
      <w:tr w:rsidR="004D00F4" w14:paraId="6C917D1A" w14:textId="77777777" w:rsidTr="00273FEC">
        <w:tc>
          <w:tcPr>
            <w:tcW w:w="9350" w:type="dxa"/>
          </w:tcPr>
          <w:p w14:paraId="39F360A8" w14:textId="15D40DFC" w:rsidR="004D00F4" w:rsidRPr="00093DAE" w:rsidRDefault="005311EE" w:rsidP="00DB214B">
            <w:pPr>
              <w:pStyle w:val="T3-TableBullet1instructions"/>
            </w:pPr>
            <w:r>
              <w:t>We t</w:t>
            </w:r>
            <w:r w:rsidR="004D00F4" w:rsidRPr="001C2793">
              <w:t>est</w:t>
            </w:r>
            <w:r>
              <w:t>ed</w:t>
            </w:r>
            <w:r w:rsidR="004D00F4" w:rsidRPr="001C2793">
              <w:t xml:space="preserve"> the transfer of data between systems.</w:t>
            </w:r>
          </w:p>
          <w:p w14:paraId="48CFE825" w14:textId="1AE554FC" w:rsidR="004D00F4" w:rsidRDefault="005311EE" w:rsidP="00DC0E0F">
            <w:pPr>
              <w:pStyle w:val="T3-TableBullet1instructions"/>
            </w:pPr>
            <w:r>
              <w:t>We t</w:t>
            </w:r>
            <w:r w:rsidR="004D00F4" w:rsidRPr="001C2793">
              <w:t>est</w:t>
            </w:r>
            <w:r>
              <w:t>ed</w:t>
            </w:r>
            <w:r w:rsidR="004D00F4" w:rsidRPr="001C2793">
              <w:t xml:space="preserve"> the general computer controls and automated controls</w:t>
            </w:r>
            <w:r w:rsidR="00DC0E0F">
              <w:t xml:space="preserve"> </w:t>
            </w:r>
            <w:r w:rsidR="00DC0E0F" w:rsidRPr="00DC0E0F">
              <w:t>to the extent considered appropriate</w:t>
            </w:r>
            <w:r w:rsidR="004D00F4" w:rsidRPr="001C2793">
              <w:t>.</w:t>
            </w:r>
          </w:p>
          <w:p w14:paraId="6B09A87C" w14:textId="60E97F73" w:rsidR="004D00F4" w:rsidRDefault="005311EE" w:rsidP="00DC0E0F">
            <w:pPr>
              <w:pStyle w:val="T3-TableBullet1instructions"/>
            </w:pPr>
            <w:r>
              <w:t>We gained an u</w:t>
            </w:r>
            <w:r w:rsidR="004D00F4" w:rsidRPr="00093DAE">
              <w:t>nderstand</w:t>
            </w:r>
            <w:r>
              <w:t>ing of</w:t>
            </w:r>
            <w:r w:rsidR="004D00F4" w:rsidRPr="00093DAE">
              <w:t xml:space="preserve"> issues arising </w:t>
            </w:r>
            <w:r w:rsidR="004D00F4">
              <w:t>from</w:t>
            </w:r>
            <w:r w:rsidR="004D00F4" w:rsidRPr="00093DAE">
              <w:t xml:space="preserve"> implementation and related follow</w:t>
            </w:r>
            <w:r w:rsidR="00F36562">
              <w:noBreakHyphen/>
            </w:r>
            <w:r w:rsidR="004D00F4" w:rsidRPr="00093DAE">
              <w:t xml:space="preserve">up activities, and </w:t>
            </w:r>
            <w:r>
              <w:t xml:space="preserve">we </w:t>
            </w:r>
            <w:r w:rsidR="004D00F4" w:rsidRPr="00093DAE">
              <w:t>consider</w:t>
            </w:r>
            <w:r>
              <w:t>ed</w:t>
            </w:r>
            <w:r w:rsidR="004D00F4" w:rsidRPr="00093DAE">
              <w:t xml:space="preserve"> the impact on the reliability of information</w:t>
            </w:r>
            <w:r w:rsidR="004D00F4" w:rsidRPr="001B6DE9">
              <w:t>.</w:t>
            </w:r>
          </w:p>
        </w:tc>
      </w:tr>
      <w:tr w:rsidR="005311EE" w14:paraId="5C0790D8" w14:textId="77777777" w:rsidTr="00273FEC">
        <w:tc>
          <w:tcPr>
            <w:tcW w:w="9350" w:type="dxa"/>
          </w:tcPr>
          <w:p w14:paraId="2479498E" w14:textId="77777777" w:rsidR="005311EE" w:rsidRDefault="005311EE" w:rsidP="005311EE">
            <w:pPr>
              <w:pStyle w:val="T3-TableBullet1instructions"/>
              <w:numPr>
                <w:ilvl w:val="0"/>
                <w:numId w:val="0"/>
              </w:numPr>
              <w:ind w:left="360" w:hanging="360"/>
            </w:pPr>
            <w:r w:rsidRPr="005311EE">
              <w:rPr>
                <w:b/>
                <w:color w:val="auto"/>
                <w:lang w:val="fr-CA"/>
              </w:rPr>
              <w:t>Our findings</w:t>
            </w:r>
          </w:p>
        </w:tc>
      </w:tr>
      <w:tr w:rsidR="005311EE" w14:paraId="7AD090F1" w14:textId="77777777" w:rsidTr="00273FEC">
        <w:tc>
          <w:tcPr>
            <w:tcW w:w="9350" w:type="dxa"/>
          </w:tcPr>
          <w:p w14:paraId="294C9A84" w14:textId="77777777" w:rsidR="005311EE" w:rsidRDefault="005311EE" w:rsidP="00DB214B">
            <w:pPr>
              <w:pStyle w:val="T3-TableBullet1instructions"/>
            </w:pPr>
            <w:r w:rsidRPr="005F6AA4">
              <w:rPr>
                <w:color w:val="auto"/>
              </w:rPr>
              <w:t>[</w:t>
            </w:r>
            <w:r w:rsidRPr="00550F8A">
              <w:t>On the basis of our audit work, we do not have any items that we wish to bring to your attention.</w:t>
            </w:r>
            <w:r w:rsidRPr="005F6AA4">
              <w:rPr>
                <w:color w:val="auto"/>
              </w:rPr>
              <w:t>]</w:t>
            </w:r>
          </w:p>
        </w:tc>
      </w:tr>
    </w:tbl>
    <w:p w14:paraId="2E556955" w14:textId="17C756C9" w:rsidR="004D00F4" w:rsidRDefault="004D00F4" w:rsidP="004D00F4">
      <w:pPr>
        <w:pStyle w:val="Heading2"/>
      </w:pPr>
      <w:bookmarkStart w:id="3" w:name="_Toc102134020"/>
      <w:r>
        <w:t>Going concern</w:t>
      </w:r>
      <w:r w:rsidR="00B72CDE">
        <w:t xml:space="preserve"> </w:t>
      </w:r>
      <w:r w:rsidR="006D5753">
        <w:rPr>
          <w:rFonts w:cs="Arial"/>
        </w:rPr>
        <w:t>and debt covenants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00F4" w14:paraId="06B3CEDD" w14:textId="77777777" w:rsidTr="00273FEC">
        <w:tc>
          <w:tcPr>
            <w:tcW w:w="9350" w:type="dxa"/>
          </w:tcPr>
          <w:p w14:paraId="1DB6BE6B" w14:textId="77777777" w:rsidR="004D00F4" w:rsidRDefault="004D00F4" w:rsidP="00DB214B">
            <w:pPr>
              <w:pStyle w:val="T1-TableHeading"/>
            </w:pPr>
            <w:r>
              <w:t>Risk</w:t>
            </w:r>
          </w:p>
        </w:tc>
      </w:tr>
      <w:tr w:rsidR="004D00F4" w14:paraId="7CC9ED7D" w14:textId="77777777" w:rsidTr="00273FEC">
        <w:tc>
          <w:tcPr>
            <w:tcW w:w="9350" w:type="dxa"/>
          </w:tcPr>
          <w:p w14:paraId="3B13AC68" w14:textId="49CBDEDA" w:rsidR="004D00F4" w:rsidRDefault="004D00F4" w:rsidP="006D5753">
            <w:pPr>
              <w:pStyle w:val="T3-TableBullet1instructions"/>
            </w:pPr>
            <w:r w:rsidRPr="00C42859">
              <w:t xml:space="preserve">The </w:t>
            </w:r>
            <w:r w:rsidR="00BC7F26" w:rsidRPr="00C42859">
              <w:t xml:space="preserve">entity </w:t>
            </w:r>
            <w:r w:rsidRPr="00C42859">
              <w:t>must ensure compliance with its debt covenants and its self</w:t>
            </w:r>
            <w:r w:rsidR="00F36562" w:rsidRPr="00C42859">
              <w:noBreakHyphen/>
            </w:r>
            <w:r w:rsidRPr="00C42859">
              <w:t>sustaining mandate.</w:t>
            </w:r>
            <w:r w:rsidR="001C2793" w:rsidRPr="00C42859">
              <w:br/>
            </w:r>
            <w:r w:rsidR="001C2793" w:rsidRPr="00C42859">
              <w:br/>
            </w:r>
            <w:r w:rsidRPr="00C42859">
              <w:t>Management prepare</w:t>
            </w:r>
            <w:r w:rsidR="006901B1" w:rsidRPr="00C42859">
              <w:t>d</w:t>
            </w:r>
            <w:r w:rsidRPr="00C42859">
              <w:t xml:space="preserve"> a paper determining the </w:t>
            </w:r>
            <w:r w:rsidR="00BC7F26" w:rsidRPr="00C42859">
              <w:t>entity</w:t>
            </w:r>
            <w:r w:rsidR="00F5295E" w:rsidRPr="00C42859">
              <w:t>’s</w:t>
            </w:r>
            <w:r w:rsidRPr="00C42859">
              <w:t xml:space="preserve"> compliance with its debt covenants and its self</w:t>
            </w:r>
            <w:r w:rsidR="00F36562" w:rsidRPr="00C42859">
              <w:noBreakHyphen/>
            </w:r>
            <w:r w:rsidRPr="00C42859">
              <w:t>sustaining mandate and identifying key assumptions taken into account in its forecasts.</w:t>
            </w:r>
          </w:p>
        </w:tc>
      </w:tr>
      <w:tr w:rsidR="004D00F4" w14:paraId="0ED4470F" w14:textId="77777777" w:rsidTr="00273FEC">
        <w:tc>
          <w:tcPr>
            <w:tcW w:w="9350" w:type="dxa"/>
          </w:tcPr>
          <w:p w14:paraId="69A8E133" w14:textId="77777777" w:rsidR="004D00F4" w:rsidRDefault="004D00F4" w:rsidP="005311EE">
            <w:pPr>
              <w:pStyle w:val="T1-TableHeading"/>
            </w:pPr>
            <w:r>
              <w:t>Our response</w:t>
            </w:r>
          </w:p>
        </w:tc>
      </w:tr>
      <w:tr w:rsidR="004D00F4" w14:paraId="0620AD5A" w14:textId="77777777" w:rsidTr="00273FEC">
        <w:tc>
          <w:tcPr>
            <w:tcW w:w="9350" w:type="dxa"/>
          </w:tcPr>
          <w:p w14:paraId="00B6C2A6" w14:textId="5CB94FD8" w:rsidR="004D00F4" w:rsidRPr="006329A7" w:rsidRDefault="00FF0F36" w:rsidP="00DB214B">
            <w:pPr>
              <w:pStyle w:val="T3-TableBullet1instructions"/>
            </w:pPr>
            <w:r>
              <w:t>We o</w:t>
            </w:r>
            <w:r w:rsidR="004D00F4" w:rsidRPr="006329A7">
              <w:t>btain</w:t>
            </w:r>
            <w:r>
              <w:t>ed</w:t>
            </w:r>
            <w:r w:rsidR="004D00F4" w:rsidRPr="006329A7">
              <w:t xml:space="preserve"> management’s forecasts and key assumptions, and consider</w:t>
            </w:r>
            <w:r w:rsidR="00243DFD">
              <w:t>ed</w:t>
            </w:r>
            <w:r w:rsidR="004D00F4" w:rsidRPr="006329A7">
              <w:t xml:space="preserve"> the reasonableness of those assumptions.</w:t>
            </w:r>
          </w:p>
          <w:p w14:paraId="7E56169E" w14:textId="64EDAA8F" w:rsidR="004D00F4" w:rsidRDefault="00FF0F36" w:rsidP="00243DFD">
            <w:pPr>
              <w:pStyle w:val="T3-TableBullet1instructions"/>
            </w:pPr>
            <w:r>
              <w:t>We r</w:t>
            </w:r>
            <w:r w:rsidR="004D00F4" w:rsidRPr="006329A7">
              <w:t>eview</w:t>
            </w:r>
            <w:r>
              <w:t>ed</w:t>
            </w:r>
            <w:r w:rsidR="004D00F4" w:rsidRPr="006329A7">
              <w:t xml:space="preserve"> and challenge</w:t>
            </w:r>
            <w:r>
              <w:t>d</w:t>
            </w:r>
            <w:r w:rsidR="004D00F4" w:rsidRPr="006329A7">
              <w:t xml:space="preserve"> forecasts and sensitivity analysis</w:t>
            </w:r>
            <w:r w:rsidR="00C70738">
              <w:t xml:space="preserve"> </w:t>
            </w:r>
            <w:r w:rsidR="00243DFD" w:rsidRPr="00243DFD">
              <w:t>prepared by management to ensure that they reflect the current environment</w:t>
            </w:r>
            <w:r w:rsidR="007E2786" w:rsidRPr="00333EB8">
              <w:rPr>
                <w:color w:val="auto"/>
                <w:lang w:val="en-CA"/>
              </w:rPr>
              <w:t xml:space="preserve"> [</w:t>
            </w:r>
            <w:r w:rsidR="007E2786" w:rsidRPr="00FC7FF8">
              <w:rPr>
                <w:lang w:val="en-CA"/>
              </w:rPr>
              <w:t>describe</w:t>
            </w:r>
            <w:r w:rsidR="007E2786" w:rsidRPr="00F03595">
              <w:rPr>
                <w:lang w:val="en-CA"/>
              </w:rPr>
              <w:t>—for example,</w:t>
            </w:r>
            <w:r w:rsidR="007E2786" w:rsidRPr="00FC7FF8">
              <w:rPr>
                <w:lang w:val="en-CA"/>
              </w:rPr>
              <w:t xml:space="preserve"> includ</w:t>
            </w:r>
            <w:r w:rsidR="007E2786">
              <w:rPr>
                <w:lang w:val="en-CA"/>
              </w:rPr>
              <w:t>e</w:t>
            </w:r>
            <w:r w:rsidR="007E2786" w:rsidRPr="00FC7FF8">
              <w:rPr>
                <w:lang w:val="en-CA"/>
              </w:rPr>
              <w:t xml:space="preserve"> impacts resulting from the disruption</w:t>
            </w:r>
            <w:r w:rsidR="007E2786">
              <w:rPr>
                <w:lang w:val="en-CA"/>
              </w:rPr>
              <w:t xml:space="preserve"> to the entity’s supply chain</w:t>
            </w:r>
            <w:r w:rsidR="007E2786" w:rsidRPr="00E645B4">
              <w:rPr>
                <w:color w:val="auto"/>
                <w:lang w:val="en-CA"/>
              </w:rPr>
              <w:t>]</w:t>
            </w:r>
            <w:r w:rsidR="007E2786">
              <w:t>.</w:t>
            </w:r>
          </w:p>
          <w:p w14:paraId="27472D13" w14:textId="1839DC93" w:rsidR="00AE40B5" w:rsidRDefault="00AE40B5" w:rsidP="00243DFD">
            <w:pPr>
              <w:pStyle w:val="T3-TableBullet1instructions"/>
            </w:pPr>
            <w:r>
              <w:t>We u</w:t>
            </w:r>
            <w:r w:rsidRPr="00C6201E">
              <w:t>se</w:t>
            </w:r>
            <w:r>
              <w:t>d</w:t>
            </w:r>
            <w:r w:rsidRPr="00C6201E">
              <w:t xml:space="preserve"> </w:t>
            </w:r>
            <w:r w:rsidRPr="005F6AA4">
              <w:rPr>
                <w:color w:val="auto"/>
              </w:rPr>
              <w:t>[</w:t>
            </w:r>
            <w:r w:rsidRPr="00C6201E">
              <w:t>insert</w:t>
            </w:r>
            <w:r w:rsidRPr="005F6AA4">
              <w:rPr>
                <w:color w:val="auto"/>
              </w:rPr>
              <w:t>]</w:t>
            </w:r>
            <w:r w:rsidRPr="00C6201E">
              <w:t xml:space="preserve"> </w:t>
            </w:r>
            <w:r w:rsidR="007E2786" w:rsidRPr="00DE4CAD">
              <w:rPr>
                <w:color w:val="auto"/>
                <w:lang w:val="en-CA"/>
              </w:rPr>
              <w:t>[</w:t>
            </w:r>
            <w:r w:rsidR="007E2786" w:rsidRPr="00FC7FF8">
              <w:rPr>
                <w:lang w:val="en-CA"/>
              </w:rPr>
              <w:t>experts/specialists</w:t>
            </w:r>
            <w:r w:rsidR="007E2786" w:rsidRPr="00DE4CAD">
              <w:rPr>
                <w:color w:val="auto"/>
                <w:lang w:val="en-CA"/>
              </w:rPr>
              <w:t>]</w:t>
            </w:r>
            <w:r w:rsidR="007E2786" w:rsidRPr="00FC7FF8">
              <w:rPr>
                <w:lang w:val="en-CA"/>
              </w:rPr>
              <w:t xml:space="preserve"> </w:t>
            </w:r>
            <w:r w:rsidRPr="00C6201E">
              <w:t>to support the audit of management’s forecasts</w:t>
            </w:r>
            <w:r>
              <w:t>.</w:t>
            </w:r>
          </w:p>
          <w:p w14:paraId="4F8A2F9B" w14:textId="77777777" w:rsidR="00243DFD" w:rsidRPr="00243DFD" w:rsidRDefault="00243DFD" w:rsidP="00243DFD">
            <w:pPr>
              <w:pStyle w:val="T3-TableBullet1instructions"/>
            </w:pPr>
            <w:r w:rsidRPr="00243DFD">
              <w:lastRenderedPageBreak/>
              <w:t>We reviewed debt covenants and management’s assessment of a possible breach of covenants.</w:t>
            </w:r>
          </w:p>
          <w:p w14:paraId="259FFFAF" w14:textId="4753C729" w:rsidR="00FF0F36" w:rsidRDefault="00243DFD">
            <w:pPr>
              <w:pStyle w:val="T3-TableBullet1instructions"/>
            </w:pPr>
            <w:r w:rsidRPr="00243DFD">
              <w:t xml:space="preserve">We assessed </w:t>
            </w:r>
            <w:r w:rsidRPr="005F6AA4">
              <w:rPr>
                <w:color w:val="auto"/>
              </w:rPr>
              <w:t>[</w:t>
            </w:r>
            <w:r w:rsidRPr="00243DFD">
              <w:t>name of the entity</w:t>
            </w:r>
            <w:r w:rsidRPr="005F6AA4">
              <w:rPr>
                <w:color w:val="auto"/>
              </w:rPr>
              <w:t>]</w:t>
            </w:r>
            <w:r w:rsidRPr="00243DFD">
              <w:t>’s ability to continue as a going concern under the applicable accounting standards.</w:t>
            </w:r>
          </w:p>
        </w:tc>
      </w:tr>
      <w:tr w:rsidR="00337E75" w14:paraId="57FDFB54" w14:textId="77777777" w:rsidTr="00273FEC">
        <w:tc>
          <w:tcPr>
            <w:tcW w:w="9350" w:type="dxa"/>
          </w:tcPr>
          <w:p w14:paraId="2EA701D4" w14:textId="77777777" w:rsidR="00337E75" w:rsidRDefault="006901B1" w:rsidP="00A247C5">
            <w:pPr>
              <w:pStyle w:val="T3-TableBullet1instructions"/>
              <w:keepNext/>
              <w:keepLines/>
              <w:numPr>
                <w:ilvl w:val="0"/>
                <w:numId w:val="0"/>
              </w:numPr>
              <w:ind w:left="360" w:hanging="360"/>
            </w:pPr>
            <w:r w:rsidRPr="005311EE">
              <w:rPr>
                <w:b/>
                <w:color w:val="auto"/>
                <w:lang w:val="fr-CA"/>
              </w:rPr>
              <w:lastRenderedPageBreak/>
              <w:t>Our findings</w:t>
            </w:r>
          </w:p>
        </w:tc>
      </w:tr>
      <w:tr w:rsidR="00337E75" w14:paraId="1AA81597" w14:textId="77777777" w:rsidTr="00273FEC">
        <w:tc>
          <w:tcPr>
            <w:tcW w:w="9350" w:type="dxa"/>
          </w:tcPr>
          <w:p w14:paraId="459FB323" w14:textId="77777777" w:rsidR="00337E75" w:rsidRDefault="006901B1" w:rsidP="00DB214B">
            <w:pPr>
              <w:pStyle w:val="T3-TableBullet1instructions"/>
            </w:pPr>
            <w:r w:rsidRPr="005F6AA4">
              <w:rPr>
                <w:color w:val="auto"/>
              </w:rPr>
              <w:t>[</w:t>
            </w:r>
            <w:r w:rsidRPr="00550F8A">
              <w:t xml:space="preserve">On the basis of our audit work, we do not have any </w:t>
            </w:r>
            <w:r>
              <w:t>concerns</w:t>
            </w:r>
            <w:r w:rsidRPr="00550F8A">
              <w:t xml:space="preserve"> that we wish to bring to your attention.</w:t>
            </w:r>
            <w:r w:rsidRPr="005F6AA4">
              <w:rPr>
                <w:color w:val="auto"/>
              </w:rPr>
              <w:t>]</w:t>
            </w:r>
          </w:p>
        </w:tc>
      </w:tr>
    </w:tbl>
    <w:p w14:paraId="3D510D75" w14:textId="337B57D3" w:rsidR="00EB3C7F" w:rsidRPr="00DE287E" w:rsidRDefault="00EB3C7F" w:rsidP="00EB3C7F">
      <w:pPr>
        <w:pStyle w:val="Heading2"/>
      </w:pPr>
      <w:r>
        <w:br/>
      </w:r>
      <w:bookmarkStart w:id="4" w:name="_Toc90562514"/>
      <w:bookmarkStart w:id="5" w:name="_Toc102134021"/>
      <w:r w:rsidR="006D50FE">
        <w:t xml:space="preserve">Impairment of </w:t>
      </w:r>
      <w:r w:rsidR="005F6AA4" w:rsidRPr="000343B9">
        <w:t>[</w:t>
      </w:r>
      <w:r w:rsidR="007E20F2">
        <w:rPr>
          <w:color w:val="0000FF"/>
          <w:szCs w:val="32"/>
          <w:lang w:val="en-US" w:eastAsia="en-CA"/>
        </w:rPr>
        <w:t>goodwill and</w:t>
      </w:r>
      <w:r w:rsidR="006D50FE">
        <w:rPr>
          <w:color w:val="0000FF"/>
          <w:szCs w:val="32"/>
          <w:lang w:val="en-US" w:eastAsia="en-CA"/>
        </w:rPr>
        <w:t xml:space="preserve"> intangible assets</w:t>
      </w:r>
      <w:bookmarkEnd w:id="4"/>
      <w:bookmarkEnd w:id="5"/>
      <w:r w:rsidR="005F6AA4" w:rsidRPr="00324BB7">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3C7F" w14:paraId="27811E68" w14:textId="77777777" w:rsidTr="00622BE4">
        <w:tc>
          <w:tcPr>
            <w:tcW w:w="9350" w:type="dxa"/>
          </w:tcPr>
          <w:p w14:paraId="697E25E8" w14:textId="46F7FDBF" w:rsidR="00EB3C7F" w:rsidRDefault="006D50FE" w:rsidP="006D50FE">
            <w:pPr>
              <w:pStyle w:val="T1-TableHeading"/>
            </w:pPr>
            <w:r>
              <w:t>Risk</w:t>
            </w:r>
          </w:p>
        </w:tc>
      </w:tr>
      <w:tr w:rsidR="00EB3C7F" w14:paraId="7ADFA891" w14:textId="77777777" w:rsidTr="00622BE4">
        <w:tc>
          <w:tcPr>
            <w:tcW w:w="9350" w:type="dxa"/>
          </w:tcPr>
          <w:p w14:paraId="4C7B9C4C" w14:textId="20D33254" w:rsidR="008454D4" w:rsidRDefault="005F6AA4" w:rsidP="006D50FE">
            <w:pPr>
              <w:pStyle w:val="T3-TableBullet1instructions"/>
            </w:pPr>
            <w:r>
              <w:t>Under IAS </w:t>
            </w:r>
            <w:r w:rsidR="006D50FE" w:rsidRPr="006D50FE">
              <w:t>36, management is required to assess</w:t>
            </w:r>
            <w:r w:rsidR="006D50FE">
              <w:t xml:space="preserve"> </w:t>
            </w:r>
            <w:r w:rsidR="006D50FE" w:rsidRPr="006D50FE">
              <w:t>the carrying value of</w:t>
            </w:r>
            <w:r w:rsidR="006D50FE">
              <w:t xml:space="preserve"> goodwill and intangible assets</w:t>
            </w:r>
            <w:r w:rsidR="009B4810">
              <w:t xml:space="preserve"> </w:t>
            </w:r>
            <w:r w:rsidR="009B4810" w:rsidRPr="009B4810">
              <w:t>with indefinite lives annually or when an indicator of impairment exists</w:t>
            </w:r>
            <w:r w:rsidR="00EB3C7F" w:rsidRPr="00F5295E">
              <w:t>.</w:t>
            </w:r>
          </w:p>
          <w:p w14:paraId="6590B0E8" w14:textId="10040E8C" w:rsidR="00EB3C7F" w:rsidRDefault="007E2786" w:rsidP="006D50FE">
            <w:pPr>
              <w:pStyle w:val="T3-TableBullet1instructions"/>
            </w:pPr>
            <w:r w:rsidRPr="000D5D4D">
              <w:rPr>
                <w:color w:val="auto"/>
              </w:rPr>
              <w:t>[</w:t>
            </w:r>
            <w:r w:rsidRPr="00AA60F5">
              <w:t>Include additional discussion of the risk factors that led to the defined level of risk (</w:t>
            </w:r>
            <w:r w:rsidRPr="00643B92">
              <w:t>for example,</w:t>
            </w:r>
            <w:r w:rsidRPr="00AA60F5">
              <w:t xml:space="preserve"> significant risk) at a specific and </w:t>
            </w:r>
            <w:r>
              <w:t>detailed</w:t>
            </w:r>
            <w:r w:rsidRPr="00AA60F5">
              <w:t xml:space="preserve"> level, as applicable to the engagement.</w:t>
            </w:r>
            <w:r w:rsidRPr="000D5D4D">
              <w:rPr>
                <w:color w:val="auto"/>
              </w:rPr>
              <w:t>]</w:t>
            </w:r>
          </w:p>
        </w:tc>
      </w:tr>
      <w:tr w:rsidR="00EB3C7F" w14:paraId="0E8109B2" w14:textId="77777777" w:rsidTr="00622BE4">
        <w:tc>
          <w:tcPr>
            <w:tcW w:w="9350" w:type="dxa"/>
          </w:tcPr>
          <w:p w14:paraId="7152BF47" w14:textId="3BDC325F" w:rsidR="00EB3C7F" w:rsidRDefault="006D50FE" w:rsidP="006D50FE">
            <w:pPr>
              <w:pStyle w:val="T1-TableHeading"/>
            </w:pPr>
            <w:r>
              <w:t>Our response</w:t>
            </w:r>
          </w:p>
        </w:tc>
      </w:tr>
      <w:tr w:rsidR="00EB3C7F" w14:paraId="59E82F9D" w14:textId="77777777" w:rsidTr="00622BE4">
        <w:tc>
          <w:tcPr>
            <w:tcW w:w="9350" w:type="dxa"/>
          </w:tcPr>
          <w:p w14:paraId="0FEAB809" w14:textId="3C218F25" w:rsidR="006D50FE" w:rsidRPr="006D50FE" w:rsidRDefault="006D50FE" w:rsidP="001D1D7C">
            <w:pPr>
              <w:pStyle w:val="T3-TableBullet1instructions"/>
            </w:pPr>
            <w:r w:rsidRPr="006D50FE">
              <w:t>We assessed the</w:t>
            </w:r>
            <w:r w:rsidR="007E2786">
              <w:t xml:space="preserve"> method, including any</w:t>
            </w:r>
            <w:r w:rsidRPr="006D50FE">
              <w:t xml:space="preserve"> models</w:t>
            </w:r>
            <w:r w:rsidR="007E2786">
              <w:t xml:space="preserve"> and data used</w:t>
            </w:r>
            <w:r w:rsidRPr="006D50FE">
              <w:t xml:space="preserve"> by management</w:t>
            </w:r>
            <w:r w:rsidR="007E2786">
              <w:t xml:space="preserve"> in determining the estimate</w:t>
            </w:r>
            <w:r w:rsidRPr="006D50FE">
              <w:t xml:space="preserve"> on a </w:t>
            </w:r>
            <w:r w:rsidRPr="005F6AA4">
              <w:rPr>
                <w:color w:val="auto"/>
              </w:rPr>
              <w:t>[</w:t>
            </w:r>
            <w:r w:rsidRPr="006D50FE">
              <w:t>describe frequency—for example, quarterly</w:t>
            </w:r>
            <w:r w:rsidRPr="005F6AA4">
              <w:rPr>
                <w:color w:val="auto"/>
              </w:rPr>
              <w:t>]</w:t>
            </w:r>
            <w:r w:rsidRPr="006D50FE">
              <w:t xml:space="preserve"> basis and challenged </w:t>
            </w:r>
            <w:r w:rsidR="007E2786">
              <w:t xml:space="preserve">significant </w:t>
            </w:r>
            <w:r w:rsidRPr="006D50FE">
              <w:t xml:space="preserve">assumptions, </w:t>
            </w:r>
            <w:r w:rsidR="007E2786" w:rsidRPr="006D50FE">
              <w:t>remain</w:t>
            </w:r>
            <w:r w:rsidR="007E2786">
              <w:t>ed</w:t>
            </w:r>
            <w:r w:rsidR="007E2786" w:rsidRPr="006D50FE">
              <w:t xml:space="preserve"> </w:t>
            </w:r>
            <w:r w:rsidRPr="006D50FE">
              <w:t>skeptical of explanations</w:t>
            </w:r>
            <w:r w:rsidR="007E2786">
              <w:t>, considered potential indications of management bias,</w:t>
            </w:r>
            <w:r w:rsidRPr="006D50FE">
              <w:t xml:space="preserve"> and </w:t>
            </w:r>
            <w:r w:rsidR="007E2786" w:rsidRPr="006D50FE">
              <w:t>obtain</w:t>
            </w:r>
            <w:r w:rsidR="007E2786">
              <w:t>ed</w:t>
            </w:r>
            <w:r w:rsidR="007E2786" w:rsidRPr="006D50FE">
              <w:t xml:space="preserve"> </w:t>
            </w:r>
            <w:r w:rsidRPr="006D50FE">
              <w:t>supporting evidence as necessary to ensure that models reflect the current environment, including</w:t>
            </w:r>
            <w:r w:rsidR="007E2786">
              <w:t xml:space="preserve"> </w:t>
            </w:r>
            <w:r w:rsidR="007E2786" w:rsidRPr="00E645B4">
              <w:rPr>
                <w:color w:val="auto"/>
              </w:rPr>
              <w:t>[</w:t>
            </w:r>
            <w:r w:rsidR="007E2786" w:rsidRPr="008F0CC5">
              <w:t>describe</w:t>
            </w:r>
            <w:r w:rsidR="007E2786" w:rsidRPr="00643B92">
              <w:t>—for example,</w:t>
            </w:r>
            <w:r w:rsidR="007E2786" w:rsidRPr="008F0CC5">
              <w:t xml:space="preserve"> continued disruption of the </w:t>
            </w:r>
            <w:r w:rsidR="007E2786">
              <w:t>entity</w:t>
            </w:r>
            <w:r w:rsidR="007E2786" w:rsidRPr="008F0CC5">
              <w:t>’s supply chain</w:t>
            </w:r>
            <w:r w:rsidR="007E2786" w:rsidRPr="00E645B4">
              <w:rPr>
                <w:color w:val="auto"/>
              </w:rPr>
              <w:t>]</w:t>
            </w:r>
            <w:r w:rsidR="007E2786">
              <w:rPr>
                <w:color w:val="auto"/>
              </w:rPr>
              <w:t>.</w:t>
            </w:r>
            <w:r w:rsidRPr="006D50FE">
              <w:t xml:space="preserve"> </w:t>
            </w:r>
          </w:p>
          <w:p w14:paraId="27144A88" w14:textId="573B1026" w:rsidR="006D50FE" w:rsidRDefault="006D50FE" w:rsidP="001D1D7C">
            <w:pPr>
              <w:pStyle w:val="T3-TableBullet1instructions"/>
            </w:pPr>
            <w:r w:rsidRPr="006D50FE">
              <w:t>We considered whether the models used are appropriate</w:t>
            </w:r>
            <w:r w:rsidR="000743DA">
              <w:t>, including</w:t>
            </w:r>
            <w:r w:rsidRPr="006D50FE">
              <w:t xml:space="preserve"> check</w:t>
            </w:r>
            <w:r w:rsidR="000743DA">
              <w:t>ing</w:t>
            </w:r>
            <w:r w:rsidRPr="006D50FE">
              <w:t xml:space="preserve"> the related calculations.</w:t>
            </w:r>
          </w:p>
          <w:p w14:paraId="6C53D997" w14:textId="6BB7EB6F" w:rsidR="000743DA" w:rsidRPr="000743DA" w:rsidRDefault="000743DA" w:rsidP="001D1D7C">
            <w:pPr>
              <w:pStyle w:val="T3-TableBullet1instructions"/>
              <w:rPr>
                <w:lang w:val="en-CA"/>
              </w:rPr>
            </w:pPr>
            <w:r>
              <w:t>We c</w:t>
            </w:r>
            <w:r w:rsidRPr="008F0CC5">
              <w:t>onsider</w:t>
            </w:r>
            <w:r>
              <w:t>ed</w:t>
            </w:r>
            <w:r w:rsidRPr="008F0CC5">
              <w:t xml:space="preserve"> the appropriateness of data used in making the estimate, including the relevance and reliability of data used</w:t>
            </w:r>
            <w:r>
              <w:t>.</w:t>
            </w:r>
          </w:p>
          <w:p w14:paraId="43D7A717" w14:textId="0FE76F6E" w:rsidR="006D50FE" w:rsidRPr="006D50FE" w:rsidRDefault="006D50FE" w:rsidP="001D1D7C">
            <w:pPr>
              <w:pStyle w:val="T3-TableBullet1instructions"/>
            </w:pPr>
            <w:r w:rsidRPr="006D50FE">
              <w:t xml:space="preserve">We discussed </w:t>
            </w:r>
            <w:r w:rsidR="000743DA">
              <w:t>significant</w:t>
            </w:r>
            <w:r w:rsidR="000743DA" w:rsidRPr="006D50FE">
              <w:t xml:space="preserve"> </w:t>
            </w:r>
            <w:r w:rsidRPr="006D50FE">
              <w:t>assumptions underlying cash flow projections with management and understood whether they are achievable.</w:t>
            </w:r>
          </w:p>
          <w:p w14:paraId="0451177C" w14:textId="3CAA7879" w:rsidR="006D50FE" w:rsidRPr="006D50FE" w:rsidRDefault="006D50FE" w:rsidP="001D1D7C">
            <w:pPr>
              <w:pStyle w:val="T3-TableBullet1instructions"/>
            </w:pPr>
            <w:r w:rsidRPr="006D50FE">
              <w:t xml:space="preserve">We reviewed management’s sensitivity analysis and considered further realistic sensitivity to </w:t>
            </w:r>
            <w:r w:rsidR="001D1D7C">
              <w:t>significant</w:t>
            </w:r>
            <w:r w:rsidR="001D1D7C" w:rsidRPr="006D50FE">
              <w:t xml:space="preserve"> </w:t>
            </w:r>
            <w:r w:rsidRPr="006D50FE">
              <w:t>assumptions and underlying cash flows.</w:t>
            </w:r>
          </w:p>
          <w:p w14:paraId="480BC10D" w14:textId="72DC858F" w:rsidR="00EB3C7F" w:rsidRDefault="006D50FE" w:rsidP="001D1D7C">
            <w:pPr>
              <w:pStyle w:val="T3-TableBullet1instructions"/>
            </w:pPr>
            <w:r w:rsidRPr="006D50FE">
              <w:t xml:space="preserve">We used valuation </w:t>
            </w:r>
            <w:r w:rsidR="001D1D7C">
              <w:t>experts</w:t>
            </w:r>
            <w:r w:rsidRPr="006D50FE">
              <w:t xml:space="preserve"> to support the audit of these balances.</w:t>
            </w:r>
          </w:p>
          <w:p w14:paraId="62538A86" w14:textId="3E953720" w:rsidR="001D1D7C" w:rsidRPr="008F0CC5" w:rsidRDefault="001D1D7C" w:rsidP="001D1D7C">
            <w:pPr>
              <w:pStyle w:val="T3-TableBullet1instructions"/>
            </w:pPr>
            <w:r>
              <w:t>We a</w:t>
            </w:r>
            <w:r w:rsidRPr="008F0CC5">
              <w:t>ssess</w:t>
            </w:r>
            <w:r>
              <w:t>ed</w:t>
            </w:r>
            <w:r w:rsidRPr="008F0CC5">
              <w:t xml:space="preserve"> whether indications of possible management bias exist within the estimate and when considering judgments collectively across all estimates</w:t>
            </w:r>
            <w:r>
              <w:t>.</w:t>
            </w:r>
          </w:p>
          <w:p w14:paraId="4146F314" w14:textId="10FCA35B" w:rsidR="001D1D7C" w:rsidRDefault="001D1D7C" w:rsidP="00F01BD6">
            <w:pPr>
              <w:pStyle w:val="T3-TableBullet1instructions"/>
            </w:pPr>
            <w:r>
              <w:t>We c</w:t>
            </w:r>
            <w:r w:rsidRPr="008F0CC5">
              <w:t>onsider</w:t>
            </w:r>
            <w:r>
              <w:t>ed</w:t>
            </w:r>
            <w:r w:rsidRPr="008F0CC5">
              <w:t xml:space="preserve"> whether management has appropriately understood and addressed estimation uncertainty and evaluate</w:t>
            </w:r>
            <w:r w:rsidR="00F01BD6">
              <w:t>d</w:t>
            </w:r>
            <w:r w:rsidRPr="008F0CC5">
              <w:t xml:space="preserve"> related financial statement disclosures</w:t>
            </w:r>
            <w:r>
              <w:t>.</w:t>
            </w:r>
          </w:p>
        </w:tc>
      </w:tr>
      <w:tr w:rsidR="00EB3C7F" w14:paraId="72DE5070" w14:textId="77777777" w:rsidTr="00622BE4">
        <w:tc>
          <w:tcPr>
            <w:tcW w:w="9350" w:type="dxa"/>
          </w:tcPr>
          <w:p w14:paraId="3B7782B6" w14:textId="015A65CC" w:rsidR="00EB3C7F" w:rsidRDefault="006D50FE" w:rsidP="006D50FE">
            <w:pPr>
              <w:pStyle w:val="T3-TableBullet1instructions"/>
              <w:numPr>
                <w:ilvl w:val="0"/>
                <w:numId w:val="0"/>
              </w:numPr>
            </w:pPr>
            <w:r>
              <w:rPr>
                <w:b/>
                <w:color w:val="auto"/>
                <w:lang w:val="fr-CA"/>
              </w:rPr>
              <w:t>Our findings</w:t>
            </w:r>
          </w:p>
        </w:tc>
      </w:tr>
      <w:tr w:rsidR="00EB3C7F" w14:paraId="60AF8732" w14:textId="77777777" w:rsidTr="00622BE4">
        <w:tc>
          <w:tcPr>
            <w:tcW w:w="9350" w:type="dxa"/>
          </w:tcPr>
          <w:p w14:paraId="55C0CE19" w14:textId="3DEE5E44" w:rsidR="00EB3C7F" w:rsidRDefault="006D50FE" w:rsidP="006D50FE">
            <w:pPr>
              <w:pStyle w:val="T3-TableBullet1instructions"/>
            </w:pPr>
            <w:r w:rsidRPr="005F6AA4">
              <w:rPr>
                <w:color w:val="auto"/>
              </w:rPr>
              <w:t>[</w:t>
            </w:r>
            <w:r w:rsidRPr="005F6AA4">
              <w:t>On the basis of our audit work, we do not have any concerns that we wish to bring to your attention.</w:t>
            </w:r>
            <w:r w:rsidRPr="005F6AA4">
              <w:rPr>
                <w:color w:val="auto"/>
              </w:rPr>
              <w:t>]</w:t>
            </w:r>
            <w:r w:rsidRPr="005F6AA4">
              <w:t xml:space="preserve"> </w:t>
            </w:r>
          </w:p>
        </w:tc>
      </w:tr>
    </w:tbl>
    <w:p w14:paraId="33A8E4BF" w14:textId="77777777" w:rsidR="00A247C5" w:rsidRDefault="00A247C5">
      <w:pPr>
        <w:spacing w:after="160" w:line="259" w:lineRule="auto"/>
        <w:rPr>
          <w:rFonts w:cs="Arial"/>
        </w:rPr>
      </w:pPr>
      <w:r>
        <w:br w:type="page"/>
      </w:r>
    </w:p>
    <w:p w14:paraId="715C47E7" w14:textId="395A38B7" w:rsidR="004D00F4" w:rsidRDefault="00EA1E0F" w:rsidP="004D00F4">
      <w:pPr>
        <w:pStyle w:val="Heading1"/>
      </w:pPr>
      <w:bookmarkStart w:id="6" w:name="_Toc102134022"/>
      <w:r w:rsidRPr="00EA1E0F">
        <w:lastRenderedPageBreak/>
        <w:t>Supplemental guidance A—Significant matters framework for communication</w:t>
      </w:r>
      <w:bookmarkEnd w:id="6"/>
    </w:p>
    <w:p w14:paraId="7C3F64EC" w14:textId="77777777" w:rsidR="0037502F" w:rsidRPr="00EC454A" w:rsidRDefault="0037502F" w:rsidP="0037502F">
      <w:pPr>
        <w:pStyle w:val="instructionspara"/>
      </w:pPr>
      <w:r w:rsidRPr="00EC454A">
        <w:t>[</w:t>
      </w:r>
      <w:r w:rsidRPr="00AD46BB">
        <w:rPr>
          <w:color w:val="0000FF"/>
        </w:rPr>
        <w:t>We normally start with the information communicated in the RAC Plan and add the results of our audit procedures and findings. Below are some additional examples.</w:t>
      </w:r>
      <w:r w:rsidRPr="00EC454A">
        <w:t>]</w:t>
      </w:r>
    </w:p>
    <w:p w14:paraId="270FA341" w14:textId="77777777" w:rsidR="00EA1E0F" w:rsidRDefault="00EA1E0F" w:rsidP="00AD46BB">
      <w:pPr>
        <w:pStyle w:val="Heading3"/>
      </w:pPr>
      <w:r>
        <w:t>For significant accounting estimates</w:t>
      </w:r>
    </w:p>
    <w:p w14:paraId="1DF6AF49" w14:textId="77777777" w:rsidR="00EA1E0F" w:rsidRDefault="00EA1E0F" w:rsidP="00A247C5">
      <w:pPr>
        <w:pStyle w:val="Para"/>
        <w:rPr>
          <w:shd w:val="clear" w:color="auto" w:fill="FFFFFF"/>
        </w:rPr>
      </w:pPr>
      <w:r>
        <w:rPr>
          <w:shd w:val="clear" w:color="auto" w:fill="FFFFFF"/>
        </w:rPr>
        <w:t>Per CAS 540.38 the auditor shall communicate regarding accounting estimates and take into account whether the reasons given to the risks of material misstatement relate to estimation uncertainty, or the effects of complexity, subjectivity or other inherent risk factors in making accounting estimates and related disclosures. </w:t>
      </w:r>
    </w:p>
    <w:p w14:paraId="1BAF3F9D" w14:textId="77777777" w:rsidR="00EA1E0F" w:rsidRDefault="00EA1E0F" w:rsidP="00A247C5">
      <w:pPr>
        <w:pStyle w:val="Para"/>
      </w:pPr>
      <w:bookmarkStart w:id="7" w:name="para_734"/>
      <w:bookmarkEnd w:id="7"/>
      <w:r>
        <w:t>Matters that the auditor may consider communicating with those charged with governance with respect to the auditor's views about significant qualitative aspects of the entity's accounting practices related to accounting estimates and related disclosures include:</w:t>
      </w:r>
    </w:p>
    <w:p w14:paraId="2D283770" w14:textId="77777777" w:rsidR="00EA1E0F" w:rsidRPr="00A247C5" w:rsidRDefault="00EA1E0F" w:rsidP="00AD46BB">
      <w:pPr>
        <w:pStyle w:val="AlphaList"/>
      </w:pPr>
      <w:bookmarkStart w:id="8" w:name="para_735"/>
      <w:bookmarkEnd w:id="8"/>
      <w:r w:rsidRPr="00A247C5">
        <w:t>How management identifies transactions, other events or conditions that may give rise to the need for, or changes in, accounting estimates and related disclosures.</w:t>
      </w:r>
    </w:p>
    <w:p w14:paraId="7AE38F83" w14:textId="77777777" w:rsidR="00EA1E0F" w:rsidRPr="00A247C5" w:rsidRDefault="00EA1E0F" w:rsidP="00AD46BB">
      <w:pPr>
        <w:pStyle w:val="AlphaList"/>
      </w:pPr>
      <w:bookmarkStart w:id="9" w:name="para_736"/>
      <w:bookmarkEnd w:id="9"/>
      <w:r w:rsidRPr="00A247C5">
        <w:t>Risks of material misstatement.</w:t>
      </w:r>
    </w:p>
    <w:p w14:paraId="07058DE7" w14:textId="77777777" w:rsidR="00EA1E0F" w:rsidRPr="00A247C5" w:rsidRDefault="00EA1E0F" w:rsidP="00AD46BB">
      <w:pPr>
        <w:pStyle w:val="AlphaList"/>
      </w:pPr>
      <w:bookmarkStart w:id="10" w:name="para_737"/>
      <w:bookmarkEnd w:id="10"/>
      <w:r w:rsidRPr="00A247C5">
        <w:t>The relative materiality of the accounting estimates to the financial statements as a whole.</w:t>
      </w:r>
    </w:p>
    <w:p w14:paraId="7B218D63" w14:textId="77777777" w:rsidR="00EA1E0F" w:rsidRPr="00A247C5" w:rsidRDefault="00EA1E0F" w:rsidP="00AD46BB">
      <w:pPr>
        <w:pStyle w:val="AlphaList"/>
      </w:pPr>
      <w:bookmarkStart w:id="11" w:name="para_738"/>
      <w:bookmarkEnd w:id="11"/>
      <w:r w:rsidRPr="00A247C5">
        <w:t>Management's understanding (or lack thereof) regarding the nature and extent of, and the risks associated with, accounting estimates.</w:t>
      </w:r>
    </w:p>
    <w:p w14:paraId="513A1131" w14:textId="77777777" w:rsidR="00EA1E0F" w:rsidRPr="00A247C5" w:rsidRDefault="00EA1E0F" w:rsidP="00AD46BB">
      <w:pPr>
        <w:pStyle w:val="AlphaList"/>
      </w:pPr>
      <w:bookmarkStart w:id="12" w:name="para_739"/>
      <w:bookmarkEnd w:id="12"/>
      <w:r w:rsidRPr="00A247C5">
        <w:t>Whether management has applied appropriate specialized skills or knowledge or engaged appropriate experts.</w:t>
      </w:r>
    </w:p>
    <w:p w14:paraId="3BB252F4" w14:textId="77777777" w:rsidR="00EA1E0F" w:rsidRPr="00A247C5" w:rsidRDefault="00EA1E0F" w:rsidP="00AD46BB">
      <w:pPr>
        <w:pStyle w:val="AlphaList"/>
      </w:pPr>
      <w:bookmarkStart w:id="13" w:name="para_740"/>
      <w:bookmarkEnd w:id="13"/>
      <w:r w:rsidRPr="00A247C5">
        <w:t>The auditor's views about differences between the auditor's point estimate or range and management's point estimate.</w:t>
      </w:r>
    </w:p>
    <w:p w14:paraId="43251F6D" w14:textId="77777777" w:rsidR="00EA1E0F" w:rsidRPr="00A247C5" w:rsidRDefault="00EA1E0F" w:rsidP="00AD46BB">
      <w:pPr>
        <w:pStyle w:val="AlphaList"/>
      </w:pPr>
      <w:bookmarkStart w:id="14" w:name="para_741"/>
      <w:bookmarkEnd w:id="14"/>
      <w:r w:rsidRPr="00A247C5">
        <w:t>The auditor's views about the appropriateness of the selection of accounting policies related to accounting estimates and presentation of accounting estimates in the financial statements.</w:t>
      </w:r>
    </w:p>
    <w:p w14:paraId="023368B3" w14:textId="77777777" w:rsidR="00EA1E0F" w:rsidRPr="00A247C5" w:rsidRDefault="00EA1E0F" w:rsidP="00AD46BB">
      <w:pPr>
        <w:pStyle w:val="AlphaList"/>
      </w:pPr>
      <w:bookmarkStart w:id="15" w:name="para_742"/>
      <w:bookmarkEnd w:id="15"/>
      <w:r w:rsidRPr="00A247C5">
        <w:t>Indicators of possible management bias.</w:t>
      </w:r>
    </w:p>
    <w:p w14:paraId="0944552D" w14:textId="77777777" w:rsidR="00EA1E0F" w:rsidRPr="00A247C5" w:rsidRDefault="00EA1E0F" w:rsidP="00AD46BB">
      <w:pPr>
        <w:pStyle w:val="AlphaList"/>
      </w:pPr>
      <w:bookmarkStart w:id="16" w:name="para_743"/>
      <w:bookmarkEnd w:id="16"/>
      <w:r w:rsidRPr="00A247C5">
        <w:t>Whether there has been or ought to have been a change from the prior period in the methods for making the accounting estimates.</w:t>
      </w:r>
    </w:p>
    <w:p w14:paraId="1D845108" w14:textId="77777777" w:rsidR="00EA1E0F" w:rsidRPr="00A247C5" w:rsidRDefault="00EA1E0F" w:rsidP="00AD46BB">
      <w:pPr>
        <w:pStyle w:val="AlphaList"/>
      </w:pPr>
      <w:bookmarkStart w:id="17" w:name="para_744"/>
      <w:bookmarkEnd w:id="17"/>
      <w:r w:rsidRPr="00A247C5">
        <w:t>When there has been a change from the prior period in the methods for making the accounting estimate, why, as well as the outcome of accounting estimates in prior periods.</w:t>
      </w:r>
    </w:p>
    <w:p w14:paraId="7825546B" w14:textId="77777777" w:rsidR="00EA1E0F" w:rsidRPr="00A247C5" w:rsidRDefault="00EA1E0F" w:rsidP="00AD46BB">
      <w:pPr>
        <w:pStyle w:val="AlphaList"/>
      </w:pPr>
      <w:bookmarkStart w:id="18" w:name="para_745"/>
      <w:bookmarkEnd w:id="18"/>
      <w:r w:rsidRPr="00A247C5">
        <w:t>Whether management's methods for making the accounting estimates, including when management has used a model, are appropriate in the context of the measurement objectives, the nature, conditions and circumstances, and other requirements of the applicable financial reporting framework.</w:t>
      </w:r>
    </w:p>
    <w:p w14:paraId="4B248A7D" w14:textId="77777777" w:rsidR="00EA1E0F" w:rsidRPr="00A247C5" w:rsidRDefault="00EA1E0F" w:rsidP="00AD46BB">
      <w:pPr>
        <w:pStyle w:val="AlphaList"/>
      </w:pPr>
      <w:bookmarkStart w:id="19" w:name="para_746"/>
      <w:bookmarkEnd w:id="19"/>
      <w:r w:rsidRPr="00A247C5">
        <w:lastRenderedPageBreak/>
        <w:t>The nature and consequences of significant assumptions used in accounting estimates and the degree of subjectivity involved in the development of the assumptions.</w:t>
      </w:r>
    </w:p>
    <w:p w14:paraId="53E1B826" w14:textId="77777777" w:rsidR="00EA1E0F" w:rsidRPr="00A247C5" w:rsidRDefault="00EA1E0F" w:rsidP="00AD46BB">
      <w:pPr>
        <w:pStyle w:val="AlphaList"/>
      </w:pPr>
      <w:bookmarkStart w:id="20" w:name="para_747"/>
      <w:bookmarkEnd w:id="20"/>
      <w:r w:rsidRPr="00A247C5">
        <w:t>Whether significant assumptions are consistent with each other and with those used in other accounting estimates, or with assumptions used in other areas of the entity's business activities.</w:t>
      </w:r>
    </w:p>
    <w:p w14:paraId="1562625F" w14:textId="77777777" w:rsidR="00EA1E0F" w:rsidRPr="00A247C5" w:rsidRDefault="00EA1E0F" w:rsidP="00AD46BB">
      <w:pPr>
        <w:pStyle w:val="AlphaList"/>
      </w:pPr>
      <w:bookmarkStart w:id="21" w:name="para_748"/>
      <w:bookmarkEnd w:id="21"/>
      <w:r w:rsidRPr="00A247C5">
        <w:t>When relevant to the appropriateness of the significant assumptions or the appropriate application of the applicable financial reporting framework, whether management has the intent to carry out specific courses of action and has the ability to do so.</w:t>
      </w:r>
    </w:p>
    <w:p w14:paraId="7A64A4CF" w14:textId="77777777" w:rsidR="00EA1E0F" w:rsidRPr="00A247C5" w:rsidRDefault="00EA1E0F" w:rsidP="00AD46BB">
      <w:pPr>
        <w:pStyle w:val="AlphaList"/>
      </w:pPr>
      <w:bookmarkStart w:id="22" w:name="para_749"/>
      <w:bookmarkEnd w:id="22"/>
      <w:r w:rsidRPr="00A247C5">
        <w:t>How management has considered alternative assumptions or outcomes and why it has rejected them, or how management has otherwise addressed estimation uncertainty in making the accounting estimate.</w:t>
      </w:r>
    </w:p>
    <w:p w14:paraId="0213924A" w14:textId="77777777" w:rsidR="00EA1E0F" w:rsidRPr="00A247C5" w:rsidRDefault="00EA1E0F" w:rsidP="00AD46BB">
      <w:pPr>
        <w:pStyle w:val="AlphaList"/>
      </w:pPr>
      <w:bookmarkStart w:id="23" w:name="para_750"/>
      <w:bookmarkEnd w:id="23"/>
      <w:r w:rsidRPr="00A247C5">
        <w:t>Whether the data and significant assumptions used by management in making the accounting estimates are appropriate in the context of the applicable financial reporting framework.</w:t>
      </w:r>
    </w:p>
    <w:p w14:paraId="43DFC260" w14:textId="77777777" w:rsidR="00EA1E0F" w:rsidRPr="00A247C5" w:rsidRDefault="00EA1E0F" w:rsidP="00AD46BB">
      <w:pPr>
        <w:pStyle w:val="AlphaList"/>
      </w:pPr>
      <w:bookmarkStart w:id="24" w:name="para_751"/>
      <w:bookmarkEnd w:id="24"/>
      <w:r w:rsidRPr="00A247C5">
        <w:t>The relevance and reliability of information obtained from an external information source.</w:t>
      </w:r>
    </w:p>
    <w:p w14:paraId="7A30BE22" w14:textId="77777777" w:rsidR="00EA1E0F" w:rsidRPr="00A247C5" w:rsidRDefault="00EA1E0F" w:rsidP="00AD46BB">
      <w:pPr>
        <w:pStyle w:val="AlphaList"/>
      </w:pPr>
      <w:bookmarkStart w:id="25" w:name="para_752"/>
      <w:bookmarkEnd w:id="25"/>
      <w:r w:rsidRPr="00A247C5">
        <w:t>Significant difficulties encountered when obtaining sufficient appropriate audit evidence relating to data obtained from an external information source or valuations performed by management or a management's expert.</w:t>
      </w:r>
    </w:p>
    <w:p w14:paraId="3AFB065A" w14:textId="77777777" w:rsidR="00EA1E0F" w:rsidRPr="00A247C5" w:rsidRDefault="00EA1E0F" w:rsidP="00AD46BB">
      <w:pPr>
        <w:pStyle w:val="AlphaList"/>
      </w:pPr>
      <w:bookmarkStart w:id="26" w:name="para_753"/>
      <w:bookmarkEnd w:id="26"/>
      <w:r w:rsidRPr="00A247C5">
        <w:t>Significant differences in judgments between the auditor and management or a management's expert regarding valuations.</w:t>
      </w:r>
    </w:p>
    <w:p w14:paraId="4B2F8908" w14:textId="77777777" w:rsidR="00EA1E0F" w:rsidRPr="00A247C5" w:rsidRDefault="00EA1E0F" w:rsidP="00AD46BB">
      <w:pPr>
        <w:pStyle w:val="AlphaList"/>
      </w:pPr>
      <w:bookmarkStart w:id="27" w:name="para_754"/>
      <w:bookmarkEnd w:id="27"/>
      <w:r w:rsidRPr="00A247C5">
        <w:t>The potential effects on the entity's financial statements of material risks and exposures required to be disclosed in the financial statements, including the estimation uncertainty associated with accounting estimates.</w:t>
      </w:r>
    </w:p>
    <w:p w14:paraId="79A8C5AE" w14:textId="77777777" w:rsidR="00EA1E0F" w:rsidRPr="00A247C5" w:rsidRDefault="00EA1E0F" w:rsidP="00AD46BB">
      <w:pPr>
        <w:pStyle w:val="AlphaList"/>
      </w:pPr>
      <w:bookmarkStart w:id="28" w:name="para_755"/>
      <w:bookmarkEnd w:id="28"/>
      <w:r w:rsidRPr="00A247C5">
        <w:t>The reasonableness of disclosures about estimation uncertainty in the financial statements.</w:t>
      </w:r>
    </w:p>
    <w:p w14:paraId="5AB492E1" w14:textId="77777777" w:rsidR="00A247C5" w:rsidRPr="00A247C5" w:rsidRDefault="00EA1E0F" w:rsidP="00AD46BB">
      <w:pPr>
        <w:pStyle w:val="AlphaList"/>
      </w:pPr>
      <w:bookmarkStart w:id="29" w:name="para_756"/>
      <w:bookmarkEnd w:id="29"/>
      <w:r w:rsidRPr="00A247C5">
        <w:t>Whether management's decisions relating to the recognition, measurement, presentation and disclosure of the accounting estimates and related disclosures in the financial statements are in accordance with the applicable financial reporting framework.</w:t>
      </w:r>
    </w:p>
    <w:p w14:paraId="5C73A684" w14:textId="77777777" w:rsidR="00EA1E0F" w:rsidRPr="00E95D25" w:rsidRDefault="00EA1E0F" w:rsidP="00AD46BB">
      <w:pPr>
        <w:pStyle w:val="Para"/>
        <w:keepNext/>
        <w:keepLines/>
      </w:pPr>
      <w:r w:rsidRPr="00E95D25">
        <w:t xml:space="preserve">We present </w:t>
      </w:r>
      <w:r>
        <w:t>the Office of the Auditor General of Canada’s (</w:t>
      </w:r>
      <w:r w:rsidRPr="00E95D25">
        <w:t>OAG</w:t>
      </w:r>
      <w:r>
        <w:t>’</w:t>
      </w:r>
      <w:r w:rsidRPr="00E95D25">
        <w:t>s</w:t>
      </w:r>
      <w:r>
        <w:t>)</w:t>
      </w:r>
      <w:r w:rsidRPr="00E95D25">
        <w:t xml:space="preserve"> views</w:t>
      </w:r>
      <w:r>
        <w:t>/</w:t>
      </w:r>
      <w:r w:rsidRPr="009B5189">
        <w:t>findings</w:t>
      </w:r>
      <w:r w:rsidRPr="00E95D25">
        <w:t xml:space="preserve"> on the matter:</w:t>
      </w:r>
    </w:p>
    <w:p w14:paraId="5BC7FB8E" w14:textId="77777777" w:rsidR="00EA1E0F" w:rsidRPr="009B5189" w:rsidRDefault="00EA1E0F" w:rsidP="00EA1E0F">
      <w:pPr>
        <w:pStyle w:val="ParaBullet"/>
      </w:pPr>
      <w:r w:rsidRPr="009B5189">
        <w:t>Outline the audit procedures performed, including any use of experts.</w:t>
      </w:r>
    </w:p>
    <w:p w14:paraId="220A5C1E" w14:textId="77777777" w:rsidR="00EA1E0F" w:rsidRPr="009B5189" w:rsidRDefault="00EA1E0F" w:rsidP="00EA1E0F">
      <w:pPr>
        <w:pStyle w:val="ParaBullet"/>
      </w:pPr>
      <w:r>
        <w:t>Include</w:t>
      </w:r>
      <w:r w:rsidRPr="009B5189">
        <w:t xml:space="preserve"> more detail if the actual audit procedures changed from the planned audit approach</w:t>
      </w:r>
      <w:r>
        <w:t xml:space="preserve"> outlined in our</w:t>
      </w:r>
      <w:r w:rsidRPr="009B5189">
        <w:t xml:space="preserve"> audit plan communication.</w:t>
      </w:r>
    </w:p>
    <w:p w14:paraId="027CA319" w14:textId="77777777" w:rsidR="00EA1E0F" w:rsidRPr="009B5189" w:rsidRDefault="00EA1E0F" w:rsidP="00EA1E0F">
      <w:pPr>
        <w:pStyle w:val="ParaBullet"/>
      </w:pPr>
      <w:r w:rsidRPr="009B5189">
        <w:t xml:space="preserve">Express a conclusion: Are the </w:t>
      </w:r>
      <w:r>
        <w:t xml:space="preserve">accounting estimates </w:t>
      </w:r>
      <w:r w:rsidRPr="009B5189">
        <w:t>reasonable?</w:t>
      </w:r>
    </w:p>
    <w:p w14:paraId="0289B267" w14:textId="77777777" w:rsidR="00EA1E0F" w:rsidRPr="009B5189" w:rsidRDefault="00EA1E0F" w:rsidP="00AD46BB">
      <w:pPr>
        <w:pStyle w:val="Heading3"/>
      </w:pPr>
      <w:r w:rsidRPr="00E95D25">
        <w:t xml:space="preserve">For accounting </w:t>
      </w:r>
      <w:r w:rsidRPr="009B5189">
        <w:t>policies</w:t>
      </w:r>
    </w:p>
    <w:p w14:paraId="778DD55C" w14:textId="77777777" w:rsidR="00EA1E0F" w:rsidRPr="00E95D25" w:rsidRDefault="00EA1E0F" w:rsidP="00AD46BB">
      <w:pPr>
        <w:pStyle w:val="Para"/>
        <w:keepNext/>
        <w:keepLines/>
      </w:pPr>
      <w:r w:rsidRPr="009B5189">
        <w:t>We provide</w:t>
      </w:r>
      <w:r>
        <w:t xml:space="preserve"> the</w:t>
      </w:r>
      <w:r w:rsidRPr="009B5189">
        <w:t xml:space="preserve"> background </w:t>
      </w:r>
      <w:r>
        <w:t xml:space="preserve">for </w:t>
      </w:r>
      <w:r w:rsidRPr="009B5189">
        <w:t>and</w:t>
      </w:r>
      <w:r>
        <w:t xml:space="preserve">/or a description of risk </w:t>
      </w:r>
      <w:r w:rsidRPr="00E95D25">
        <w:t>and discuss management</w:t>
      </w:r>
      <w:r>
        <w:t>’</w:t>
      </w:r>
      <w:r w:rsidRPr="00E95D25">
        <w:t>s process for</w:t>
      </w:r>
    </w:p>
    <w:p w14:paraId="173F2740" w14:textId="77777777" w:rsidR="00EA1E0F" w:rsidRPr="009B5189" w:rsidRDefault="00EA1E0F" w:rsidP="00EA1E0F">
      <w:pPr>
        <w:pStyle w:val="ParaBullet"/>
      </w:pPr>
      <w:r w:rsidRPr="009B5189">
        <w:t>qualitative aspects o</w:t>
      </w:r>
      <w:r>
        <w:t>f critical accounting policies</w:t>
      </w:r>
    </w:p>
    <w:p w14:paraId="6CD185C2" w14:textId="77777777" w:rsidR="00EA1E0F" w:rsidRPr="009B5189" w:rsidRDefault="00EA1E0F" w:rsidP="00EA1E0F">
      <w:pPr>
        <w:pStyle w:val="ParaBullet"/>
      </w:pPr>
      <w:r w:rsidRPr="009B5189">
        <w:lastRenderedPageBreak/>
        <w:t xml:space="preserve">the initial selection of and changes in significant accounting policies, including the application of new accounting pronouncements </w:t>
      </w:r>
      <w:r>
        <w:t>(t</w:t>
      </w:r>
      <w:r w:rsidRPr="009B5189">
        <w:t>he communication may include the effect of the timing and method of adopti</w:t>
      </w:r>
      <w:r>
        <w:t>ng</w:t>
      </w:r>
      <w:r w:rsidRPr="009B5189">
        <w:t xml:space="preserve"> a change in accounting policy on the entity</w:t>
      </w:r>
      <w:r>
        <w:t>’s</w:t>
      </w:r>
      <w:r w:rsidRPr="009B5189">
        <w:t xml:space="preserve"> current and future earnings and the timing of a change in accounting policies about expected new accounting pronouncements</w:t>
      </w:r>
      <w:r>
        <w:t>)</w:t>
      </w:r>
    </w:p>
    <w:p w14:paraId="3D055691" w14:textId="77777777" w:rsidR="00EA1E0F" w:rsidRPr="009B5189" w:rsidRDefault="00EA1E0F" w:rsidP="00EA1E0F">
      <w:pPr>
        <w:pStyle w:val="ParaBullet"/>
      </w:pPr>
      <w:r w:rsidRPr="009B5189">
        <w:t>the methods used to account for significant unusual transactions</w:t>
      </w:r>
    </w:p>
    <w:p w14:paraId="10D6D285" w14:textId="77777777" w:rsidR="00EA1E0F" w:rsidRPr="00E95D25" w:rsidRDefault="00EA1E0F" w:rsidP="00AD46BB">
      <w:pPr>
        <w:pStyle w:val="Para"/>
        <w:keepNext/>
        <w:keepLines/>
      </w:pPr>
      <w:r w:rsidRPr="00E95D25">
        <w:t xml:space="preserve">We also </w:t>
      </w:r>
      <w:r w:rsidRPr="009B5189">
        <w:t>discuss</w:t>
      </w:r>
    </w:p>
    <w:p w14:paraId="1C56E3A1" w14:textId="77777777" w:rsidR="00EA1E0F" w:rsidRPr="009B5189" w:rsidRDefault="00EA1E0F" w:rsidP="00AD46BB">
      <w:pPr>
        <w:pStyle w:val="ParaBullet"/>
      </w:pPr>
      <w:r w:rsidRPr="009B5189">
        <w:t>the appropriateness of the accounting policies to the entity</w:t>
      </w:r>
      <w:r>
        <w:t>’s</w:t>
      </w:r>
      <w:r w:rsidRPr="009B5189">
        <w:t xml:space="preserve"> particular circumstances, regarding the need to balance the cost of providing information with the likely benefit to users of the entity</w:t>
      </w:r>
      <w:r>
        <w:t>’</w:t>
      </w:r>
      <w:r w:rsidRPr="009B5189">
        <w:t>s financial statements</w:t>
      </w:r>
      <w:r>
        <w:t xml:space="preserve"> (w</w:t>
      </w:r>
      <w:r w:rsidRPr="009B5189">
        <w:t>here acceptable alternative accounting policies exist, the communication may identif</w:t>
      </w:r>
      <w:r>
        <w:t>y</w:t>
      </w:r>
      <w:r w:rsidRPr="009B5189">
        <w:t xml:space="preserve"> the financial statement items that are affected by the choice of significant accounting policies </w:t>
      </w:r>
      <w:r>
        <w:t>and include</w:t>
      </w:r>
      <w:r w:rsidRPr="009B5189">
        <w:t xml:space="preserve"> information on accounting policies used by similar entities</w:t>
      </w:r>
      <w:r>
        <w:t>)</w:t>
      </w:r>
    </w:p>
    <w:p w14:paraId="4C674A84" w14:textId="77777777" w:rsidR="00EA1E0F" w:rsidRPr="009B5189" w:rsidRDefault="00EA1E0F" w:rsidP="00EA1E0F">
      <w:pPr>
        <w:pStyle w:val="ParaBullet"/>
      </w:pPr>
      <w:r w:rsidRPr="009B5189">
        <w:t>the effect of significant accounting policies in controversial or emerging areas or those unique to an industry, particularly when there is a lack of authoritative guidance or consensus</w:t>
      </w:r>
    </w:p>
    <w:p w14:paraId="31A2782E" w14:textId="77777777" w:rsidR="00EA1E0F" w:rsidRPr="009B5189" w:rsidRDefault="00EA1E0F" w:rsidP="00EA1E0F">
      <w:pPr>
        <w:pStyle w:val="ParaBullet"/>
      </w:pPr>
      <w:r w:rsidRPr="009B5189">
        <w:t>the effect of the timing of transactions in relation to the period they are recorded</w:t>
      </w:r>
      <w:r>
        <w:t xml:space="preserve"> in</w:t>
      </w:r>
    </w:p>
    <w:p w14:paraId="40E94877" w14:textId="77777777" w:rsidR="00EA1E0F" w:rsidRPr="009B5189" w:rsidRDefault="00EA1E0F" w:rsidP="00EA1E0F">
      <w:pPr>
        <w:pStyle w:val="ParaBullet"/>
      </w:pPr>
      <w:r w:rsidRPr="009B5189">
        <w:t xml:space="preserve">why we consider a significant accounting practice that is acceptable under the applicable financial reporting framework to not be </w:t>
      </w:r>
      <w:r>
        <w:t xml:space="preserve">the </w:t>
      </w:r>
      <w:r w:rsidRPr="009B5189">
        <w:t>most appropriate to the entity</w:t>
      </w:r>
      <w:r>
        <w:t>’s</w:t>
      </w:r>
      <w:r w:rsidRPr="009B5189">
        <w:t xml:space="preserve"> particular circumstances </w:t>
      </w:r>
    </w:p>
    <w:p w14:paraId="508DC935" w14:textId="77777777" w:rsidR="00EA1E0F" w:rsidRPr="00E95D25" w:rsidRDefault="00EA1E0F" w:rsidP="00AD46BB">
      <w:pPr>
        <w:pStyle w:val="Para"/>
        <w:keepNext/>
        <w:keepLines/>
      </w:pPr>
      <w:r w:rsidRPr="00E95D25">
        <w:t xml:space="preserve">We present </w:t>
      </w:r>
      <w:r>
        <w:t xml:space="preserve">the </w:t>
      </w:r>
      <w:r w:rsidRPr="00E95D25">
        <w:t>OAG</w:t>
      </w:r>
      <w:r>
        <w:t>’</w:t>
      </w:r>
      <w:r w:rsidRPr="00E95D25">
        <w:t xml:space="preserve">s </w:t>
      </w:r>
      <w:r w:rsidRPr="009B5189">
        <w:t>views</w:t>
      </w:r>
      <w:r>
        <w:t>/findings</w:t>
      </w:r>
      <w:r w:rsidRPr="00E95D25">
        <w:t xml:space="preserve"> on the matter:</w:t>
      </w:r>
    </w:p>
    <w:p w14:paraId="6A6CD722" w14:textId="77777777" w:rsidR="00EA1E0F" w:rsidRPr="009B5189" w:rsidRDefault="00EA1E0F" w:rsidP="00EA1E0F">
      <w:pPr>
        <w:pStyle w:val="ParaBullet"/>
      </w:pPr>
      <w:r w:rsidRPr="009B5189">
        <w:t>Outline the audit procedures performed, including any use of experts.</w:t>
      </w:r>
    </w:p>
    <w:p w14:paraId="6C862E3B" w14:textId="77777777" w:rsidR="00EA1E0F" w:rsidRPr="009B5189" w:rsidRDefault="00EA1E0F" w:rsidP="00EA1E0F">
      <w:pPr>
        <w:pStyle w:val="ParaBullet"/>
      </w:pPr>
      <w:r>
        <w:t>Include</w:t>
      </w:r>
      <w:r w:rsidRPr="009B5189">
        <w:t xml:space="preserve"> more detail if the actual audit procedures changed from the planned audit approach </w:t>
      </w:r>
      <w:r>
        <w:t>outlined in our</w:t>
      </w:r>
      <w:r w:rsidRPr="009B5189">
        <w:t xml:space="preserve"> audit plan communication.</w:t>
      </w:r>
    </w:p>
    <w:p w14:paraId="72A88970" w14:textId="77777777" w:rsidR="00EA1E0F" w:rsidRPr="009B5189" w:rsidRDefault="00EA1E0F" w:rsidP="00EA1E0F">
      <w:pPr>
        <w:pStyle w:val="ParaBullet"/>
      </w:pPr>
      <w:r w:rsidRPr="009B5189">
        <w:t>Express a conclusion: A</w:t>
      </w:r>
      <w:r>
        <w:t>re the a</w:t>
      </w:r>
      <w:r w:rsidRPr="009B5189">
        <w:t>ccounting policies appropriate?</w:t>
      </w:r>
    </w:p>
    <w:p w14:paraId="46AD7F34" w14:textId="77777777" w:rsidR="00EA1E0F" w:rsidRPr="009B5189" w:rsidRDefault="00EA1E0F" w:rsidP="00AD46BB">
      <w:pPr>
        <w:pStyle w:val="Heading3"/>
      </w:pPr>
      <w:r w:rsidRPr="00E95D25">
        <w:t xml:space="preserve">For financial statement </w:t>
      </w:r>
      <w:r w:rsidRPr="009B5189">
        <w:t>disclosures</w:t>
      </w:r>
    </w:p>
    <w:p w14:paraId="08F5CEED" w14:textId="77777777" w:rsidR="00EA1E0F" w:rsidRPr="00E95D25" w:rsidRDefault="00EA1E0F" w:rsidP="00AD46BB">
      <w:pPr>
        <w:pStyle w:val="Para"/>
        <w:keepNext/>
        <w:keepLines/>
      </w:pPr>
      <w:r w:rsidRPr="009B5189">
        <w:t xml:space="preserve">We provide </w:t>
      </w:r>
      <w:r>
        <w:t xml:space="preserve">the </w:t>
      </w:r>
      <w:r w:rsidRPr="009B5189">
        <w:t xml:space="preserve">background </w:t>
      </w:r>
      <w:r>
        <w:t xml:space="preserve">for </w:t>
      </w:r>
      <w:r w:rsidRPr="009B5189">
        <w:t xml:space="preserve">and/or </w:t>
      </w:r>
      <w:r>
        <w:t xml:space="preserve">a </w:t>
      </w:r>
      <w:r w:rsidRPr="009B5189">
        <w:t>description</w:t>
      </w:r>
      <w:r>
        <w:t xml:space="preserve"> of risk </w:t>
      </w:r>
      <w:r w:rsidRPr="00E95D25">
        <w:t>and discuss management</w:t>
      </w:r>
      <w:r>
        <w:t>’</w:t>
      </w:r>
      <w:r w:rsidRPr="00E95D25">
        <w:t>s process for</w:t>
      </w:r>
    </w:p>
    <w:p w14:paraId="59101630" w14:textId="77777777" w:rsidR="00EA1E0F" w:rsidRPr="009B5189" w:rsidRDefault="00EA1E0F" w:rsidP="00EA1E0F">
      <w:pPr>
        <w:pStyle w:val="ParaBullet"/>
      </w:pPr>
      <w:r w:rsidRPr="009B5189">
        <w:t>particularly sensitive financial statement disclosures (for example, disclosures related to revenue recognition, remuneration, going concern, subsequent events, and contingency issues)</w:t>
      </w:r>
    </w:p>
    <w:p w14:paraId="59302333" w14:textId="77777777" w:rsidR="00EA1E0F" w:rsidRPr="00E95D25" w:rsidRDefault="00EA1E0F" w:rsidP="00AD46BB">
      <w:pPr>
        <w:pStyle w:val="Para"/>
        <w:keepNext/>
        <w:keepLines/>
      </w:pPr>
      <w:r w:rsidRPr="00E95D25">
        <w:lastRenderedPageBreak/>
        <w:t xml:space="preserve">We also </w:t>
      </w:r>
      <w:r w:rsidRPr="009B5189">
        <w:t>discuss</w:t>
      </w:r>
    </w:p>
    <w:p w14:paraId="26C34DB8" w14:textId="77777777" w:rsidR="00EA1E0F" w:rsidRPr="009B5189" w:rsidRDefault="00EA1E0F" w:rsidP="00EA1E0F">
      <w:pPr>
        <w:pStyle w:val="ParaBullet"/>
      </w:pPr>
      <w:r w:rsidRPr="009B5189">
        <w:t>the issues involved and related judgments made</w:t>
      </w:r>
      <w:r>
        <w:t xml:space="preserve"> </w:t>
      </w:r>
      <w:r w:rsidRPr="009B5189">
        <w:t>in formulating particularly sensitive financial statement disclosures</w:t>
      </w:r>
    </w:p>
    <w:p w14:paraId="2D895ECA" w14:textId="77777777" w:rsidR="00EA1E0F" w:rsidRPr="009B5189" w:rsidRDefault="00EA1E0F" w:rsidP="00EA1E0F">
      <w:pPr>
        <w:pStyle w:val="ParaBullet"/>
      </w:pPr>
      <w:r w:rsidRPr="009B5189">
        <w:t>the overall neutrality, consistency, and clarity of the disclosures in the financial statements</w:t>
      </w:r>
    </w:p>
    <w:p w14:paraId="0A064826" w14:textId="77777777" w:rsidR="00EA1E0F" w:rsidRPr="00E95D25" w:rsidRDefault="00EA1E0F" w:rsidP="00AD46BB">
      <w:pPr>
        <w:pStyle w:val="Para"/>
        <w:keepNext/>
        <w:keepLines/>
      </w:pPr>
      <w:r w:rsidRPr="00E95D25">
        <w:t xml:space="preserve">We present </w:t>
      </w:r>
      <w:r>
        <w:t xml:space="preserve">the </w:t>
      </w:r>
      <w:r w:rsidRPr="00E95D25">
        <w:t>OAG</w:t>
      </w:r>
      <w:r>
        <w:t>’</w:t>
      </w:r>
      <w:r w:rsidRPr="00E95D25">
        <w:t>s views</w:t>
      </w:r>
      <w:r>
        <w:t>/findings</w:t>
      </w:r>
      <w:r w:rsidRPr="00E95D25">
        <w:t xml:space="preserve"> on </w:t>
      </w:r>
      <w:r w:rsidRPr="009B5189">
        <w:t>the</w:t>
      </w:r>
      <w:r>
        <w:t xml:space="preserve"> matter:</w:t>
      </w:r>
    </w:p>
    <w:p w14:paraId="2E0A8856" w14:textId="77777777" w:rsidR="00EA1E0F" w:rsidRPr="009B5189" w:rsidRDefault="00EA1E0F" w:rsidP="00EA1E0F">
      <w:pPr>
        <w:pStyle w:val="ParaBullet"/>
      </w:pPr>
      <w:r w:rsidRPr="009B5189">
        <w:t>Outline the audit procedures performed, including any use of experts.</w:t>
      </w:r>
    </w:p>
    <w:p w14:paraId="651D1D5D" w14:textId="77777777" w:rsidR="00EA1E0F" w:rsidRPr="009B5189" w:rsidRDefault="00EA1E0F" w:rsidP="00EA1E0F">
      <w:pPr>
        <w:pStyle w:val="ParaBullet"/>
      </w:pPr>
      <w:r>
        <w:t>Include</w:t>
      </w:r>
      <w:r w:rsidRPr="009B5189">
        <w:t xml:space="preserve"> more detail if the actual audit procedures changed from the planned audit approach </w:t>
      </w:r>
      <w:r>
        <w:t>stated in the</w:t>
      </w:r>
      <w:r w:rsidRPr="009B5189">
        <w:t xml:space="preserve"> audit plan communication.</w:t>
      </w:r>
    </w:p>
    <w:p w14:paraId="28FC559F" w14:textId="77777777" w:rsidR="00EA1E0F" w:rsidRPr="009B5189" w:rsidRDefault="00EA1E0F" w:rsidP="00EA1E0F">
      <w:pPr>
        <w:pStyle w:val="ParaBullet"/>
      </w:pPr>
      <w:r w:rsidRPr="009B5189">
        <w:t xml:space="preserve">Express a conclusion: </w:t>
      </w:r>
      <w:r>
        <w:t>Are the f</w:t>
      </w:r>
      <w:r w:rsidRPr="009B5189">
        <w:t>inancial statement disclosures adequate?</w:t>
      </w:r>
    </w:p>
    <w:p w14:paraId="736D909F" w14:textId="77777777" w:rsidR="00EA1E0F" w:rsidRPr="009B5189" w:rsidRDefault="00EA1E0F" w:rsidP="00AD46BB">
      <w:pPr>
        <w:pStyle w:val="Heading3"/>
      </w:pPr>
      <w:r w:rsidRPr="009B5189">
        <w:t>For related matters</w:t>
      </w:r>
    </w:p>
    <w:p w14:paraId="4D521820" w14:textId="77777777" w:rsidR="00EA1E0F" w:rsidRPr="009B5189" w:rsidRDefault="00EA1E0F" w:rsidP="00AD46BB">
      <w:pPr>
        <w:pStyle w:val="Para"/>
        <w:keepNext/>
        <w:keepLines/>
      </w:pPr>
      <w:r w:rsidRPr="009B5189">
        <w:t xml:space="preserve">We provide </w:t>
      </w:r>
      <w:r>
        <w:t xml:space="preserve">the </w:t>
      </w:r>
      <w:r w:rsidRPr="009B5189">
        <w:t xml:space="preserve">background </w:t>
      </w:r>
      <w:r>
        <w:t xml:space="preserve">for </w:t>
      </w:r>
      <w:r w:rsidRPr="009B5189">
        <w:t xml:space="preserve">and/or </w:t>
      </w:r>
      <w:r>
        <w:t xml:space="preserve">a </w:t>
      </w:r>
      <w:r w:rsidRPr="009B5189">
        <w:t>description of risk and discuss</w:t>
      </w:r>
    </w:p>
    <w:p w14:paraId="617460E9" w14:textId="77777777" w:rsidR="00EA1E0F" w:rsidRPr="009B5189" w:rsidRDefault="00EA1E0F" w:rsidP="00EA1E0F">
      <w:pPr>
        <w:pStyle w:val="ParaBullet"/>
      </w:pPr>
      <w:r w:rsidRPr="009B5189">
        <w:t>the potential effect on the financial statements of significant risks, exposures, and uncertainties, such as pending litigation, that are disclosed in the financial statements</w:t>
      </w:r>
    </w:p>
    <w:p w14:paraId="48B6A9F4" w14:textId="77777777" w:rsidR="00EA1E0F" w:rsidRPr="009B5189" w:rsidRDefault="00EA1E0F" w:rsidP="00EA1E0F">
      <w:pPr>
        <w:pStyle w:val="ParaBullet"/>
      </w:pPr>
      <w:r w:rsidRPr="009B5189">
        <w:t>the extent</w:t>
      </w:r>
      <w:r>
        <w:t xml:space="preserve"> to which</w:t>
      </w:r>
      <w:r w:rsidRPr="009B5189">
        <w:t xml:space="preserve"> the financial statements are affected by unusual transactions, including n</w:t>
      </w:r>
      <w:r>
        <w:t>on</w:t>
      </w:r>
      <w:r>
        <w:noBreakHyphen/>
      </w:r>
      <w:r w:rsidRPr="009B5189">
        <w:t>recurring amounts recognized during the period, and the extent</w:t>
      </w:r>
      <w:r>
        <w:t xml:space="preserve"> to which</w:t>
      </w:r>
      <w:r w:rsidRPr="009B5189">
        <w:t xml:space="preserve"> such transactions are separately disclosed in the financial statements</w:t>
      </w:r>
    </w:p>
    <w:p w14:paraId="22A2D148" w14:textId="77777777" w:rsidR="00EA1E0F" w:rsidRPr="009B5189" w:rsidRDefault="00EA1E0F" w:rsidP="00EA1E0F">
      <w:pPr>
        <w:pStyle w:val="ParaBullet"/>
      </w:pPr>
      <w:r w:rsidRPr="009B5189">
        <w:t xml:space="preserve">the selective correction of misstatements </w:t>
      </w:r>
      <w:r>
        <w:t>(</w:t>
      </w:r>
      <w:r w:rsidRPr="009B5189">
        <w:t xml:space="preserve">for example, correcting misstatements </w:t>
      </w:r>
      <w:r>
        <w:t xml:space="preserve">to </w:t>
      </w:r>
      <w:r w:rsidRPr="009B5189">
        <w:t>increas</w:t>
      </w:r>
      <w:r>
        <w:t>e</w:t>
      </w:r>
      <w:r w:rsidRPr="009B5189">
        <w:t xml:space="preserve"> reported earnings but not those that </w:t>
      </w:r>
      <w:r>
        <w:t>would</w:t>
      </w:r>
      <w:r w:rsidRPr="009B5189">
        <w:t xml:space="preserve"> decreas</w:t>
      </w:r>
      <w:r>
        <w:t>e</w:t>
      </w:r>
      <w:r w:rsidRPr="009B5189">
        <w:t xml:space="preserve"> reported earnings</w:t>
      </w:r>
      <w:r>
        <w:t>)</w:t>
      </w:r>
    </w:p>
    <w:p w14:paraId="5B437040" w14:textId="77777777" w:rsidR="00EA1E0F" w:rsidRDefault="00EA1E0F" w:rsidP="00EA1E0F">
      <w:bookmarkStart w:id="30" w:name="_Supplemental_guidance_B"/>
      <w:bookmarkStart w:id="31" w:name="_Supplemental_Guidance_B—Exceptions"/>
      <w:bookmarkEnd w:id="30"/>
      <w:bookmarkEnd w:id="31"/>
      <w:r>
        <w:br w:type="page"/>
      </w:r>
    </w:p>
    <w:p w14:paraId="453630D3" w14:textId="3DB88045" w:rsidR="004D00F4" w:rsidRDefault="00EA1E0F" w:rsidP="004D00F4">
      <w:pPr>
        <w:pStyle w:val="Heading1"/>
      </w:pPr>
      <w:bookmarkStart w:id="32" w:name="_Toc102134023"/>
      <w:r w:rsidRPr="00EA1E0F">
        <w:lastRenderedPageBreak/>
        <w:t>Supplemental guidance B—Modifications to the standard auditor’s report</w:t>
      </w:r>
      <w:r w:rsidR="00CC494E">
        <w:t xml:space="preserve"> and key audit matters</w:t>
      </w:r>
      <w:bookmarkEnd w:id="32"/>
    </w:p>
    <w:p w14:paraId="4AFBE5DE" w14:textId="5D0C1CFC" w:rsidR="0037502F" w:rsidRPr="007B0BBC" w:rsidRDefault="0037502F" w:rsidP="0037502F">
      <w:pPr>
        <w:pStyle w:val="instructionspara"/>
        <w:rPr>
          <w:sz w:val="28"/>
        </w:rPr>
      </w:pPr>
      <w:r w:rsidRPr="00EC454A">
        <w:rPr>
          <w:sz w:val="28"/>
        </w:rPr>
        <w:t>[</w:t>
      </w:r>
      <w:r w:rsidR="00D364AC">
        <w:rPr>
          <w:color w:val="0000FF"/>
        </w:rPr>
        <w:t>W</w:t>
      </w:r>
      <w:r w:rsidRPr="00AD46BB">
        <w:rPr>
          <w:color w:val="0000FF"/>
        </w:rPr>
        <w:t>here an item is applicable to the audit circumstances</w:t>
      </w:r>
      <w:r w:rsidR="00D364AC">
        <w:rPr>
          <w:color w:val="0000FF"/>
        </w:rPr>
        <w:t>,</w:t>
      </w:r>
      <w:r w:rsidRPr="00AD46BB">
        <w:rPr>
          <w:color w:val="0000FF"/>
        </w:rPr>
        <w:t xml:space="preserve"> include the text below.</w:t>
      </w:r>
      <w:r w:rsidRPr="00EC454A">
        <w:rPr>
          <w:sz w:val="28"/>
        </w:rPr>
        <w:t>]</w:t>
      </w:r>
    </w:p>
    <w:p w14:paraId="694A5DA6" w14:textId="77777777" w:rsidR="00EA1E0F" w:rsidRPr="00E95D25" w:rsidRDefault="00EA1E0F" w:rsidP="00AD46BB">
      <w:pPr>
        <w:pStyle w:val="Heading3"/>
      </w:pPr>
      <w:r w:rsidRPr="00E95D25">
        <w:t>Emphasis of matter paragraph [</w:t>
      </w:r>
      <w:r w:rsidRPr="00AD46BB">
        <w:rPr>
          <w:color w:val="0000FF"/>
        </w:rPr>
        <w:t>if applicable</w:t>
      </w:r>
      <w:r w:rsidRPr="00E95D25">
        <w:t>]</w:t>
      </w:r>
    </w:p>
    <w:p w14:paraId="64F793ED" w14:textId="77777777" w:rsidR="00EA1E0F" w:rsidRPr="00E95D25" w:rsidRDefault="00EA1E0F" w:rsidP="00EA1E0F">
      <w:pPr>
        <w:pStyle w:val="Para"/>
      </w:pPr>
      <w:r w:rsidRPr="00E95D25">
        <w:t xml:space="preserve">An </w:t>
      </w:r>
      <w:r>
        <w:t>“</w:t>
      </w:r>
      <w:r w:rsidRPr="00E95D25">
        <w:t>emphasis of matter</w:t>
      </w:r>
      <w:r>
        <w:t>”</w:t>
      </w:r>
      <w:r w:rsidRPr="00E95D25">
        <w:t xml:space="preserve"> paragraph may be included in the </w:t>
      </w:r>
      <w:r>
        <w:t xml:space="preserve">independent </w:t>
      </w:r>
      <w:r w:rsidRPr="00E95D25">
        <w:t>auditor</w:t>
      </w:r>
      <w:r>
        <w:t>’</w:t>
      </w:r>
      <w:r w:rsidRPr="00E95D25">
        <w:t>s report following the opinion paragraph when a matter, although appropriately presented or disclosed in the financial statements, is considered by the auditor to be of such importance that it is fundamental to understanding the financial statements.</w:t>
      </w:r>
    </w:p>
    <w:p w14:paraId="08F2D726" w14:textId="77777777" w:rsidR="00EA1E0F" w:rsidRPr="00CD5B58" w:rsidRDefault="00EA1E0F" w:rsidP="00EA1E0F">
      <w:pPr>
        <w:pStyle w:val="Para"/>
      </w:pPr>
      <w:r w:rsidRPr="00CD5B58">
        <w:t>Without modifying our opinion on the financial statements, we have considered it necessary to include an emphasis of matter paragraph to draw attention to [</w:t>
      </w:r>
      <w:r w:rsidRPr="00CD5B58">
        <w:rPr>
          <w:color w:val="0000FF"/>
        </w:rPr>
        <w:t>indicate the matter requiring emphasis</w:t>
      </w:r>
      <w:r w:rsidRPr="00CD5B58">
        <w:t>]. Please refer to the draft independent auditor’s report in Appendix A for the proposed wording of the emphasis of matter paragraph.</w:t>
      </w:r>
    </w:p>
    <w:p w14:paraId="67347D6E" w14:textId="77777777" w:rsidR="00EA1E0F" w:rsidRPr="00E95D25" w:rsidRDefault="00EA1E0F" w:rsidP="00AD46BB">
      <w:pPr>
        <w:pStyle w:val="Heading3"/>
      </w:pPr>
      <w:r w:rsidRPr="00E95D25">
        <w:t>Other matter paragraph [</w:t>
      </w:r>
      <w:r w:rsidRPr="00AD46BB">
        <w:rPr>
          <w:color w:val="0000FF"/>
        </w:rPr>
        <w:t>if applicable</w:t>
      </w:r>
      <w:r w:rsidRPr="00E95D25">
        <w:t>]</w:t>
      </w:r>
    </w:p>
    <w:p w14:paraId="63BCE0BE" w14:textId="77777777" w:rsidR="00EA1E0F" w:rsidRPr="00E95D25" w:rsidRDefault="00EA1E0F" w:rsidP="00EA1E0F">
      <w:pPr>
        <w:pStyle w:val="Para"/>
      </w:pPr>
      <w:r w:rsidRPr="00E95D25">
        <w:t xml:space="preserve">An </w:t>
      </w:r>
      <w:r>
        <w:t>“</w:t>
      </w:r>
      <w:r w:rsidRPr="00E95D25">
        <w:t>other matter</w:t>
      </w:r>
      <w:r>
        <w:t>”</w:t>
      </w:r>
      <w:r w:rsidRPr="00E95D25">
        <w:t xml:space="preserve"> paragraph in the </w:t>
      </w:r>
      <w:r>
        <w:t xml:space="preserve">independent </w:t>
      </w:r>
      <w:r w:rsidRPr="00E95D25">
        <w:t>auditor</w:t>
      </w:r>
      <w:r>
        <w:t>’</w:t>
      </w:r>
      <w:r w:rsidRPr="00E95D25">
        <w:t>s report refers to matters other than those presented or disclosed in the financial statements that, in the auditor</w:t>
      </w:r>
      <w:r>
        <w:t>’</w:t>
      </w:r>
      <w:r w:rsidRPr="00E95D25">
        <w:t xml:space="preserve">s judgment, are relevant to </w:t>
      </w:r>
      <w:r>
        <w:t xml:space="preserve">users’ </w:t>
      </w:r>
      <w:r w:rsidRPr="00E95D25">
        <w:t xml:space="preserve">understanding </w:t>
      </w:r>
      <w:r>
        <w:t xml:space="preserve">of </w:t>
      </w:r>
      <w:r w:rsidRPr="00E95D25">
        <w:t>the audit, the auditor</w:t>
      </w:r>
      <w:r>
        <w:t>’</w:t>
      </w:r>
      <w:r w:rsidRPr="00E95D25">
        <w:t>s responsibilities</w:t>
      </w:r>
      <w:r>
        <w:t>,</w:t>
      </w:r>
      <w:r w:rsidRPr="00E95D25">
        <w:t xml:space="preserve"> or the </w:t>
      </w:r>
      <w:r>
        <w:t xml:space="preserve">independent </w:t>
      </w:r>
      <w:r w:rsidRPr="00E95D25">
        <w:t>auditor</w:t>
      </w:r>
      <w:r>
        <w:t>’</w:t>
      </w:r>
      <w:r w:rsidRPr="00E95D25">
        <w:t>s report.</w:t>
      </w:r>
    </w:p>
    <w:p w14:paraId="6006B58F" w14:textId="77777777" w:rsidR="001C0316" w:rsidRDefault="00EA1E0F" w:rsidP="00AD46BB">
      <w:pPr>
        <w:pStyle w:val="Para"/>
      </w:pPr>
      <w:r w:rsidRPr="00E95D25">
        <w:t xml:space="preserve">Without modifying our opinion on the financial statements, we have included an </w:t>
      </w:r>
      <w:r>
        <w:t>“</w:t>
      </w:r>
      <w:r w:rsidRPr="00E95D25">
        <w:t>other matter</w:t>
      </w:r>
      <w:r>
        <w:t>”</w:t>
      </w:r>
      <w:r w:rsidRPr="00E95D25">
        <w:t xml:space="preserve"> paragraph related to [</w:t>
      </w:r>
      <w:r w:rsidRPr="00AD46BB">
        <w:rPr>
          <w:color w:val="0000FF"/>
          <w:szCs w:val="24"/>
        </w:rPr>
        <w:t>state the matter</w:t>
      </w:r>
      <w:r w:rsidRPr="00E95D25">
        <w:t xml:space="preserve">]. Please refer to the draft </w:t>
      </w:r>
      <w:r>
        <w:t xml:space="preserve">independent </w:t>
      </w:r>
      <w:r w:rsidRPr="00E95D25">
        <w:t>auditor</w:t>
      </w:r>
      <w:r>
        <w:t>’</w:t>
      </w:r>
      <w:r w:rsidRPr="00E95D25">
        <w:t xml:space="preserve">s report </w:t>
      </w:r>
      <w:r>
        <w:t>in</w:t>
      </w:r>
      <w:r w:rsidRPr="00E95D25">
        <w:t xml:space="preserve"> </w:t>
      </w:r>
      <w:r>
        <w:t>Appendix </w:t>
      </w:r>
      <w:r w:rsidRPr="00E95D25">
        <w:t>A for the proposed wording of the other matter paragraph.</w:t>
      </w:r>
    </w:p>
    <w:p w14:paraId="7C70154C" w14:textId="77777777" w:rsidR="001C0316" w:rsidRPr="00E95D25" w:rsidRDefault="001C0316" w:rsidP="001C0316">
      <w:pPr>
        <w:pStyle w:val="Heading3"/>
      </w:pPr>
      <w:r>
        <w:t>Key audit matters</w:t>
      </w:r>
      <w:r w:rsidRPr="00E95D25">
        <w:t xml:space="preserve"> [</w:t>
      </w:r>
      <w:r w:rsidRPr="00AD46BB">
        <w:rPr>
          <w:color w:val="0000FF"/>
        </w:rPr>
        <w:t>if applicable</w:t>
      </w:r>
      <w:r w:rsidRPr="00E95D25">
        <w:t>]</w:t>
      </w:r>
    </w:p>
    <w:p w14:paraId="72EE0974" w14:textId="4641707B" w:rsidR="00787FCE" w:rsidRDefault="001C0316" w:rsidP="00AD46BB">
      <w:pPr>
        <w:pStyle w:val="Para"/>
      </w:pPr>
      <w:r>
        <w:t>The draft auditor’s report in Appendix A</w:t>
      </w:r>
      <w:r w:rsidR="00787FCE">
        <w:t xml:space="preserve"> includes the following key audit matters:</w:t>
      </w:r>
    </w:p>
    <w:p w14:paraId="30EDA94B" w14:textId="77777777" w:rsidR="00787FCE" w:rsidRPr="00102075" w:rsidRDefault="00787FCE" w:rsidP="006D6421">
      <w:pPr>
        <w:pStyle w:val="ParaBullet"/>
      </w:pPr>
      <w:r w:rsidRPr="00CD5B58">
        <w:t>[</w:t>
      </w:r>
      <w:r w:rsidRPr="006D6421">
        <w:rPr>
          <w:color w:val="0000FF"/>
        </w:rPr>
        <w:t>List matters</w:t>
      </w:r>
      <w:r w:rsidRPr="00CD5B58">
        <w:t>].</w:t>
      </w:r>
    </w:p>
    <w:p w14:paraId="2884695B" w14:textId="77777777" w:rsidR="00787FCE" w:rsidRDefault="00787FCE">
      <w:pPr>
        <w:pStyle w:val="Para"/>
        <w:rPr>
          <w:b/>
          <w:color w:val="0000FF"/>
          <w:szCs w:val="28"/>
        </w:rPr>
      </w:pPr>
      <w:r w:rsidRPr="006D6421">
        <w:rPr>
          <w:b/>
          <w:szCs w:val="28"/>
        </w:rPr>
        <w:t>Non-compliance with authorities</w:t>
      </w:r>
      <w:r>
        <w:rPr>
          <w:b/>
          <w:szCs w:val="28"/>
        </w:rPr>
        <w:t xml:space="preserve"> </w:t>
      </w:r>
      <w:r w:rsidRPr="006D6421">
        <w:rPr>
          <w:b/>
        </w:rPr>
        <w:t>[</w:t>
      </w:r>
      <w:r w:rsidRPr="006D6421">
        <w:rPr>
          <w:b/>
          <w:color w:val="0000FF"/>
          <w:szCs w:val="28"/>
        </w:rPr>
        <w:t>if applicable</w:t>
      </w:r>
      <w:r w:rsidRPr="006D6421">
        <w:rPr>
          <w:b/>
          <w:szCs w:val="28"/>
        </w:rPr>
        <w:t>]</w:t>
      </w:r>
    </w:p>
    <w:p w14:paraId="7ACA89FE" w14:textId="77777777" w:rsidR="00CA1AC3" w:rsidRDefault="00CA1AC3" w:rsidP="00CA1AC3">
      <w:pPr>
        <w:pStyle w:val="Para"/>
      </w:pPr>
      <w:r w:rsidRPr="00A93E1F">
        <w:t>[</w:t>
      </w:r>
      <w:r w:rsidRPr="006D6421">
        <w:rPr>
          <w:color w:val="0000FF"/>
        </w:rPr>
        <w:t>I</w:t>
      </w:r>
      <w:r w:rsidRPr="00806D5B">
        <w:rPr>
          <w:color w:val="0000FF"/>
        </w:rPr>
        <w:t>f non</w:t>
      </w:r>
      <w:r w:rsidRPr="00806D5B">
        <w:rPr>
          <w:color w:val="0000FF"/>
        </w:rPr>
        <w:noBreakHyphen/>
        <w:t>compliance has been found</w:t>
      </w:r>
      <w:r w:rsidRPr="00A93E1F">
        <w:t>]</w:t>
      </w:r>
    </w:p>
    <w:p w14:paraId="471CCF7B" w14:textId="5784E6B0" w:rsidR="004D00F4" w:rsidRDefault="00CA1AC3">
      <w:pPr>
        <w:pStyle w:val="Para"/>
        <w:rPr>
          <w:rFonts w:ascii="Myriad Pro" w:hAnsi="Myriad Pro"/>
          <w:b/>
          <w:color w:val="018B8F"/>
          <w:sz w:val="44"/>
          <w:szCs w:val="30"/>
        </w:rPr>
      </w:pPr>
      <w:r>
        <w:t>W</w:t>
      </w:r>
      <w:r w:rsidRPr="00E95D25">
        <w:t>ithout qualifying our opinion on the financial statements, we will report the following instance of n</w:t>
      </w:r>
      <w:r>
        <w:t>on</w:t>
      </w:r>
      <w:r>
        <w:noBreakHyphen/>
      </w:r>
      <w:r w:rsidRPr="00E95D25">
        <w:t>compliance [</w:t>
      </w:r>
      <w:r w:rsidRPr="0030130C">
        <w:rPr>
          <w:color w:val="0000FF"/>
        </w:rPr>
        <w:t xml:space="preserve">or legislative </w:t>
      </w:r>
      <w:r w:rsidRPr="00E95D25">
        <w:rPr>
          <w:color w:val="0000FF"/>
          <w:szCs w:val="24"/>
        </w:rPr>
        <w:t>other matter</w:t>
      </w:r>
      <w:r w:rsidRPr="00E95D25">
        <w:t>]. [</w:t>
      </w:r>
      <w:r w:rsidRPr="00806D5B">
        <w:rPr>
          <w:color w:val="0000FF"/>
          <w:szCs w:val="24"/>
        </w:rPr>
        <w:t>Briefly describe the non</w:t>
      </w:r>
      <w:r w:rsidRPr="00806D5B">
        <w:rPr>
          <w:color w:val="0000FF"/>
          <w:szCs w:val="24"/>
        </w:rPr>
        <w:noBreakHyphen/>
        <w:t>compliance or legislative other matter to be reported.</w:t>
      </w:r>
      <w:r w:rsidRPr="00E95D25">
        <w:t xml:space="preserve">] </w:t>
      </w:r>
    </w:p>
    <w:p w14:paraId="3750856A" w14:textId="77777777" w:rsidR="004D00F4" w:rsidRDefault="00AD46BB" w:rsidP="004D00F4">
      <w:pPr>
        <w:pStyle w:val="Heading1"/>
      </w:pPr>
      <w:bookmarkStart w:id="33" w:name="_Toc102134024"/>
      <w:r>
        <w:lastRenderedPageBreak/>
        <w:t>Supplemental guidance </w:t>
      </w:r>
      <w:r w:rsidR="0037502F" w:rsidRPr="0037502F">
        <w:t>C—Significant matters arising from the audit</w:t>
      </w:r>
      <w:bookmarkEnd w:id="33"/>
    </w:p>
    <w:p w14:paraId="271B0448" w14:textId="5673F80F" w:rsidR="0037502F" w:rsidRPr="00AD46BB" w:rsidRDefault="0037502F" w:rsidP="0037502F">
      <w:pPr>
        <w:pStyle w:val="instructionspara"/>
      </w:pPr>
      <w:r w:rsidRPr="00EC454A">
        <w:t>[</w:t>
      </w:r>
      <w:r w:rsidRPr="00AD46BB">
        <w:rPr>
          <w:color w:val="0000FF"/>
        </w:rPr>
        <w:t xml:space="preserve">Discuss any other significant matters arising from the audit that are directly relevant to the Audit Committee. </w:t>
      </w:r>
    </w:p>
    <w:p w14:paraId="528010A7" w14:textId="77777777" w:rsidR="0037502F" w:rsidRPr="00AD46BB" w:rsidRDefault="0037502F" w:rsidP="0037502F">
      <w:pPr>
        <w:pStyle w:val="instructionspara"/>
      </w:pPr>
      <w:r w:rsidRPr="00AD46BB">
        <w:rPr>
          <w:color w:val="0000FF"/>
        </w:rPr>
        <w:t>This may include such matters as</w:t>
      </w:r>
    </w:p>
    <w:p w14:paraId="160BAFFC" w14:textId="77777777" w:rsidR="0037502F" w:rsidRPr="00AD46BB" w:rsidRDefault="0037502F" w:rsidP="0037502F">
      <w:pPr>
        <w:pStyle w:val="ParaBullet"/>
      </w:pPr>
      <w:r w:rsidRPr="00AD46BB">
        <w:rPr>
          <w:color w:val="0000FF"/>
        </w:rPr>
        <w:t>business conditions that affect the entity and business plans and strategies that may affect the risks of material misstatement</w:t>
      </w:r>
    </w:p>
    <w:p w14:paraId="596B1DCD" w14:textId="77777777" w:rsidR="0037502F" w:rsidRPr="00AD46BB" w:rsidRDefault="0037502F" w:rsidP="0037502F">
      <w:pPr>
        <w:pStyle w:val="ParaBullet"/>
      </w:pPr>
      <w:r w:rsidRPr="00AD46BB">
        <w:rPr>
          <w:color w:val="0000FF"/>
        </w:rPr>
        <w:t>concerns about management’s consultations with other accountants on accounting or auditing matters</w:t>
      </w:r>
    </w:p>
    <w:p w14:paraId="7D6337B5" w14:textId="77777777" w:rsidR="0037502F" w:rsidRPr="00AD46BB" w:rsidRDefault="0037502F" w:rsidP="0037502F">
      <w:pPr>
        <w:pStyle w:val="ParaBullet"/>
      </w:pPr>
      <w:r w:rsidRPr="00AD46BB">
        <w:rPr>
          <w:color w:val="0000FF"/>
        </w:rPr>
        <w:t>discussions or correspondence about the auditor’s initial or recurring appointment regarding accounting practices and the application of auditing standards</w:t>
      </w:r>
    </w:p>
    <w:p w14:paraId="625D0CB8" w14:textId="77777777" w:rsidR="0037502F" w:rsidRPr="007B0BBC" w:rsidRDefault="0037502F" w:rsidP="0037502F">
      <w:pPr>
        <w:pStyle w:val="ParaBullet"/>
      </w:pPr>
      <w:r w:rsidRPr="00AD46BB">
        <w:rPr>
          <w:color w:val="0000FF"/>
        </w:rPr>
        <w:t>material misstatements of fact or material inconsistencies in information accompanying the audited financial statements that have been corrected</w:t>
      </w:r>
      <w:r w:rsidRPr="00EE0753">
        <w:t>]</w:t>
      </w:r>
    </w:p>
    <w:p w14:paraId="26BDD353" w14:textId="77777777" w:rsidR="0037502F" w:rsidRPr="00924E79" w:rsidRDefault="0037502F" w:rsidP="0037502F">
      <w:pPr>
        <w:pStyle w:val="Para"/>
      </w:pPr>
      <w:r w:rsidRPr="00924E79">
        <w:t>We have identified and discussed with management the following matter(s) that we believe may be significant to the Audit Committee</w:t>
      </w:r>
      <w:r>
        <w:t>’</w:t>
      </w:r>
      <w:r w:rsidRPr="00924E79">
        <w:t>s oversight of the financial reporting process:</w:t>
      </w:r>
    </w:p>
    <w:p w14:paraId="5B60E0E1" w14:textId="77777777" w:rsidR="0037502F" w:rsidRPr="00397751" w:rsidRDefault="0037502F" w:rsidP="0037502F">
      <w:pPr>
        <w:pStyle w:val="Heading4"/>
      </w:pPr>
      <w:r w:rsidRPr="00397751">
        <w:t>N</w:t>
      </w:r>
      <w:r>
        <w:t>on</w:t>
      </w:r>
      <w:r>
        <w:noBreakHyphen/>
      </w:r>
      <w:r w:rsidRPr="00397751">
        <w:t>compliance with laws and regulations [</w:t>
      </w:r>
      <w:r w:rsidRPr="00AD46BB">
        <w:rPr>
          <w:color w:val="0000FF"/>
        </w:rPr>
        <w:t>if applicable</w:t>
      </w:r>
      <w:r w:rsidRPr="00397751">
        <w:t>]</w:t>
      </w:r>
    </w:p>
    <w:p w14:paraId="2EA00DC0" w14:textId="77777777" w:rsidR="0037502F" w:rsidRDefault="0037502F" w:rsidP="0037502F">
      <w:pPr>
        <w:pStyle w:val="instructionspara"/>
      </w:pPr>
      <w:r w:rsidRPr="00A61447">
        <w:t>[</w:t>
      </w:r>
      <w:r w:rsidRPr="00AD46BB">
        <w:rPr>
          <w:i/>
          <w:color w:val="0000FF"/>
        </w:rPr>
        <w:t>When applicable, communicate matters involving non</w:t>
      </w:r>
      <w:r w:rsidRPr="00AD46BB">
        <w:rPr>
          <w:i/>
          <w:color w:val="0000FF"/>
        </w:rPr>
        <w:noBreakHyphen/>
        <w:t>compliance with laws and regulations that came to your attention during the course of the audit, other than when the matters are clearly inconsequential.</w:t>
      </w:r>
      <w:r w:rsidRPr="00A61447">
        <w:t>]</w:t>
      </w:r>
    </w:p>
    <w:p w14:paraId="4D3C5BCF" w14:textId="77777777" w:rsidR="0037502F" w:rsidRPr="00397751" w:rsidRDefault="0037502F" w:rsidP="00AD46BB">
      <w:pPr>
        <w:pStyle w:val="Heading3"/>
      </w:pPr>
      <w:r w:rsidRPr="00397751">
        <w:t>Related</w:t>
      </w:r>
      <w:r>
        <w:t>-</w:t>
      </w:r>
      <w:r w:rsidRPr="00397751">
        <w:t>party transactions [</w:t>
      </w:r>
      <w:r w:rsidRPr="00AD46BB">
        <w:rPr>
          <w:color w:val="0000FF"/>
        </w:rPr>
        <w:t>if applicable</w:t>
      </w:r>
      <w:r w:rsidRPr="00397751">
        <w:t>]</w:t>
      </w:r>
    </w:p>
    <w:p w14:paraId="1F9B04F8" w14:textId="77777777" w:rsidR="0037502F" w:rsidRPr="00E41220" w:rsidRDefault="0037502F" w:rsidP="0037502F">
      <w:pPr>
        <w:pStyle w:val="Para"/>
      </w:pPr>
      <w:r w:rsidRPr="00E41220">
        <w:t>During the course of our audit, we identified the following significant matters in connection with the entity</w:t>
      </w:r>
      <w:r>
        <w:t>’</w:t>
      </w:r>
      <w:r w:rsidRPr="00E41220">
        <w:t>s related parties:</w:t>
      </w:r>
    </w:p>
    <w:p w14:paraId="191A5FBC" w14:textId="77777777" w:rsidR="0037502F" w:rsidRPr="00AD46BB" w:rsidRDefault="0037502F" w:rsidP="0037502F">
      <w:pPr>
        <w:pStyle w:val="instructionspara"/>
      </w:pPr>
      <w:r w:rsidRPr="00DC5B3C">
        <w:t>[</w:t>
      </w:r>
      <w:r w:rsidRPr="00AD46BB">
        <w:rPr>
          <w:color w:val="0000FF"/>
        </w:rPr>
        <w:t>Examples of significant related-party matters include</w:t>
      </w:r>
    </w:p>
    <w:p w14:paraId="23D76745" w14:textId="77777777" w:rsidR="0037502F" w:rsidRPr="00AD46BB" w:rsidRDefault="0037502F" w:rsidP="0037502F">
      <w:pPr>
        <w:pStyle w:val="ParaBullet"/>
      </w:pPr>
      <w:r w:rsidRPr="00AD46BB">
        <w:rPr>
          <w:color w:val="0000FF"/>
        </w:rPr>
        <w:t>non</w:t>
      </w:r>
      <w:r w:rsidRPr="00AD46BB">
        <w:rPr>
          <w:color w:val="0000FF"/>
        </w:rPr>
        <w:noBreakHyphen/>
        <w:t>disclosure (whether intentional or not) by management to the auditor of related parties or significant related-party transactions</w:t>
      </w:r>
    </w:p>
    <w:p w14:paraId="19A18FD8" w14:textId="77777777" w:rsidR="0037502F" w:rsidRPr="00AD46BB" w:rsidRDefault="0037502F" w:rsidP="0037502F">
      <w:pPr>
        <w:pStyle w:val="ParaBullet"/>
      </w:pPr>
      <w:r w:rsidRPr="00AD46BB">
        <w:rPr>
          <w:color w:val="0000FF"/>
        </w:rPr>
        <w:t>the identification of significant related-party transactions that have not been appropriately authorized and approved, which may give rise to suspected fraud</w:t>
      </w:r>
    </w:p>
    <w:p w14:paraId="661819C6" w14:textId="77777777" w:rsidR="0037502F" w:rsidRPr="008E7664" w:rsidRDefault="0037502F" w:rsidP="0037502F">
      <w:pPr>
        <w:pStyle w:val="ParaBullet"/>
        <w:rPr>
          <w:i/>
        </w:rPr>
      </w:pPr>
      <w:r w:rsidRPr="00AD46BB">
        <w:rPr>
          <w:color w:val="0000FF"/>
        </w:rPr>
        <w:t>disagreement with management regarding the accounting for and disclosure of significant related-party transactions in accordance with the applicable financial reporting framework</w:t>
      </w:r>
    </w:p>
    <w:p w14:paraId="45A1A5A2" w14:textId="77777777" w:rsidR="0037502F" w:rsidRPr="00AD46BB" w:rsidRDefault="0037502F" w:rsidP="0037502F">
      <w:pPr>
        <w:pStyle w:val="ParaBullet"/>
      </w:pPr>
      <w:r w:rsidRPr="00AD46BB">
        <w:rPr>
          <w:color w:val="0000FF"/>
        </w:rPr>
        <w:lastRenderedPageBreak/>
        <w:t>non</w:t>
      </w:r>
      <w:r w:rsidRPr="00AD46BB">
        <w:rPr>
          <w:color w:val="0000FF"/>
        </w:rPr>
        <w:noBreakHyphen/>
        <w:t>compliance with applicable law or regulations prohibiting or restricting specific types of related-party transactions</w:t>
      </w:r>
    </w:p>
    <w:p w14:paraId="655C167C" w14:textId="77777777" w:rsidR="0037502F" w:rsidRPr="00A61447" w:rsidRDefault="0037502F" w:rsidP="0037502F">
      <w:pPr>
        <w:pStyle w:val="ParaBullet"/>
      </w:pPr>
      <w:r w:rsidRPr="00AD46BB">
        <w:rPr>
          <w:color w:val="0000FF"/>
        </w:rPr>
        <w:t>difficulties in identifying the party that ultimately controls the entity</w:t>
      </w:r>
      <w:r w:rsidRPr="00EE0753">
        <w:t>]</w:t>
      </w:r>
    </w:p>
    <w:p w14:paraId="18D77CB3" w14:textId="77777777" w:rsidR="0037502F" w:rsidRPr="00E41220" w:rsidRDefault="0037502F" w:rsidP="00AD46BB">
      <w:pPr>
        <w:pStyle w:val="Heading3"/>
      </w:pPr>
      <w:r w:rsidRPr="00E41220">
        <w:t>Going concern—significant doubt [</w:t>
      </w:r>
      <w:r w:rsidRPr="00AD46BB">
        <w:rPr>
          <w:color w:val="0000FF"/>
        </w:rPr>
        <w:t>if applicable</w:t>
      </w:r>
      <w:r w:rsidRPr="00E41220">
        <w:t>]</w:t>
      </w:r>
    </w:p>
    <w:p w14:paraId="1DD796DA" w14:textId="77777777" w:rsidR="0037502F" w:rsidRPr="00E41220" w:rsidRDefault="0037502F" w:rsidP="0037502F">
      <w:pPr>
        <w:pStyle w:val="Para"/>
      </w:pPr>
      <w:r w:rsidRPr="00E41220">
        <w:t>During the course of our audit, the following events or conditions were identified that may cast significant doubt on the entity</w:t>
      </w:r>
      <w:r>
        <w:t>’</w:t>
      </w:r>
      <w:r w:rsidRPr="00E41220">
        <w:t>s ability to continue as a going concern</w:t>
      </w:r>
      <w:r>
        <w:t>:</w:t>
      </w:r>
    </w:p>
    <w:p w14:paraId="72C2E908" w14:textId="77777777" w:rsidR="0037502F" w:rsidRPr="00AD46BB" w:rsidRDefault="0037502F" w:rsidP="0037502F">
      <w:pPr>
        <w:pStyle w:val="instructionspara"/>
      </w:pPr>
      <w:r w:rsidRPr="00DC5B3C">
        <w:t>[</w:t>
      </w:r>
      <w:r w:rsidRPr="00AD46BB">
        <w:rPr>
          <w:color w:val="0000FF"/>
        </w:rPr>
        <w:t>Include in the description of the events</w:t>
      </w:r>
    </w:p>
    <w:p w14:paraId="3A72CED1" w14:textId="77777777" w:rsidR="0037502F" w:rsidRPr="00AD46BB" w:rsidRDefault="0037502F" w:rsidP="0037502F">
      <w:pPr>
        <w:pStyle w:val="ParaBullet"/>
      </w:pPr>
      <w:r w:rsidRPr="00AD46BB">
        <w:rPr>
          <w:color w:val="0000FF"/>
        </w:rPr>
        <w:t>whether the events or conditions constitute a material uncertainty</w:t>
      </w:r>
    </w:p>
    <w:p w14:paraId="61750BF4" w14:textId="77777777" w:rsidR="0037502F" w:rsidRPr="00AD46BB" w:rsidRDefault="0037502F" w:rsidP="0037502F">
      <w:pPr>
        <w:pStyle w:val="ParaBullet"/>
      </w:pPr>
      <w:r w:rsidRPr="00AD46BB">
        <w:rPr>
          <w:color w:val="0000FF"/>
        </w:rPr>
        <w:t>whether the use of the going concern assumption is appropriate in the preparation of the financial statements</w:t>
      </w:r>
    </w:p>
    <w:p w14:paraId="62587C49" w14:textId="77777777" w:rsidR="0037502F" w:rsidRPr="00AD46BB" w:rsidRDefault="0037502F" w:rsidP="0037502F">
      <w:pPr>
        <w:pStyle w:val="ParaBullet"/>
      </w:pPr>
      <w:r w:rsidRPr="00AD46BB">
        <w:rPr>
          <w:color w:val="0000FF"/>
        </w:rPr>
        <w:t>the adequacy of related disclosures in the financial statements</w:t>
      </w:r>
    </w:p>
    <w:p w14:paraId="77A4E4E4" w14:textId="77777777" w:rsidR="0037502F" w:rsidRPr="00E41220" w:rsidRDefault="0037502F" w:rsidP="0037502F">
      <w:pPr>
        <w:pStyle w:val="ParaBullet"/>
      </w:pPr>
      <w:r w:rsidRPr="00AD46BB">
        <w:rPr>
          <w:color w:val="0000FF"/>
        </w:rPr>
        <w:t>if applicable, the implications for the auditor’s report</w:t>
      </w:r>
      <w:r w:rsidRPr="00EE0753">
        <w:t>]</w:t>
      </w:r>
    </w:p>
    <w:p w14:paraId="0BEE0002" w14:textId="77777777" w:rsidR="0037502F" w:rsidRPr="00E41220" w:rsidRDefault="0037502F" w:rsidP="00AD46BB">
      <w:pPr>
        <w:pStyle w:val="Heading3"/>
      </w:pPr>
      <w:r w:rsidRPr="00E41220">
        <w:t>Work of the component auditor(s) [</w:t>
      </w:r>
      <w:r w:rsidRPr="00AD46BB">
        <w:rPr>
          <w:color w:val="0000FF"/>
        </w:rPr>
        <w:t>if applicable</w:t>
      </w:r>
      <w:r w:rsidRPr="00E41220">
        <w:t>]</w:t>
      </w:r>
    </w:p>
    <w:p w14:paraId="448305E6" w14:textId="77777777" w:rsidR="0037502F" w:rsidRPr="00AD46BB" w:rsidRDefault="0037502F" w:rsidP="005F6AA4">
      <w:pPr>
        <w:pStyle w:val="ParaBullet"/>
        <w:rPr>
          <w:rFonts w:cs="Times New Roman"/>
        </w:rPr>
      </w:pPr>
      <w:r w:rsidRPr="00E0242E">
        <w:t>[</w:t>
      </w:r>
      <w:r w:rsidRPr="00AD46BB">
        <w:rPr>
          <w:color w:val="0000FF"/>
        </w:rPr>
        <w:t>Communicate instances where the group engagement team’s evaluation of the component auditor’s work gave rise to concern about the quality of the component auditor’s work.</w:t>
      </w:r>
    </w:p>
    <w:p w14:paraId="718612BB" w14:textId="77777777" w:rsidR="0037502F" w:rsidRPr="00AD46BB" w:rsidRDefault="0037502F" w:rsidP="005F6AA4">
      <w:pPr>
        <w:pStyle w:val="ParaBullet"/>
        <w:rPr>
          <w:rFonts w:cs="Times New Roman"/>
        </w:rPr>
      </w:pPr>
      <w:r w:rsidRPr="00AD46BB">
        <w:rPr>
          <w:color w:val="0000FF"/>
        </w:rPr>
        <w:t>Communicate any limitations on the group audit—for example, where the group engagement team’s access to information may have been restricted.</w:t>
      </w:r>
    </w:p>
    <w:p w14:paraId="3F898965" w14:textId="77777777" w:rsidR="0037502F" w:rsidRPr="002464CE" w:rsidRDefault="0037502F" w:rsidP="005F6AA4">
      <w:pPr>
        <w:pStyle w:val="ParaBullet"/>
        <w:rPr>
          <w:rFonts w:cs="Times New Roman"/>
        </w:rPr>
      </w:pPr>
      <w:r w:rsidRPr="00AD46BB">
        <w:rPr>
          <w:color w:val="0000FF"/>
        </w:rPr>
        <w:t>Communicate fraud or suspected fraud involving group management, component management, employees who have significant roles in group-wide controls, or others where the fraud resulted in material misstatement of the group financial statements.</w:t>
      </w:r>
      <w:r w:rsidRPr="00EC454A">
        <w:t>]</w:t>
      </w:r>
    </w:p>
    <w:sectPr w:rsidR="0037502F" w:rsidRPr="002464CE" w:rsidSect="005311EE">
      <w:footerReference w:type="default" r:id="rId16"/>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55C9" w14:textId="77777777" w:rsidR="00622BE4" w:rsidRDefault="00622BE4">
      <w:r>
        <w:separator/>
      </w:r>
    </w:p>
  </w:endnote>
  <w:endnote w:type="continuationSeparator" w:id="0">
    <w:p w14:paraId="05BB6FED" w14:textId="77777777" w:rsidR="00622BE4" w:rsidRDefault="0062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4738" w14:textId="77777777" w:rsidR="00EA1E0F" w:rsidRPr="00821148" w:rsidRDefault="00EA1E0F" w:rsidP="005311EE">
    <w:pPr>
      <w:jc w:val="right"/>
      <w:rPr>
        <w:sz w:val="20"/>
      </w:rPr>
    </w:pPr>
    <w:r w:rsidRPr="00821148">
      <w:rPr>
        <w:sz w:val="20"/>
      </w:rPr>
      <w:fldChar w:fldCharType="begin"/>
    </w:r>
    <w:r w:rsidRPr="00821148">
      <w:rPr>
        <w:sz w:val="20"/>
      </w:rPr>
      <w:instrText xml:space="preserve"> PAGE   \* MERGEFORMAT </w:instrText>
    </w:r>
    <w:r w:rsidRPr="00821148">
      <w:rPr>
        <w:sz w:val="20"/>
      </w:rPr>
      <w:fldChar w:fldCharType="separate"/>
    </w:r>
    <w:r>
      <w:rPr>
        <w:noProof/>
        <w:sz w:val="20"/>
      </w:rPr>
      <w:t>4</w:t>
    </w:r>
    <w:r w:rsidRPr="0082114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93AE" w14:textId="77777777" w:rsidR="00EA1E0F" w:rsidRDefault="00EA1E0F" w:rsidP="005311E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469B6" w14:textId="77777777" w:rsidR="00EA1E0F" w:rsidRDefault="00EA1E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01BA0" w14:textId="77777777" w:rsidR="00EA1E0F" w:rsidRDefault="00EA1E0F" w:rsidP="005311EE">
    <w:pPr>
      <w:jc w:val="right"/>
    </w:pPr>
    <w:r>
      <w:fldChar w:fldCharType="begin"/>
    </w:r>
    <w:r>
      <w:instrText xml:space="preserve"> PAGE   \* MERGEFORMAT </w:instrText>
    </w:r>
    <w:r>
      <w:fldChar w:fldCharType="separate"/>
    </w:r>
    <w:r>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9260" w14:textId="77777777" w:rsidR="00EA1E0F" w:rsidRDefault="00EA1E0F" w:rsidP="005311EE">
    <w:pPr>
      <w:jc w:val="right"/>
    </w:pPr>
    <w:r>
      <w:fldChar w:fldCharType="begin"/>
    </w:r>
    <w:r>
      <w:instrText xml:space="preserve"> PAGE   \* MERGEFORMAT </w:instrText>
    </w:r>
    <w:r>
      <w:fldChar w:fldCharType="separate"/>
    </w:r>
    <w:r w:rsidR="002E5A09">
      <w:rPr>
        <w:noProof/>
      </w:rPr>
      <w:t>13</w:t>
    </w:r>
    <w:r>
      <w:rPr>
        <w:noProof/>
      </w:rPr>
      <w:fldChar w:fldCharType="end"/>
    </w:r>
  </w:p>
  <w:p w14:paraId="6C5A5852" w14:textId="77777777" w:rsidR="00EA1E0F" w:rsidRDefault="00EA1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A423" w14:textId="77777777" w:rsidR="00622BE4" w:rsidRDefault="00622BE4">
      <w:r>
        <w:separator/>
      </w:r>
    </w:p>
  </w:footnote>
  <w:footnote w:type="continuationSeparator" w:id="0">
    <w:p w14:paraId="09C8CF5E" w14:textId="77777777" w:rsidR="00622BE4" w:rsidRDefault="0062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1BA" w14:textId="77777777" w:rsidR="00EA1E0F" w:rsidRDefault="00EA1E0F" w:rsidP="00F5295E">
    <w:pPr>
      <w:pStyle w:val="Header"/>
      <w:jc w:val="right"/>
    </w:pPr>
    <w:r>
      <w:rPr>
        <w:rFonts w:cs="Arial"/>
        <w:b/>
        <w:lang w:val="fr-CA"/>
      </w:rPr>
      <w:t>PROTÉGÉ A (lorsque rempli)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6931" w14:textId="77777777" w:rsidR="00EA1E0F" w:rsidRDefault="00EA1E0F" w:rsidP="00F5295E">
    <w:pPr>
      <w:pStyle w:val="Header"/>
      <w:jc w:val="right"/>
    </w:pPr>
    <w:r>
      <w:rPr>
        <w:rFonts w:cs="Arial"/>
        <w:b/>
        <w:lang w:val="fr-CA"/>
      </w:rPr>
      <w:t>PROTECTED A (when completed)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430E" w14:textId="77777777" w:rsidR="00EA1E0F" w:rsidRPr="00F5295E" w:rsidRDefault="00EA1E0F" w:rsidP="00F52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0A5F"/>
    <w:multiLevelType w:val="hybridMultilevel"/>
    <w:tmpl w:val="F9666D4E"/>
    <w:lvl w:ilvl="0" w:tplc="CF0470F0">
      <w:start w:val="1"/>
      <w:numFmt w:val="bullet"/>
      <w:pStyle w:val="T4-TableBullet2"/>
      <w:lvlText w:val="}"/>
      <w:lvlJc w:val="left"/>
      <w:pPr>
        <w:tabs>
          <w:tab w:val="num" w:pos="360"/>
        </w:tabs>
        <w:ind w:left="360" w:hanging="360"/>
      </w:pPr>
      <w:rPr>
        <w:rFonts w:ascii="Wingdings 3" w:hAnsi="Wingdings 3" w:hint="default"/>
        <w:color w:val="018B8F"/>
        <w:sz w:val="20"/>
        <w:szCs w:val="20"/>
      </w:rPr>
    </w:lvl>
    <w:lvl w:ilvl="1" w:tplc="82682D2E">
      <w:start w:val="1"/>
      <w:numFmt w:val="bullet"/>
      <w:lvlText w:val="o"/>
      <w:lvlJc w:val="left"/>
      <w:pPr>
        <w:tabs>
          <w:tab w:val="num" w:pos="1080"/>
        </w:tabs>
        <w:ind w:left="1080" w:hanging="360"/>
      </w:pPr>
      <w:rPr>
        <w:rFonts w:ascii="Courier New" w:hAnsi="Courier New" w:cs="Courier New" w:hint="default"/>
      </w:rPr>
    </w:lvl>
    <w:lvl w:ilvl="2" w:tplc="9FAE7EF6" w:tentative="1">
      <w:start w:val="1"/>
      <w:numFmt w:val="bullet"/>
      <w:lvlText w:val=""/>
      <w:lvlJc w:val="left"/>
      <w:pPr>
        <w:tabs>
          <w:tab w:val="num" w:pos="1800"/>
        </w:tabs>
        <w:ind w:left="1800" w:hanging="360"/>
      </w:pPr>
      <w:rPr>
        <w:rFonts w:ascii="Wingdings" w:hAnsi="Wingdings" w:hint="default"/>
      </w:rPr>
    </w:lvl>
    <w:lvl w:ilvl="3" w:tplc="3EBC204A" w:tentative="1">
      <w:start w:val="1"/>
      <w:numFmt w:val="bullet"/>
      <w:lvlText w:val=""/>
      <w:lvlJc w:val="left"/>
      <w:pPr>
        <w:tabs>
          <w:tab w:val="num" w:pos="2520"/>
        </w:tabs>
        <w:ind w:left="2520" w:hanging="360"/>
      </w:pPr>
      <w:rPr>
        <w:rFonts w:ascii="Symbol" w:hAnsi="Symbol" w:hint="default"/>
      </w:rPr>
    </w:lvl>
    <w:lvl w:ilvl="4" w:tplc="13ACEB06" w:tentative="1">
      <w:start w:val="1"/>
      <w:numFmt w:val="bullet"/>
      <w:lvlText w:val="o"/>
      <w:lvlJc w:val="left"/>
      <w:pPr>
        <w:tabs>
          <w:tab w:val="num" w:pos="3240"/>
        </w:tabs>
        <w:ind w:left="3240" w:hanging="360"/>
      </w:pPr>
      <w:rPr>
        <w:rFonts w:ascii="Courier New" w:hAnsi="Courier New" w:cs="Courier New" w:hint="default"/>
      </w:rPr>
    </w:lvl>
    <w:lvl w:ilvl="5" w:tplc="F376A988" w:tentative="1">
      <w:start w:val="1"/>
      <w:numFmt w:val="bullet"/>
      <w:lvlText w:val=""/>
      <w:lvlJc w:val="left"/>
      <w:pPr>
        <w:tabs>
          <w:tab w:val="num" w:pos="3960"/>
        </w:tabs>
        <w:ind w:left="3960" w:hanging="360"/>
      </w:pPr>
      <w:rPr>
        <w:rFonts w:ascii="Wingdings" w:hAnsi="Wingdings" w:hint="default"/>
      </w:rPr>
    </w:lvl>
    <w:lvl w:ilvl="6" w:tplc="3A147020" w:tentative="1">
      <w:start w:val="1"/>
      <w:numFmt w:val="bullet"/>
      <w:lvlText w:val=""/>
      <w:lvlJc w:val="left"/>
      <w:pPr>
        <w:tabs>
          <w:tab w:val="num" w:pos="4680"/>
        </w:tabs>
        <w:ind w:left="4680" w:hanging="360"/>
      </w:pPr>
      <w:rPr>
        <w:rFonts w:ascii="Symbol" w:hAnsi="Symbol" w:hint="default"/>
      </w:rPr>
    </w:lvl>
    <w:lvl w:ilvl="7" w:tplc="082CF194" w:tentative="1">
      <w:start w:val="1"/>
      <w:numFmt w:val="bullet"/>
      <w:lvlText w:val="o"/>
      <w:lvlJc w:val="left"/>
      <w:pPr>
        <w:tabs>
          <w:tab w:val="num" w:pos="5400"/>
        </w:tabs>
        <w:ind w:left="5400" w:hanging="360"/>
      </w:pPr>
      <w:rPr>
        <w:rFonts w:ascii="Courier New" w:hAnsi="Courier New" w:cs="Courier New" w:hint="default"/>
      </w:rPr>
    </w:lvl>
    <w:lvl w:ilvl="8" w:tplc="8192563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8F3377"/>
    <w:multiLevelType w:val="hybridMultilevel"/>
    <w:tmpl w:val="1F960694"/>
    <w:lvl w:ilvl="0" w:tplc="F314FB22">
      <w:start w:val="1"/>
      <w:numFmt w:val="bullet"/>
      <w:pStyle w:val="T3-TableBullet1instructions"/>
      <w:lvlText w:val="}"/>
      <w:lvlJc w:val="left"/>
      <w:pPr>
        <w:ind w:left="360" w:hanging="360"/>
      </w:pPr>
      <w:rPr>
        <w:rFonts w:ascii="Wingdings 3" w:hAnsi="Wingdings 3" w:hint="default"/>
        <w:color w:val="018B8F"/>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9F606D"/>
    <w:multiLevelType w:val="hybridMultilevel"/>
    <w:tmpl w:val="A9EE97C6"/>
    <w:lvl w:ilvl="0" w:tplc="1DFA7202">
      <w:start w:val="1"/>
      <w:numFmt w:val="lowerLetter"/>
      <w:pStyle w:val="AlphaList"/>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 w15:restartNumberingAfterBreak="0">
    <w:nsid w:val="2ADF5C0D"/>
    <w:multiLevelType w:val="hybridMultilevel"/>
    <w:tmpl w:val="3DEC1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5" w15:restartNumberingAfterBreak="0">
    <w:nsid w:val="2FFC0669"/>
    <w:multiLevelType w:val="hybridMultilevel"/>
    <w:tmpl w:val="26DC3EB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422C43E1"/>
    <w:multiLevelType w:val="hybridMultilevel"/>
    <w:tmpl w:val="986019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5544112"/>
    <w:multiLevelType w:val="hybridMultilevel"/>
    <w:tmpl w:val="F6104768"/>
    <w:lvl w:ilvl="0" w:tplc="76B6B9F8">
      <w:start w:val="1"/>
      <w:numFmt w:val="bullet"/>
      <w:pStyle w:val="ParaBullet"/>
      <w:lvlText w:val="}"/>
      <w:lvlJc w:val="left"/>
      <w:pPr>
        <w:ind w:left="360" w:hanging="360"/>
      </w:pPr>
      <w:rPr>
        <w:rFonts w:ascii="Wingdings 3" w:hAnsi="Wingdings 3" w:hint="default"/>
        <w:color w:val="018B8F"/>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E7606"/>
    <w:multiLevelType w:val="hybridMultilevel"/>
    <w:tmpl w:val="3B8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E7BB1"/>
    <w:multiLevelType w:val="hybridMultilevel"/>
    <w:tmpl w:val="47FC26AE"/>
    <w:lvl w:ilvl="0" w:tplc="712ADF12">
      <w:start w:val="1"/>
      <w:numFmt w:val="lowerLetter"/>
      <w:lvlText w:val="(%1)"/>
      <w:lvlJc w:val="left"/>
      <w:pPr>
        <w:ind w:left="642" w:hanging="57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0" w15:restartNumberingAfterBreak="0">
    <w:nsid w:val="679A4BC8"/>
    <w:multiLevelType w:val="hybridMultilevel"/>
    <w:tmpl w:val="DE1C9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
  </w:num>
  <w:num w:numId="6">
    <w:abstractNumId w:val="1"/>
  </w:num>
  <w:num w:numId="7">
    <w:abstractNumId w:val="7"/>
  </w:num>
  <w:num w:numId="8">
    <w:abstractNumId w:val="10"/>
  </w:num>
  <w:num w:numId="9">
    <w:abstractNumId w:val="2"/>
  </w:num>
  <w:num w:numId="10">
    <w:abstractNumId w:val="9"/>
  </w:num>
  <w:num w:numId="11">
    <w:abstractNumId w:val="6"/>
  </w:num>
  <w:num w:numId="12">
    <w:abstractNumId w:val="5"/>
  </w:num>
  <w:num w:numId="13">
    <w:abstractNumId w:val="8"/>
  </w:num>
  <w:num w:numId="14">
    <w:abstractNumId w:val="7"/>
  </w:num>
  <w:num w:numId="15">
    <w:abstractNumId w:val="1"/>
  </w:num>
  <w:num w:numId="16">
    <w:abstractNumId w:val="7"/>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F4"/>
    <w:rsid w:val="0002120E"/>
    <w:rsid w:val="000728FE"/>
    <w:rsid w:val="000743DA"/>
    <w:rsid w:val="00084BCD"/>
    <w:rsid w:val="000853E0"/>
    <w:rsid w:val="00091D48"/>
    <w:rsid w:val="000D5D4D"/>
    <w:rsid w:val="000D7218"/>
    <w:rsid w:val="00102075"/>
    <w:rsid w:val="0014487D"/>
    <w:rsid w:val="001A0FD8"/>
    <w:rsid w:val="001B3A94"/>
    <w:rsid w:val="001C0316"/>
    <w:rsid w:val="001C2793"/>
    <w:rsid w:val="001D1D7C"/>
    <w:rsid w:val="00206A27"/>
    <w:rsid w:val="002113A4"/>
    <w:rsid w:val="002378F2"/>
    <w:rsid w:val="00243DFD"/>
    <w:rsid w:val="002464CE"/>
    <w:rsid w:val="00247CB0"/>
    <w:rsid w:val="00273FEC"/>
    <w:rsid w:val="002768D4"/>
    <w:rsid w:val="002E5A09"/>
    <w:rsid w:val="00337E75"/>
    <w:rsid w:val="0037502F"/>
    <w:rsid w:val="00385A8E"/>
    <w:rsid w:val="003B5516"/>
    <w:rsid w:val="003B66C4"/>
    <w:rsid w:val="003F7C8F"/>
    <w:rsid w:val="0041613C"/>
    <w:rsid w:val="0044490A"/>
    <w:rsid w:val="00476C81"/>
    <w:rsid w:val="004A2D23"/>
    <w:rsid w:val="004A7650"/>
    <w:rsid w:val="004D00F4"/>
    <w:rsid w:val="004D030F"/>
    <w:rsid w:val="004D51B3"/>
    <w:rsid w:val="00510FDF"/>
    <w:rsid w:val="0052304F"/>
    <w:rsid w:val="005311EE"/>
    <w:rsid w:val="00537C1A"/>
    <w:rsid w:val="00555DAE"/>
    <w:rsid w:val="0058423B"/>
    <w:rsid w:val="005B5901"/>
    <w:rsid w:val="005C0FEA"/>
    <w:rsid w:val="005E5D95"/>
    <w:rsid w:val="005F6AA4"/>
    <w:rsid w:val="00622BE4"/>
    <w:rsid w:val="006273AD"/>
    <w:rsid w:val="00641D8E"/>
    <w:rsid w:val="006577BB"/>
    <w:rsid w:val="00657A1E"/>
    <w:rsid w:val="006901B1"/>
    <w:rsid w:val="006D3375"/>
    <w:rsid w:val="006D50FE"/>
    <w:rsid w:val="006D5753"/>
    <w:rsid w:val="006D6421"/>
    <w:rsid w:val="006F1011"/>
    <w:rsid w:val="007168AC"/>
    <w:rsid w:val="0072276E"/>
    <w:rsid w:val="00724BD1"/>
    <w:rsid w:val="00784CCD"/>
    <w:rsid w:val="00787FCE"/>
    <w:rsid w:val="007E20F2"/>
    <w:rsid w:val="007E2786"/>
    <w:rsid w:val="007E4EA9"/>
    <w:rsid w:val="007F3B62"/>
    <w:rsid w:val="00802A32"/>
    <w:rsid w:val="008454D4"/>
    <w:rsid w:val="00853C29"/>
    <w:rsid w:val="00861703"/>
    <w:rsid w:val="00872077"/>
    <w:rsid w:val="008A0B4F"/>
    <w:rsid w:val="008A79AD"/>
    <w:rsid w:val="008D354B"/>
    <w:rsid w:val="008F779E"/>
    <w:rsid w:val="00950784"/>
    <w:rsid w:val="009B4810"/>
    <w:rsid w:val="009F0392"/>
    <w:rsid w:val="00A247C5"/>
    <w:rsid w:val="00A708DF"/>
    <w:rsid w:val="00AB12DD"/>
    <w:rsid w:val="00AD0CD3"/>
    <w:rsid w:val="00AD46BB"/>
    <w:rsid w:val="00AE3174"/>
    <w:rsid w:val="00AE40B5"/>
    <w:rsid w:val="00AF2202"/>
    <w:rsid w:val="00B07F96"/>
    <w:rsid w:val="00B16E6F"/>
    <w:rsid w:val="00B44E10"/>
    <w:rsid w:val="00B453EB"/>
    <w:rsid w:val="00B47777"/>
    <w:rsid w:val="00B55CE6"/>
    <w:rsid w:val="00B72CDE"/>
    <w:rsid w:val="00B81883"/>
    <w:rsid w:val="00B917BE"/>
    <w:rsid w:val="00BA1716"/>
    <w:rsid w:val="00BA4796"/>
    <w:rsid w:val="00BC0B4F"/>
    <w:rsid w:val="00BC6D74"/>
    <w:rsid w:val="00BC797C"/>
    <w:rsid w:val="00BC7F26"/>
    <w:rsid w:val="00BF09B5"/>
    <w:rsid w:val="00C42859"/>
    <w:rsid w:val="00C57837"/>
    <w:rsid w:val="00C70738"/>
    <w:rsid w:val="00CA1AC3"/>
    <w:rsid w:val="00CA3814"/>
    <w:rsid w:val="00CC092F"/>
    <w:rsid w:val="00CC494E"/>
    <w:rsid w:val="00CD5B58"/>
    <w:rsid w:val="00D06CC8"/>
    <w:rsid w:val="00D2215E"/>
    <w:rsid w:val="00D364AC"/>
    <w:rsid w:val="00D578EF"/>
    <w:rsid w:val="00D73F4E"/>
    <w:rsid w:val="00D81B6A"/>
    <w:rsid w:val="00D9625E"/>
    <w:rsid w:val="00DB214B"/>
    <w:rsid w:val="00DC0E0F"/>
    <w:rsid w:val="00DC49E1"/>
    <w:rsid w:val="00E54AC2"/>
    <w:rsid w:val="00E82C1C"/>
    <w:rsid w:val="00EA1E0F"/>
    <w:rsid w:val="00EB3C7F"/>
    <w:rsid w:val="00EE3E85"/>
    <w:rsid w:val="00F01BD6"/>
    <w:rsid w:val="00F36562"/>
    <w:rsid w:val="00F50F04"/>
    <w:rsid w:val="00F51C73"/>
    <w:rsid w:val="00F5295E"/>
    <w:rsid w:val="00FB6870"/>
    <w:rsid w:val="00FF0F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A93417"/>
  <w15:chartTrackingRefBased/>
  <w15:docId w15:val="{E687563F-FA85-45E1-BE8A-19731507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rsid w:val="007E4EA9"/>
    <w:rPr>
      <w:rFonts w:ascii="Arial" w:eastAsia="Times New Roman" w:hAnsi="Arial"/>
      <w:sz w:val="22"/>
      <w:szCs w:val="22"/>
      <w:lang w:eastAsia="en-US"/>
    </w:rPr>
  </w:style>
  <w:style w:type="paragraph" w:styleId="Heading1">
    <w:name w:val="heading 1"/>
    <w:next w:val="Heading2"/>
    <w:link w:val="Heading1Char"/>
    <w:qFormat/>
    <w:rsid w:val="00A247C5"/>
    <w:pPr>
      <w:keepNext/>
      <w:spacing w:after="360"/>
      <w:outlineLvl w:val="0"/>
    </w:pPr>
    <w:rPr>
      <w:rFonts w:ascii="Arial Narrow" w:eastAsia="Times New Roman" w:hAnsi="Arial Narrow"/>
      <w:b/>
      <w:color w:val="018B8F"/>
      <w:sz w:val="44"/>
      <w:szCs w:val="30"/>
      <w:lang w:eastAsia="en-US"/>
    </w:rPr>
  </w:style>
  <w:style w:type="paragraph" w:styleId="Heading2">
    <w:name w:val="heading 2"/>
    <w:next w:val="Para"/>
    <w:link w:val="Heading2Char"/>
    <w:qFormat/>
    <w:rsid w:val="004D00F4"/>
    <w:pPr>
      <w:keepNext/>
      <w:spacing w:before="360" w:after="240"/>
      <w:outlineLvl w:val="1"/>
    </w:pPr>
    <w:rPr>
      <w:rFonts w:ascii="Arial" w:eastAsia="Times New Roman" w:hAnsi="Arial"/>
      <w:color w:val="64A4A8"/>
      <w:sz w:val="32"/>
      <w:szCs w:val="22"/>
      <w:lang w:eastAsia="en-US"/>
    </w:rPr>
  </w:style>
  <w:style w:type="paragraph" w:styleId="Heading3">
    <w:name w:val="heading 3"/>
    <w:basedOn w:val="Heading4"/>
    <w:next w:val="Normal"/>
    <w:link w:val="Heading3Char"/>
    <w:qFormat/>
    <w:rsid w:val="00AD46BB"/>
    <w:pPr>
      <w:outlineLvl w:val="2"/>
    </w:pPr>
  </w:style>
  <w:style w:type="paragraph" w:styleId="Heading4">
    <w:name w:val="heading 4"/>
    <w:basedOn w:val="Normal"/>
    <w:next w:val="Normal"/>
    <w:link w:val="Heading4Char"/>
    <w:semiHidden/>
    <w:qFormat/>
    <w:rsid w:val="004D00F4"/>
    <w:pPr>
      <w:keepNext/>
      <w:keepLines/>
      <w:spacing w:before="120" w:after="240"/>
      <w:outlineLvl w:val="3"/>
    </w:pPr>
    <w:rPr>
      <w:rFonts w:cs="Arial"/>
      <w:b/>
      <w:szCs w:val="28"/>
    </w:rPr>
  </w:style>
  <w:style w:type="paragraph" w:styleId="Heading5">
    <w:name w:val="heading 5"/>
    <w:basedOn w:val="Normal"/>
    <w:next w:val="Normal"/>
    <w:link w:val="Heading5Char"/>
    <w:uiPriority w:val="9"/>
    <w:semiHidden/>
    <w:qFormat/>
    <w:rsid w:val="00EA1E0F"/>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semiHidden/>
    <w:qFormat/>
    <w:rsid w:val="002464CE"/>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47C5"/>
    <w:rPr>
      <w:rFonts w:ascii="Arial Narrow" w:eastAsia="Times New Roman" w:hAnsi="Arial Narrow" w:cs="Times New Roman"/>
      <w:b/>
      <w:color w:val="018B8F"/>
      <w:sz w:val="44"/>
      <w:szCs w:val="30"/>
    </w:rPr>
  </w:style>
  <w:style w:type="character" w:customStyle="1" w:styleId="Heading2Char">
    <w:name w:val="Heading 2 Char"/>
    <w:link w:val="Heading2"/>
    <w:rsid w:val="004D00F4"/>
    <w:rPr>
      <w:rFonts w:ascii="Arial" w:eastAsia="Times New Roman" w:hAnsi="Arial" w:cs="Times New Roman"/>
      <w:color w:val="64A4A8"/>
      <w:sz w:val="32"/>
    </w:rPr>
  </w:style>
  <w:style w:type="character" w:customStyle="1" w:styleId="Heading4Char">
    <w:name w:val="Heading 4 Char"/>
    <w:link w:val="Heading4"/>
    <w:semiHidden/>
    <w:rsid w:val="002464CE"/>
    <w:rPr>
      <w:rFonts w:ascii="Arial" w:eastAsia="Times New Roman" w:hAnsi="Arial" w:cs="Arial"/>
      <w:b/>
      <w:szCs w:val="28"/>
    </w:rPr>
  </w:style>
  <w:style w:type="paragraph" w:customStyle="1" w:styleId="Para">
    <w:name w:val="Para"/>
    <w:basedOn w:val="Normal"/>
    <w:link w:val="ParaChar"/>
    <w:qFormat/>
    <w:rsid w:val="004D00F4"/>
    <w:pPr>
      <w:spacing w:before="240" w:after="240" w:line="300" w:lineRule="exact"/>
    </w:pPr>
    <w:rPr>
      <w:rFonts w:cs="Arial"/>
    </w:rPr>
  </w:style>
  <w:style w:type="character" w:customStyle="1" w:styleId="ParaChar">
    <w:name w:val="Para Char"/>
    <w:link w:val="Para"/>
    <w:rsid w:val="004D00F4"/>
    <w:rPr>
      <w:rFonts w:ascii="Arial" w:eastAsia="Times New Roman" w:hAnsi="Arial" w:cs="Arial"/>
    </w:rPr>
  </w:style>
  <w:style w:type="paragraph" w:customStyle="1" w:styleId="ParaList1">
    <w:name w:val="Para_List_1"/>
    <w:basedOn w:val="Para"/>
    <w:link w:val="ParaList1Char"/>
    <w:qFormat/>
    <w:rsid w:val="004D00F4"/>
    <w:pPr>
      <w:numPr>
        <w:numId w:val="2"/>
      </w:numPr>
    </w:pPr>
  </w:style>
  <w:style w:type="character" w:customStyle="1" w:styleId="ParaList1Char">
    <w:name w:val="Para_List_1 Char"/>
    <w:link w:val="ParaList1"/>
    <w:rsid w:val="004D00F4"/>
    <w:rPr>
      <w:rFonts w:ascii="Arial" w:eastAsia="Times New Roman" w:hAnsi="Arial" w:cs="Arial"/>
    </w:rPr>
  </w:style>
  <w:style w:type="paragraph" w:customStyle="1" w:styleId="T4-TableBullet2">
    <w:name w:val="T4-Table_Bullet_2"/>
    <w:basedOn w:val="Normal"/>
    <w:uiPriority w:val="2"/>
    <w:rsid w:val="004D00F4"/>
    <w:pPr>
      <w:numPr>
        <w:numId w:val="3"/>
      </w:numPr>
      <w:tabs>
        <w:tab w:val="clear" w:pos="360"/>
        <w:tab w:val="num" w:pos="786"/>
      </w:tabs>
      <w:spacing w:before="120" w:after="120" w:line="240" w:lineRule="exact"/>
      <w:ind w:left="786" w:hanging="450"/>
    </w:pPr>
    <w:rPr>
      <w:sz w:val="20"/>
      <w:szCs w:val="18"/>
      <w:lang w:val="en-US"/>
    </w:rPr>
  </w:style>
  <w:style w:type="paragraph" w:styleId="Title">
    <w:name w:val="Title"/>
    <w:basedOn w:val="Normal"/>
    <w:next w:val="Normal"/>
    <w:link w:val="TitleChar"/>
    <w:uiPriority w:val="10"/>
    <w:qFormat/>
    <w:rsid w:val="000728FE"/>
    <w:pPr>
      <w:spacing w:after="360"/>
      <w:contextualSpacing/>
    </w:pPr>
    <w:rPr>
      <w:rFonts w:ascii="Calibri Light" w:hAnsi="Calibri Light"/>
      <w:color w:val="018B8F"/>
      <w:spacing w:val="-10"/>
      <w:kern w:val="28"/>
      <w:sz w:val="56"/>
      <w:szCs w:val="56"/>
    </w:rPr>
  </w:style>
  <w:style w:type="character" w:customStyle="1" w:styleId="TitleChar">
    <w:name w:val="Title Char"/>
    <w:link w:val="Title"/>
    <w:uiPriority w:val="10"/>
    <w:rsid w:val="000728FE"/>
    <w:rPr>
      <w:rFonts w:ascii="Calibri Light" w:eastAsia="Times New Roman" w:hAnsi="Calibri Light" w:cs="Times New Roman"/>
      <w:color w:val="018B8F"/>
      <w:spacing w:val="-10"/>
      <w:kern w:val="28"/>
      <w:sz w:val="56"/>
      <w:szCs w:val="56"/>
    </w:rPr>
  </w:style>
  <w:style w:type="paragraph" w:customStyle="1" w:styleId="T2-TableText">
    <w:name w:val="T2-Table_Text"/>
    <w:uiPriority w:val="2"/>
    <w:rsid w:val="004D00F4"/>
    <w:pPr>
      <w:spacing w:before="120" w:after="120" w:line="240" w:lineRule="exact"/>
    </w:pPr>
    <w:rPr>
      <w:rFonts w:ascii="Arial" w:eastAsia="Times New Roman" w:hAnsi="Arial"/>
      <w:szCs w:val="18"/>
      <w:lang w:eastAsia="en-US"/>
    </w:rPr>
  </w:style>
  <w:style w:type="paragraph" w:styleId="TOCHeading">
    <w:name w:val="TOC Heading"/>
    <w:basedOn w:val="Heading1"/>
    <w:next w:val="Normal"/>
    <w:uiPriority w:val="39"/>
    <w:unhideWhenUsed/>
    <w:qFormat/>
    <w:rsid w:val="004D00F4"/>
    <w:pPr>
      <w:keepLines/>
      <w:spacing w:before="240" w:after="0" w:line="259" w:lineRule="auto"/>
      <w:outlineLvl w:val="9"/>
    </w:pPr>
  </w:style>
  <w:style w:type="paragraph" w:styleId="TOC1">
    <w:name w:val="toc 1"/>
    <w:basedOn w:val="Normal"/>
    <w:next w:val="Normal"/>
    <w:autoRedefine/>
    <w:uiPriority w:val="39"/>
    <w:unhideWhenUsed/>
    <w:rsid w:val="005C0FEA"/>
    <w:pPr>
      <w:tabs>
        <w:tab w:val="right" w:leader="dot" w:pos="9350"/>
      </w:tabs>
      <w:spacing w:after="240"/>
    </w:pPr>
    <w:rPr>
      <w:b/>
    </w:rPr>
  </w:style>
  <w:style w:type="paragraph" w:styleId="TOC2">
    <w:name w:val="toc 2"/>
    <w:basedOn w:val="Normal"/>
    <w:next w:val="Normal"/>
    <w:autoRedefine/>
    <w:uiPriority w:val="39"/>
    <w:unhideWhenUsed/>
    <w:rsid w:val="004D00F4"/>
    <w:pPr>
      <w:spacing w:after="120"/>
      <w:ind w:left="216"/>
    </w:pPr>
  </w:style>
  <w:style w:type="paragraph" w:customStyle="1" w:styleId="ParaBullet2">
    <w:name w:val="Para_Bullet_2"/>
    <w:basedOn w:val="T4-TableBullet2"/>
    <w:qFormat/>
    <w:rsid w:val="004D00F4"/>
    <w:pPr>
      <w:spacing w:after="240"/>
      <w:ind w:left="777" w:hanging="446"/>
    </w:pPr>
    <w:rPr>
      <w:sz w:val="22"/>
    </w:rPr>
  </w:style>
  <w:style w:type="character" w:styleId="Hyperlink">
    <w:name w:val="Hyperlink"/>
    <w:uiPriority w:val="99"/>
    <w:unhideWhenUsed/>
    <w:rsid w:val="001C2793"/>
    <w:rPr>
      <w:color w:val="0563C1"/>
      <w:u w:val="single"/>
    </w:rPr>
  </w:style>
  <w:style w:type="paragraph" w:styleId="Header">
    <w:name w:val="header"/>
    <w:basedOn w:val="Normal"/>
    <w:link w:val="HeaderChar"/>
    <w:uiPriority w:val="99"/>
    <w:unhideWhenUsed/>
    <w:rsid w:val="00F5295E"/>
    <w:pPr>
      <w:tabs>
        <w:tab w:val="center" w:pos="4680"/>
        <w:tab w:val="right" w:pos="9360"/>
      </w:tabs>
    </w:pPr>
  </w:style>
  <w:style w:type="character" w:customStyle="1" w:styleId="HeaderChar">
    <w:name w:val="Header Char"/>
    <w:link w:val="Header"/>
    <w:uiPriority w:val="99"/>
    <w:rsid w:val="00F5295E"/>
    <w:rPr>
      <w:rFonts w:ascii="Arial" w:eastAsia="Times New Roman" w:hAnsi="Arial" w:cs="Times New Roman"/>
    </w:rPr>
  </w:style>
  <w:style w:type="paragraph" w:styleId="Footer">
    <w:name w:val="footer"/>
    <w:basedOn w:val="Normal"/>
    <w:link w:val="FooterChar"/>
    <w:uiPriority w:val="99"/>
    <w:unhideWhenUsed/>
    <w:rsid w:val="00F5295E"/>
    <w:pPr>
      <w:tabs>
        <w:tab w:val="center" w:pos="4680"/>
        <w:tab w:val="right" w:pos="9360"/>
      </w:tabs>
    </w:pPr>
  </w:style>
  <w:style w:type="character" w:customStyle="1" w:styleId="FooterChar">
    <w:name w:val="Footer Char"/>
    <w:link w:val="Footer"/>
    <w:uiPriority w:val="99"/>
    <w:rsid w:val="00F5295E"/>
    <w:rPr>
      <w:rFonts w:ascii="Arial" w:eastAsia="Times New Roman" w:hAnsi="Arial" w:cs="Times New Roman"/>
    </w:rPr>
  </w:style>
  <w:style w:type="paragraph" w:customStyle="1" w:styleId="T1-TableHeading">
    <w:name w:val="T1-Table_Heading"/>
    <w:basedOn w:val="Normal"/>
    <w:qFormat/>
    <w:rsid w:val="00802A32"/>
    <w:pPr>
      <w:keepNext/>
      <w:keepLines/>
      <w:spacing w:before="120" w:after="120" w:line="240" w:lineRule="exact"/>
    </w:pPr>
    <w:rPr>
      <w:b/>
      <w:sz w:val="20"/>
      <w:szCs w:val="18"/>
      <w:lang w:val="fr-CA"/>
    </w:rPr>
  </w:style>
  <w:style w:type="paragraph" w:customStyle="1" w:styleId="T3-TableBullet1instructions">
    <w:name w:val="T3-Table_Bullet_1_instructions"/>
    <w:basedOn w:val="Normal"/>
    <w:qFormat/>
    <w:rsid w:val="00802A32"/>
    <w:pPr>
      <w:numPr>
        <w:numId w:val="6"/>
      </w:numPr>
      <w:spacing w:before="120" w:after="120" w:line="240" w:lineRule="exact"/>
    </w:pPr>
    <w:rPr>
      <w:color w:val="0000FF"/>
      <w:sz w:val="20"/>
      <w:szCs w:val="18"/>
      <w:lang w:val="en-US"/>
    </w:rPr>
  </w:style>
  <w:style w:type="paragraph" w:styleId="CommentText">
    <w:name w:val="annotation text"/>
    <w:basedOn w:val="Normal"/>
    <w:link w:val="CommentTextChar"/>
    <w:uiPriority w:val="99"/>
    <w:semiHidden/>
    <w:unhideWhenUsed/>
    <w:rsid w:val="00247CB0"/>
    <w:rPr>
      <w:sz w:val="20"/>
      <w:szCs w:val="20"/>
    </w:rPr>
  </w:style>
  <w:style w:type="character" w:customStyle="1" w:styleId="CommentTextChar">
    <w:name w:val="Comment Text Char"/>
    <w:link w:val="CommentText"/>
    <w:uiPriority w:val="99"/>
    <w:semiHidden/>
    <w:rsid w:val="00247C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47CB0"/>
    <w:rPr>
      <w:b/>
      <w:bCs/>
    </w:rPr>
  </w:style>
  <w:style w:type="character" w:customStyle="1" w:styleId="CommentSubjectChar">
    <w:name w:val="Comment Subject Char"/>
    <w:link w:val="CommentSubject"/>
    <w:uiPriority w:val="99"/>
    <w:semiHidden/>
    <w:rsid w:val="00247C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47CB0"/>
    <w:rPr>
      <w:rFonts w:ascii="Segoe UI" w:hAnsi="Segoe UI" w:cs="Segoe UI"/>
      <w:sz w:val="18"/>
      <w:szCs w:val="18"/>
    </w:rPr>
  </w:style>
  <w:style w:type="character" w:customStyle="1" w:styleId="BalloonTextChar">
    <w:name w:val="Balloon Text Char"/>
    <w:link w:val="BalloonText"/>
    <w:uiPriority w:val="99"/>
    <w:semiHidden/>
    <w:rsid w:val="00247CB0"/>
    <w:rPr>
      <w:rFonts w:ascii="Segoe UI" w:eastAsia="Times New Roman" w:hAnsi="Segoe UI" w:cs="Segoe UI"/>
      <w:sz w:val="18"/>
      <w:szCs w:val="18"/>
    </w:rPr>
  </w:style>
  <w:style w:type="character" w:customStyle="1" w:styleId="Heading5Char">
    <w:name w:val="Heading 5 Char"/>
    <w:link w:val="Heading5"/>
    <w:uiPriority w:val="9"/>
    <w:semiHidden/>
    <w:rsid w:val="007E4EA9"/>
    <w:rPr>
      <w:rFonts w:ascii="Calibri Light" w:eastAsia="Times New Roman" w:hAnsi="Calibri Light" w:cs="Times New Roman"/>
      <w:color w:val="2E74B5"/>
    </w:rPr>
  </w:style>
  <w:style w:type="paragraph" w:customStyle="1" w:styleId="ParaBullet">
    <w:name w:val="Para_Bullet"/>
    <w:basedOn w:val="Para"/>
    <w:link w:val="ParaBulletChar"/>
    <w:qFormat/>
    <w:rsid w:val="00EA1E0F"/>
    <w:pPr>
      <w:numPr>
        <w:numId w:val="7"/>
      </w:numPr>
    </w:pPr>
  </w:style>
  <w:style w:type="character" w:customStyle="1" w:styleId="ParaBulletChar">
    <w:name w:val="Para_Bullet Char"/>
    <w:link w:val="ParaBullet"/>
    <w:rsid w:val="00EA1E0F"/>
    <w:rPr>
      <w:rFonts w:ascii="Arial" w:eastAsia="Times New Roman" w:hAnsi="Arial" w:cs="Arial"/>
    </w:rPr>
  </w:style>
  <w:style w:type="paragraph" w:customStyle="1" w:styleId="instructionspara">
    <w:name w:val="instructions_para"/>
    <w:basedOn w:val="Para"/>
    <w:rsid w:val="00EA1E0F"/>
  </w:style>
  <w:style w:type="paragraph" w:customStyle="1" w:styleId="AlphaList">
    <w:name w:val="Alpha_List"/>
    <w:basedOn w:val="Normal"/>
    <w:uiPriority w:val="1"/>
    <w:qFormat/>
    <w:rsid w:val="002464CE"/>
    <w:pPr>
      <w:numPr>
        <w:numId w:val="9"/>
      </w:numPr>
      <w:shd w:val="clear" w:color="auto" w:fill="FFFFFF"/>
      <w:spacing w:after="120"/>
      <w:ind w:left="720"/>
    </w:pPr>
    <w:rPr>
      <w:rFonts w:cs="Arial"/>
      <w:color w:val="444444"/>
      <w:lang w:eastAsia="en-CA"/>
    </w:rPr>
  </w:style>
  <w:style w:type="character" w:customStyle="1" w:styleId="Heading3Char">
    <w:name w:val="Heading 3 Char"/>
    <w:link w:val="Heading3"/>
    <w:rsid w:val="00AD46BB"/>
    <w:rPr>
      <w:rFonts w:ascii="Arial" w:eastAsia="Times New Roman" w:hAnsi="Arial" w:cs="Arial"/>
      <w:b/>
      <w:szCs w:val="28"/>
    </w:rPr>
  </w:style>
  <w:style w:type="character" w:customStyle="1" w:styleId="Heading6Char">
    <w:name w:val="Heading 6 Char"/>
    <w:link w:val="Heading6"/>
    <w:uiPriority w:val="9"/>
    <w:semiHidden/>
    <w:rsid w:val="007E4EA9"/>
    <w:rPr>
      <w:rFonts w:ascii="Calibri Light" w:eastAsia="Times New Roman" w:hAnsi="Calibri Light" w:cs="Times New Roman"/>
      <w:color w:val="1F4D78"/>
    </w:rPr>
  </w:style>
  <w:style w:type="paragraph" w:styleId="TOC3">
    <w:name w:val="toc 3"/>
    <w:basedOn w:val="Normal"/>
    <w:next w:val="Normal"/>
    <w:autoRedefine/>
    <w:uiPriority w:val="39"/>
    <w:unhideWhenUsed/>
    <w:rsid w:val="00CD5B58"/>
    <w:pPr>
      <w:spacing w:after="100"/>
      <w:ind w:left="440"/>
    </w:pPr>
  </w:style>
  <w:style w:type="character" w:styleId="CommentReference">
    <w:name w:val="annotation reference"/>
    <w:uiPriority w:val="99"/>
    <w:semiHidden/>
    <w:unhideWhenUsed/>
    <w:rsid w:val="00CC494E"/>
    <w:rPr>
      <w:sz w:val="16"/>
      <w:szCs w:val="16"/>
    </w:rPr>
  </w:style>
  <w:style w:type="paragraph" w:styleId="Revision">
    <w:name w:val="Revision"/>
    <w:hidden/>
    <w:uiPriority w:val="99"/>
    <w:semiHidden/>
    <w:rsid w:val="00B47777"/>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financial-audits/templates/OAG-RAC_Results_15272E.doc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921D-2E64-4E32-839C-D7C6DABC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3066</Words>
  <Characters>17482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20507</CharactersWithSpaces>
  <SharedDoc>false</SharedDoc>
  <HLinks>
    <vt:vector size="42" baseType="variant">
      <vt:variant>
        <vt:i4>1441849</vt:i4>
      </vt:variant>
      <vt:variant>
        <vt:i4>35</vt:i4>
      </vt:variant>
      <vt:variant>
        <vt:i4>0</vt:i4>
      </vt:variant>
      <vt:variant>
        <vt:i4>5</vt:i4>
      </vt:variant>
      <vt:variant>
        <vt:lpwstr/>
      </vt:variant>
      <vt:variant>
        <vt:lpwstr>_Toc93322818</vt:lpwstr>
      </vt:variant>
      <vt:variant>
        <vt:i4>1638457</vt:i4>
      </vt:variant>
      <vt:variant>
        <vt:i4>29</vt:i4>
      </vt:variant>
      <vt:variant>
        <vt:i4>0</vt:i4>
      </vt:variant>
      <vt:variant>
        <vt:i4>5</vt:i4>
      </vt:variant>
      <vt:variant>
        <vt:lpwstr/>
      </vt:variant>
      <vt:variant>
        <vt:lpwstr>_Toc93322817</vt:lpwstr>
      </vt:variant>
      <vt:variant>
        <vt:i4>1572921</vt:i4>
      </vt:variant>
      <vt:variant>
        <vt:i4>23</vt:i4>
      </vt:variant>
      <vt:variant>
        <vt:i4>0</vt:i4>
      </vt:variant>
      <vt:variant>
        <vt:i4>5</vt:i4>
      </vt:variant>
      <vt:variant>
        <vt:lpwstr/>
      </vt:variant>
      <vt:variant>
        <vt:lpwstr>_Toc93322816</vt:lpwstr>
      </vt:variant>
      <vt:variant>
        <vt:i4>1769529</vt:i4>
      </vt:variant>
      <vt:variant>
        <vt:i4>17</vt:i4>
      </vt:variant>
      <vt:variant>
        <vt:i4>0</vt:i4>
      </vt:variant>
      <vt:variant>
        <vt:i4>5</vt:i4>
      </vt:variant>
      <vt:variant>
        <vt:lpwstr/>
      </vt:variant>
      <vt:variant>
        <vt:lpwstr>_Toc93322815</vt:lpwstr>
      </vt:variant>
      <vt:variant>
        <vt:i4>1703993</vt:i4>
      </vt:variant>
      <vt:variant>
        <vt:i4>11</vt:i4>
      </vt:variant>
      <vt:variant>
        <vt:i4>0</vt:i4>
      </vt:variant>
      <vt:variant>
        <vt:i4>5</vt:i4>
      </vt:variant>
      <vt:variant>
        <vt:lpwstr/>
      </vt:variant>
      <vt:variant>
        <vt:lpwstr>_Toc93322814</vt:lpwstr>
      </vt:variant>
      <vt:variant>
        <vt:i4>1900601</vt:i4>
      </vt:variant>
      <vt:variant>
        <vt:i4>5</vt:i4>
      </vt:variant>
      <vt:variant>
        <vt:i4>0</vt:i4>
      </vt:variant>
      <vt:variant>
        <vt:i4>5</vt:i4>
      </vt:variant>
      <vt:variant>
        <vt:lpwstr/>
      </vt:variant>
      <vt:variant>
        <vt:lpwstr>_Toc93322813</vt:lpwstr>
      </vt:variant>
      <vt:variant>
        <vt:i4>7340078</vt:i4>
      </vt:variant>
      <vt:variant>
        <vt:i4>0</vt:i4>
      </vt:variant>
      <vt:variant>
        <vt:i4>0</vt:i4>
      </vt:variant>
      <vt:variant>
        <vt:i4>5</vt:i4>
      </vt:variant>
      <vt:variant>
        <vt:lpwstr>http://cmsprd.oag-bvg.gc.ca/intranet/financial-audits/templates/OAG-RAC_Results_15272E.docx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Julie</dc:creator>
  <cp:keywords/>
  <dc:description/>
  <cp:lastModifiedBy>Gauthier, Julie</cp:lastModifiedBy>
  <cp:revision>3</cp:revision>
  <dcterms:created xsi:type="dcterms:W3CDTF">2023-01-30T20:00:00Z</dcterms:created>
  <dcterms:modified xsi:type="dcterms:W3CDTF">2023-02-01T18:53:00Z</dcterms:modified>
</cp:coreProperties>
</file>