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5"/>
        <w:gridCol w:w="4645"/>
      </w:tblGrid>
      <w:tr w:rsidR="00FD6C97" w:rsidRPr="007943D7" w14:paraId="054BC01A" w14:textId="77777777" w:rsidTr="00BD1ACA">
        <w:tc>
          <w:tcPr>
            <w:tcW w:w="10491" w:type="dxa"/>
            <w:gridSpan w:val="2"/>
            <w:shd w:val="clear" w:color="auto" w:fill="334F74"/>
          </w:tcPr>
          <w:p w14:paraId="6AEC4624" w14:textId="77777777" w:rsidR="00AD4739" w:rsidRPr="00AD4739" w:rsidRDefault="00FD6C97" w:rsidP="00C60BC1">
            <w:pPr>
              <w:keepNext/>
              <w:keepLines/>
              <w:spacing w:before="120" w:after="120"/>
              <w:rPr>
                <w:b/>
                <w:sz w:val="26"/>
                <w:szCs w:val="26"/>
              </w:rPr>
            </w:pPr>
            <w:r w:rsidRPr="00BD1ACA">
              <w:rPr>
                <w:b/>
                <w:color w:val="FFFFFF" w:themeColor="background1"/>
                <w:sz w:val="26"/>
                <w:szCs w:val="26"/>
              </w:rPr>
              <w:t>Document the Nature of the Difference of Opinion</w:t>
            </w:r>
          </w:p>
        </w:tc>
      </w:tr>
      <w:tr w:rsidR="00F0113C" w14:paraId="5406D1FD" w14:textId="77777777" w:rsidTr="006D4CC1">
        <w:tc>
          <w:tcPr>
            <w:tcW w:w="5279" w:type="dxa"/>
          </w:tcPr>
          <w:p w14:paraId="46156403" w14:textId="77777777" w:rsidR="00772F71" w:rsidRDefault="00F0113C" w:rsidP="00C60BC1">
            <w:pPr>
              <w:spacing w:before="120" w:after="120"/>
            </w:pPr>
            <w:r w:rsidRPr="00E5237D">
              <w:rPr>
                <w:rFonts w:cs="Arial"/>
              </w:rPr>
              <w:t>Describe</w:t>
            </w:r>
            <w:r>
              <w:rPr>
                <w:rFonts w:cs="Arial"/>
              </w:rPr>
              <w:t xml:space="preserve"> the issue and </w:t>
            </w:r>
            <w:r w:rsidRPr="00E5237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nature of the </w:t>
            </w:r>
            <w:r w:rsidRPr="00E5237D">
              <w:rPr>
                <w:rFonts w:cs="Arial"/>
              </w:rPr>
              <w:t>difference of opinion</w:t>
            </w:r>
          </w:p>
        </w:tc>
        <w:tc>
          <w:tcPr>
            <w:tcW w:w="5212" w:type="dxa"/>
          </w:tcPr>
          <w:p w14:paraId="3DAA9444" w14:textId="77777777" w:rsidR="00F0113C" w:rsidRDefault="00F0113C" w:rsidP="00C60BC1">
            <w:pPr>
              <w:spacing w:before="120" w:after="120"/>
            </w:pPr>
          </w:p>
        </w:tc>
      </w:tr>
      <w:tr w:rsidR="00F0113C" w14:paraId="23F345A5" w14:textId="77777777" w:rsidTr="006D4CC1">
        <w:trPr>
          <w:trHeight w:val="383"/>
        </w:trPr>
        <w:tc>
          <w:tcPr>
            <w:tcW w:w="5279" w:type="dxa"/>
            <w:vMerge w:val="restart"/>
          </w:tcPr>
          <w:p w14:paraId="24B2B639" w14:textId="77777777" w:rsidR="00F0113C" w:rsidRPr="00AD4739" w:rsidRDefault="00F0113C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Document the alternative positions proposed along with their rationale</w:t>
            </w: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14:paraId="77055DFA" w14:textId="77777777" w:rsidR="00F0113C" w:rsidRPr="00447400" w:rsidRDefault="00F0113C" w:rsidP="00C60BC1">
            <w:pPr>
              <w:spacing w:before="120" w:after="120"/>
            </w:pPr>
          </w:p>
        </w:tc>
      </w:tr>
      <w:tr w:rsidR="00F0113C" w14:paraId="74CC7EB4" w14:textId="77777777" w:rsidTr="006D4CC1">
        <w:trPr>
          <w:trHeight w:val="382"/>
        </w:trPr>
        <w:tc>
          <w:tcPr>
            <w:tcW w:w="5279" w:type="dxa"/>
            <w:vMerge/>
            <w:tcBorders>
              <w:bottom w:val="single" w:sz="4" w:space="0" w:color="auto"/>
            </w:tcBorders>
          </w:tcPr>
          <w:p w14:paraId="46C38E4D" w14:textId="77777777" w:rsidR="00F0113C" w:rsidRDefault="00F0113C" w:rsidP="00C60BC1">
            <w:pPr>
              <w:spacing w:before="120" w:after="120"/>
              <w:rPr>
                <w:rFonts w:cs="Arial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14:paraId="57370520" w14:textId="77777777" w:rsidR="00F0113C" w:rsidRPr="00447400" w:rsidRDefault="00F0113C" w:rsidP="00C60BC1">
            <w:pPr>
              <w:spacing w:before="120" w:after="120"/>
            </w:pPr>
          </w:p>
        </w:tc>
      </w:tr>
    </w:tbl>
    <w:p w14:paraId="6425B6AD" w14:textId="77777777" w:rsidR="007943D7" w:rsidRDefault="007943D7"/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203"/>
        <w:gridCol w:w="4580"/>
      </w:tblGrid>
      <w:tr w:rsidR="00FD6C97" w14:paraId="7D97FA3A" w14:textId="77777777" w:rsidTr="00BD1ACA">
        <w:tc>
          <w:tcPr>
            <w:tcW w:w="10491" w:type="dxa"/>
            <w:gridSpan w:val="3"/>
            <w:shd w:val="clear" w:color="auto" w:fill="334F74"/>
          </w:tcPr>
          <w:p w14:paraId="15DDEB49" w14:textId="5C9B3A9B" w:rsidR="00AD4739" w:rsidRPr="00AD4739" w:rsidRDefault="00FD6C97" w:rsidP="00BD1ACA">
            <w:pPr>
              <w:keepNext/>
              <w:keepLines/>
              <w:tabs>
                <w:tab w:val="left" w:pos="7350"/>
              </w:tabs>
              <w:spacing w:before="120" w:after="120"/>
              <w:rPr>
                <w:rFonts w:cs="Arial"/>
                <w:b/>
                <w:sz w:val="26"/>
                <w:szCs w:val="26"/>
              </w:rPr>
            </w:pPr>
            <w:r w:rsidRPr="00BD1ACA">
              <w:rPr>
                <w:rFonts w:cs="Arial"/>
                <w:b/>
                <w:color w:val="FFFFFF" w:themeColor="background1"/>
                <w:sz w:val="26"/>
                <w:szCs w:val="26"/>
              </w:rPr>
              <w:t>Step 1: Document t</w:t>
            </w:r>
            <w:r w:rsidR="00A647CB" w:rsidRPr="00BD1ACA">
              <w:rPr>
                <w:rFonts w:cs="Arial"/>
                <w:b/>
                <w:color w:val="FFFFFF" w:themeColor="background1"/>
                <w:sz w:val="26"/>
                <w:szCs w:val="26"/>
              </w:rPr>
              <w:t>he Results of Direct Settlement</w:t>
            </w:r>
            <w:r w:rsidR="00BD1ACA">
              <w:rPr>
                <w:rFonts w:cs="Arial"/>
                <w:b/>
                <w:sz w:val="26"/>
                <w:szCs w:val="26"/>
              </w:rPr>
              <w:tab/>
            </w:r>
          </w:p>
        </w:tc>
      </w:tr>
      <w:tr w:rsidR="00FD6C97" w14:paraId="767984F6" w14:textId="77777777" w:rsidTr="006D4CC1">
        <w:tc>
          <w:tcPr>
            <w:tcW w:w="610" w:type="dxa"/>
          </w:tcPr>
          <w:p w14:paraId="4A677170" w14:textId="77777777" w:rsidR="00FD6C97" w:rsidRDefault="007943D7" w:rsidP="00C60BC1">
            <w:pPr>
              <w:spacing w:before="120" w:after="120"/>
            </w:pPr>
            <w:r>
              <w:t>1.</w:t>
            </w:r>
            <w:r w:rsidR="00FD6C97">
              <w:t>1</w:t>
            </w:r>
          </w:p>
        </w:tc>
        <w:tc>
          <w:tcPr>
            <w:tcW w:w="4727" w:type="dxa"/>
          </w:tcPr>
          <w:p w14:paraId="7D77C4F4" w14:textId="77777777" w:rsidR="00FD6C97" w:rsidRDefault="00AB0D72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FD6C97">
              <w:rPr>
                <w:rFonts w:cs="Arial"/>
              </w:rPr>
              <w:t>ocument the:</w:t>
            </w:r>
          </w:p>
          <w:p w14:paraId="76CBBAB9" w14:textId="77777777" w:rsidR="00FD6C97" w:rsidRDefault="00FD6C97" w:rsidP="00C60BC1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rPr>
                <w:rFonts w:cs="Arial"/>
              </w:rPr>
            </w:pPr>
            <w:r w:rsidRPr="00A10BAB">
              <w:rPr>
                <w:rFonts w:cs="Arial"/>
              </w:rPr>
              <w:t xml:space="preserve">name of the individual(s) </w:t>
            </w:r>
            <w:r w:rsidR="00AB0D72">
              <w:rPr>
                <w:rFonts w:cs="Arial"/>
              </w:rPr>
              <w:t>engaged</w:t>
            </w:r>
            <w:r w:rsidR="00DF0064">
              <w:rPr>
                <w:rFonts w:cs="Arial"/>
              </w:rPr>
              <w:t xml:space="preserve"> to settle the issue</w:t>
            </w:r>
          </w:p>
          <w:p w14:paraId="00C7559B" w14:textId="77777777" w:rsidR="00FD6C97" w:rsidRDefault="00FD6C97" w:rsidP="00C60BC1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rPr>
                <w:rFonts w:cs="Arial"/>
              </w:rPr>
            </w:pPr>
            <w:r w:rsidRPr="00E422B5">
              <w:rPr>
                <w:rFonts w:cs="Arial"/>
              </w:rPr>
              <w:t xml:space="preserve">date of discussion(s) </w:t>
            </w:r>
          </w:p>
          <w:p w14:paraId="7A2BBB4D" w14:textId="77777777" w:rsidR="00FD6C97" w:rsidRDefault="00FD6C97" w:rsidP="00C60BC1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rPr>
                <w:rFonts w:cs="Arial"/>
              </w:rPr>
            </w:pPr>
            <w:r w:rsidRPr="00E422B5">
              <w:rPr>
                <w:rFonts w:cs="Arial"/>
              </w:rPr>
              <w:t>attendees</w:t>
            </w:r>
          </w:p>
          <w:p w14:paraId="7ABD6850" w14:textId="77777777" w:rsidR="00FD6C97" w:rsidRDefault="00FD6C97" w:rsidP="00C60BC1">
            <w:pPr>
              <w:pStyle w:val="ListParagraph"/>
              <w:numPr>
                <w:ilvl w:val="0"/>
                <w:numId w:val="22"/>
              </w:numPr>
              <w:spacing w:before="120" w:after="120"/>
              <w:ind w:left="360"/>
              <w:contextualSpacing w:val="0"/>
            </w:pPr>
            <w:r>
              <w:rPr>
                <w:rFonts w:cs="Arial"/>
              </w:rPr>
              <w:t>a</w:t>
            </w:r>
            <w:r w:rsidRPr="00E422B5">
              <w:rPr>
                <w:rFonts w:cs="Arial"/>
              </w:rPr>
              <w:t>d</w:t>
            </w:r>
            <w:r>
              <w:rPr>
                <w:rFonts w:cs="Arial"/>
              </w:rPr>
              <w:t xml:space="preserve">vice </w:t>
            </w:r>
            <w:r w:rsidRPr="00E422B5">
              <w:rPr>
                <w:rFonts w:cs="Arial"/>
              </w:rPr>
              <w:t xml:space="preserve">received </w:t>
            </w:r>
            <w:r w:rsidR="00F0113C">
              <w:rPr>
                <w:rFonts w:cs="Arial"/>
              </w:rPr>
              <w:t>and recommended action</w:t>
            </w:r>
          </w:p>
        </w:tc>
        <w:tc>
          <w:tcPr>
            <w:tcW w:w="5154" w:type="dxa"/>
          </w:tcPr>
          <w:p w14:paraId="4F57CDA8" w14:textId="77777777" w:rsidR="00FD6C97" w:rsidRDefault="00FD6C97" w:rsidP="00C60BC1">
            <w:pPr>
              <w:spacing w:before="120" w:after="120"/>
            </w:pPr>
          </w:p>
        </w:tc>
      </w:tr>
      <w:tr w:rsidR="008D4794" w14:paraId="57356E43" w14:textId="77777777" w:rsidTr="006D4CC1">
        <w:tc>
          <w:tcPr>
            <w:tcW w:w="610" w:type="dxa"/>
          </w:tcPr>
          <w:p w14:paraId="2EEED6E4" w14:textId="77777777" w:rsidR="008D4794" w:rsidRDefault="008D4794" w:rsidP="00C60BC1">
            <w:pPr>
              <w:spacing w:before="120" w:after="120"/>
            </w:pPr>
            <w:r>
              <w:t>1.2</w:t>
            </w:r>
          </w:p>
        </w:tc>
        <w:tc>
          <w:tcPr>
            <w:tcW w:w="4727" w:type="dxa"/>
          </w:tcPr>
          <w:p w14:paraId="1BB6B6AE" w14:textId="77777777" w:rsidR="008D4794" w:rsidRDefault="008D4794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the difference of opinion </w:t>
            </w:r>
            <w:r w:rsidRPr="00FD6C97">
              <w:rPr>
                <w:rFonts w:cs="Arial"/>
                <w:u w:val="single"/>
              </w:rPr>
              <w:t>has not been resolved</w:t>
            </w:r>
            <w:r>
              <w:rPr>
                <w:rFonts w:cs="Arial"/>
              </w:rPr>
              <w:t xml:space="preserve"> through direct settlement </w:t>
            </w:r>
          </w:p>
          <w:p w14:paraId="4B8B007C" w14:textId="77777777" w:rsidR="008D4794" w:rsidRDefault="008D4794" w:rsidP="00C60BC1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583BB1">
              <w:rPr>
                <w:rFonts w:cs="Arial"/>
              </w:rPr>
              <w:t>ocument why the suggested course of action was not considered appropriate in the circumstances</w:t>
            </w:r>
            <w:r>
              <w:rPr>
                <w:rFonts w:cs="Arial"/>
              </w:rPr>
              <w:t>; and</w:t>
            </w:r>
          </w:p>
          <w:p w14:paraId="2E9E75A1" w14:textId="77777777" w:rsidR="008D4794" w:rsidRDefault="008D4794" w:rsidP="00C60BC1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583BB1">
              <w:rPr>
                <w:rFonts w:cs="Arial"/>
              </w:rPr>
              <w:t xml:space="preserve">ove to </w:t>
            </w:r>
            <w:r w:rsidR="00A35962">
              <w:rPr>
                <w:rFonts w:cs="Arial"/>
                <w:b/>
              </w:rPr>
              <w:t>Step 2—</w:t>
            </w:r>
            <w:r w:rsidRPr="00583BB1">
              <w:rPr>
                <w:rFonts w:cs="Arial"/>
                <w:b/>
              </w:rPr>
              <w:t>Arbitration</w:t>
            </w:r>
          </w:p>
        </w:tc>
        <w:tc>
          <w:tcPr>
            <w:tcW w:w="5154" w:type="dxa"/>
          </w:tcPr>
          <w:p w14:paraId="10138080" w14:textId="77777777" w:rsidR="008D4794" w:rsidRDefault="008D4794" w:rsidP="00C60BC1">
            <w:pPr>
              <w:spacing w:before="120" w:after="120"/>
            </w:pPr>
          </w:p>
        </w:tc>
      </w:tr>
      <w:tr w:rsidR="00FD6C97" w14:paraId="1798244E" w14:textId="77777777" w:rsidTr="006D4CC1">
        <w:tc>
          <w:tcPr>
            <w:tcW w:w="610" w:type="dxa"/>
            <w:tcBorders>
              <w:bottom w:val="single" w:sz="4" w:space="0" w:color="auto"/>
            </w:tcBorders>
          </w:tcPr>
          <w:p w14:paraId="37D3F049" w14:textId="77777777" w:rsidR="00FD6C97" w:rsidRDefault="007943D7" w:rsidP="00C60BC1">
            <w:pPr>
              <w:spacing w:before="120" w:after="120"/>
            </w:pPr>
            <w:r>
              <w:t>1.</w:t>
            </w:r>
            <w:r w:rsidR="008D4794">
              <w:t>3</w:t>
            </w: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14:paraId="58B5E23B" w14:textId="77777777" w:rsidR="00FD6C97" w:rsidRDefault="00FD6C97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the difference of opinion </w:t>
            </w:r>
            <w:r w:rsidRPr="00F0113C">
              <w:rPr>
                <w:rFonts w:cs="Arial"/>
                <w:u w:val="single"/>
              </w:rPr>
              <w:t xml:space="preserve">has been resolved </w:t>
            </w:r>
            <w:r>
              <w:rPr>
                <w:rFonts w:cs="Arial"/>
              </w:rPr>
              <w:t>through direct settlement:</w:t>
            </w:r>
          </w:p>
          <w:p w14:paraId="54B4D6BC" w14:textId="77777777" w:rsidR="00FD6C97" w:rsidRPr="00FD6C97" w:rsidRDefault="00AB0D72" w:rsidP="00C60BC1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document </w:t>
            </w:r>
            <w:r w:rsidR="001714E8">
              <w:rPr>
                <w:rFonts w:cs="Arial"/>
              </w:rPr>
              <w:t xml:space="preserve">the </w:t>
            </w:r>
            <w:r w:rsidR="00FD6C97" w:rsidRPr="00FD6C97">
              <w:rPr>
                <w:rFonts w:cs="Arial"/>
              </w:rPr>
              <w:t>c</w:t>
            </w:r>
            <w:r w:rsidR="00093A2D">
              <w:rPr>
                <w:rFonts w:cs="Arial"/>
              </w:rPr>
              <w:t>onclusion reached along with its rationale</w:t>
            </w:r>
            <w:r w:rsidR="00FD6C97" w:rsidRPr="00FD6C97">
              <w:rPr>
                <w:rFonts w:cs="Arial"/>
              </w:rPr>
              <w:t>;</w:t>
            </w:r>
          </w:p>
          <w:p w14:paraId="389EDA51" w14:textId="77777777" w:rsidR="00DF0064" w:rsidRPr="00FD6C97" w:rsidRDefault="00AB0D72" w:rsidP="00C60BC1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/>
              <w:rPr>
                <w:rFonts w:cs="Arial"/>
              </w:rPr>
            </w:pPr>
            <w:r>
              <w:rPr>
                <w:rFonts w:cs="Arial"/>
              </w:rPr>
              <w:t>demonstrate the</w:t>
            </w:r>
            <w:r w:rsidR="00FD6C97" w:rsidRPr="00FD6C97">
              <w:rPr>
                <w:rFonts w:cs="Arial"/>
              </w:rPr>
              <w:t xml:space="preserve"> agreement</w:t>
            </w:r>
            <w:r>
              <w:rPr>
                <w:rFonts w:cs="Arial"/>
              </w:rPr>
              <w:t xml:space="preserve"> </w:t>
            </w:r>
            <w:r w:rsidR="008D4794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 xml:space="preserve">the </w:t>
            </w:r>
            <w:r w:rsidR="00093A2D">
              <w:rPr>
                <w:rFonts w:cs="Arial"/>
              </w:rPr>
              <w:t>individuals</w:t>
            </w:r>
            <w:r w:rsidR="00F0113C">
              <w:rPr>
                <w:rFonts w:cs="Arial"/>
              </w:rPr>
              <w:t xml:space="preserve"> giving rise to the difference of opinion</w:t>
            </w:r>
            <w:r w:rsidR="008D4794">
              <w:rPr>
                <w:rFonts w:cs="Arial"/>
              </w:rPr>
              <w:t xml:space="preserve"> with the conclusion reached</w:t>
            </w:r>
            <w:r w:rsidR="00F0113C">
              <w:rPr>
                <w:rFonts w:cs="Arial"/>
              </w:rPr>
              <w:t>;</w:t>
            </w:r>
          </w:p>
          <w:p w14:paraId="412A1E1B" w14:textId="77777777" w:rsidR="00AD4739" w:rsidRDefault="00DF0064" w:rsidP="00C60BC1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/>
              <w:contextualSpacing w:val="0"/>
            </w:pPr>
            <w:r>
              <w:rPr>
                <w:rFonts w:cs="Arial"/>
              </w:rPr>
              <w:t>i</w:t>
            </w:r>
            <w:r w:rsidRPr="00DF0064">
              <w:rPr>
                <w:rFonts w:cs="Arial"/>
              </w:rPr>
              <w:t>nclude a cross reference to demonstrate that the conclusion resulting from this consultation has been implemented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14:paraId="07D1D2FF" w14:textId="77777777" w:rsidR="00FD6C97" w:rsidRDefault="00FD6C97" w:rsidP="00C60BC1">
            <w:pPr>
              <w:spacing w:before="120" w:after="120"/>
            </w:pPr>
          </w:p>
        </w:tc>
      </w:tr>
    </w:tbl>
    <w:p w14:paraId="42B5897F" w14:textId="77777777" w:rsidR="00AD4739" w:rsidRDefault="00AD4739"/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196"/>
        <w:gridCol w:w="4587"/>
      </w:tblGrid>
      <w:tr w:rsidR="00FD6C97" w14:paraId="741D0283" w14:textId="77777777" w:rsidTr="00BD1ACA">
        <w:tc>
          <w:tcPr>
            <w:tcW w:w="10491" w:type="dxa"/>
            <w:gridSpan w:val="3"/>
            <w:shd w:val="clear" w:color="auto" w:fill="334F74"/>
          </w:tcPr>
          <w:p w14:paraId="496899B7" w14:textId="77777777" w:rsidR="00FD6C97" w:rsidRPr="00BD1ACA" w:rsidRDefault="00FD6C97" w:rsidP="00C60BC1">
            <w:pPr>
              <w:keepNext/>
              <w:keepLines/>
              <w:spacing w:before="120" w:after="120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 w:rsidRPr="00BD1ACA">
              <w:rPr>
                <w:rFonts w:cs="Arial"/>
                <w:b/>
                <w:color w:val="FFFFFF" w:themeColor="background1"/>
                <w:sz w:val="26"/>
                <w:szCs w:val="26"/>
              </w:rPr>
              <w:t>Step 2: Docu</w:t>
            </w:r>
            <w:r w:rsidR="005B6EB3" w:rsidRPr="00BD1ACA">
              <w:rPr>
                <w:rFonts w:cs="Arial"/>
                <w:b/>
                <w:color w:val="FFFFFF" w:themeColor="background1"/>
                <w:sz w:val="26"/>
                <w:szCs w:val="26"/>
              </w:rPr>
              <w:t>ment the Results of Arbitration</w:t>
            </w:r>
          </w:p>
          <w:p w14:paraId="4CDDCD62" w14:textId="77777777" w:rsidR="007943D7" w:rsidRPr="00BD1ACA" w:rsidRDefault="00772F71" w:rsidP="00C60BC1">
            <w:pPr>
              <w:keepNext/>
              <w:keepLines/>
              <w:spacing w:before="120" w:after="120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>Ensure that the arbitrator is provided all relevant facts nece</w:t>
            </w:r>
            <w:r w:rsidR="007943D7"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>ssary to make an informed decision,</w:t>
            </w:r>
            <w:r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7943D7"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including </w:t>
            </w:r>
            <w:r w:rsidR="002D0F63"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any relevant analysis or evidence and </w:t>
            </w:r>
            <w:r w:rsidR="007943D7"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>a copy of the completed Step 1 documentation of each consultation</w:t>
            </w:r>
            <w:r w:rsidR="002D0F63"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that took </w:t>
            </w:r>
            <w:r w:rsidR="007943D7"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>place during direct settlement</w:t>
            </w:r>
            <w:r w:rsidR="002D0F63"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093A2D" w14:paraId="2B860537" w14:textId="77777777" w:rsidTr="006D4CC1">
        <w:tc>
          <w:tcPr>
            <w:tcW w:w="610" w:type="dxa"/>
          </w:tcPr>
          <w:p w14:paraId="17F65A99" w14:textId="77777777" w:rsidR="00093A2D" w:rsidRDefault="0074416D" w:rsidP="00C60BC1">
            <w:pPr>
              <w:keepNext/>
              <w:keepLines/>
              <w:spacing w:before="120" w:after="120"/>
            </w:pPr>
            <w:r>
              <w:t>2.</w:t>
            </w:r>
            <w:r w:rsidR="00772F71">
              <w:t>1</w:t>
            </w:r>
          </w:p>
        </w:tc>
        <w:tc>
          <w:tcPr>
            <w:tcW w:w="4719" w:type="dxa"/>
          </w:tcPr>
          <w:p w14:paraId="60FE4E8F" w14:textId="77777777" w:rsidR="00093A2D" w:rsidRDefault="00583BB1" w:rsidP="00C60BC1">
            <w:pPr>
              <w:keepNext/>
              <w:keepLines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Document the name of the</w:t>
            </w:r>
            <w:r w:rsidR="00772F71">
              <w:rPr>
                <w:rFonts w:cs="Arial"/>
              </w:rPr>
              <w:t xml:space="preserve"> </w:t>
            </w:r>
            <w:r w:rsidR="008D4794">
              <w:rPr>
                <w:rFonts w:cs="Arial"/>
              </w:rPr>
              <w:t>a</w:t>
            </w:r>
            <w:r w:rsidR="00772F71">
              <w:rPr>
                <w:rFonts w:cs="Arial"/>
              </w:rPr>
              <w:t>rbitrator</w:t>
            </w:r>
            <w:r w:rsidR="007943D7">
              <w:rPr>
                <w:rFonts w:cs="Arial"/>
              </w:rPr>
              <w:t xml:space="preserve"> and summarize </w:t>
            </w:r>
            <w:r w:rsidR="002D0F63">
              <w:rPr>
                <w:rFonts w:cs="Arial"/>
              </w:rPr>
              <w:t>the information provided for</w:t>
            </w:r>
            <w:r w:rsidR="007943D7">
              <w:rPr>
                <w:rFonts w:cs="Arial"/>
              </w:rPr>
              <w:t xml:space="preserve"> consultation.</w:t>
            </w:r>
          </w:p>
        </w:tc>
        <w:tc>
          <w:tcPr>
            <w:tcW w:w="5162" w:type="dxa"/>
          </w:tcPr>
          <w:p w14:paraId="1718BFE2" w14:textId="77777777" w:rsidR="00093A2D" w:rsidRPr="00447400" w:rsidRDefault="00093A2D" w:rsidP="00C60BC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D6C97" w14:paraId="67A9BCC5" w14:textId="77777777" w:rsidTr="006D4CC1">
        <w:tc>
          <w:tcPr>
            <w:tcW w:w="610" w:type="dxa"/>
          </w:tcPr>
          <w:p w14:paraId="4F82C6BA" w14:textId="77777777" w:rsidR="00FD6C97" w:rsidRDefault="00772F71" w:rsidP="00C60BC1">
            <w:pPr>
              <w:spacing w:before="120" w:after="120"/>
            </w:pPr>
            <w:r>
              <w:t>2</w:t>
            </w:r>
            <w:r w:rsidR="0074416D">
              <w:t>.2</w:t>
            </w:r>
          </w:p>
        </w:tc>
        <w:tc>
          <w:tcPr>
            <w:tcW w:w="4719" w:type="dxa"/>
          </w:tcPr>
          <w:p w14:paraId="670EACCD" w14:textId="77777777" w:rsidR="00FD6C97" w:rsidRPr="00763003" w:rsidRDefault="008D4794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Where the arbitrator consults with others</w:t>
            </w:r>
            <w:r w:rsidR="00FD6C97">
              <w:rPr>
                <w:rFonts w:cs="Arial"/>
              </w:rPr>
              <w:t>, document the:</w:t>
            </w:r>
          </w:p>
          <w:p w14:paraId="39082F81" w14:textId="77777777" w:rsidR="00FD6C97" w:rsidRDefault="00FD6C97" w:rsidP="00C60BC1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rPr>
                <w:rFonts w:cs="Arial"/>
              </w:rPr>
            </w:pPr>
            <w:r w:rsidRPr="00A10BAB">
              <w:rPr>
                <w:rFonts w:cs="Arial"/>
              </w:rPr>
              <w:t xml:space="preserve">name of the individual(s) </w:t>
            </w:r>
            <w:r w:rsidR="00DF0064">
              <w:rPr>
                <w:rFonts w:cs="Arial"/>
              </w:rPr>
              <w:t>advising the arbitrator</w:t>
            </w:r>
          </w:p>
          <w:p w14:paraId="0A134B72" w14:textId="77777777" w:rsidR="00FD6C97" w:rsidRDefault="00FD6C97" w:rsidP="00C60BC1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rPr>
                <w:rFonts w:cs="Arial"/>
              </w:rPr>
            </w:pPr>
            <w:r w:rsidRPr="00E422B5">
              <w:rPr>
                <w:rFonts w:cs="Arial"/>
              </w:rPr>
              <w:t xml:space="preserve">date of discussion(s) </w:t>
            </w:r>
          </w:p>
          <w:p w14:paraId="21421741" w14:textId="77777777" w:rsidR="00FD6C97" w:rsidRDefault="00FD6C97" w:rsidP="00C60BC1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rPr>
                <w:rFonts w:cs="Arial"/>
              </w:rPr>
            </w:pPr>
            <w:r w:rsidRPr="00E422B5">
              <w:rPr>
                <w:rFonts w:cs="Arial"/>
              </w:rPr>
              <w:t>attendees</w:t>
            </w:r>
          </w:p>
          <w:p w14:paraId="7F82CCFC" w14:textId="77777777" w:rsidR="00772F71" w:rsidRDefault="00093A2D" w:rsidP="00C60BC1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422B5">
              <w:rPr>
                <w:rFonts w:cs="Arial"/>
              </w:rPr>
              <w:t>d</w:t>
            </w:r>
            <w:r>
              <w:rPr>
                <w:rFonts w:cs="Arial"/>
              </w:rPr>
              <w:t xml:space="preserve">vice </w:t>
            </w:r>
            <w:r w:rsidRPr="00E422B5">
              <w:rPr>
                <w:rFonts w:cs="Arial"/>
              </w:rPr>
              <w:t xml:space="preserve">received </w:t>
            </w:r>
            <w:r>
              <w:rPr>
                <w:rFonts w:cs="Arial"/>
              </w:rPr>
              <w:t>and recommended action</w:t>
            </w:r>
          </w:p>
        </w:tc>
        <w:tc>
          <w:tcPr>
            <w:tcW w:w="5162" w:type="dxa"/>
          </w:tcPr>
          <w:p w14:paraId="57FEDE79" w14:textId="77777777" w:rsidR="00FD6C97" w:rsidRDefault="00FD6C97" w:rsidP="00C60BC1">
            <w:pPr>
              <w:spacing w:before="120" w:after="120"/>
            </w:pPr>
          </w:p>
        </w:tc>
      </w:tr>
      <w:tr w:rsidR="001714E8" w14:paraId="3CB11AAF" w14:textId="77777777" w:rsidTr="00BD1ACA">
        <w:tc>
          <w:tcPr>
            <w:tcW w:w="10491" w:type="dxa"/>
            <w:gridSpan w:val="3"/>
            <w:shd w:val="clear" w:color="auto" w:fill="334F74"/>
          </w:tcPr>
          <w:p w14:paraId="75BBB239" w14:textId="77777777" w:rsidR="001714E8" w:rsidRPr="00E65639" w:rsidRDefault="001714E8" w:rsidP="00C60BC1">
            <w:pPr>
              <w:keepNext/>
              <w:keepLines/>
              <w:spacing w:before="120" w:after="120"/>
              <w:rPr>
                <w:rFonts w:cs="Arial"/>
                <w:sz w:val="20"/>
                <w:szCs w:val="20"/>
              </w:rPr>
            </w:pPr>
            <w:r w:rsidRPr="00BD1ACA">
              <w:rPr>
                <w:rFonts w:cs="Arial"/>
                <w:b/>
                <w:color w:val="FFFFFF" w:themeColor="background1"/>
                <w:sz w:val="26"/>
                <w:szCs w:val="26"/>
              </w:rPr>
              <w:t>Document the Arbitrator’s Decision</w:t>
            </w:r>
          </w:p>
        </w:tc>
      </w:tr>
      <w:tr w:rsidR="00F0113C" w14:paraId="56501CF9" w14:textId="77777777" w:rsidTr="006D4CC1">
        <w:tc>
          <w:tcPr>
            <w:tcW w:w="610" w:type="dxa"/>
          </w:tcPr>
          <w:p w14:paraId="71598DA7" w14:textId="77777777" w:rsidR="00F0113C" w:rsidRPr="00583BB1" w:rsidRDefault="0074416D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4719" w:type="dxa"/>
          </w:tcPr>
          <w:p w14:paraId="139C36F5" w14:textId="77777777" w:rsidR="00093A2D" w:rsidRPr="003335FC" w:rsidRDefault="00583BB1" w:rsidP="00C60BC1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document the decision reached by the arbitrator along with its rationale</w:t>
            </w:r>
          </w:p>
        </w:tc>
        <w:tc>
          <w:tcPr>
            <w:tcW w:w="5162" w:type="dxa"/>
          </w:tcPr>
          <w:p w14:paraId="6AF50F12" w14:textId="77777777" w:rsidR="00F0113C" w:rsidRDefault="00F0113C" w:rsidP="00C60BC1">
            <w:pPr>
              <w:spacing w:before="120" w:after="120"/>
            </w:pPr>
          </w:p>
        </w:tc>
      </w:tr>
      <w:tr w:rsidR="003335FC" w14:paraId="0C57D702" w14:textId="77777777" w:rsidTr="006D4CC1">
        <w:tc>
          <w:tcPr>
            <w:tcW w:w="610" w:type="dxa"/>
          </w:tcPr>
          <w:p w14:paraId="5A746AFA" w14:textId="77777777" w:rsidR="003335FC" w:rsidRDefault="003335FC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4719" w:type="dxa"/>
          </w:tcPr>
          <w:p w14:paraId="3F38CF96" w14:textId="77777777" w:rsidR="003335FC" w:rsidRDefault="003335FC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the individuals giving rise to the difference of opinion </w:t>
            </w:r>
            <w:r w:rsidRPr="00583BB1">
              <w:rPr>
                <w:rFonts w:cs="Arial"/>
                <w:u w:val="single"/>
              </w:rPr>
              <w:t>are not satisfied with the decision reached</w:t>
            </w:r>
            <w:r w:rsidRPr="00583BB1">
              <w:rPr>
                <w:rFonts w:cs="Arial"/>
              </w:rPr>
              <w:t xml:space="preserve"> from the arbitration process</w:t>
            </w:r>
            <w:r>
              <w:rPr>
                <w:rFonts w:cs="Arial"/>
              </w:rPr>
              <w:t xml:space="preserve"> </w:t>
            </w:r>
          </w:p>
          <w:p w14:paraId="0180945F" w14:textId="77777777" w:rsidR="003335FC" w:rsidRDefault="003335FC" w:rsidP="00C60BC1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rPr>
                <w:rFonts w:cs="Arial"/>
              </w:rPr>
            </w:pPr>
            <w:r w:rsidRPr="00583BB1">
              <w:rPr>
                <w:rFonts w:cs="Arial"/>
              </w:rPr>
              <w:t>document why the decision reached was not considered appropriate in the circumstances</w:t>
            </w:r>
            <w:r>
              <w:rPr>
                <w:rFonts w:cs="Arial"/>
              </w:rPr>
              <w:t>;</w:t>
            </w:r>
          </w:p>
          <w:p w14:paraId="3CC8C30C" w14:textId="77777777" w:rsidR="003335FC" w:rsidRDefault="003335FC" w:rsidP="00C60BC1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583BB1">
              <w:rPr>
                <w:rFonts w:cs="Arial"/>
              </w:rPr>
              <w:t xml:space="preserve">ove to </w:t>
            </w:r>
            <w:r w:rsidR="00A35962">
              <w:rPr>
                <w:rFonts w:cs="Arial"/>
                <w:b/>
              </w:rPr>
              <w:t>Step 3—</w:t>
            </w:r>
            <w:r w:rsidRPr="00583BB1">
              <w:rPr>
                <w:rFonts w:cs="Arial"/>
                <w:b/>
              </w:rPr>
              <w:t>Appeal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for final resolution</w:t>
            </w:r>
          </w:p>
        </w:tc>
        <w:tc>
          <w:tcPr>
            <w:tcW w:w="5162" w:type="dxa"/>
          </w:tcPr>
          <w:p w14:paraId="7CEF8896" w14:textId="77777777" w:rsidR="003335FC" w:rsidRDefault="003335FC" w:rsidP="00C60BC1">
            <w:pPr>
              <w:spacing w:before="120" w:after="120"/>
            </w:pPr>
          </w:p>
        </w:tc>
      </w:tr>
      <w:tr w:rsidR="00093A2D" w14:paraId="14A21429" w14:textId="77777777" w:rsidTr="006D4CC1">
        <w:tc>
          <w:tcPr>
            <w:tcW w:w="610" w:type="dxa"/>
            <w:tcBorders>
              <w:bottom w:val="single" w:sz="4" w:space="0" w:color="auto"/>
            </w:tcBorders>
          </w:tcPr>
          <w:p w14:paraId="20E02C96" w14:textId="77777777" w:rsidR="00093A2D" w:rsidRDefault="0074416D" w:rsidP="00C60BC1">
            <w:pPr>
              <w:spacing w:before="120" w:after="120"/>
            </w:pPr>
            <w:r>
              <w:t>2.</w:t>
            </w:r>
            <w:r w:rsidR="003335FC">
              <w:t>5</w:t>
            </w: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14:paraId="531B4D8F" w14:textId="77777777" w:rsidR="001714E8" w:rsidRDefault="001714E8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If the individuals giving rise to the difference of opinion </w:t>
            </w:r>
            <w:r w:rsidRPr="00583BB1">
              <w:rPr>
                <w:rFonts w:cs="Arial"/>
                <w:u w:val="single"/>
              </w:rPr>
              <w:t>are satisfied with the decision reached</w:t>
            </w:r>
            <w:r w:rsidRPr="00583BB1">
              <w:rPr>
                <w:rFonts w:cs="Arial"/>
              </w:rPr>
              <w:t xml:space="preserve"> from the arbitration </w:t>
            </w:r>
            <w:r w:rsidRPr="007A2C89">
              <w:rPr>
                <w:rFonts w:cs="Arial"/>
              </w:rPr>
              <w:t>process:</w:t>
            </w:r>
            <w:r>
              <w:rPr>
                <w:rFonts w:cs="Arial"/>
              </w:rPr>
              <w:t xml:space="preserve"> </w:t>
            </w:r>
          </w:p>
          <w:p w14:paraId="597B4356" w14:textId="77777777" w:rsidR="001714E8" w:rsidRDefault="008D4794" w:rsidP="00C60BC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cs="Arial"/>
              </w:rPr>
            </w:pPr>
            <w:r>
              <w:rPr>
                <w:rFonts w:cs="Arial"/>
              </w:rPr>
              <w:t>demonstrate the</w:t>
            </w:r>
            <w:r w:rsidR="001714E8" w:rsidRPr="00FD6C97">
              <w:rPr>
                <w:rFonts w:cs="Arial"/>
              </w:rPr>
              <w:t xml:space="preserve"> agreement </w:t>
            </w:r>
            <w:r>
              <w:rPr>
                <w:rFonts w:cs="Arial"/>
              </w:rPr>
              <w:t xml:space="preserve">of the </w:t>
            </w:r>
            <w:r w:rsidR="001714E8">
              <w:rPr>
                <w:rFonts w:cs="Arial"/>
              </w:rPr>
              <w:t>individuals giving rise to the difference of opinion</w:t>
            </w:r>
            <w:r>
              <w:rPr>
                <w:rFonts w:cs="Arial"/>
              </w:rPr>
              <w:t xml:space="preserve"> with the decision reached;</w:t>
            </w:r>
          </w:p>
          <w:p w14:paraId="68D312A8" w14:textId="77777777" w:rsidR="00DF0064" w:rsidRPr="00FD6C97" w:rsidRDefault="003335FC" w:rsidP="00C60BC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demonstrate </w:t>
            </w:r>
            <w:r w:rsidR="0075614B">
              <w:rPr>
                <w:rFonts w:cs="Arial"/>
              </w:rPr>
              <w:t xml:space="preserve">that the </w:t>
            </w:r>
            <w:r w:rsidR="0075614B" w:rsidRPr="001714E8">
              <w:rPr>
                <w:rFonts w:cs="Arial"/>
              </w:rPr>
              <w:t>arbitrator</w:t>
            </w:r>
            <w:r w:rsidR="0075614B">
              <w:rPr>
                <w:rFonts w:cs="Arial"/>
              </w:rPr>
              <w:t xml:space="preserve"> has reviewed the documentation and signed off the </w:t>
            </w:r>
            <w:r>
              <w:rPr>
                <w:rFonts w:cs="Arial"/>
              </w:rPr>
              <w:t xml:space="preserve">completed </w:t>
            </w:r>
            <w:r w:rsidR="0074416D">
              <w:rPr>
                <w:rFonts w:cs="Arial"/>
              </w:rPr>
              <w:t>Differences of Opinion Template</w:t>
            </w:r>
            <w:r>
              <w:rPr>
                <w:rFonts w:cs="Arial"/>
              </w:rPr>
              <w:t>;</w:t>
            </w:r>
          </w:p>
          <w:p w14:paraId="047F9DC3" w14:textId="77777777" w:rsidR="00AD4739" w:rsidRPr="00AD4739" w:rsidRDefault="00DF0064" w:rsidP="00C60BC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contextualSpacing w:val="0"/>
              <w:rPr>
                <w:rFonts w:cs="Arial"/>
              </w:rPr>
            </w:pPr>
            <w:r w:rsidRPr="00DF0064">
              <w:rPr>
                <w:rFonts w:cs="Arial"/>
              </w:rPr>
              <w:t>include a cross reference to demonstrate that the conclusion resulting from this consultation has been implemented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14:paraId="2ED3F671" w14:textId="77777777" w:rsidR="00093A2D" w:rsidRPr="00E65639" w:rsidRDefault="00093A2D" w:rsidP="00C60BC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28EC2AD5" w14:textId="77777777" w:rsidR="005B6EB3" w:rsidRDefault="005B6EB3"/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196"/>
        <w:gridCol w:w="4587"/>
      </w:tblGrid>
      <w:tr w:rsidR="0075614B" w14:paraId="6BC97896" w14:textId="77777777" w:rsidTr="00BD1ACA">
        <w:tc>
          <w:tcPr>
            <w:tcW w:w="10491" w:type="dxa"/>
            <w:gridSpan w:val="3"/>
            <w:shd w:val="clear" w:color="auto" w:fill="334F74"/>
          </w:tcPr>
          <w:p w14:paraId="0734013A" w14:textId="77777777" w:rsidR="0075614B" w:rsidRPr="00BD1ACA" w:rsidRDefault="0075614B" w:rsidP="00C60BC1">
            <w:pPr>
              <w:keepNext/>
              <w:keepLines/>
              <w:spacing w:before="120" w:after="120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 w:rsidRPr="00BD1ACA">
              <w:rPr>
                <w:rFonts w:cs="Arial"/>
                <w:b/>
                <w:color w:val="FFFFFF" w:themeColor="background1"/>
                <w:sz w:val="26"/>
                <w:szCs w:val="26"/>
              </w:rPr>
              <w:t>Step 3: Document the Results of the Appeal Process</w:t>
            </w:r>
          </w:p>
          <w:p w14:paraId="711FCB5C" w14:textId="77777777" w:rsidR="0075614B" w:rsidRPr="00AD4739" w:rsidRDefault="002D0F63" w:rsidP="00C60BC1">
            <w:pPr>
              <w:keepNext/>
              <w:keepLines/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Ensure that the Auditor General is provided all relevant facts necessary to make the final determination, including any relevant analysis or evidence and </w:t>
            </w:r>
            <w:r w:rsidR="00A647CB"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>a copy of the completed Steps 1 and</w:t>
            </w:r>
            <w:r w:rsidRPr="00BD1ACA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2 documentation of each consultation that took place during direct settlement and the arbitration process.</w:t>
            </w:r>
          </w:p>
        </w:tc>
      </w:tr>
      <w:tr w:rsidR="0074416D" w14:paraId="00F3EA75" w14:textId="77777777" w:rsidTr="006D4CC1">
        <w:tc>
          <w:tcPr>
            <w:tcW w:w="610" w:type="dxa"/>
          </w:tcPr>
          <w:p w14:paraId="2B240F8D" w14:textId="77777777" w:rsidR="0074416D" w:rsidRDefault="0074416D" w:rsidP="00C60BC1">
            <w:pPr>
              <w:spacing w:before="120" w:after="120"/>
            </w:pPr>
            <w:r>
              <w:t>3.1</w:t>
            </w:r>
          </w:p>
        </w:tc>
        <w:tc>
          <w:tcPr>
            <w:tcW w:w="4719" w:type="dxa"/>
          </w:tcPr>
          <w:p w14:paraId="21754DD8" w14:textId="77777777" w:rsidR="00596650" w:rsidRPr="0074416D" w:rsidRDefault="00F41806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4416D">
              <w:rPr>
                <w:rFonts w:cs="Arial"/>
              </w:rPr>
              <w:t xml:space="preserve">ummarize the information provided </w:t>
            </w:r>
            <w:r>
              <w:rPr>
                <w:rFonts w:cs="Arial"/>
              </w:rPr>
              <w:t xml:space="preserve">to the Auditor General </w:t>
            </w:r>
            <w:r w:rsidR="0074416D">
              <w:rPr>
                <w:rFonts w:cs="Arial"/>
              </w:rPr>
              <w:t>for consultation.</w:t>
            </w:r>
          </w:p>
        </w:tc>
        <w:tc>
          <w:tcPr>
            <w:tcW w:w="5162" w:type="dxa"/>
          </w:tcPr>
          <w:p w14:paraId="2C382519" w14:textId="77777777" w:rsidR="0074416D" w:rsidRPr="00E65639" w:rsidRDefault="0074416D" w:rsidP="00C60BC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75614B" w14:paraId="6487D136" w14:textId="77777777" w:rsidTr="006D4CC1">
        <w:tc>
          <w:tcPr>
            <w:tcW w:w="610" w:type="dxa"/>
          </w:tcPr>
          <w:p w14:paraId="28762ABA" w14:textId="77777777" w:rsidR="0075614B" w:rsidRDefault="0074416D" w:rsidP="00C60BC1">
            <w:pPr>
              <w:spacing w:before="120" w:after="120"/>
            </w:pPr>
            <w:r>
              <w:t>3.2</w:t>
            </w:r>
          </w:p>
        </w:tc>
        <w:tc>
          <w:tcPr>
            <w:tcW w:w="4719" w:type="dxa"/>
          </w:tcPr>
          <w:p w14:paraId="5851D918" w14:textId="77777777" w:rsidR="0074416D" w:rsidRDefault="007A2C89" w:rsidP="00C60BC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4416D">
              <w:rPr>
                <w:rFonts w:cs="Arial"/>
              </w:rPr>
              <w:t>ocument the:</w:t>
            </w:r>
          </w:p>
          <w:p w14:paraId="5702438C" w14:textId="77777777" w:rsidR="0074416D" w:rsidRDefault="0074416D" w:rsidP="00C60BC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rPr>
                <w:rFonts w:cs="Arial"/>
              </w:rPr>
            </w:pPr>
            <w:r w:rsidRPr="00E422B5">
              <w:rPr>
                <w:rFonts w:cs="Arial"/>
              </w:rPr>
              <w:t xml:space="preserve">date of </w:t>
            </w:r>
            <w:r w:rsidR="007A2C89">
              <w:rPr>
                <w:rFonts w:cs="Arial"/>
              </w:rPr>
              <w:t>the final consultation;</w:t>
            </w:r>
          </w:p>
          <w:p w14:paraId="0CE64182" w14:textId="77777777" w:rsidR="007A2C89" w:rsidRDefault="0074416D" w:rsidP="00C60BC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rPr>
                <w:rFonts w:cs="Arial"/>
              </w:rPr>
            </w:pPr>
            <w:r w:rsidRPr="00E422B5">
              <w:rPr>
                <w:rFonts w:cs="Arial"/>
              </w:rPr>
              <w:t>attendees</w:t>
            </w:r>
            <w:r w:rsidR="007A2C89">
              <w:rPr>
                <w:rFonts w:cs="Arial"/>
              </w:rPr>
              <w:t>;</w:t>
            </w:r>
          </w:p>
          <w:p w14:paraId="786BBE10" w14:textId="77777777" w:rsidR="007A2C89" w:rsidRDefault="0075614B" w:rsidP="00C60BC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rPr>
                <w:rFonts w:cs="Arial"/>
              </w:rPr>
            </w:pPr>
            <w:r w:rsidRPr="007A2C89">
              <w:rPr>
                <w:rFonts w:cs="Arial"/>
              </w:rPr>
              <w:t>the fi</w:t>
            </w:r>
            <w:r w:rsidR="0074416D" w:rsidRPr="007A2C89">
              <w:rPr>
                <w:rFonts w:cs="Arial"/>
              </w:rPr>
              <w:t>nal determination along with its rationale</w:t>
            </w:r>
            <w:r w:rsidR="007A2C89">
              <w:rPr>
                <w:rFonts w:cs="Arial"/>
              </w:rPr>
              <w:t xml:space="preserve">; and </w:t>
            </w:r>
          </w:p>
          <w:p w14:paraId="58676199" w14:textId="77777777" w:rsidR="0075614B" w:rsidRDefault="00DF0064" w:rsidP="00C60BC1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DF0064">
              <w:rPr>
                <w:rFonts w:cs="Arial"/>
              </w:rPr>
              <w:t>nclude a cross reference to demonstrate that the conclusion resulting from this consultation has been implemented</w:t>
            </w:r>
          </w:p>
        </w:tc>
        <w:tc>
          <w:tcPr>
            <w:tcW w:w="5162" w:type="dxa"/>
          </w:tcPr>
          <w:p w14:paraId="1118191B" w14:textId="77777777" w:rsidR="0075614B" w:rsidRPr="00E65639" w:rsidRDefault="007A2C89" w:rsidP="00C60BC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[</w:t>
            </w:r>
            <w:r w:rsidRPr="007A2C89">
              <w:rPr>
                <w:rFonts w:cs="Arial"/>
                <w:i/>
                <w:sz w:val="20"/>
                <w:szCs w:val="20"/>
              </w:rPr>
              <w:t>T</w:t>
            </w:r>
            <w:r w:rsidR="00447400">
              <w:rPr>
                <w:rFonts w:cs="Arial"/>
                <w:i/>
                <w:sz w:val="20"/>
                <w:szCs w:val="20"/>
              </w:rPr>
              <w:t>h</w:t>
            </w:r>
            <w:r w:rsidRPr="007A2C89">
              <w:rPr>
                <w:rFonts w:cs="Arial"/>
                <w:i/>
                <w:sz w:val="20"/>
                <w:szCs w:val="20"/>
              </w:rPr>
              <w:t>e appeal process is the final recou</w:t>
            </w:r>
            <w:r>
              <w:rPr>
                <w:rFonts w:cs="Arial"/>
                <w:i/>
                <w:sz w:val="20"/>
                <w:szCs w:val="20"/>
              </w:rPr>
              <w:t>rse available within the Office]</w:t>
            </w:r>
          </w:p>
        </w:tc>
      </w:tr>
      <w:tr w:rsidR="0074416D" w14:paraId="4F7F7F2B" w14:textId="77777777" w:rsidTr="006D4CC1">
        <w:tc>
          <w:tcPr>
            <w:tcW w:w="610" w:type="dxa"/>
          </w:tcPr>
          <w:p w14:paraId="4971EB7E" w14:textId="77777777" w:rsidR="0074416D" w:rsidRDefault="009049F9" w:rsidP="00C60BC1">
            <w:pPr>
              <w:spacing w:before="120" w:after="120"/>
            </w:pPr>
            <w:r>
              <w:t>3</w:t>
            </w:r>
            <w:r w:rsidR="0074416D">
              <w:t>.</w:t>
            </w:r>
            <w:r>
              <w:t>3</w:t>
            </w:r>
          </w:p>
        </w:tc>
        <w:tc>
          <w:tcPr>
            <w:tcW w:w="4719" w:type="dxa"/>
          </w:tcPr>
          <w:p w14:paraId="326429AD" w14:textId="77777777" w:rsidR="0074416D" w:rsidRDefault="007A2C89" w:rsidP="00C60BC1">
            <w:pPr>
              <w:spacing w:before="120" w:after="120"/>
              <w:rPr>
                <w:rFonts w:cs="Arial"/>
              </w:rPr>
            </w:pPr>
            <w:r w:rsidRPr="004F7D76">
              <w:rPr>
                <w:rFonts w:cs="Arial"/>
              </w:rPr>
              <w:t>If a previous decision is overturned</w:t>
            </w:r>
            <w:r w:rsidR="004F7D76">
              <w:rPr>
                <w:rFonts w:cs="Arial"/>
              </w:rPr>
              <w:t xml:space="preserve"> by the appeal process</w:t>
            </w:r>
            <w:r w:rsidRPr="004F7D76">
              <w:rPr>
                <w:rFonts w:cs="Arial"/>
              </w:rPr>
              <w:t xml:space="preserve">, </w:t>
            </w:r>
            <w:r w:rsidR="004F7D76">
              <w:rPr>
                <w:rFonts w:cs="Arial"/>
              </w:rPr>
              <w:t xml:space="preserve">communicate </w:t>
            </w:r>
            <w:r w:rsidRPr="004F7D76">
              <w:rPr>
                <w:rFonts w:cs="Arial"/>
              </w:rPr>
              <w:t>the reasons to all the parties involved</w:t>
            </w:r>
            <w:r w:rsidR="004F7D76">
              <w:rPr>
                <w:rFonts w:cs="Arial"/>
              </w:rPr>
              <w:t>.</w:t>
            </w:r>
            <w:r w:rsidRPr="004F7D76">
              <w:rPr>
                <w:rFonts w:cs="Arial"/>
              </w:rPr>
              <w:t xml:space="preserve"> </w:t>
            </w:r>
          </w:p>
        </w:tc>
        <w:tc>
          <w:tcPr>
            <w:tcW w:w="5162" w:type="dxa"/>
          </w:tcPr>
          <w:p w14:paraId="479F90B6" w14:textId="77777777" w:rsidR="0074416D" w:rsidRPr="00447400" w:rsidRDefault="0074416D" w:rsidP="00C60BC1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693E616C" w14:textId="77777777" w:rsidR="00D5313F" w:rsidRPr="00D5313F" w:rsidRDefault="00D5313F" w:rsidP="00D5313F"/>
    <w:sectPr w:rsidR="00D5313F" w:rsidRPr="00D5313F" w:rsidSect="00A0346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2487" w14:textId="77777777" w:rsidR="00FD6C97" w:rsidRDefault="00FD6C97" w:rsidP="00FD6C97">
      <w:r>
        <w:separator/>
      </w:r>
    </w:p>
  </w:endnote>
  <w:endnote w:type="continuationSeparator" w:id="0">
    <w:p w14:paraId="5375C3DC" w14:textId="77777777" w:rsidR="00FD6C97" w:rsidRDefault="00FD6C97" w:rsidP="00FD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ADFC" w14:textId="77777777" w:rsidR="001409B2" w:rsidRPr="005B6EB3" w:rsidRDefault="00DA08C4" w:rsidP="00E32A91">
    <w:pPr>
      <w:pStyle w:val="Footer"/>
      <w:jc w:val="right"/>
      <w:rPr>
        <w:sz w:val="20"/>
        <w:szCs w:val="20"/>
      </w:rPr>
    </w:pPr>
    <w:r w:rsidRPr="005B6EB3">
      <w:rPr>
        <w:sz w:val="20"/>
        <w:szCs w:val="20"/>
      </w:rPr>
      <w:fldChar w:fldCharType="begin"/>
    </w:r>
    <w:r w:rsidR="00E32A91" w:rsidRPr="005B6EB3">
      <w:rPr>
        <w:sz w:val="20"/>
        <w:szCs w:val="20"/>
      </w:rPr>
      <w:instrText xml:space="preserve"> PAGE   \* MERGEFORMAT </w:instrText>
    </w:r>
    <w:r w:rsidRPr="005B6EB3">
      <w:rPr>
        <w:sz w:val="20"/>
        <w:szCs w:val="20"/>
      </w:rPr>
      <w:fldChar w:fldCharType="separate"/>
    </w:r>
    <w:r w:rsidR="00A47CEC">
      <w:rPr>
        <w:noProof/>
        <w:sz w:val="20"/>
        <w:szCs w:val="20"/>
      </w:rPr>
      <w:t>3</w:t>
    </w:r>
    <w:r w:rsidRPr="005B6EB3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E637" w14:textId="77777777" w:rsidR="00AD4739" w:rsidRPr="00B25949" w:rsidRDefault="00E32A91" w:rsidP="006D4CC1">
    <w:pPr>
      <w:spacing w:line="276" w:lineRule="auto"/>
      <w:rPr>
        <w:sz w:val="16"/>
        <w:szCs w:val="16"/>
      </w:rPr>
    </w:pPr>
    <w:r w:rsidRPr="00B25949">
      <w:rPr>
        <w:sz w:val="16"/>
        <w:szCs w:val="16"/>
      </w:rPr>
      <w:t>Jul</w:t>
    </w:r>
    <w:r w:rsidR="00F41806" w:rsidRPr="00B25949">
      <w:rPr>
        <w:sz w:val="16"/>
        <w:szCs w:val="16"/>
      </w:rPr>
      <w:t>-201</w:t>
    </w:r>
    <w:r w:rsidR="002B135E">
      <w:rPr>
        <w:sz w:val="16"/>
        <w:szCs w:val="16"/>
      </w:rPr>
      <w:t>3</w:t>
    </w:r>
  </w:p>
  <w:p w14:paraId="159AC07F" w14:textId="77777777" w:rsidR="00AD4739" w:rsidRPr="005B6EB3" w:rsidRDefault="00AD4739" w:rsidP="006811BC">
    <w:pPr>
      <w:pStyle w:val="Footer"/>
      <w:tabs>
        <w:tab w:val="clear" w:pos="4680"/>
      </w:tabs>
      <w:rPr>
        <w:sz w:val="20"/>
        <w:szCs w:val="20"/>
      </w:rPr>
    </w:pPr>
    <w:r w:rsidRPr="00B25949">
      <w:rPr>
        <w:sz w:val="16"/>
        <w:szCs w:val="16"/>
      </w:rPr>
      <w:t xml:space="preserve">Template Owner: </w:t>
    </w:r>
    <w:r w:rsidR="00E9166C">
      <w:rPr>
        <w:sz w:val="16"/>
        <w:szCs w:val="16"/>
      </w:rPr>
      <w:t>Audit Services</w:t>
    </w:r>
    <w:r w:rsidR="006811BC">
      <w:rPr>
        <w:sz w:val="16"/>
        <w:szCs w:val="16"/>
      </w:rPr>
      <w:tab/>
    </w:r>
    <w:r w:rsidR="00DA08C4" w:rsidRPr="005B6EB3">
      <w:rPr>
        <w:sz w:val="20"/>
        <w:szCs w:val="20"/>
      </w:rPr>
      <w:fldChar w:fldCharType="begin"/>
    </w:r>
    <w:r w:rsidR="00E32A91" w:rsidRPr="005B6EB3">
      <w:rPr>
        <w:sz w:val="20"/>
        <w:szCs w:val="20"/>
      </w:rPr>
      <w:instrText xml:space="preserve"> PAGE   \* MERGEFORMAT </w:instrText>
    </w:r>
    <w:r w:rsidR="00DA08C4" w:rsidRPr="005B6EB3">
      <w:rPr>
        <w:sz w:val="20"/>
        <w:szCs w:val="20"/>
      </w:rPr>
      <w:fldChar w:fldCharType="separate"/>
    </w:r>
    <w:r w:rsidR="00A47CEC">
      <w:rPr>
        <w:noProof/>
        <w:sz w:val="20"/>
        <w:szCs w:val="20"/>
      </w:rPr>
      <w:t>1</w:t>
    </w:r>
    <w:r w:rsidR="00DA08C4" w:rsidRPr="005B6EB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6C8C" w14:textId="77777777" w:rsidR="00FD6C97" w:rsidRDefault="00FD6C97" w:rsidP="00FD6C97">
      <w:r>
        <w:separator/>
      </w:r>
    </w:p>
  </w:footnote>
  <w:footnote w:type="continuationSeparator" w:id="0">
    <w:p w14:paraId="432B94D4" w14:textId="77777777" w:rsidR="00FD6C97" w:rsidRDefault="00FD6C97" w:rsidP="00FD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F36B" w14:textId="77777777" w:rsidR="00B3374C" w:rsidRPr="00E32A91" w:rsidRDefault="00B3374C" w:rsidP="006D4CC1">
    <w:pPr>
      <w:pStyle w:val="Header"/>
      <w:pBdr>
        <w:bottom w:val="single" w:sz="12" w:space="1" w:color="auto"/>
      </w:pBdr>
      <w:tabs>
        <w:tab w:val="clear" w:pos="9360"/>
      </w:tabs>
      <w:spacing w:after="360"/>
      <w:rPr>
        <w:sz w:val="28"/>
        <w:szCs w:val="28"/>
      </w:rPr>
    </w:pPr>
    <w:r w:rsidRPr="00FD6C97">
      <w:rPr>
        <w:sz w:val="28"/>
        <w:szCs w:val="28"/>
      </w:rPr>
      <w:t>Differences of Opinion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912F" w14:textId="77777777" w:rsidR="005B6EB3" w:rsidRPr="00A35962" w:rsidRDefault="00BD1ACA" w:rsidP="00A03460">
    <w:pPr>
      <w:pStyle w:val="11Signature"/>
      <w:jc w:val="right"/>
    </w:pPr>
    <w:sdt>
      <w:sdtPr>
        <w:rPr>
          <w:rFonts w:cs="Arial"/>
          <w:b/>
        </w:rPr>
        <w:alias w:val="Security Label"/>
        <w:tag w:val="OAG-BVG-Classification"/>
        <w:id w:val="370649869"/>
        <w:placeholder>
          <w:docPart w:val="28BF8B3AF317453692E23456051B401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A47CEC" w:rsidRPr="00BD1ACA">
          <w:rPr>
            <w:rFonts w:cs="Arial"/>
            <w:b/>
          </w:rPr>
          <w:t>PROTECTED A (when completed)</w:t>
        </w:r>
      </w:sdtContent>
    </w:sdt>
  </w:p>
  <w:p w14:paraId="3E4EB235" w14:textId="77777777" w:rsidR="00AD4739" w:rsidRPr="00E32A91" w:rsidRDefault="00AD4739" w:rsidP="00A03460">
    <w:pPr>
      <w:pStyle w:val="Header"/>
      <w:pBdr>
        <w:bottom w:val="single" w:sz="12" w:space="1" w:color="auto"/>
      </w:pBdr>
      <w:spacing w:after="360"/>
      <w:ind w:left="900" w:hanging="900"/>
      <w:rPr>
        <w:sz w:val="28"/>
        <w:szCs w:val="28"/>
      </w:rPr>
    </w:pPr>
    <w:r w:rsidRPr="00FD6C97">
      <w:rPr>
        <w:sz w:val="28"/>
        <w:szCs w:val="28"/>
      </w:rPr>
      <w:t>Differences of Opinion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C62"/>
    <w:multiLevelType w:val="hybridMultilevel"/>
    <w:tmpl w:val="650262A6"/>
    <w:lvl w:ilvl="0" w:tplc="7A64C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048"/>
    <w:multiLevelType w:val="hybridMultilevel"/>
    <w:tmpl w:val="24005638"/>
    <w:lvl w:ilvl="0" w:tplc="211A42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008"/>
    <w:multiLevelType w:val="hybridMultilevel"/>
    <w:tmpl w:val="9CFE650A"/>
    <w:lvl w:ilvl="0" w:tplc="7A64C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DD3"/>
    <w:multiLevelType w:val="hybridMultilevel"/>
    <w:tmpl w:val="CCB27CCC"/>
    <w:lvl w:ilvl="0" w:tplc="7A64C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09B2"/>
    <w:multiLevelType w:val="hybridMultilevel"/>
    <w:tmpl w:val="404AB0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37CD"/>
    <w:multiLevelType w:val="hybridMultilevel"/>
    <w:tmpl w:val="24005638"/>
    <w:lvl w:ilvl="0" w:tplc="211A42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A7E1C"/>
    <w:multiLevelType w:val="hybridMultilevel"/>
    <w:tmpl w:val="24005638"/>
    <w:lvl w:ilvl="0" w:tplc="211A42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58A2"/>
    <w:multiLevelType w:val="hybridMultilevel"/>
    <w:tmpl w:val="21F66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C0E7D"/>
    <w:multiLevelType w:val="hybridMultilevel"/>
    <w:tmpl w:val="F8A6AB18"/>
    <w:lvl w:ilvl="0" w:tplc="7A64C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37AA7"/>
    <w:multiLevelType w:val="hybridMultilevel"/>
    <w:tmpl w:val="24005638"/>
    <w:lvl w:ilvl="0" w:tplc="211A42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6793B"/>
    <w:multiLevelType w:val="hybridMultilevel"/>
    <w:tmpl w:val="194AA9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F77CE"/>
    <w:multiLevelType w:val="hybridMultilevel"/>
    <w:tmpl w:val="24005638"/>
    <w:lvl w:ilvl="0" w:tplc="211A42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13D5"/>
    <w:multiLevelType w:val="hybridMultilevel"/>
    <w:tmpl w:val="F452A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31D78"/>
    <w:multiLevelType w:val="hybridMultilevel"/>
    <w:tmpl w:val="88FC92F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7B4419E"/>
    <w:multiLevelType w:val="hybridMultilevel"/>
    <w:tmpl w:val="194AA9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46BF2"/>
    <w:multiLevelType w:val="hybridMultilevel"/>
    <w:tmpl w:val="8DB6EA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61472"/>
    <w:multiLevelType w:val="hybridMultilevel"/>
    <w:tmpl w:val="01BE1FCA"/>
    <w:lvl w:ilvl="0" w:tplc="7A64C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D18C9"/>
    <w:multiLevelType w:val="hybridMultilevel"/>
    <w:tmpl w:val="194AA9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27806"/>
    <w:multiLevelType w:val="hybridMultilevel"/>
    <w:tmpl w:val="FBFA2DEA"/>
    <w:lvl w:ilvl="0" w:tplc="FE50D8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C777B"/>
    <w:multiLevelType w:val="hybridMultilevel"/>
    <w:tmpl w:val="0472C312"/>
    <w:lvl w:ilvl="0" w:tplc="7A64C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11AF8"/>
    <w:multiLevelType w:val="hybridMultilevel"/>
    <w:tmpl w:val="8CBA669E"/>
    <w:lvl w:ilvl="0" w:tplc="7A64C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564987">
    <w:abstractNumId w:val="11"/>
  </w:num>
  <w:num w:numId="2" w16cid:durableId="1454471837">
    <w:abstractNumId w:val="4"/>
  </w:num>
  <w:num w:numId="3" w16cid:durableId="1027177624">
    <w:abstractNumId w:val="15"/>
  </w:num>
  <w:num w:numId="4" w16cid:durableId="1972175686">
    <w:abstractNumId w:val="12"/>
  </w:num>
  <w:num w:numId="5" w16cid:durableId="1374886343">
    <w:abstractNumId w:val="14"/>
  </w:num>
  <w:num w:numId="6" w16cid:durableId="2101484748">
    <w:abstractNumId w:val="13"/>
  </w:num>
  <w:num w:numId="7" w16cid:durableId="124977436">
    <w:abstractNumId w:val="7"/>
  </w:num>
  <w:num w:numId="8" w16cid:durableId="1594437220">
    <w:abstractNumId w:val="6"/>
  </w:num>
  <w:num w:numId="9" w16cid:durableId="661394965">
    <w:abstractNumId w:val="8"/>
  </w:num>
  <w:num w:numId="10" w16cid:durableId="1226527078">
    <w:abstractNumId w:val="1"/>
  </w:num>
  <w:num w:numId="11" w16cid:durableId="545341043">
    <w:abstractNumId w:val="10"/>
  </w:num>
  <w:num w:numId="12" w16cid:durableId="613942400">
    <w:abstractNumId w:val="17"/>
  </w:num>
  <w:num w:numId="13" w16cid:durableId="1604729515">
    <w:abstractNumId w:val="5"/>
  </w:num>
  <w:num w:numId="14" w16cid:durableId="1739669252">
    <w:abstractNumId w:val="9"/>
  </w:num>
  <w:num w:numId="15" w16cid:durableId="1290667885">
    <w:abstractNumId w:val="18"/>
  </w:num>
  <w:num w:numId="16" w16cid:durableId="373972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43127">
    <w:abstractNumId w:val="16"/>
  </w:num>
  <w:num w:numId="18" w16cid:durableId="1961253801">
    <w:abstractNumId w:val="0"/>
  </w:num>
  <w:num w:numId="19" w16cid:durableId="879165761">
    <w:abstractNumId w:val="19"/>
  </w:num>
  <w:num w:numId="20" w16cid:durableId="1450667548">
    <w:abstractNumId w:val="3"/>
  </w:num>
  <w:num w:numId="21" w16cid:durableId="37899653">
    <w:abstractNumId w:val="20"/>
  </w:num>
  <w:num w:numId="22" w16cid:durableId="1069572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97"/>
    <w:rsid w:val="00022DF8"/>
    <w:rsid w:val="00027D03"/>
    <w:rsid w:val="000575EE"/>
    <w:rsid w:val="00093A2D"/>
    <w:rsid w:val="000945A2"/>
    <w:rsid w:val="000B6818"/>
    <w:rsid w:val="000C188B"/>
    <w:rsid w:val="000C6821"/>
    <w:rsid w:val="000D6C01"/>
    <w:rsid w:val="001066B9"/>
    <w:rsid w:val="001102D7"/>
    <w:rsid w:val="001114A5"/>
    <w:rsid w:val="00134304"/>
    <w:rsid w:val="001409B2"/>
    <w:rsid w:val="00144989"/>
    <w:rsid w:val="00153D63"/>
    <w:rsid w:val="001714E8"/>
    <w:rsid w:val="00171878"/>
    <w:rsid w:val="00184A1B"/>
    <w:rsid w:val="001C353A"/>
    <w:rsid w:val="001D2165"/>
    <w:rsid w:val="001E5656"/>
    <w:rsid w:val="0020726E"/>
    <w:rsid w:val="002079B6"/>
    <w:rsid w:val="00224C55"/>
    <w:rsid w:val="00231156"/>
    <w:rsid w:val="00232231"/>
    <w:rsid w:val="002673A9"/>
    <w:rsid w:val="002838B4"/>
    <w:rsid w:val="002B135E"/>
    <w:rsid w:val="002D0F63"/>
    <w:rsid w:val="002D679A"/>
    <w:rsid w:val="002D67A1"/>
    <w:rsid w:val="002F6625"/>
    <w:rsid w:val="00314E10"/>
    <w:rsid w:val="00321E53"/>
    <w:rsid w:val="003335FC"/>
    <w:rsid w:val="00362914"/>
    <w:rsid w:val="0038695B"/>
    <w:rsid w:val="00391CA8"/>
    <w:rsid w:val="003A0703"/>
    <w:rsid w:val="003A2935"/>
    <w:rsid w:val="003A4488"/>
    <w:rsid w:val="003C01DF"/>
    <w:rsid w:val="003C76A4"/>
    <w:rsid w:val="003F1A7A"/>
    <w:rsid w:val="003F5529"/>
    <w:rsid w:val="004014F6"/>
    <w:rsid w:val="00407D6E"/>
    <w:rsid w:val="00420DEF"/>
    <w:rsid w:val="00422E06"/>
    <w:rsid w:val="00447400"/>
    <w:rsid w:val="004570EA"/>
    <w:rsid w:val="004808D1"/>
    <w:rsid w:val="004A00E3"/>
    <w:rsid w:val="004E20D8"/>
    <w:rsid w:val="004E2E05"/>
    <w:rsid w:val="004F7D76"/>
    <w:rsid w:val="0052081D"/>
    <w:rsid w:val="00534051"/>
    <w:rsid w:val="005363EE"/>
    <w:rsid w:val="00557379"/>
    <w:rsid w:val="00570B7F"/>
    <w:rsid w:val="00583BB1"/>
    <w:rsid w:val="00586F6F"/>
    <w:rsid w:val="00593409"/>
    <w:rsid w:val="00596650"/>
    <w:rsid w:val="005A043F"/>
    <w:rsid w:val="005B3F6C"/>
    <w:rsid w:val="005B6EB3"/>
    <w:rsid w:val="005D3784"/>
    <w:rsid w:val="005F7BF5"/>
    <w:rsid w:val="00635A86"/>
    <w:rsid w:val="00642E1A"/>
    <w:rsid w:val="00660345"/>
    <w:rsid w:val="006811BC"/>
    <w:rsid w:val="00681991"/>
    <w:rsid w:val="0068334D"/>
    <w:rsid w:val="00686A70"/>
    <w:rsid w:val="006B48A5"/>
    <w:rsid w:val="006B573B"/>
    <w:rsid w:val="006C5F91"/>
    <w:rsid w:val="006D4CC1"/>
    <w:rsid w:val="006D56EA"/>
    <w:rsid w:val="00711CE7"/>
    <w:rsid w:val="0074416D"/>
    <w:rsid w:val="007479AB"/>
    <w:rsid w:val="0075614B"/>
    <w:rsid w:val="00760E65"/>
    <w:rsid w:val="00772F71"/>
    <w:rsid w:val="00777806"/>
    <w:rsid w:val="007943D7"/>
    <w:rsid w:val="007A2C89"/>
    <w:rsid w:val="007B67FA"/>
    <w:rsid w:val="007C039D"/>
    <w:rsid w:val="007C57F5"/>
    <w:rsid w:val="007C7D3B"/>
    <w:rsid w:val="007D0CAE"/>
    <w:rsid w:val="007E2509"/>
    <w:rsid w:val="007E3020"/>
    <w:rsid w:val="007F4971"/>
    <w:rsid w:val="00813508"/>
    <w:rsid w:val="0081696D"/>
    <w:rsid w:val="0082735D"/>
    <w:rsid w:val="008347A8"/>
    <w:rsid w:val="00847941"/>
    <w:rsid w:val="00847E57"/>
    <w:rsid w:val="00880BA7"/>
    <w:rsid w:val="008845C4"/>
    <w:rsid w:val="00885D7B"/>
    <w:rsid w:val="00886436"/>
    <w:rsid w:val="0089418C"/>
    <w:rsid w:val="008A2C49"/>
    <w:rsid w:val="008A44D3"/>
    <w:rsid w:val="008B00F7"/>
    <w:rsid w:val="008B1C26"/>
    <w:rsid w:val="008D4794"/>
    <w:rsid w:val="008E750E"/>
    <w:rsid w:val="008F3B57"/>
    <w:rsid w:val="008F58CA"/>
    <w:rsid w:val="008F7429"/>
    <w:rsid w:val="009049F9"/>
    <w:rsid w:val="0090738C"/>
    <w:rsid w:val="009170B4"/>
    <w:rsid w:val="00936D13"/>
    <w:rsid w:val="00945E4B"/>
    <w:rsid w:val="00964503"/>
    <w:rsid w:val="00970097"/>
    <w:rsid w:val="00980AD9"/>
    <w:rsid w:val="009C4225"/>
    <w:rsid w:val="00A03460"/>
    <w:rsid w:val="00A16C07"/>
    <w:rsid w:val="00A35962"/>
    <w:rsid w:val="00A47CEC"/>
    <w:rsid w:val="00A647CB"/>
    <w:rsid w:val="00A75C9A"/>
    <w:rsid w:val="00A77A28"/>
    <w:rsid w:val="00AB0D72"/>
    <w:rsid w:val="00AB2975"/>
    <w:rsid w:val="00AB534D"/>
    <w:rsid w:val="00AD4739"/>
    <w:rsid w:val="00AD733B"/>
    <w:rsid w:val="00AF0470"/>
    <w:rsid w:val="00B13130"/>
    <w:rsid w:val="00B13B63"/>
    <w:rsid w:val="00B14135"/>
    <w:rsid w:val="00B14F80"/>
    <w:rsid w:val="00B16C16"/>
    <w:rsid w:val="00B20B4E"/>
    <w:rsid w:val="00B25949"/>
    <w:rsid w:val="00B3374C"/>
    <w:rsid w:val="00B464BB"/>
    <w:rsid w:val="00B6494B"/>
    <w:rsid w:val="00B7411A"/>
    <w:rsid w:val="00B8337E"/>
    <w:rsid w:val="00B953A1"/>
    <w:rsid w:val="00BB0A8E"/>
    <w:rsid w:val="00BD1ACA"/>
    <w:rsid w:val="00BD557F"/>
    <w:rsid w:val="00BF24B0"/>
    <w:rsid w:val="00C07D46"/>
    <w:rsid w:val="00C12EDB"/>
    <w:rsid w:val="00C165D4"/>
    <w:rsid w:val="00C35378"/>
    <w:rsid w:val="00C60BC1"/>
    <w:rsid w:val="00C73878"/>
    <w:rsid w:val="00CB40D7"/>
    <w:rsid w:val="00CC1DCE"/>
    <w:rsid w:val="00CF5A36"/>
    <w:rsid w:val="00D25F41"/>
    <w:rsid w:val="00D5313F"/>
    <w:rsid w:val="00D61D28"/>
    <w:rsid w:val="00D662FA"/>
    <w:rsid w:val="00D7237D"/>
    <w:rsid w:val="00D922F8"/>
    <w:rsid w:val="00DA08C4"/>
    <w:rsid w:val="00DA7ABD"/>
    <w:rsid w:val="00DC0DA4"/>
    <w:rsid w:val="00DD47FE"/>
    <w:rsid w:val="00DE62CD"/>
    <w:rsid w:val="00DF0064"/>
    <w:rsid w:val="00E07B5F"/>
    <w:rsid w:val="00E12B8E"/>
    <w:rsid w:val="00E20BA8"/>
    <w:rsid w:val="00E32A91"/>
    <w:rsid w:val="00E42306"/>
    <w:rsid w:val="00E430E4"/>
    <w:rsid w:val="00E5466B"/>
    <w:rsid w:val="00E568BB"/>
    <w:rsid w:val="00E65D36"/>
    <w:rsid w:val="00E773A5"/>
    <w:rsid w:val="00E9166C"/>
    <w:rsid w:val="00EA5B51"/>
    <w:rsid w:val="00EE3C71"/>
    <w:rsid w:val="00F0113C"/>
    <w:rsid w:val="00F012E7"/>
    <w:rsid w:val="00F027AE"/>
    <w:rsid w:val="00F23976"/>
    <w:rsid w:val="00F3087A"/>
    <w:rsid w:val="00F41806"/>
    <w:rsid w:val="00F5324C"/>
    <w:rsid w:val="00F80F08"/>
    <w:rsid w:val="00F81C48"/>
    <w:rsid w:val="00FC2F69"/>
    <w:rsid w:val="00FC4DE6"/>
    <w:rsid w:val="00FC4FAA"/>
    <w:rsid w:val="00FD0DC6"/>
    <w:rsid w:val="00FD6C97"/>
    <w:rsid w:val="00FE0A70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73B8C61"/>
  <w15:docId w15:val="{D892514E-10C7-45A8-B346-5836BBFA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3F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table" w:styleId="TableGrid">
    <w:name w:val="Table Grid"/>
    <w:basedOn w:val="TableNormal"/>
    <w:uiPriority w:val="59"/>
    <w:rsid w:val="00FD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C97"/>
    <w:rPr>
      <w:rFonts w:ascii="Arial" w:hAnsi="Arial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D6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C97"/>
    <w:rPr>
      <w:rFonts w:ascii="Arial" w:hAnsi="Arial"/>
      <w:szCs w:val="24"/>
      <w:lang w:val="en-CA"/>
    </w:rPr>
  </w:style>
  <w:style w:type="paragraph" w:styleId="NormalWeb">
    <w:name w:val="Normal (Web)"/>
    <w:basedOn w:val="Normal"/>
    <w:uiPriority w:val="99"/>
    <w:rsid w:val="00F0113C"/>
    <w:pPr>
      <w:spacing w:after="240"/>
    </w:pPr>
    <w:rPr>
      <w:rFonts w:ascii="Times New Roman" w:eastAsia="Times New Roman" w:hAnsi="Times New Roman"/>
      <w:color w:val="000000"/>
      <w:sz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FC"/>
    <w:rPr>
      <w:rFonts w:ascii="Tahoma" w:hAnsi="Tahoma" w:cs="Tahoma"/>
      <w:sz w:val="16"/>
      <w:szCs w:val="16"/>
      <w:lang w:val="en-CA"/>
    </w:rPr>
  </w:style>
  <w:style w:type="paragraph" w:customStyle="1" w:styleId="11Signature">
    <w:name w:val="11_Signature"/>
    <w:basedOn w:val="Normal"/>
    <w:rsid w:val="005B6EB3"/>
    <w:rPr>
      <w:rFonts w:eastAsia="Times New Roman"/>
      <w:szCs w:val="22"/>
      <w:lang w:bidi="ar-SA"/>
    </w:rPr>
  </w:style>
  <w:style w:type="paragraph" w:customStyle="1" w:styleId="OAG-BVG-Classification">
    <w:name w:val="OAG-BVG-Classification"/>
    <w:link w:val="OAG-BVG-ClassificationChar"/>
    <w:rsid w:val="005B6EB3"/>
    <w:pPr>
      <w:spacing w:after="0" w:line="240" w:lineRule="auto"/>
    </w:pPr>
    <w:rPr>
      <w:rFonts w:ascii="Arial" w:eastAsia="Times New Roman" w:hAnsi="Arial"/>
      <w:b/>
      <w:lang w:val="en-CA" w:eastAsia="en-CA" w:bidi="ar-SA"/>
    </w:rPr>
  </w:style>
  <w:style w:type="character" w:customStyle="1" w:styleId="OAG-BVG-ClassificationChar">
    <w:name w:val="OAG-BVG-Classification Char"/>
    <w:basedOn w:val="DefaultParagraphFont"/>
    <w:link w:val="OAG-BVG-Classification"/>
    <w:rsid w:val="005B6EB3"/>
    <w:rPr>
      <w:rFonts w:ascii="Arial" w:eastAsia="Times New Roman" w:hAnsi="Arial"/>
      <w:b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BF8B3AF317453692E23456051B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0E37-CB16-4CA3-8D3A-AAA7468E0566}"/>
      </w:docPartPr>
      <w:docPartBody>
        <w:p w:rsidR="00AF6BED" w:rsidRDefault="00826AD7" w:rsidP="00826AD7">
          <w:pPr>
            <w:pStyle w:val="28BF8B3AF317453692E23456051B4017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4D"/>
    <w:rsid w:val="00826AD7"/>
    <w:rsid w:val="00851909"/>
    <w:rsid w:val="00946B4D"/>
    <w:rsid w:val="00A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AD7"/>
    <w:rPr>
      <w:color w:val="808080"/>
    </w:rPr>
  </w:style>
  <w:style w:type="paragraph" w:customStyle="1" w:styleId="28BF8B3AF317453692E23456051B4017">
    <w:name w:val="28BF8B3AF317453692E23456051B4017"/>
    <w:rsid w:val="00826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D997-C581-4D66-A0FB-6A1CF4AB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OAG Differences of Opinion Template</vt:lpstr>
    </vt:vector>
  </TitlesOfParts>
  <Company>OAG-BVG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OAG Differences of Opinion Template</dc:title>
  <dc:subject>OAG Differences of Opinion Template</dc:subject>
  <dc:creator>OAG-BVG</dc:creator>
  <cp:lastModifiedBy>Gharib, Hassan</cp:lastModifiedBy>
  <cp:revision>13</cp:revision>
  <cp:lastPrinted>2011-08-25T19:24:00Z</cp:lastPrinted>
  <dcterms:created xsi:type="dcterms:W3CDTF">2017-04-04T14:01:00Z</dcterms:created>
  <dcterms:modified xsi:type="dcterms:W3CDTF">2024-05-01T13:04:00Z</dcterms:modified>
  <cp:category>Template</cp:category>
  <cp:contentStatus>15589</cp:contentStatus>
</cp:coreProperties>
</file>