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3D9B4" w14:textId="4EBB43FA" w:rsidR="00091404" w:rsidRPr="00A86BCC" w:rsidRDefault="00200B49" w:rsidP="001A6A07">
      <w:pPr>
        <w:spacing w:after="240" w:line="240" w:lineRule="auto"/>
        <w:rPr>
          <w:b/>
          <w:sz w:val="32"/>
        </w:rPr>
      </w:pPr>
      <w:bookmarkStart w:id="0" w:name="_GoBack"/>
      <w:bookmarkEnd w:id="0"/>
      <w:r w:rsidRPr="00A86BCC">
        <w:rPr>
          <w:b/>
          <w:sz w:val="32"/>
        </w:rPr>
        <w:t xml:space="preserve">Engagement Team </w:t>
      </w:r>
      <w:r w:rsidR="00BB0AC2" w:rsidRPr="00A86BCC">
        <w:rPr>
          <w:b/>
          <w:sz w:val="32"/>
        </w:rPr>
        <w:t>Competency</w:t>
      </w:r>
      <w:r w:rsidR="00C81224">
        <w:rPr>
          <w:b/>
          <w:sz w:val="32"/>
        </w:rPr>
        <w:t>, Capabilities</w:t>
      </w:r>
      <w:r w:rsidR="00A2510C" w:rsidRPr="00A86BCC">
        <w:rPr>
          <w:b/>
          <w:sz w:val="32"/>
        </w:rPr>
        <w:t xml:space="preserve"> </w:t>
      </w:r>
      <w:r w:rsidRPr="00A86BCC">
        <w:rPr>
          <w:b/>
          <w:sz w:val="32"/>
        </w:rPr>
        <w:t xml:space="preserve">and Resource </w:t>
      </w:r>
      <w:r w:rsidR="00A2510C" w:rsidRPr="00A86BCC">
        <w:rPr>
          <w:b/>
          <w:sz w:val="32"/>
        </w:rPr>
        <w:t>Assessment</w:t>
      </w:r>
      <w:r w:rsidRPr="00A86BCC">
        <w:rPr>
          <w:b/>
          <w:sz w:val="32"/>
        </w:rPr>
        <w:t xml:space="preserve"> </w:t>
      </w:r>
    </w:p>
    <w:p w14:paraId="2B3F981B" w14:textId="77777777" w:rsidR="00B41BB3" w:rsidRPr="00A86BCC" w:rsidRDefault="00200B49" w:rsidP="000C6CBD">
      <w:pPr>
        <w:shd w:val="clear" w:color="auto" w:fill="FFFFFF" w:themeFill="background1"/>
        <w:rPr>
          <w:b/>
          <w:sz w:val="28"/>
          <w:szCs w:val="28"/>
        </w:rPr>
      </w:pPr>
      <w:r w:rsidRPr="00A86BCC">
        <w:rPr>
          <w:b/>
          <w:sz w:val="28"/>
          <w:szCs w:val="28"/>
        </w:rPr>
        <w:t>Overview</w:t>
      </w:r>
    </w:p>
    <w:p w14:paraId="3A5C03A4" w14:textId="0823261E" w:rsidR="00D81743" w:rsidRDefault="00AA5F38" w:rsidP="000C6CBD">
      <w:pPr>
        <w:shd w:val="clear" w:color="auto" w:fill="FFFFFF" w:themeFill="background1"/>
      </w:pPr>
      <w:r w:rsidRPr="00A86BCC">
        <w:t>In accordance with CSQ</w:t>
      </w:r>
      <w:r w:rsidR="00D81743">
        <w:t>M</w:t>
      </w:r>
      <w:r w:rsidRPr="00A86BCC">
        <w:t xml:space="preserve"> 1</w:t>
      </w:r>
      <w:r w:rsidR="00E6727B" w:rsidRPr="00A86BCC">
        <w:t xml:space="preserve"> and </w:t>
      </w:r>
      <w:r w:rsidR="00D81743">
        <w:t>CAS 220</w:t>
      </w:r>
      <w:r w:rsidRPr="00A86BCC">
        <w:t>,</w:t>
      </w:r>
      <w:r w:rsidR="00747B9D" w:rsidRPr="00A86BCC">
        <w:t xml:space="preserve"> </w:t>
      </w:r>
      <w:r w:rsidR="00BB0AC2" w:rsidRPr="00A86BCC">
        <w:t xml:space="preserve">engagement </w:t>
      </w:r>
      <w:r w:rsidR="00200B49" w:rsidRPr="00A86BCC">
        <w:t xml:space="preserve">leaders </w:t>
      </w:r>
      <w:r w:rsidR="00BB0AC2" w:rsidRPr="00A86BCC">
        <w:t>shall</w:t>
      </w:r>
      <w:r w:rsidR="00D81743">
        <w:t>:</w:t>
      </w:r>
    </w:p>
    <w:p w14:paraId="3E9AA238" w14:textId="77777777" w:rsidR="00D81743" w:rsidRDefault="00D81743" w:rsidP="000C6CBD">
      <w:pPr>
        <w:shd w:val="clear" w:color="auto" w:fill="FFFFFF" w:themeFill="background1"/>
      </w:pPr>
      <w:r>
        <w:t>-</w:t>
      </w:r>
      <w:r w:rsidR="00747B9D" w:rsidRPr="00A86BCC">
        <w:t xml:space="preserve"> </w:t>
      </w:r>
      <w:r>
        <w:t>assess and be satisfied that sufficient and appropriate resources to perform the engagement are assigned or made available to the engagement team in a timely manner;</w:t>
      </w:r>
    </w:p>
    <w:p w14:paraId="45E62D0F" w14:textId="5012CCB2" w:rsidR="00D81743" w:rsidRDefault="00D81743" w:rsidP="000C6CBD">
      <w:pPr>
        <w:shd w:val="clear" w:color="auto" w:fill="FFFFFF" w:themeFill="background1"/>
      </w:pPr>
      <w:r>
        <w:t>- assess and be satisfied that member of the engagement team collectively have the appropriate competence and capabilities including sufficient time to perform the audit engagement; and</w:t>
      </w:r>
    </w:p>
    <w:p w14:paraId="41BB1C4D" w14:textId="584EBC0D" w:rsidR="00582CBD" w:rsidRPr="00A86BCC" w:rsidRDefault="00D81743" w:rsidP="000C6CBD">
      <w:pPr>
        <w:shd w:val="clear" w:color="auto" w:fill="FFFFFF" w:themeFill="background1"/>
      </w:pPr>
      <w:r>
        <w:t xml:space="preserve">- take appropriate action when resources assigned or made available are insufficient or inappropriate. </w:t>
      </w:r>
    </w:p>
    <w:p w14:paraId="42397D4E" w14:textId="77777777" w:rsidR="00200B49" w:rsidRPr="00A86BCC" w:rsidRDefault="00762971" w:rsidP="00B41BB3">
      <w:pPr>
        <w:shd w:val="clear" w:color="auto" w:fill="FFFFFF" w:themeFill="background1"/>
        <w:rPr>
          <w:b/>
          <w:sz w:val="24"/>
          <w:szCs w:val="24"/>
        </w:rPr>
      </w:pPr>
      <w:r w:rsidRPr="00A86BCC">
        <w:rPr>
          <w:b/>
          <w:sz w:val="24"/>
          <w:szCs w:val="24"/>
        </w:rPr>
        <w:t xml:space="preserve">Timing </w:t>
      </w:r>
      <w:r w:rsidR="00200B49" w:rsidRPr="00A86BCC">
        <w:rPr>
          <w:b/>
          <w:sz w:val="24"/>
          <w:szCs w:val="24"/>
        </w:rPr>
        <w:t>Requirement</w:t>
      </w:r>
    </w:p>
    <w:p w14:paraId="3288F02E" w14:textId="5847AF38" w:rsidR="00B41BB3" w:rsidRDefault="00B41BB3" w:rsidP="00B41BB3">
      <w:pPr>
        <w:shd w:val="clear" w:color="auto" w:fill="FFFFFF" w:themeFill="background1"/>
      </w:pPr>
      <w:r w:rsidRPr="00A86BCC">
        <w:t xml:space="preserve">This assessment must be completed by the </w:t>
      </w:r>
      <w:r w:rsidR="002A1ED4" w:rsidRPr="00A86BCC">
        <w:t>engagement leader</w:t>
      </w:r>
      <w:r w:rsidRPr="00A86BCC">
        <w:t xml:space="preserve"> prior to completion of the planning phase of each </w:t>
      </w:r>
      <w:r w:rsidR="00FB7991">
        <w:t>audit</w:t>
      </w:r>
      <w:r w:rsidR="00FB7991" w:rsidRPr="00A86BCC">
        <w:t xml:space="preserve"> </w:t>
      </w:r>
      <w:r w:rsidRPr="00A86BCC">
        <w:t>engagement.</w:t>
      </w:r>
      <w:r w:rsidR="00B9665A">
        <w:t xml:space="preserve"> </w:t>
      </w:r>
    </w:p>
    <w:p w14:paraId="4A72DC31" w14:textId="7C94237C" w:rsidR="00AA5F38" w:rsidRPr="00536C23" w:rsidRDefault="00B40309" w:rsidP="00536C23">
      <w:pPr>
        <w:pStyle w:val="ListParagraph"/>
        <w:shd w:val="clear" w:color="auto" w:fill="FFFFFF" w:themeFill="background1"/>
        <w:ind w:left="0"/>
        <w:rPr>
          <w:b/>
          <w:sz w:val="28"/>
          <w:szCs w:val="28"/>
        </w:rPr>
      </w:pPr>
      <w:r>
        <w:rPr>
          <w:b/>
          <w:sz w:val="28"/>
          <w:szCs w:val="28"/>
        </w:rPr>
        <w:t xml:space="preserve">CPA </w:t>
      </w:r>
      <w:r w:rsidR="00010B70">
        <w:rPr>
          <w:b/>
          <w:sz w:val="28"/>
          <w:szCs w:val="28"/>
        </w:rPr>
        <w:t xml:space="preserve">Canada Assurance </w:t>
      </w:r>
      <w:r w:rsidR="00C36C57">
        <w:rPr>
          <w:b/>
          <w:sz w:val="28"/>
          <w:szCs w:val="28"/>
        </w:rPr>
        <w:t>Standards</w:t>
      </w:r>
    </w:p>
    <w:tbl>
      <w:tblPr>
        <w:tblStyle w:val="TableGrid"/>
        <w:tblW w:w="5304" w:type="pct"/>
        <w:tblLayout w:type="fixed"/>
        <w:tblCellMar>
          <w:left w:w="115" w:type="dxa"/>
          <w:right w:w="115" w:type="dxa"/>
        </w:tblCellMar>
        <w:tblLook w:val="04A0" w:firstRow="1" w:lastRow="0" w:firstColumn="1" w:lastColumn="0" w:noHBand="0" w:noVBand="1"/>
      </w:tblPr>
      <w:tblGrid>
        <w:gridCol w:w="4815"/>
        <w:gridCol w:w="5103"/>
      </w:tblGrid>
      <w:tr w:rsidR="00B622DC" w:rsidRPr="00A77ED2" w14:paraId="1E55AD69" w14:textId="77777777" w:rsidTr="00810959">
        <w:trPr>
          <w:tblHeader/>
        </w:trPr>
        <w:tc>
          <w:tcPr>
            <w:tcW w:w="4815" w:type="dxa"/>
            <w:tcBorders>
              <w:bottom w:val="single" w:sz="4" w:space="0" w:color="auto"/>
            </w:tcBorders>
            <w:shd w:val="clear" w:color="auto" w:fill="000000" w:themeFill="text1"/>
          </w:tcPr>
          <w:p w14:paraId="33762895" w14:textId="5119EA48" w:rsidR="00B622DC" w:rsidRPr="00A2510C" w:rsidRDefault="00B622DC" w:rsidP="001A6A07">
            <w:pPr>
              <w:spacing w:before="120" w:after="120"/>
              <w:jc w:val="center"/>
              <w:rPr>
                <w:b/>
              </w:rPr>
            </w:pPr>
            <w:r>
              <w:rPr>
                <w:b/>
              </w:rPr>
              <w:t>Office</w:t>
            </w:r>
          </w:p>
        </w:tc>
        <w:tc>
          <w:tcPr>
            <w:tcW w:w="5103" w:type="dxa"/>
            <w:tcBorders>
              <w:bottom w:val="single" w:sz="4" w:space="0" w:color="auto"/>
            </w:tcBorders>
            <w:shd w:val="clear" w:color="auto" w:fill="000000" w:themeFill="text1"/>
          </w:tcPr>
          <w:p w14:paraId="56FF9B5E" w14:textId="05B4FD73" w:rsidR="00B622DC" w:rsidRPr="00A2510C" w:rsidRDefault="00B622DC" w:rsidP="00010B70">
            <w:pPr>
              <w:spacing w:before="120" w:after="120"/>
              <w:jc w:val="center"/>
              <w:rPr>
                <w:b/>
              </w:rPr>
            </w:pPr>
            <w:r w:rsidRPr="00A77ED2">
              <w:rPr>
                <w:b/>
              </w:rPr>
              <w:t>Annual Audit</w:t>
            </w:r>
          </w:p>
        </w:tc>
      </w:tr>
      <w:tr w:rsidR="00B622DC" w14:paraId="7CD920CE" w14:textId="77777777" w:rsidTr="00810959">
        <w:trPr>
          <w:trHeight w:val="4026"/>
        </w:trPr>
        <w:tc>
          <w:tcPr>
            <w:tcW w:w="4815" w:type="dxa"/>
          </w:tcPr>
          <w:p w14:paraId="297A50CB" w14:textId="77777777" w:rsidR="00B622DC" w:rsidRDefault="00B622DC" w:rsidP="001A6A07">
            <w:pPr>
              <w:shd w:val="clear" w:color="auto" w:fill="FFFFFF" w:themeFill="background1"/>
              <w:spacing w:before="120" w:after="120" w:line="276" w:lineRule="auto"/>
              <w:rPr>
                <w:b/>
                <w:i/>
              </w:rPr>
            </w:pPr>
            <w:r>
              <w:rPr>
                <w:b/>
                <w:i/>
              </w:rPr>
              <w:t>Resources</w:t>
            </w:r>
          </w:p>
          <w:p w14:paraId="4906DAC1" w14:textId="6C209C67" w:rsidR="00B622DC" w:rsidRDefault="00B622DC" w:rsidP="00DB7C05">
            <w:pPr>
              <w:shd w:val="clear" w:color="auto" w:fill="FFFFFF" w:themeFill="background1"/>
              <w:spacing w:before="120" w:after="120"/>
            </w:pPr>
            <w:r>
              <w:t>CSQM 1.32  The firm shall establish the following quality objectives that address appropriately obtaining, developing, using, maintaining, allocating and assigning resources in a timely manner to enable the design, implementation and operation of the system of quality management: (Ref: Para. A86-A87)</w:t>
            </w:r>
          </w:p>
          <w:p w14:paraId="2702F914" w14:textId="77777777" w:rsidR="00B622DC" w:rsidRDefault="00B622DC" w:rsidP="00DB7C05">
            <w:pPr>
              <w:shd w:val="clear" w:color="auto" w:fill="FFFFFF" w:themeFill="background1"/>
              <w:spacing w:before="120" w:after="120"/>
            </w:pPr>
            <w:r>
              <w:t>Human Resources</w:t>
            </w:r>
          </w:p>
          <w:p w14:paraId="5C8EC164" w14:textId="697CA9A6" w:rsidR="00B622DC" w:rsidRDefault="00B622DC" w:rsidP="004F788F">
            <w:pPr>
              <w:pStyle w:val="ListParagraph"/>
              <w:numPr>
                <w:ilvl w:val="0"/>
                <w:numId w:val="15"/>
              </w:numPr>
              <w:shd w:val="clear" w:color="auto" w:fill="FFFFFF" w:themeFill="background1"/>
              <w:spacing w:before="120" w:after="120"/>
            </w:pPr>
            <w:r>
              <w:t>Engagement team members are assigned to each engagement, including an engagement partner, who have appropriate competence and capabilities, including being given sufficient time, to consistently perform quality engagements. (Ref: Para. A88-A89, A95-A97)</w:t>
            </w:r>
          </w:p>
          <w:p w14:paraId="350515D1" w14:textId="34774E44" w:rsidR="00B622DC" w:rsidRDefault="00B622DC" w:rsidP="00227BF2">
            <w:pPr>
              <w:shd w:val="clear" w:color="auto" w:fill="FFFFFF" w:themeFill="background1"/>
              <w:spacing w:before="120" w:after="120"/>
            </w:pPr>
          </w:p>
          <w:p w14:paraId="51AE69FA" w14:textId="77777777" w:rsidR="00B622DC" w:rsidRPr="004F788F" w:rsidRDefault="00B622DC" w:rsidP="00D80A98">
            <w:pPr>
              <w:pStyle w:val="ListParagraph"/>
              <w:shd w:val="clear" w:color="auto" w:fill="FFFFFF" w:themeFill="background1"/>
              <w:spacing w:before="120" w:after="120"/>
              <w:ind w:left="360"/>
            </w:pPr>
          </w:p>
          <w:p w14:paraId="3175AB9A" w14:textId="3AE32D2C" w:rsidR="00B622DC" w:rsidRDefault="00B622DC" w:rsidP="00284297">
            <w:pPr>
              <w:spacing w:before="120" w:after="120"/>
              <w:ind w:left="360" w:hanging="360"/>
            </w:pPr>
          </w:p>
        </w:tc>
        <w:tc>
          <w:tcPr>
            <w:tcW w:w="5103" w:type="dxa"/>
          </w:tcPr>
          <w:p w14:paraId="146F126B" w14:textId="04223C9C" w:rsidR="00B622DC" w:rsidRPr="00D80A98" w:rsidRDefault="00B622DC" w:rsidP="00D80A98">
            <w:pPr>
              <w:shd w:val="clear" w:color="auto" w:fill="FFFFFF" w:themeFill="background1"/>
              <w:spacing w:before="120" w:after="120"/>
              <w:rPr>
                <w:b/>
                <w:i/>
              </w:rPr>
            </w:pPr>
            <w:r w:rsidRPr="00D80A98">
              <w:rPr>
                <w:b/>
                <w:i/>
              </w:rPr>
              <w:t>Engagement Resources</w:t>
            </w:r>
          </w:p>
          <w:p w14:paraId="6162854B" w14:textId="4EE83380" w:rsidR="00736C07" w:rsidRDefault="00736C07" w:rsidP="00D80A98">
            <w:pPr>
              <w:shd w:val="clear" w:color="auto" w:fill="FFFFFF" w:themeFill="background1"/>
              <w:spacing w:before="120" w:after="120"/>
            </w:pPr>
            <w:r>
              <w:t xml:space="preserve">CAS 220.25 </w:t>
            </w:r>
            <w:r w:rsidRPr="00736C07">
              <w:t>The engagement partner shall determine that sufficient and appropriate resources to perform the engagement are assigned or made available to the engagement team in a timely manner, taking into account the nature and circumstances of the audit engagement, the firm's policies or procedures, and any changes that may arise during the engagement. (Ref: Para. A60-A71, A74-A75, A79)</w:t>
            </w:r>
          </w:p>
          <w:p w14:paraId="6012EA42" w14:textId="3358CB6A" w:rsidR="00B622DC" w:rsidRDefault="00B622DC" w:rsidP="00D80A98">
            <w:pPr>
              <w:shd w:val="clear" w:color="auto" w:fill="FFFFFF" w:themeFill="background1"/>
              <w:spacing w:before="120" w:after="120"/>
            </w:pPr>
            <w:r>
              <w:t>CAS 220.</w:t>
            </w:r>
            <w:r w:rsidRPr="00D80A98">
              <w:t>26</w:t>
            </w:r>
            <w:r>
              <w:t xml:space="preserve"> </w:t>
            </w:r>
            <w:r w:rsidRPr="00D80A98">
              <w:t>The engagement partner shall determine that members of the engagement team, and any auditor's external experts and internal auditors who provide direct assistance who are not part of the engagement team, collectively have the appropriate competence and capabilities, including sufficient time, to perform the audit engagement. (Ref: Para. A6</w:t>
            </w:r>
            <w:r>
              <w:t>3</w:t>
            </w:r>
            <w:r w:rsidRPr="00D80A98">
              <w:t>, A7</w:t>
            </w:r>
            <w:r>
              <w:t>2</w:t>
            </w:r>
            <w:r w:rsidRPr="00D80A98">
              <w:t>-A7</w:t>
            </w:r>
            <w:r>
              <w:t>5</w:t>
            </w:r>
            <w:r w:rsidRPr="00D80A98">
              <w:t>)</w:t>
            </w:r>
          </w:p>
          <w:p w14:paraId="4747E624" w14:textId="3E92CD82" w:rsidR="00B622DC" w:rsidRDefault="00B622DC" w:rsidP="00810959">
            <w:pPr>
              <w:spacing w:before="120" w:after="120"/>
            </w:pPr>
            <w:r w:rsidRPr="00810959">
              <w:t>CAS 220.27 If, as a result of complying with the requirements in paragraphs </w:t>
            </w:r>
            <w:hyperlink r:id="rId8" w:history="1">
              <w:r w:rsidRPr="00810959">
                <w:t>25</w:t>
              </w:r>
            </w:hyperlink>
            <w:r w:rsidRPr="00810959">
              <w:t> and </w:t>
            </w:r>
            <w:hyperlink r:id="rId9" w:history="1">
              <w:r w:rsidRPr="00810959">
                <w:t>26</w:t>
              </w:r>
            </w:hyperlink>
            <w:r w:rsidRPr="00810959">
              <w:t xml:space="preserve">, the engagement partner determines that resources assigned or made available are insufficient or </w:t>
            </w:r>
            <w:r w:rsidRPr="00810959">
              <w:lastRenderedPageBreak/>
              <w:t>inappropriate in the circumstances of the audit engagement, the engagement partner shall take appropriate action, including communicating with appropriate individuals about the need to assign or make available additional or alternative resources to the engagement. (Ref: Para. </w:t>
            </w:r>
            <w:hyperlink r:id="rId10" w:history="1">
              <w:r w:rsidRPr="00810959">
                <w:t>A76</w:t>
              </w:r>
            </w:hyperlink>
            <w:r w:rsidRPr="00810959">
              <w:t>-A78)</w:t>
            </w:r>
          </w:p>
        </w:tc>
      </w:tr>
      <w:tr w:rsidR="00B622DC" w14:paraId="439D2583" w14:textId="77777777" w:rsidTr="00810959">
        <w:tc>
          <w:tcPr>
            <w:tcW w:w="4815" w:type="dxa"/>
          </w:tcPr>
          <w:p w14:paraId="6151AEF1" w14:textId="497AEBAD" w:rsidR="00B622DC" w:rsidRDefault="00B622DC" w:rsidP="001A6A07">
            <w:pPr>
              <w:shd w:val="clear" w:color="auto" w:fill="FFFFFF" w:themeFill="background1"/>
              <w:spacing w:before="120" w:after="120"/>
              <w:rPr>
                <w:b/>
                <w:i/>
              </w:rPr>
            </w:pPr>
            <w:r w:rsidRPr="00B67A7A">
              <w:rPr>
                <w:b/>
                <w:i/>
              </w:rPr>
              <w:lastRenderedPageBreak/>
              <w:t>Engagement Team Members Assigned to Each Engagement (Ref: Para. 32(d))</w:t>
            </w:r>
          </w:p>
          <w:p w14:paraId="09F634FA" w14:textId="127243E7" w:rsidR="00B622DC" w:rsidRDefault="00B622DC" w:rsidP="00B67A7A">
            <w:pPr>
              <w:shd w:val="clear" w:color="auto" w:fill="FFFFFF" w:themeFill="background1"/>
              <w:spacing w:before="120" w:after="120"/>
            </w:pPr>
            <w:r>
              <w:t>CSQM 1.A95 Engagement team members may be assigned to engagements by:</w:t>
            </w:r>
          </w:p>
          <w:p w14:paraId="455B15DD" w14:textId="24AA28A0" w:rsidR="00B622DC" w:rsidRDefault="00B622DC" w:rsidP="00CD5030">
            <w:pPr>
              <w:pStyle w:val="ListParagraph"/>
              <w:numPr>
                <w:ilvl w:val="0"/>
                <w:numId w:val="20"/>
              </w:numPr>
              <w:shd w:val="clear" w:color="auto" w:fill="FFFFFF" w:themeFill="background1"/>
              <w:spacing w:before="120" w:after="120"/>
            </w:pPr>
            <w:r>
              <w:t>The firm, including assigning personnel from a service delivery center in the firm.</w:t>
            </w:r>
          </w:p>
          <w:p w14:paraId="52629E38" w14:textId="6D947833" w:rsidR="00B622DC" w:rsidRDefault="00B622DC" w:rsidP="00CD5030">
            <w:pPr>
              <w:pStyle w:val="ListParagraph"/>
              <w:numPr>
                <w:ilvl w:val="0"/>
                <w:numId w:val="20"/>
              </w:numPr>
              <w:shd w:val="clear" w:color="auto" w:fill="FFFFFF" w:themeFill="background1"/>
              <w:spacing w:before="120" w:after="120"/>
            </w:pPr>
            <w:r>
              <w:t>The firm's network or another network firm when the firm uses individuals from the firm's network or another network firm to perform procedures on the engagement (e.g., a component auditor or a service delivery center of the network or another network firm).</w:t>
            </w:r>
          </w:p>
          <w:p w14:paraId="2C5CA981" w14:textId="3C8126FC" w:rsidR="00B622DC" w:rsidRDefault="00B622DC" w:rsidP="00CD5030">
            <w:pPr>
              <w:pStyle w:val="ListParagraph"/>
              <w:numPr>
                <w:ilvl w:val="0"/>
                <w:numId w:val="20"/>
              </w:numPr>
              <w:shd w:val="clear" w:color="auto" w:fill="FFFFFF" w:themeFill="background1"/>
              <w:spacing w:before="120" w:after="120"/>
            </w:pPr>
            <w:r>
              <w:t>A service provider when the firm uses individuals from a service provider to perform procedures on the engagement (e.g., a component auditor from a firm that is not within the firm's network).</w:t>
            </w:r>
          </w:p>
          <w:p w14:paraId="79DF8790" w14:textId="6B127EC5" w:rsidR="00B622DC" w:rsidRDefault="00B622DC" w:rsidP="00B67A7A">
            <w:pPr>
              <w:shd w:val="clear" w:color="auto" w:fill="FFFFFF" w:themeFill="background1"/>
              <w:spacing w:before="120" w:after="120"/>
            </w:pPr>
            <w:r>
              <w:t xml:space="preserve">CSQM 1.A96  CAS 220 addresses the responsibility of the engagement partner to determine that members of the engagement team, and any auditor's external experts and internal auditors who provide direct assistance who are not part of the engagement team, collectively have the appropriate competence and capabilities, including sufficient time, to perform the engagement. CAS 600 expands on how CAS 220 is to be applied in relation to an audit of group financial statements. The responses designed and implemented by the firm to address the competence and capabilities of </w:t>
            </w:r>
            <w:r>
              <w:lastRenderedPageBreak/>
              <w:t>engagement team members assigned to the engagement may include policies or procedures that address:</w:t>
            </w:r>
          </w:p>
          <w:p w14:paraId="0F608704" w14:textId="0E52451A" w:rsidR="00B622DC" w:rsidRDefault="00B622DC" w:rsidP="006238DD">
            <w:pPr>
              <w:pStyle w:val="ListParagraph"/>
              <w:numPr>
                <w:ilvl w:val="0"/>
                <w:numId w:val="22"/>
              </w:numPr>
              <w:shd w:val="clear" w:color="auto" w:fill="FFFFFF" w:themeFill="background1"/>
              <w:spacing w:before="120" w:after="120"/>
            </w:pPr>
            <w:r>
              <w:t>Information that may be obtained by the engagement partner and factors to consider in determining that the engagement team members assigned to the engagement, including those assigned by the firm's network, another network firm or service provider, have the competence and capabilities to perform the engagement.</w:t>
            </w:r>
          </w:p>
          <w:p w14:paraId="7968BDEA" w14:textId="3FFB0DBC" w:rsidR="00B622DC" w:rsidRDefault="00B622DC" w:rsidP="00227BF2">
            <w:pPr>
              <w:pStyle w:val="ListParagraph"/>
              <w:numPr>
                <w:ilvl w:val="0"/>
                <w:numId w:val="22"/>
              </w:numPr>
              <w:shd w:val="clear" w:color="auto" w:fill="FFFFFF" w:themeFill="background1"/>
              <w:spacing w:before="120" w:after="120"/>
            </w:pPr>
            <w:r>
              <w:t>How concerns about the competence and capabilities of engagement team members, in particular those assigned by the firm's network, another network firm or service provider, may be resolved.</w:t>
            </w:r>
          </w:p>
        </w:tc>
        <w:tc>
          <w:tcPr>
            <w:tcW w:w="5103" w:type="dxa"/>
          </w:tcPr>
          <w:p w14:paraId="61938A4D" w14:textId="77777777" w:rsidR="00B622DC" w:rsidRPr="00810959" w:rsidRDefault="00B622DC" w:rsidP="00810959">
            <w:pPr>
              <w:spacing w:before="120" w:after="120"/>
              <w:rPr>
                <w:b/>
                <w:i/>
              </w:rPr>
            </w:pPr>
            <w:bookmarkStart w:id="1" w:name="para_304"/>
            <w:bookmarkStart w:id="2" w:name="para_305"/>
            <w:bookmarkStart w:id="3" w:name="para_306"/>
            <w:bookmarkStart w:id="4" w:name="para_327"/>
            <w:bookmarkStart w:id="5" w:name="CAS_220.A71"/>
            <w:bookmarkEnd w:id="1"/>
            <w:bookmarkEnd w:id="2"/>
            <w:bookmarkEnd w:id="3"/>
            <w:bookmarkEnd w:id="4"/>
            <w:bookmarkEnd w:id="5"/>
            <w:r w:rsidRPr="00810959">
              <w:rPr>
                <w:b/>
                <w:i/>
              </w:rPr>
              <w:lastRenderedPageBreak/>
              <w:t>Human Resources</w:t>
            </w:r>
          </w:p>
          <w:p w14:paraId="2DAA4EC5" w14:textId="1D4ACAD4" w:rsidR="00B622DC" w:rsidRDefault="00B622DC" w:rsidP="00F908E6">
            <w:pPr>
              <w:spacing w:before="120" w:after="120"/>
              <w:rPr>
                <w:b/>
                <w:i/>
              </w:rPr>
            </w:pPr>
            <w:bookmarkStart w:id="6" w:name="para_310"/>
            <w:bookmarkStart w:id="7" w:name="CAS_220.A63"/>
            <w:bookmarkEnd w:id="6"/>
            <w:bookmarkEnd w:id="7"/>
            <w:r w:rsidRPr="00810959">
              <w:t>CAS 220.A63.     Human resources include members of the engagement team (see also paragraphs </w:t>
            </w:r>
            <w:hyperlink r:id="rId11" w:history="1">
              <w:r w:rsidRPr="00810959">
                <w:t>A5</w:t>
              </w:r>
            </w:hyperlink>
            <w:r w:rsidRPr="00810959">
              <w:t>, </w:t>
            </w:r>
            <w:hyperlink r:id="rId12" w:history="1">
              <w:r w:rsidRPr="00810959">
                <w:t>A15</w:t>
              </w:r>
            </w:hyperlink>
            <w:r w:rsidRPr="00810959">
              <w:t>-A21) and, where applicable, an auditor's external expert and individuals from within the entity's internal audit function who provide direct assistance on the audit.</w:t>
            </w:r>
          </w:p>
          <w:p w14:paraId="473AE828" w14:textId="605FDEFF" w:rsidR="00B622DC" w:rsidRDefault="00B622DC" w:rsidP="00F908E6">
            <w:pPr>
              <w:spacing w:before="120" w:after="120"/>
            </w:pPr>
            <w:r w:rsidRPr="00CD5030">
              <w:rPr>
                <w:b/>
                <w:i/>
              </w:rPr>
              <w:t>Competence and Capabilities of the Engagement Team (Ref: Para. 26)</w:t>
            </w:r>
          </w:p>
          <w:p w14:paraId="2319C200" w14:textId="5953DF36" w:rsidR="00B622DC" w:rsidRDefault="00B622DC" w:rsidP="00CD5030">
            <w:pPr>
              <w:spacing w:before="120" w:after="120"/>
            </w:pPr>
            <w:r>
              <w:t>CAS 220.A72 When determining that the engagement team has the appropriate competence and capabilities, the engagement partner may take into consideration such matters as the team's:</w:t>
            </w:r>
          </w:p>
          <w:p w14:paraId="2E342D54" w14:textId="5ABB6302" w:rsidR="00B622DC" w:rsidRDefault="00B622DC" w:rsidP="0032537C">
            <w:pPr>
              <w:pStyle w:val="ListParagraph"/>
              <w:numPr>
                <w:ilvl w:val="0"/>
                <w:numId w:val="23"/>
              </w:numPr>
              <w:spacing w:before="120" w:after="120"/>
            </w:pPr>
            <w:r>
              <w:t>Understanding of, and practical experience with, audit engagements of a similar nature and complexity through appropriate training and participation.</w:t>
            </w:r>
          </w:p>
          <w:p w14:paraId="22BBB341" w14:textId="46807E32" w:rsidR="00B622DC" w:rsidRDefault="00B622DC" w:rsidP="0032537C">
            <w:pPr>
              <w:pStyle w:val="ListParagraph"/>
              <w:numPr>
                <w:ilvl w:val="0"/>
                <w:numId w:val="23"/>
              </w:numPr>
              <w:spacing w:before="120" w:after="120"/>
            </w:pPr>
            <w:r>
              <w:t>Understanding of professional standards and applicable legal and regulatory requirements.</w:t>
            </w:r>
          </w:p>
          <w:p w14:paraId="15D87FE2" w14:textId="3930AC21" w:rsidR="00B622DC" w:rsidRDefault="00B622DC" w:rsidP="0032537C">
            <w:pPr>
              <w:pStyle w:val="ListParagraph"/>
              <w:numPr>
                <w:ilvl w:val="0"/>
                <w:numId w:val="23"/>
              </w:numPr>
              <w:spacing w:before="120" w:after="120"/>
            </w:pPr>
            <w:r>
              <w:t>Expertise in specialized areas of accounting or auditing.</w:t>
            </w:r>
          </w:p>
          <w:p w14:paraId="2DAECE94" w14:textId="65425E2A" w:rsidR="00B622DC" w:rsidRDefault="00B622DC" w:rsidP="0032537C">
            <w:pPr>
              <w:pStyle w:val="ListParagraph"/>
              <w:numPr>
                <w:ilvl w:val="0"/>
                <w:numId w:val="23"/>
              </w:numPr>
              <w:spacing w:before="120" w:after="120"/>
            </w:pPr>
            <w:r>
              <w:t>Expertise in IT used by the entity or automated tools or techniques that are to be used by the engagement team in planning and performing the audit engagement.</w:t>
            </w:r>
          </w:p>
          <w:p w14:paraId="2637D690" w14:textId="4EEF4904" w:rsidR="00B622DC" w:rsidRDefault="00B622DC" w:rsidP="0032537C">
            <w:pPr>
              <w:pStyle w:val="ListParagraph"/>
              <w:numPr>
                <w:ilvl w:val="0"/>
                <w:numId w:val="23"/>
              </w:numPr>
              <w:spacing w:before="120" w:after="120"/>
            </w:pPr>
            <w:r>
              <w:t>Knowledge of relevant industries in which the entity being audited operates.</w:t>
            </w:r>
          </w:p>
          <w:p w14:paraId="472F2123" w14:textId="57CB6E50" w:rsidR="00B622DC" w:rsidRDefault="00B622DC" w:rsidP="0032537C">
            <w:pPr>
              <w:pStyle w:val="ListParagraph"/>
              <w:numPr>
                <w:ilvl w:val="0"/>
                <w:numId w:val="23"/>
              </w:numPr>
              <w:spacing w:before="120" w:after="120"/>
            </w:pPr>
            <w:r>
              <w:lastRenderedPageBreak/>
              <w:t>Ability to exercise professional skepticism and professional judgment.</w:t>
            </w:r>
          </w:p>
          <w:p w14:paraId="761718D9" w14:textId="6D106DF8" w:rsidR="00B622DC" w:rsidRDefault="00B622DC" w:rsidP="0032537C">
            <w:pPr>
              <w:pStyle w:val="ListParagraph"/>
              <w:numPr>
                <w:ilvl w:val="0"/>
                <w:numId w:val="23"/>
              </w:numPr>
              <w:spacing w:before="120" w:after="120"/>
            </w:pPr>
            <w:r>
              <w:t>Understanding of the firm's policies or procedures.</w:t>
            </w:r>
          </w:p>
          <w:p w14:paraId="741207D6" w14:textId="4B076D6D" w:rsidR="00B622DC" w:rsidRPr="00CD5030" w:rsidRDefault="00B622DC" w:rsidP="00CD5030">
            <w:pPr>
              <w:spacing w:before="120" w:after="120"/>
            </w:pPr>
            <w:r>
              <w:t>CAS 220.A73 Internal auditors and an auditor's external expert are not members of the engagement team. CAS 610 and CAS 620 include requirements and guidance relating to the assessment of the competence and capabilities of internal auditors and an auditor's external expert, respectively.</w:t>
            </w:r>
          </w:p>
          <w:p w14:paraId="5FD5AC52" w14:textId="77777777" w:rsidR="00B622DC" w:rsidRPr="00D316A2" w:rsidRDefault="00B622DC" w:rsidP="00D316A2">
            <w:pPr>
              <w:spacing w:before="120" w:after="120"/>
              <w:rPr>
                <w:b/>
                <w:i/>
              </w:rPr>
            </w:pPr>
            <w:r w:rsidRPr="00D316A2">
              <w:rPr>
                <w:b/>
                <w:i/>
              </w:rPr>
              <w:t>Project Management</w:t>
            </w:r>
          </w:p>
          <w:p w14:paraId="2340B5E2" w14:textId="76FDC6B6" w:rsidR="00B622DC" w:rsidRDefault="00B622DC" w:rsidP="00D316A2">
            <w:pPr>
              <w:spacing w:before="120" w:after="120"/>
            </w:pPr>
            <w:r>
              <w:t>CAS 220.A74 In situations where there are many engagement team members (e.g., in an audit of a larger or more complex entity), the engagement partner may involve an individual who has specialized skills or knowledge in project management, supported by appropriate technological and intellectual resources of the firm. Conversely, in an audit of a less complex entity with few engagement team members, project management may be achieved by a member of the engagement team through less formal means.</w:t>
            </w:r>
          </w:p>
          <w:p w14:paraId="048E6EC1" w14:textId="00BD2557" w:rsidR="00B622DC" w:rsidRDefault="00B622DC" w:rsidP="00D316A2">
            <w:pPr>
              <w:spacing w:before="120" w:after="120"/>
            </w:pPr>
            <w:r>
              <w:t>CAS 220.A75 Project management techniques and tools may support the engagement team in managing the quality of the audit engagement by, for example:</w:t>
            </w:r>
          </w:p>
          <w:p w14:paraId="673B98CF" w14:textId="222FB3E3" w:rsidR="00B622DC" w:rsidRDefault="00B622DC" w:rsidP="00D316A2">
            <w:pPr>
              <w:pStyle w:val="ListParagraph"/>
              <w:numPr>
                <w:ilvl w:val="0"/>
                <w:numId w:val="25"/>
              </w:numPr>
              <w:spacing w:before="120" w:after="120"/>
            </w:pPr>
            <w:r>
              <w:t>Increasing the engagement team's ability to exercise professional skepticism through alleviating budget or time constraints that may otherwise impede the exercise of professional skepticism;</w:t>
            </w:r>
          </w:p>
          <w:p w14:paraId="74622DF7" w14:textId="05A67284" w:rsidR="00B622DC" w:rsidRDefault="00B622DC" w:rsidP="00D316A2">
            <w:pPr>
              <w:pStyle w:val="ListParagraph"/>
              <w:numPr>
                <w:ilvl w:val="0"/>
                <w:numId w:val="25"/>
              </w:numPr>
              <w:spacing w:before="120" w:after="120"/>
            </w:pPr>
            <w:r>
              <w:t>Facilitating timely performance of audit work to effectively manage time constraints at the end of the audit process when more difficult or contentious matters may arise;</w:t>
            </w:r>
          </w:p>
          <w:p w14:paraId="758A44BA" w14:textId="3CF9780D" w:rsidR="00B622DC" w:rsidRDefault="00B622DC" w:rsidP="00D316A2">
            <w:pPr>
              <w:pStyle w:val="ListParagraph"/>
              <w:numPr>
                <w:ilvl w:val="0"/>
                <w:numId w:val="25"/>
              </w:numPr>
              <w:spacing w:before="120" w:after="120"/>
            </w:pPr>
            <w:r>
              <w:t>Monitoring the progress of the audit against the audit plan, including the achievement of key milestones, which may assist the engagement team in being proactive in identifying the need for making timely adjustments to the audit plan and the assigned resources; or</w:t>
            </w:r>
          </w:p>
          <w:p w14:paraId="547B9844" w14:textId="20F7A760" w:rsidR="00B622DC" w:rsidRDefault="00B622DC" w:rsidP="00D316A2">
            <w:pPr>
              <w:pStyle w:val="ListParagraph"/>
              <w:numPr>
                <w:ilvl w:val="0"/>
                <w:numId w:val="25"/>
              </w:numPr>
              <w:spacing w:before="120" w:after="120"/>
            </w:pPr>
            <w:r>
              <w:t>Facilitating communication among members of the engagement team, for example, coordinating arrangements with component auditors and auditor's experts.</w:t>
            </w:r>
          </w:p>
          <w:p w14:paraId="4D58E83D" w14:textId="77777777" w:rsidR="00B622DC" w:rsidRPr="00810959" w:rsidRDefault="00B622DC" w:rsidP="00810959">
            <w:pPr>
              <w:spacing w:before="120" w:after="120"/>
              <w:rPr>
                <w:b/>
                <w:i/>
              </w:rPr>
            </w:pPr>
            <w:r w:rsidRPr="00810959">
              <w:rPr>
                <w:b/>
                <w:i/>
              </w:rPr>
              <w:lastRenderedPageBreak/>
              <w:t>Insufficient or Inappropriate Resources (Ref: Para. </w:t>
            </w:r>
            <w:hyperlink r:id="rId13" w:history="1">
              <w:r w:rsidRPr="00810959">
                <w:rPr>
                  <w:b/>
                </w:rPr>
                <w:t>27</w:t>
              </w:r>
            </w:hyperlink>
            <w:r w:rsidRPr="00810959">
              <w:rPr>
                <w:b/>
                <w:i/>
              </w:rPr>
              <w:t>)</w:t>
            </w:r>
          </w:p>
          <w:p w14:paraId="66D24027" w14:textId="4F977F5D" w:rsidR="00B622DC" w:rsidRPr="00810959" w:rsidRDefault="00B622DC" w:rsidP="00810959">
            <w:pPr>
              <w:spacing w:before="120" w:after="120"/>
            </w:pPr>
            <w:bookmarkStart w:id="8" w:name="para_346"/>
            <w:bookmarkStart w:id="9" w:name="CAS_220.A76"/>
            <w:bookmarkEnd w:id="8"/>
            <w:bookmarkEnd w:id="9"/>
            <w:r w:rsidRPr="00810959">
              <w:t xml:space="preserve">CAS 220.A76 </w:t>
            </w:r>
            <w:hyperlink r:id="rId14" w:history="1">
              <w:r w:rsidRPr="00810959">
                <w:t>CSQM 1</w:t>
              </w:r>
            </w:hyperlink>
            <w:r w:rsidRPr="00810959">
              <w:t> addresses the firm's commitment to quality through its culture that exists throughout the firm, which recognizes and reinforces the firm's role in serving the public interest by consistently performing quality engagements, and the importance of quality in the firm's strategic decisions and actions, including the firm's financial and operational priorities. CSQM 1 also addresses the firm's responsibilities for planning for resource needs, and obtaining, allocating or assigning resources in a manner that is consistent with the firm's commitment to quality. However, in certain circumstances, the firm's financial and operational priorities may place constraints on the resources assigned or made available to the engagement team. In such circumstances, these constraints do not override the engagement partner's responsibility for achieving quality at the engagement level, including for determining that the resources assigned or made available by the firm are sufficient and appropriate to perform the audit engagement.</w:t>
            </w:r>
          </w:p>
          <w:p w14:paraId="6F273F66" w14:textId="40B817C5" w:rsidR="00B622DC" w:rsidRPr="00810959" w:rsidRDefault="00B622DC" w:rsidP="00810959">
            <w:pPr>
              <w:spacing w:before="120" w:after="120"/>
            </w:pPr>
            <w:bookmarkStart w:id="10" w:name="para_347"/>
            <w:bookmarkStart w:id="11" w:name="para_348"/>
            <w:bookmarkStart w:id="12" w:name="CAS_220.A77"/>
            <w:bookmarkEnd w:id="10"/>
            <w:bookmarkEnd w:id="11"/>
            <w:bookmarkEnd w:id="12"/>
            <w:r w:rsidRPr="00810959">
              <w:t>CAS 220.A77 The engagement partner's determination of whether additional engagement level resources are required is a matter of professional judgment and is influenced by the requirements of this CAS and the nature and circumstances of the audit engagement. As described in paragraph </w:t>
            </w:r>
            <w:hyperlink r:id="rId15" w:history="1">
              <w:r w:rsidRPr="00810959">
                <w:t>A11</w:t>
              </w:r>
            </w:hyperlink>
            <w:r w:rsidRPr="00810959">
              <w:t>, in certain circumstances, the engagement partner may determine that the firm's responses to quality risks are ineffective in the context of the specific engagement, including that certain resources assigned or made available to the engagement team are insufficient. In those circumstances, the engagement partner is required to take appropriate action, including communicating such information to the appropriate individuals in accordance with paragraph </w:t>
            </w:r>
            <w:hyperlink r:id="rId16" w:history="1">
              <w:r w:rsidRPr="00810959">
                <w:t>27</w:t>
              </w:r>
            </w:hyperlink>
            <w:r w:rsidRPr="00810959">
              <w:t> and paragraph </w:t>
            </w:r>
            <w:hyperlink r:id="rId17" w:history="1">
              <w:r w:rsidRPr="00810959">
                <w:t>39</w:t>
              </w:r>
            </w:hyperlink>
            <w:r w:rsidRPr="00810959">
              <w:t>(c). For example, if an audit software program provided by the firm has not incorporated new or revised audit procedures in respect of recently issued industry regulation, timely communication of such information to the firm enables the firm to take steps to update and reissue the software promptly or to provide an alternative resource that enables the engagement team to comply with the new regulation in the performance of the audit engagement.</w:t>
            </w:r>
          </w:p>
          <w:p w14:paraId="4FB829C9" w14:textId="3C60ECFC" w:rsidR="00B622DC" w:rsidRPr="00810959" w:rsidRDefault="00B622DC" w:rsidP="00810959">
            <w:pPr>
              <w:spacing w:before="120" w:after="120"/>
            </w:pPr>
            <w:bookmarkStart w:id="13" w:name="para_349"/>
            <w:bookmarkStart w:id="14" w:name="CAS_220.A78"/>
            <w:bookmarkEnd w:id="13"/>
            <w:bookmarkEnd w:id="14"/>
            <w:r w:rsidRPr="00810959">
              <w:t>CAS 220.A78 If the resources assigned or made available are insufficient or inappropriate in the circumstances of the engagement and additional or alternative resources have not been made available, appropriate actions may include:</w:t>
            </w:r>
          </w:p>
          <w:p w14:paraId="6727D610" w14:textId="0641B963" w:rsidR="00B622DC" w:rsidRPr="00810959" w:rsidRDefault="00B622DC" w:rsidP="00810959">
            <w:pPr>
              <w:pStyle w:val="ListParagraph"/>
              <w:numPr>
                <w:ilvl w:val="0"/>
                <w:numId w:val="25"/>
              </w:numPr>
              <w:spacing w:before="120" w:after="120"/>
            </w:pPr>
            <w:bookmarkStart w:id="15" w:name="para_350"/>
            <w:bookmarkEnd w:id="15"/>
            <w:r w:rsidRPr="00810959">
              <w:t>Changing the planned approach to the nature, timing and extent of direction, supervision and review (see also paragraph </w:t>
            </w:r>
            <w:hyperlink r:id="rId18" w:history="1">
              <w:r w:rsidRPr="00810959">
                <w:t>A94</w:t>
              </w:r>
            </w:hyperlink>
            <w:r w:rsidRPr="00810959">
              <w:t>).</w:t>
            </w:r>
          </w:p>
          <w:p w14:paraId="7E4C200A" w14:textId="2271B48D" w:rsidR="00B622DC" w:rsidRPr="00810959" w:rsidRDefault="00B622DC" w:rsidP="00810959">
            <w:pPr>
              <w:pStyle w:val="ListParagraph"/>
              <w:numPr>
                <w:ilvl w:val="0"/>
                <w:numId w:val="25"/>
              </w:numPr>
              <w:spacing w:before="120" w:after="120"/>
            </w:pPr>
            <w:bookmarkStart w:id="16" w:name="para_351"/>
            <w:bookmarkEnd w:id="16"/>
            <w:r w:rsidRPr="00810959">
              <w:t>Discussing an extension to reporting deadlines with management or those charged with governance, when an extension is possible under applicable law or regulation.</w:t>
            </w:r>
          </w:p>
          <w:p w14:paraId="497625FB" w14:textId="7F2857CA" w:rsidR="00B622DC" w:rsidRPr="00810959" w:rsidRDefault="00B622DC" w:rsidP="00810959">
            <w:pPr>
              <w:pStyle w:val="ListParagraph"/>
              <w:numPr>
                <w:ilvl w:val="0"/>
                <w:numId w:val="25"/>
              </w:numPr>
              <w:spacing w:before="120" w:after="120"/>
            </w:pPr>
            <w:bookmarkStart w:id="17" w:name="para_352"/>
            <w:bookmarkEnd w:id="17"/>
            <w:r w:rsidRPr="00810959">
              <w:t>Following the firm's policies or procedures for resolving differences of opinion if the engagement partner does not obtain the necessary resources for the audit engagement.</w:t>
            </w:r>
          </w:p>
          <w:p w14:paraId="58699CAD" w14:textId="3DEA4EC4" w:rsidR="00B622DC" w:rsidRPr="001A6A07" w:rsidRDefault="00B622DC" w:rsidP="00810959">
            <w:pPr>
              <w:pStyle w:val="ListParagraph"/>
              <w:numPr>
                <w:ilvl w:val="0"/>
                <w:numId w:val="25"/>
              </w:numPr>
              <w:spacing w:before="120" w:after="120"/>
            </w:pPr>
            <w:bookmarkStart w:id="18" w:name="para_353"/>
            <w:bookmarkEnd w:id="18"/>
            <w:r w:rsidRPr="00810959">
              <w:t>Following the firm's policies or procedures for withdrawing from the audit engagement, when withdrawal is possible under applicable law or regulation.</w:t>
            </w:r>
          </w:p>
        </w:tc>
      </w:tr>
    </w:tbl>
    <w:p w14:paraId="7EB4E35C" w14:textId="77777777" w:rsidR="00B1417A" w:rsidRDefault="00B1417A"/>
    <w:p w14:paraId="7C833947" w14:textId="77777777" w:rsidR="00710B75" w:rsidRDefault="00710B75">
      <w:r>
        <w:br w:type="page"/>
      </w:r>
    </w:p>
    <w:p w14:paraId="5139588C" w14:textId="352BD8A2" w:rsidR="005E3467" w:rsidRDefault="00CE7262" w:rsidP="001A6A07">
      <w:r w:rsidRPr="00A86BCC">
        <w:t>The</w:t>
      </w:r>
      <w:r w:rsidR="00710B75" w:rsidRPr="00A86BCC">
        <w:t xml:space="preserve"> following</w:t>
      </w:r>
      <w:r w:rsidR="00A82DF4" w:rsidRPr="00A86BCC">
        <w:t xml:space="preserve"> steps</w:t>
      </w:r>
      <w:r w:rsidR="00A7768C" w:rsidRPr="00A86BCC">
        <w:t xml:space="preserve"> in this template </w:t>
      </w:r>
      <w:r w:rsidR="00762971" w:rsidRPr="00A86BCC">
        <w:t xml:space="preserve">support the </w:t>
      </w:r>
      <w:r w:rsidR="003542AC" w:rsidRPr="00A86BCC">
        <w:t>assessment of the necessary competencies</w:t>
      </w:r>
      <w:r w:rsidR="00010B70">
        <w:t>, ca</w:t>
      </w:r>
      <w:r w:rsidR="007F7BFF">
        <w:t>p</w:t>
      </w:r>
      <w:r w:rsidR="00010B70">
        <w:t>abilities</w:t>
      </w:r>
      <w:r w:rsidR="003542AC" w:rsidRPr="00A86BCC">
        <w:t xml:space="preserve"> and </w:t>
      </w:r>
      <w:r w:rsidR="00A82DF4" w:rsidRPr="00A86BCC">
        <w:t xml:space="preserve">resources for the </w:t>
      </w:r>
      <w:r w:rsidR="00710B75" w:rsidRPr="00A86BCC">
        <w:t>assurance</w:t>
      </w:r>
      <w:r w:rsidR="00A82DF4" w:rsidRPr="00A86BCC">
        <w:t xml:space="preserve"> engagement</w:t>
      </w:r>
      <w:r w:rsidR="00A82DF4">
        <w:t>:</w:t>
      </w:r>
      <w:r w:rsidR="00B9665A">
        <w:t xml:space="preserve"> </w:t>
      </w:r>
    </w:p>
    <w:p w14:paraId="2006C129" w14:textId="19463451" w:rsidR="008B71EB" w:rsidRDefault="00B9665A" w:rsidP="001B02A0">
      <w:pPr>
        <w:shd w:val="clear" w:color="auto" w:fill="FFFFFF" w:themeFill="background1"/>
        <w:ind w:left="900" w:hanging="900"/>
      </w:pPr>
      <w:r>
        <w:t>1</w:t>
      </w:r>
      <w:r w:rsidR="00010B70">
        <w:t>.</w:t>
      </w:r>
      <w:r w:rsidR="00F53399">
        <w:tab/>
      </w:r>
      <w:r w:rsidR="006F6217">
        <w:t xml:space="preserve">Identify </w:t>
      </w:r>
      <w:r w:rsidR="008B71EB">
        <w:t>the assurance engagement</w:t>
      </w:r>
      <w:r w:rsidR="003961C8">
        <w:t xml:space="preserve"> and factors that characterize the complexity of the </w:t>
      </w:r>
      <w:r w:rsidR="00010B70">
        <w:t>e</w:t>
      </w:r>
      <w:r w:rsidR="003961C8">
        <w:t xml:space="preserve">ngagement </w:t>
      </w:r>
    </w:p>
    <w:p w14:paraId="3E2D149E" w14:textId="43F7F44C" w:rsidR="006F6217" w:rsidRDefault="00B9665A" w:rsidP="001B02A0">
      <w:pPr>
        <w:shd w:val="clear" w:color="auto" w:fill="FFFFFF" w:themeFill="background1"/>
        <w:ind w:left="900" w:hanging="900"/>
      </w:pPr>
      <w:r>
        <w:t>2</w:t>
      </w:r>
      <w:r w:rsidR="00010B70">
        <w:t>.</w:t>
      </w:r>
      <w:r w:rsidR="00A82DF4">
        <w:tab/>
      </w:r>
      <w:r w:rsidR="006F6217">
        <w:t xml:space="preserve">Document the </w:t>
      </w:r>
      <w:r w:rsidR="00010B70">
        <w:t>c</w:t>
      </w:r>
      <w:r w:rsidR="006F6217">
        <w:t xml:space="preserve">urrent </w:t>
      </w:r>
      <w:r w:rsidR="00010B70">
        <w:t>r</w:t>
      </w:r>
      <w:r w:rsidR="006F6217">
        <w:t xml:space="preserve">esources available for the </w:t>
      </w:r>
      <w:r w:rsidR="00010B70">
        <w:t>e</w:t>
      </w:r>
      <w:r w:rsidR="006F6217">
        <w:t>ngagement</w:t>
      </w:r>
    </w:p>
    <w:p w14:paraId="627CB941" w14:textId="06033C7C" w:rsidR="00A82DF4" w:rsidRDefault="003961C8" w:rsidP="001B02A0">
      <w:pPr>
        <w:shd w:val="clear" w:color="auto" w:fill="FFFFFF" w:themeFill="background1"/>
        <w:ind w:left="900" w:hanging="900"/>
      </w:pPr>
      <w:r>
        <w:t>3</w:t>
      </w:r>
      <w:r w:rsidR="00A82DF4">
        <w:t xml:space="preserve"> a)</w:t>
      </w:r>
      <w:r w:rsidR="00C91C2C">
        <w:t xml:space="preserve"> &amp; b)</w:t>
      </w:r>
      <w:r w:rsidR="00A82DF4">
        <w:tab/>
      </w:r>
      <w:r w:rsidR="006F6217" w:rsidRPr="006F6217">
        <w:t xml:space="preserve">Assess the </w:t>
      </w:r>
      <w:r w:rsidR="00010B70">
        <w:t>c</w:t>
      </w:r>
      <w:r w:rsidR="006F6217" w:rsidRPr="006F6217">
        <w:t>ompe</w:t>
      </w:r>
      <w:r w:rsidR="007A2525">
        <w:t>tencies</w:t>
      </w:r>
      <w:r w:rsidR="00C81224">
        <w:t xml:space="preserve">, capabilities, resources and time </w:t>
      </w:r>
      <w:r w:rsidR="007A2525">
        <w:t xml:space="preserve">of the engagement team and the sufficiency of </w:t>
      </w:r>
      <w:r w:rsidR="00C91C2C">
        <w:t xml:space="preserve">available </w:t>
      </w:r>
      <w:r w:rsidR="006F6217" w:rsidRPr="006F6217">
        <w:t>resources and time</w:t>
      </w:r>
    </w:p>
    <w:p w14:paraId="65DBD3DE" w14:textId="0F0DA101" w:rsidR="005E3467" w:rsidRDefault="003961C8" w:rsidP="001B02A0">
      <w:pPr>
        <w:shd w:val="clear" w:color="auto" w:fill="FFFFFF" w:themeFill="background1"/>
        <w:spacing w:after="0"/>
        <w:ind w:left="900" w:hanging="900"/>
      </w:pPr>
      <w:r>
        <w:t>3</w:t>
      </w:r>
      <w:r w:rsidR="00010B70">
        <w:t xml:space="preserve"> </w:t>
      </w:r>
      <w:r w:rsidR="00C91C2C">
        <w:t>c</w:t>
      </w:r>
      <w:r w:rsidR="003C585E">
        <w:t>)</w:t>
      </w:r>
      <w:r w:rsidR="00A82DF4">
        <w:tab/>
      </w:r>
      <w:r w:rsidR="00106666">
        <w:t>M</w:t>
      </w:r>
      <w:r w:rsidR="006F6217" w:rsidRPr="006F6217">
        <w:t>itigate gaps in collective competencies</w:t>
      </w:r>
      <w:r w:rsidR="00A86BCC" w:rsidRPr="00A86BCC">
        <w:t xml:space="preserve">, </w:t>
      </w:r>
      <w:r w:rsidR="00C81224">
        <w:t xml:space="preserve">capabilities, </w:t>
      </w:r>
      <w:r w:rsidR="00A86BCC" w:rsidRPr="00A86BCC">
        <w:t>resources and time</w:t>
      </w:r>
    </w:p>
    <w:p w14:paraId="2EDBC3FB" w14:textId="77777777" w:rsidR="00EE510B" w:rsidRDefault="00EE510B" w:rsidP="001B02A0">
      <w:pPr>
        <w:shd w:val="clear" w:color="auto" w:fill="FFFFFF" w:themeFill="background1"/>
        <w:spacing w:after="0"/>
        <w:ind w:left="900" w:hanging="900"/>
      </w:pPr>
    </w:p>
    <w:p w14:paraId="0920AB22" w14:textId="0B84F5AB" w:rsidR="005E3467" w:rsidRDefault="003961C8" w:rsidP="001B02A0">
      <w:pPr>
        <w:shd w:val="clear" w:color="auto" w:fill="FFFFFF" w:themeFill="background1"/>
        <w:ind w:left="900" w:hanging="900"/>
      </w:pPr>
      <w:r>
        <w:t>4</w:t>
      </w:r>
      <w:r w:rsidR="00010B70">
        <w:t>.</w:t>
      </w:r>
      <w:r w:rsidR="00A82DF4">
        <w:tab/>
        <w:t>Affirmation</w:t>
      </w:r>
    </w:p>
    <w:p w14:paraId="4551DDF1" w14:textId="1257B732" w:rsidR="003961C8" w:rsidRPr="003961C8" w:rsidRDefault="00B9665A" w:rsidP="00B9665A">
      <w:pPr>
        <w:shd w:val="clear" w:color="auto" w:fill="FFFFFF" w:themeFill="background1"/>
      </w:pPr>
      <w:r>
        <w:t>Appendix A:</w:t>
      </w:r>
      <w:r w:rsidR="003961C8">
        <w:tab/>
      </w:r>
      <w:r w:rsidR="003961C8" w:rsidRPr="003961C8">
        <w:t>Factors that contri</w:t>
      </w:r>
      <w:r w:rsidR="003961C8">
        <w:t>bute to engagement complexities</w:t>
      </w:r>
      <w:r w:rsidR="003961C8" w:rsidRPr="003961C8">
        <w:t xml:space="preserve"> </w:t>
      </w:r>
    </w:p>
    <w:p w14:paraId="70BC2EEE" w14:textId="1417866E" w:rsidR="0027031A" w:rsidRDefault="00582CBD" w:rsidP="0027031A">
      <w:pPr>
        <w:shd w:val="clear" w:color="auto" w:fill="FFFFFF" w:themeFill="background1"/>
      </w:pPr>
      <w:r>
        <w:t xml:space="preserve">It is important to remember that documentation should demonstrate </w:t>
      </w:r>
      <w:r w:rsidRPr="003542AC">
        <w:rPr>
          <w:b/>
        </w:rPr>
        <w:t>how</w:t>
      </w:r>
      <w:r>
        <w:t xml:space="preserve"> </w:t>
      </w:r>
      <w:r w:rsidR="00DD16D9">
        <w:t xml:space="preserve">members of </w:t>
      </w:r>
      <w:r w:rsidRPr="00A82DF4">
        <w:t xml:space="preserve">the </w:t>
      </w:r>
      <w:r w:rsidR="0027031A" w:rsidRPr="00A82DF4">
        <w:t xml:space="preserve">engagement </w:t>
      </w:r>
      <w:r w:rsidRPr="00A82DF4">
        <w:t>team</w:t>
      </w:r>
      <w:r w:rsidR="00DD16D9">
        <w:t>, and any auditor’s external experts and internal auditors who provide direct assistance who are not part of the engagement team, collectively</w:t>
      </w:r>
      <w:r>
        <w:t xml:space="preserve"> ha</w:t>
      </w:r>
      <w:r w:rsidR="00DD16D9">
        <w:t>ve</w:t>
      </w:r>
      <w:r>
        <w:t xml:space="preserve"> the </w:t>
      </w:r>
      <w:r w:rsidR="00DD16D9">
        <w:t xml:space="preserve">appropriate </w:t>
      </w:r>
      <w:r w:rsidR="0027031A">
        <w:t>competenc</w:t>
      </w:r>
      <w:r w:rsidR="00194601">
        <w:t>e</w:t>
      </w:r>
      <w:r w:rsidR="0027031A">
        <w:t xml:space="preserve"> and </w:t>
      </w:r>
      <w:r w:rsidR="003542AC">
        <w:t>capabilities</w:t>
      </w:r>
      <w:r w:rsidR="00DD16D9">
        <w:t>, including sufficient time,</w:t>
      </w:r>
      <w:r w:rsidR="003542AC">
        <w:t xml:space="preserve"> to</w:t>
      </w:r>
      <w:r>
        <w:t xml:space="preserve"> </w:t>
      </w:r>
      <w:r w:rsidR="00465594">
        <w:t xml:space="preserve">perform the </w:t>
      </w:r>
      <w:r w:rsidR="00DD16D9">
        <w:t xml:space="preserve">audit </w:t>
      </w:r>
      <w:r w:rsidR="00465594">
        <w:t>engagement</w:t>
      </w:r>
      <w:r w:rsidR="0027031A">
        <w:t xml:space="preserve">. </w:t>
      </w:r>
    </w:p>
    <w:p w14:paraId="75B28EF0" w14:textId="77777777" w:rsidR="0027031A" w:rsidRPr="00710B75" w:rsidRDefault="0027031A" w:rsidP="00710B75">
      <w:pPr>
        <w:rPr>
          <w:b/>
          <w:sz w:val="28"/>
          <w:szCs w:val="28"/>
        </w:rPr>
      </w:pPr>
      <w:r w:rsidRPr="00710B75">
        <w:rPr>
          <w:b/>
          <w:sz w:val="28"/>
          <w:szCs w:val="28"/>
        </w:rPr>
        <w:t>Protection of Personal Information</w:t>
      </w:r>
    </w:p>
    <w:p w14:paraId="5E227E41" w14:textId="64B42A11" w:rsidR="00582CBD" w:rsidRPr="000A4D55" w:rsidRDefault="00582CBD" w:rsidP="00582CBD">
      <w:pPr>
        <w:shd w:val="clear" w:color="auto" w:fill="FFFFFF" w:themeFill="background1"/>
      </w:pPr>
      <w:r>
        <w:t>C</w:t>
      </w:r>
      <w:r w:rsidRPr="000A4D55">
        <w:t xml:space="preserve">are </w:t>
      </w:r>
      <w:r>
        <w:t>must be taken to ensure that information of a personal nature regarding individual competencies is not divulged as part of this exercise or included in the audit file.</w:t>
      </w:r>
      <w:r w:rsidR="00B9665A">
        <w:t xml:space="preserve"> </w:t>
      </w:r>
    </w:p>
    <w:p w14:paraId="6C526132" w14:textId="756990DE" w:rsidR="00CE7262" w:rsidRPr="00D51F39" w:rsidRDefault="00B90327" w:rsidP="00CE7262">
      <w:pPr>
        <w:shd w:val="clear" w:color="auto" w:fill="FFFFFF" w:themeFill="background1"/>
      </w:pPr>
      <w:r>
        <w:t xml:space="preserve">This completed Template </w:t>
      </w:r>
      <w:r w:rsidR="00194601">
        <w:t>is</w:t>
      </w:r>
      <w:r w:rsidR="00CE7262" w:rsidRPr="00D51F39">
        <w:t xml:space="preserve"> to be included in the audit file</w:t>
      </w:r>
      <w:r w:rsidR="005F73DF">
        <w:t>.</w:t>
      </w:r>
      <w:r w:rsidR="00B9665A">
        <w:t xml:space="preserve"> </w:t>
      </w:r>
    </w:p>
    <w:p w14:paraId="2F67B659" w14:textId="77777777" w:rsidR="00842531" w:rsidRPr="00B9665A" w:rsidRDefault="00F14994">
      <w:pPr>
        <w:rPr>
          <w:rStyle w:val="Hyperlink"/>
          <w:color w:val="auto"/>
        </w:rPr>
      </w:pPr>
      <w:r w:rsidRPr="00B9665A">
        <w:rPr>
          <w:rStyle w:val="Hyperlink"/>
          <w:color w:val="auto"/>
        </w:rPr>
        <w:br w:type="page"/>
      </w:r>
    </w:p>
    <w:p w14:paraId="38CB3F7C" w14:textId="658CD81D" w:rsidR="003961C8" w:rsidRDefault="003961C8" w:rsidP="00B9665A">
      <w:pPr>
        <w:pStyle w:val="Heading1"/>
        <w:numPr>
          <w:ilvl w:val="2"/>
          <w:numId w:val="11"/>
        </w:numPr>
        <w:ind w:left="360"/>
      </w:pPr>
      <w:bookmarkStart w:id="19" w:name="_Complexity_of_the"/>
      <w:bookmarkEnd w:id="19"/>
      <w:r>
        <w:t xml:space="preserve">Identify the assurance engagement and factors that characterize the complexity of the </w:t>
      </w:r>
      <w:r w:rsidR="00010B70">
        <w:t>e</w:t>
      </w:r>
      <w:r>
        <w:t xml:space="preserve">ngagement </w:t>
      </w:r>
    </w:p>
    <w:p w14:paraId="331DF04C" w14:textId="297E98CF" w:rsidR="003542AC" w:rsidRPr="00762971" w:rsidRDefault="003542AC" w:rsidP="00B9665A">
      <w:pPr>
        <w:pStyle w:val="Heading1"/>
        <w:numPr>
          <w:ilvl w:val="0"/>
          <w:numId w:val="6"/>
        </w:numPr>
        <w:tabs>
          <w:tab w:val="right" w:pos="9360"/>
        </w:tabs>
        <w:spacing w:before="240" w:after="240"/>
        <w:rPr>
          <w:rFonts w:asciiTheme="minorHAnsi" w:hAnsiTheme="minorHAnsi"/>
          <w:b w:val="0"/>
          <w:color w:val="auto"/>
          <w:sz w:val="24"/>
          <w:szCs w:val="24"/>
        </w:rPr>
      </w:pPr>
      <w:r w:rsidRPr="00762971">
        <w:rPr>
          <w:rFonts w:asciiTheme="minorHAnsi" w:hAnsiTheme="minorHAnsi"/>
          <w:b w:val="0"/>
          <w:color w:val="auto"/>
          <w:sz w:val="24"/>
          <w:szCs w:val="24"/>
        </w:rPr>
        <w:t>Annual</w:t>
      </w:r>
      <w:r w:rsidR="00B9665A">
        <w:rPr>
          <w:rFonts w:asciiTheme="minorHAnsi" w:hAnsiTheme="minorHAnsi"/>
          <w:b w:val="0"/>
          <w:color w:val="auto"/>
          <w:sz w:val="24"/>
          <w:szCs w:val="24"/>
        </w:rPr>
        <w:t xml:space="preserve"> Audit of: </w:t>
      </w:r>
      <w:r w:rsidR="00B9665A">
        <w:rPr>
          <w:rFonts w:asciiTheme="minorHAnsi" w:hAnsiTheme="minorHAnsi"/>
          <w:b w:val="0"/>
          <w:color w:val="auto"/>
          <w:sz w:val="24"/>
          <w:szCs w:val="24"/>
          <w:u w:val="single"/>
        </w:rPr>
        <w:tab/>
      </w:r>
    </w:p>
    <w:p w14:paraId="582A4C45" w14:textId="77777777" w:rsidR="00BC7FA8" w:rsidRPr="00D51F39" w:rsidRDefault="00463A3A" w:rsidP="00B9665A">
      <w:pPr>
        <w:spacing w:before="240" w:after="240"/>
      </w:pPr>
      <w:r>
        <w:t>Identify the</w:t>
      </w:r>
      <w:r w:rsidR="005D0CA6">
        <w:t xml:space="preserve"> specific </w:t>
      </w:r>
      <w:r w:rsidR="00344A04">
        <w:t>elements</w:t>
      </w:r>
      <w:r w:rsidR="003542AC">
        <w:t xml:space="preserve"> or factors that contribute to the </w:t>
      </w:r>
      <w:r w:rsidR="00344A04">
        <w:t>complexity</w:t>
      </w:r>
      <w:r w:rsidR="003542AC">
        <w:t xml:space="preserve"> of the </w:t>
      </w:r>
      <w:r w:rsidR="00710B75">
        <w:t>assurance</w:t>
      </w:r>
      <w:r w:rsidR="003542AC">
        <w:t xml:space="preserve"> engagement: </w:t>
      </w:r>
    </w:p>
    <w:p w14:paraId="69BCC616" w14:textId="75DE2918" w:rsidR="003961C8" w:rsidRPr="00337F67" w:rsidRDefault="003961C8" w:rsidP="00B9665A">
      <w:pPr>
        <w:spacing w:before="240" w:after="240"/>
      </w:pPr>
      <w:r w:rsidRPr="00337F67">
        <w:t>See Appendix A for a list of factors that contribute to the audit complexity and would lead to the need for specific competencies and capabilities in the engagement.</w:t>
      </w:r>
      <w:r w:rsidR="00B9665A">
        <w:t xml:space="preserve"> </w:t>
      </w:r>
      <w:r w:rsidRPr="00337F67">
        <w:t>Generally the combination of a number of factors would indicate increasing complexity in the engagement.</w:t>
      </w:r>
    </w:p>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3542AC" w14:paraId="746912FA" w14:textId="77777777" w:rsidTr="00B9665A">
        <w:tc>
          <w:tcPr>
            <w:tcW w:w="10348" w:type="dxa"/>
            <w:shd w:val="clear" w:color="auto" w:fill="B8CCE4" w:themeFill="accent1" w:themeFillTint="66"/>
          </w:tcPr>
          <w:p w14:paraId="0A081DBA" w14:textId="64DDBE69" w:rsidR="00AF07EE" w:rsidRDefault="0033231A" w:rsidP="00B9665A">
            <w:pPr>
              <w:spacing w:before="120" w:after="120"/>
              <w:rPr>
                <w:b/>
                <w:sz w:val="28"/>
              </w:rPr>
            </w:pPr>
            <w:r>
              <w:rPr>
                <w:b/>
                <w:sz w:val="28"/>
              </w:rPr>
              <w:t xml:space="preserve">Record the </w:t>
            </w:r>
            <w:r w:rsidR="00F908E6">
              <w:rPr>
                <w:b/>
                <w:sz w:val="28"/>
              </w:rPr>
              <w:t>f</w:t>
            </w:r>
            <w:r w:rsidR="003542AC">
              <w:rPr>
                <w:b/>
                <w:sz w:val="28"/>
              </w:rPr>
              <w:t xml:space="preserve">actors </w:t>
            </w:r>
            <w:r>
              <w:rPr>
                <w:b/>
                <w:sz w:val="28"/>
              </w:rPr>
              <w:t>contributing to the complexity of this e</w:t>
            </w:r>
            <w:r w:rsidR="00AF07EE">
              <w:rPr>
                <w:b/>
                <w:sz w:val="28"/>
              </w:rPr>
              <w:t xml:space="preserve">ngagement </w:t>
            </w:r>
          </w:p>
        </w:tc>
      </w:tr>
      <w:tr w:rsidR="003542AC" w14:paraId="4058A0F0" w14:textId="77777777" w:rsidTr="00B9665A">
        <w:trPr>
          <w:trHeight w:val="5760"/>
        </w:trPr>
        <w:tc>
          <w:tcPr>
            <w:tcW w:w="10348" w:type="dxa"/>
          </w:tcPr>
          <w:p w14:paraId="1C533D05" w14:textId="77777777" w:rsidR="003961C8" w:rsidRDefault="003961C8" w:rsidP="00B9665A">
            <w:pPr>
              <w:spacing w:before="120" w:after="120"/>
              <w:rPr>
                <w:b/>
                <w:sz w:val="28"/>
              </w:rPr>
            </w:pPr>
          </w:p>
        </w:tc>
      </w:tr>
    </w:tbl>
    <w:p w14:paraId="2322F2E7" w14:textId="77777777" w:rsidR="00AF07EE" w:rsidRDefault="00AF07EE" w:rsidP="00AF07EE">
      <w:pPr>
        <w:jc w:val="both"/>
        <w:rPr>
          <w:b/>
          <w:sz w:val="28"/>
        </w:rPr>
      </w:pPr>
    </w:p>
    <w:p w14:paraId="0ECD47FC" w14:textId="77777777" w:rsidR="00C92BC3" w:rsidRDefault="00C92BC3">
      <w:pPr>
        <w:rPr>
          <w:b/>
          <w:sz w:val="28"/>
        </w:rPr>
      </w:pPr>
      <w:r>
        <w:rPr>
          <w:b/>
          <w:sz w:val="28"/>
        </w:rPr>
        <w:br w:type="page"/>
      </w:r>
    </w:p>
    <w:p w14:paraId="744F4DA2" w14:textId="6ECEFA5F" w:rsidR="00C92BC3" w:rsidRDefault="0033231A" w:rsidP="00B9665A">
      <w:pPr>
        <w:pStyle w:val="Heading1"/>
        <w:numPr>
          <w:ilvl w:val="2"/>
          <w:numId w:val="11"/>
        </w:numPr>
        <w:ind w:left="360"/>
      </w:pPr>
      <w:bookmarkStart w:id="20" w:name="_Professional_Standards_Complexity"/>
      <w:bookmarkEnd w:id="20"/>
      <w:r>
        <w:t xml:space="preserve">Document the </w:t>
      </w:r>
      <w:r w:rsidR="00010B70">
        <w:t>c</w:t>
      </w:r>
      <w:r w:rsidR="00C92BC3">
        <w:t xml:space="preserve">urrent </w:t>
      </w:r>
      <w:r w:rsidR="00010B70">
        <w:t>r</w:t>
      </w:r>
      <w:r w:rsidR="00C92BC3">
        <w:t>esources availabl</w:t>
      </w:r>
      <w:r w:rsidR="00284297">
        <w:t xml:space="preserve">e for the </w:t>
      </w:r>
      <w:r w:rsidR="00010B70">
        <w:t>e</w:t>
      </w:r>
      <w:r w:rsidR="00284297">
        <w:t>ngagement</w:t>
      </w:r>
    </w:p>
    <w:tbl>
      <w:tblPr>
        <w:tblStyle w:val="TableGrid"/>
        <w:tblW w:w="9776" w:type="dxa"/>
        <w:tblLook w:val="04A0" w:firstRow="1" w:lastRow="0" w:firstColumn="1" w:lastColumn="0" w:noHBand="0" w:noVBand="1"/>
      </w:tblPr>
      <w:tblGrid>
        <w:gridCol w:w="4673"/>
        <w:gridCol w:w="5103"/>
      </w:tblGrid>
      <w:tr w:rsidR="004618B7" w14:paraId="3977A504" w14:textId="77777777" w:rsidTr="00F3278E">
        <w:tc>
          <w:tcPr>
            <w:tcW w:w="4673" w:type="dxa"/>
            <w:tcBorders>
              <w:bottom w:val="single" w:sz="4" w:space="0" w:color="auto"/>
            </w:tcBorders>
            <w:shd w:val="clear" w:color="auto" w:fill="C6D9F1" w:themeFill="text2" w:themeFillTint="33"/>
          </w:tcPr>
          <w:p w14:paraId="21623DCF" w14:textId="34A85530" w:rsidR="004618B7" w:rsidRPr="003961C8" w:rsidRDefault="004B6080" w:rsidP="00B9665A">
            <w:pPr>
              <w:spacing w:before="120" w:after="120"/>
              <w:jc w:val="center"/>
              <w:rPr>
                <w:b/>
                <w:sz w:val="28"/>
              </w:rPr>
            </w:pPr>
            <w:r w:rsidRPr="003961C8">
              <w:rPr>
                <w:b/>
                <w:sz w:val="28"/>
              </w:rPr>
              <w:t>Resources</w:t>
            </w:r>
          </w:p>
        </w:tc>
        <w:tc>
          <w:tcPr>
            <w:tcW w:w="5103" w:type="dxa"/>
            <w:tcBorders>
              <w:bottom w:val="single" w:sz="4" w:space="0" w:color="auto"/>
            </w:tcBorders>
            <w:shd w:val="clear" w:color="auto" w:fill="C6D9F1" w:themeFill="text2" w:themeFillTint="33"/>
          </w:tcPr>
          <w:p w14:paraId="50E9EEB6" w14:textId="77777777" w:rsidR="004618B7" w:rsidRPr="003961C8" w:rsidRDefault="004618B7" w:rsidP="00B9665A">
            <w:pPr>
              <w:spacing w:before="120" w:after="120"/>
              <w:jc w:val="center"/>
              <w:rPr>
                <w:b/>
                <w:sz w:val="28"/>
              </w:rPr>
            </w:pPr>
            <w:r w:rsidRPr="003961C8">
              <w:rPr>
                <w:b/>
                <w:sz w:val="28"/>
              </w:rPr>
              <w:t>Response</w:t>
            </w:r>
          </w:p>
        </w:tc>
      </w:tr>
      <w:tr w:rsidR="00C92BC3" w:rsidRPr="00BF32AD" w14:paraId="62234EC7" w14:textId="77777777" w:rsidTr="00F3278E">
        <w:tc>
          <w:tcPr>
            <w:tcW w:w="4673" w:type="dxa"/>
            <w:tcBorders>
              <w:bottom w:val="nil"/>
            </w:tcBorders>
          </w:tcPr>
          <w:p w14:paraId="24CCD3C5" w14:textId="6EB63513" w:rsidR="004618B7" w:rsidRPr="00B9665A" w:rsidRDefault="004B6080" w:rsidP="00B9665A">
            <w:pPr>
              <w:spacing w:before="120" w:after="120"/>
              <w:rPr>
                <w:b/>
                <w:sz w:val="24"/>
                <w:szCs w:val="24"/>
              </w:rPr>
            </w:pPr>
            <w:r w:rsidRPr="00EA353E">
              <w:rPr>
                <w:b/>
                <w:sz w:val="24"/>
                <w:szCs w:val="24"/>
                <w:u w:val="single"/>
              </w:rPr>
              <w:t>Engagement Team</w:t>
            </w:r>
            <w:r w:rsidR="00FC6DA0" w:rsidRPr="00EA353E">
              <w:rPr>
                <w:rStyle w:val="FootnoteReference"/>
                <w:b/>
                <w:sz w:val="24"/>
                <w:szCs w:val="24"/>
              </w:rPr>
              <w:footnoteReference w:id="1"/>
            </w:r>
            <w:r w:rsidRPr="00EA353E">
              <w:rPr>
                <w:b/>
                <w:sz w:val="24"/>
                <w:szCs w:val="24"/>
              </w:rPr>
              <w:t>:</w:t>
            </w:r>
          </w:p>
        </w:tc>
        <w:tc>
          <w:tcPr>
            <w:tcW w:w="5103" w:type="dxa"/>
            <w:tcBorders>
              <w:bottom w:val="nil"/>
            </w:tcBorders>
          </w:tcPr>
          <w:p w14:paraId="769F8E4E" w14:textId="506FDE76" w:rsidR="00BF32AD" w:rsidRPr="00B9665A" w:rsidRDefault="00BF32AD" w:rsidP="00B9665A">
            <w:pPr>
              <w:spacing w:before="120" w:after="120"/>
              <w:ind w:left="34"/>
              <w:rPr>
                <w:b/>
                <w:sz w:val="24"/>
                <w:szCs w:val="24"/>
              </w:rPr>
            </w:pPr>
          </w:p>
        </w:tc>
      </w:tr>
      <w:tr w:rsidR="00B9665A" w:rsidRPr="00BF32AD" w14:paraId="7D9500E5" w14:textId="77777777" w:rsidTr="00F3278E">
        <w:tc>
          <w:tcPr>
            <w:tcW w:w="4673" w:type="dxa"/>
            <w:tcBorders>
              <w:top w:val="nil"/>
              <w:bottom w:val="single" w:sz="4" w:space="0" w:color="auto"/>
            </w:tcBorders>
          </w:tcPr>
          <w:p w14:paraId="52FB9905" w14:textId="77777777" w:rsidR="00B9665A" w:rsidRPr="00EA353E" w:rsidRDefault="00B9665A" w:rsidP="00B9665A">
            <w:pPr>
              <w:spacing w:before="120" w:after="120"/>
              <w:rPr>
                <w:b/>
                <w:sz w:val="24"/>
                <w:szCs w:val="24"/>
              </w:rPr>
            </w:pPr>
            <w:r w:rsidRPr="00EA353E">
              <w:rPr>
                <w:b/>
                <w:sz w:val="24"/>
                <w:szCs w:val="24"/>
              </w:rPr>
              <w:t>PX</w:t>
            </w:r>
          </w:p>
          <w:p w14:paraId="192A3C38" w14:textId="77777777" w:rsidR="00B9665A" w:rsidRPr="00EA353E" w:rsidRDefault="00B9665A" w:rsidP="00B9665A">
            <w:pPr>
              <w:spacing w:before="120" w:after="120"/>
              <w:rPr>
                <w:b/>
                <w:sz w:val="24"/>
                <w:szCs w:val="24"/>
              </w:rPr>
            </w:pPr>
            <w:r w:rsidRPr="00EA353E">
              <w:rPr>
                <w:b/>
                <w:sz w:val="24"/>
                <w:szCs w:val="24"/>
              </w:rPr>
              <w:t xml:space="preserve">DX(s) </w:t>
            </w:r>
          </w:p>
          <w:p w14:paraId="0454FD4D" w14:textId="66ADE03A" w:rsidR="00B9665A" w:rsidRPr="00EA353E" w:rsidRDefault="00B9665A" w:rsidP="00B9665A">
            <w:pPr>
              <w:spacing w:before="120" w:after="120"/>
              <w:rPr>
                <w:b/>
                <w:sz w:val="24"/>
                <w:szCs w:val="24"/>
              </w:rPr>
            </w:pPr>
            <w:r w:rsidRPr="00EA353E">
              <w:rPr>
                <w:b/>
                <w:sz w:val="24"/>
                <w:szCs w:val="24"/>
              </w:rPr>
              <w:t>AP</w:t>
            </w:r>
            <w:r w:rsidR="00F908E6">
              <w:rPr>
                <w:b/>
                <w:sz w:val="24"/>
                <w:szCs w:val="24"/>
              </w:rPr>
              <w:t>3</w:t>
            </w:r>
            <w:r w:rsidRPr="00EA353E">
              <w:rPr>
                <w:b/>
                <w:sz w:val="24"/>
                <w:szCs w:val="24"/>
              </w:rPr>
              <w:t>(s)</w:t>
            </w:r>
          </w:p>
          <w:p w14:paraId="52EBA7DD" w14:textId="37800489" w:rsidR="00B9665A" w:rsidRPr="00EA353E" w:rsidRDefault="00B9665A" w:rsidP="00B9665A">
            <w:pPr>
              <w:spacing w:before="120" w:after="120"/>
              <w:rPr>
                <w:b/>
                <w:sz w:val="24"/>
                <w:szCs w:val="24"/>
                <w:u w:val="single"/>
              </w:rPr>
            </w:pPr>
            <w:r w:rsidRPr="00EA353E">
              <w:rPr>
                <w:b/>
                <w:sz w:val="24"/>
                <w:szCs w:val="24"/>
              </w:rPr>
              <w:t>Others</w:t>
            </w:r>
            <w:r w:rsidRPr="00EA353E">
              <w:rPr>
                <w:rStyle w:val="FootnoteReference"/>
                <w:b/>
                <w:sz w:val="24"/>
                <w:szCs w:val="24"/>
              </w:rPr>
              <w:footnoteReference w:id="2"/>
            </w:r>
            <w:r>
              <w:rPr>
                <w:i/>
                <w:sz w:val="24"/>
                <w:szCs w:val="24"/>
              </w:rPr>
              <w:t xml:space="preserve"> </w:t>
            </w:r>
            <w:r w:rsidRPr="00EA353E">
              <w:rPr>
                <w:i/>
                <w:sz w:val="24"/>
                <w:szCs w:val="24"/>
              </w:rPr>
              <w:t>[including internal or external specialists who</w:t>
            </w:r>
            <w:r>
              <w:rPr>
                <w:i/>
                <w:sz w:val="24"/>
                <w:szCs w:val="24"/>
              </w:rPr>
              <w:t xml:space="preserve"> </w:t>
            </w:r>
            <w:r w:rsidRPr="00EA353E">
              <w:rPr>
                <w:i/>
                <w:sz w:val="24"/>
                <w:szCs w:val="24"/>
              </w:rPr>
              <w:t>perform procedures on this engagement or other key members of the team who will supervise/review the work of less experienced members of the team]</w:t>
            </w:r>
          </w:p>
        </w:tc>
        <w:tc>
          <w:tcPr>
            <w:tcW w:w="5103" w:type="dxa"/>
            <w:tcBorders>
              <w:top w:val="nil"/>
              <w:bottom w:val="single" w:sz="4" w:space="0" w:color="auto"/>
            </w:tcBorders>
          </w:tcPr>
          <w:p w14:paraId="4CCC984F" w14:textId="77777777" w:rsidR="00B9665A" w:rsidRPr="00EA353E" w:rsidRDefault="00B9665A" w:rsidP="00B9665A">
            <w:pPr>
              <w:pStyle w:val="ListParagraph"/>
              <w:numPr>
                <w:ilvl w:val="0"/>
                <w:numId w:val="7"/>
              </w:numPr>
              <w:spacing w:before="120" w:after="120"/>
              <w:ind w:left="318" w:hanging="284"/>
              <w:rPr>
                <w:b/>
                <w:sz w:val="24"/>
                <w:szCs w:val="24"/>
              </w:rPr>
            </w:pPr>
          </w:p>
          <w:p w14:paraId="5FFBF4AD" w14:textId="77777777" w:rsidR="00B9665A" w:rsidRPr="00EA353E" w:rsidRDefault="00B9665A" w:rsidP="00B9665A">
            <w:pPr>
              <w:pStyle w:val="ListParagraph"/>
              <w:numPr>
                <w:ilvl w:val="0"/>
                <w:numId w:val="7"/>
              </w:numPr>
              <w:spacing w:before="120" w:after="120"/>
              <w:ind w:left="318" w:hanging="284"/>
              <w:rPr>
                <w:b/>
                <w:sz w:val="24"/>
                <w:szCs w:val="24"/>
              </w:rPr>
            </w:pPr>
            <w:r>
              <w:rPr>
                <w:b/>
                <w:sz w:val="24"/>
                <w:szCs w:val="24"/>
              </w:rPr>
              <w:t xml:space="preserve"> </w:t>
            </w:r>
          </w:p>
          <w:p w14:paraId="5FE672DA" w14:textId="77777777" w:rsidR="00B9665A" w:rsidRPr="00EA353E" w:rsidRDefault="00B9665A" w:rsidP="00B9665A">
            <w:pPr>
              <w:pStyle w:val="ListParagraph"/>
              <w:numPr>
                <w:ilvl w:val="0"/>
                <w:numId w:val="7"/>
              </w:numPr>
              <w:spacing w:before="120" w:after="120"/>
              <w:ind w:left="318" w:hanging="284"/>
              <w:rPr>
                <w:b/>
                <w:sz w:val="24"/>
                <w:szCs w:val="24"/>
              </w:rPr>
            </w:pPr>
            <w:r>
              <w:rPr>
                <w:b/>
                <w:sz w:val="24"/>
                <w:szCs w:val="24"/>
              </w:rPr>
              <w:t xml:space="preserve"> </w:t>
            </w:r>
          </w:p>
          <w:p w14:paraId="26D10584" w14:textId="77777777" w:rsidR="00B9665A" w:rsidRPr="00EA353E" w:rsidRDefault="00B9665A" w:rsidP="00B9665A">
            <w:pPr>
              <w:pStyle w:val="ListParagraph"/>
              <w:numPr>
                <w:ilvl w:val="0"/>
                <w:numId w:val="7"/>
              </w:numPr>
              <w:spacing w:before="120" w:after="120"/>
              <w:ind w:left="318" w:hanging="284"/>
              <w:rPr>
                <w:b/>
                <w:sz w:val="24"/>
                <w:szCs w:val="24"/>
              </w:rPr>
            </w:pPr>
            <w:r w:rsidRPr="00EA353E">
              <w:rPr>
                <w:b/>
                <w:sz w:val="24"/>
                <w:szCs w:val="24"/>
              </w:rPr>
              <w:t xml:space="preserve"> </w:t>
            </w:r>
          </w:p>
          <w:p w14:paraId="3593AE5D" w14:textId="77777777" w:rsidR="00B9665A" w:rsidRDefault="00B9665A" w:rsidP="00B9665A">
            <w:pPr>
              <w:pStyle w:val="ListParagraph"/>
              <w:numPr>
                <w:ilvl w:val="0"/>
                <w:numId w:val="7"/>
              </w:numPr>
              <w:spacing w:before="120" w:after="120"/>
              <w:ind w:left="318" w:hanging="284"/>
              <w:rPr>
                <w:b/>
                <w:sz w:val="24"/>
                <w:szCs w:val="24"/>
              </w:rPr>
            </w:pPr>
          </w:p>
        </w:tc>
      </w:tr>
      <w:tr w:rsidR="00C92BC3" w:rsidRPr="00BF32AD" w14:paraId="6D0B9326" w14:textId="77777777" w:rsidTr="00F3278E">
        <w:tc>
          <w:tcPr>
            <w:tcW w:w="4673" w:type="dxa"/>
            <w:tcBorders>
              <w:bottom w:val="nil"/>
            </w:tcBorders>
          </w:tcPr>
          <w:p w14:paraId="35767827" w14:textId="38D8D281" w:rsidR="004B6080" w:rsidRPr="00B9665A" w:rsidRDefault="00FC6DA0" w:rsidP="00B9665A">
            <w:pPr>
              <w:spacing w:before="120" w:after="120"/>
              <w:rPr>
                <w:b/>
                <w:sz w:val="24"/>
                <w:szCs w:val="24"/>
                <w:u w:val="single"/>
              </w:rPr>
            </w:pPr>
            <w:r w:rsidRPr="00EA353E">
              <w:rPr>
                <w:b/>
                <w:sz w:val="24"/>
                <w:szCs w:val="24"/>
                <w:u w:val="single"/>
              </w:rPr>
              <w:t>Other Planned Resources</w:t>
            </w:r>
            <w:r w:rsidRPr="00F44C2F">
              <w:rPr>
                <w:b/>
                <w:sz w:val="24"/>
                <w:szCs w:val="24"/>
              </w:rPr>
              <w:t>:</w:t>
            </w:r>
          </w:p>
        </w:tc>
        <w:tc>
          <w:tcPr>
            <w:tcW w:w="5103" w:type="dxa"/>
            <w:tcBorders>
              <w:bottom w:val="nil"/>
            </w:tcBorders>
          </w:tcPr>
          <w:p w14:paraId="7A46111E" w14:textId="6717F27C" w:rsidR="00337F67" w:rsidRPr="00B9665A" w:rsidRDefault="00337F67" w:rsidP="00B9665A">
            <w:pPr>
              <w:spacing w:before="120" w:after="120"/>
              <w:rPr>
                <w:b/>
                <w:sz w:val="24"/>
                <w:szCs w:val="24"/>
              </w:rPr>
            </w:pPr>
          </w:p>
        </w:tc>
      </w:tr>
      <w:tr w:rsidR="00B9665A" w:rsidRPr="00BF32AD" w14:paraId="6798A5D2" w14:textId="77777777" w:rsidTr="00F3278E">
        <w:tc>
          <w:tcPr>
            <w:tcW w:w="4673" w:type="dxa"/>
            <w:tcBorders>
              <w:top w:val="nil"/>
              <w:bottom w:val="nil"/>
            </w:tcBorders>
          </w:tcPr>
          <w:p w14:paraId="459AAD49" w14:textId="59A56F4B" w:rsidR="00B9665A" w:rsidRPr="00EA353E" w:rsidRDefault="00B9665A" w:rsidP="00B9665A">
            <w:pPr>
              <w:spacing w:before="120" w:after="120"/>
              <w:rPr>
                <w:b/>
                <w:sz w:val="24"/>
                <w:szCs w:val="24"/>
              </w:rPr>
            </w:pPr>
            <w:r w:rsidRPr="00EA353E">
              <w:rPr>
                <w:b/>
                <w:sz w:val="24"/>
                <w:szCs w:val="24"/>
              </w:rPr>
              <w:t>Internal Specialists</w:t>
            </w:r>
            <w:r w:rsidRPr="00EA353E">
              <w:rPr>
                <w:b/>
                <w:sz w:val="24"/>
                <w:szCs w:val="24"/>
                <w:vertAlign w:val="superscript"/>
              </w:rPr>
              <w:t>2</w:t>
            </w:r>
          </w:p>
          <w:p w14:paraId="67C20E3D" w14:textId="7021B8A3" w:rsidR="00B9665A" w:rsidRPr="00B9665A" w:rsidRDefault="00B9665A" w:rsidP="00B9665A">
            <w:pPr>
              <w:spacing w:before="120" w:after="120"/>
              <w:rPr>
                <w:b/>
                <w:sz w:val="24"/>
                <w:szCs w:val="24"/>
              </w:rPr>
            </w:pPr>
            <w:r w:rsidRPr="00EA353E">
              <w:rPr>
                <w:i/>
                <w:sz w:val="24"/>
                <w:szCs w:val="24"/>
              </w:rPr>
              <w:t>[to be used as consultation resources]</w:t>
            </w:r>
          </w:p>
        </w:tc>
        <w:tc>
          <w:tcPr>
            <w:tcW w:w="5103" w:type="dxa"/>
            <w:tcBorders>
              <w:top w:val="nil"/>
              <w:bottom w:val="nil"/>
            </w:tcBorders>
          </w:tcPr>
          <w:p w14:paraId="1AA92FBA" w14:textId="6288B1D2" w:rsidR="00B9665A" w:rsidRPr="00B9665A" w:rsidRDefault="00B9665A" w:rsidP="00B9665A">
            <w:pPr>
              <w:pStyle w:val="ListParagraph"/>
              <w:numPr>
                <w:ilvl w:val="0"/>
                <w:numId w:val="7"/>
              </w:numPr>
              <w:spacing w:before="120" w:after="120"/>
              <w:ind w:left="318" w:hanging="284"/>
              <w:rPr>
                <w:b/>
                <w:sz w:val="24"/>
                <w:szCs w:val="24"/>
              </w:rPr>
            </w:pPr>
            <w:r>
              <w:rPr>
                <w:b/>
                <w:sz w:val="24"/>
                <w:szCs w:val="24"/>
              </w:rPr>
              <w:t xml:space="preserve"> </w:t>
            </w:r>
          </w:p>
        </w:tc>
      </w:tr>
      <w:tr w:rsidR="00B9665A" w:rsidRPr="00BF32AD" w14:paraId="6E93B564" w14:textId="77777777" w:rsidTr="00F3278E">
        <w:tc>
          <w:tcPr>
            <w:tcW w:w="4673" w:type="dxa"/>
            <w:tcBorders>
              <w:top w:val="nil"/>
            </w:tcBorders>
          </w:tcPr>
          <w:p w14:paraId="4A0FFCBD" w14:textId="77777777" w:rsidR="00B9665A" w:rsidRPr="00EA353E" w:rsidRDefault="00B9665A" w:rsidP="00B9665A">
            <w:pPr>
              <w:spacing w:before="120" w:after="120"/>
              <w:rPr>
                <w:b/>
                <w:sz w:val="24"/>
                <w:szCs w:val="24"/>
              </w:rPr>
            </w:pPr>
            <w:r w:rsidRPr="00EA353E">
              <w:rPr>
                <w:b/>
                <w:sz w:val="24"/>
                <w:szCs w:val="24"/>
              </w:rPr>
              <w:t>External Specialists</w:t>
            </w:r>
            <w:r w:rsidRPr="00EA353E">
              <w:rPr>
                <w:b/>
                <w:sz w:val="24"/>
                <w:szCs w:val="24"/>
                <w:vertAlign w:val="superscript"/>
              </w:rPr>
              <w:t>2</w:t>
            </w:r>
            <w:r w:rsidRPr="00EA353E">
              <w:rPr>
                <w:b/>
                <w:sz w:val="24"/>
                <w:szCs w:val="24"/>
              </w:rPr>
              <w:t xml:space="preserve"> </w:t>
            </w:r>
          </w:p>
          <w:p w14:paraId="7FE0E939" w14:textId="58B539F4" w:rsidR="00B9665A" w:rsidRPr="00810959" w:rsidRDefault="00B9665A" w:rsidP="00B9665A">
            <w:pPr>
              <w:spacing w:before="120" w:after="120"/>
              <w:rPr>
                <w:b/>
                <w:sz w:val="24"/>
                <w:szCs w:val="24"/>
              </w:rPr>
            </w:pPr>
            <w:r w:rsidRPr="00810959">
              <w:rPr>
                <w:i/>
                <w:sz w:val="24"/>
                <w:szCs w:val="24"/>
              </w:rPr>
              <w:t>[to be used as consultation resources]</w:t>
            </w:r>
          </w:p>
        </w:tc>
        <w:tc>
          <w:tcPr>
            <w:tcW w:w="5103" w:type="dxa"/>
            <w:tcBorders>
              <w:top w:val="nil"/>
            </w:tcBorders>
          </w:tcPr>
          <w:p w14:paraId="72602C63" w14:textId="26E6B507" w:rsidR="00B9665A" w:rsidRPr="00B9665A" w:rsidRDefault="00B9665A" w:rsidP="00B9665A">
            <w:pPr>
              <w:pStyle w:val="ListParagraph"/>
              <w:numPr>
                <w:ilvl w:val="0"/>
                <w:numId w:val="7"/>
              </w:numPr>
              <w:spacing w:before="120" w:after="120"/>
              <w:ind w:left="318" w:hanging="284"/>
              <w:rPr>
                <w:b/>
                <w:sz w:val="24"/>
                <w:szCs w:val="24"/>
              </w:rPr>
            </w:pPr>
            <w:r>
              <w:rPr>
                <w:b/>
                <w:sz w:val="24"/>
                <w:szCs w:val="24"/>
              </w:rPr>
              <w:t xml:space="preserve"> </w:t>
            </w:r>
          </w:p>
        </w:tc>
      </w:tr>
      <w:tr w:rsidR="00D53079" w:rsidRPr="00BF32AD" w14:paraId="7009B0BC" w14:textId="77777777" w:rsidTr="00F3278E">
        <w:tc>
          <w:tcPr>
            <w:tcW w:w="4673" w:type="dxa"/>
          </w:tcPr>
          <w:p w14:paraId="08F2E44F" w14:textId="77777777" w:rsidR="00D53079" w:rsidRDefault="00106666" w:rsidP="00B9665A">
            <w:pPr>
              <w:spacing w:before="120" w:after="120"/>
              <w:rPr>
                <w:b/>
                <w:sz w:val="24"/>
                <w:szCs w:val="24"/>
              </w:rPr>
            </w:pPr>
            <w:r w:rsidRPr="00EA353E">
              <w:rPr>
                <w:b/>
                <w:sz w:val="24"/>
                <w:szCs w:val="24"/>
              </w:rPr>
              <w:t>Budgeted Hours</w:t>
            </w:r>
          </w:p>
          <w:p w14:paraId="39954850" w14:textId="3B7D1F7B" w:rsidR="00F3278E" w:rsidRPr="00EA353E" w:rsidRDefault="00F3278E" w:rsidP="00B9665A">
            <w:pPr>
              <w:spacing w:before="120" w:after="120"/>
              <w:rPr>
                <w:b/>
                <w:sz w:val="24"/>
                <w:szCs w:val="24"/>
              </w:rPr>
            </w:pPr>
          </w:p>
        </w:tc>
        <w:tc>
          <w:tcPr>
            <w:tcW w:w="5103" w:type="dxa"/>
          </w:tcPr>
          <w:p w14:paraId="4908C210" w14:textId="77777777" w:rsidR="00D53079" w:rsidRPr="00337F67" w:rsidRDefault="00BF32AD" w:rsidP="00B9665A">
            <w:pPr>
              <w:pStyle w:val="ListParagraph"/>
              <w:numPr>
                <w:ilvl w:val="0"/>
                <w:numId w:val="7"/>
              </w:numPr>
              <w:spacing w:before="120" w:after="120"/>
              <w:ind w:left="318" w:hanging="284"/>
              <w:rPr>
                <w:b/>
                <w:sz w:val="24"/>
                <w:szCs w:val="24"/>
              </w:rPr>
            </w:pPr>
            <w:r w:rsidRPr="00337F67">
              <w:rPr>
                <w:b/>
                <w:sz w:val="24"/>
                <w:szCs w:val="24"/>
              </w:rPr>
              <w:t xml:space="preserve"> </w:t>
            </w:r>
          </w:p>
        </w:tc>
      </w:tr>
    </w:tbl>
    <w:p w14:paraId="2CFE6EC4" w14:textId="6BC68E44" w:rsidR="00551DE7" w:rsidRDefault="009E079A" w:rsidP="00B9665A">
      <w:pPr>
        <w:pStyle w:val="Heading1"/>
        <w:numPr>
          <w:ilvl w:val="2"/>
          <w:numId w:val="11"/>
        </w:numPr>
        <w:spacing w:before="240" w:after="240"/>
        <w:ind w:left="360"/>
      </w:pPr>
      <w:bookmarkStart w:id="21" w:name="_Competency_of_the"/>
      <w:bookmarkEnd w:id="21"/>
      <w:r>
        <w:t>Assess</w:t>
      </w:r>
      <w:r w:rsidR="0033231A">
        <w:t xml:space="preserve"> the</w:t>
      </w:r>
      <w:r>
        <w:t xml:space="preserve"> </w:t>
      </w:r>
      <w:r w:rsidR="00471656">
        <w:t>c</w:t>
      </w:r>
      <w:r w:rsidR="007A66AE">
        <w:t>ompetenc</w:t>
      </w:r>
      <w:r w:rsidR="00BC6CB0">
        <w:t>ies</w:t>
      </w:r>
      <w:r w:rsidR="00F908E6">
        <w:t>, capabilities</w:t>
      </w:r>
      <w:r w:rsidR="00762971">
        <w:t xml:space="preserve">, resources and time </w:t>
      </w:r>
      <w:r w:rsidR="00F908E6">
        <w:t xml:space="preserve">of the engagement team </w:t>
      </w:r>
      <w:r w:rsidR="00C915E3">
        <w:t xml:space="preserve">and </w:t>
      </w:r>
      <w:r w:rsidR="00471656">
        <w:t>s</w:t>
      </w:r>
      <w:r w:rsidR="0033231A">
        <w:t xml:space="preserve">trategies to mitigate </w:t>
      </w:r>
      <w:r w:rsidR="00762971">
        <w:t xml:space="preserve">existing </w:t>
      </w:r>
      <w:r w:rsidR="0033231A">
        <w:t xml:space="preserve">gaps </w:t>
      </w:r>
    </w:p>
    <w:p w14:paraId="7682DC75" w14:textId="77777777" w:rsidR="00CA56D9" w:rsidRPr="00A86BCC" w:rsidRDefault="00B14E80" w:rsidP="001B02A0">
      <w:pPr>
        <w:spacing w:before="240" w:after="240" w:line="240" w:lineRule="auto"/>
      </w:pPr>
      <w:r w:rsidRPr="00A86BCC">
        <w:t xml:space="preserve">The </w:t>
      </w:r>
      <w:r w:rsidR="008162B3" w:rsidRPr="00A86BCC">
        <w:t xml:space="preserve">engagement </w:t>
      </w:r>
      <w:r w:rsidRPr="00A86BCC">
        <w:t xml:space="preserve">team </w:t>
      </w:r>
      <w:r w:rsidR="0033231A" w:rsidRPr="00A86BCC">
        <w:t>competency profile</w:t>
      </w:r>
      <w:r w:rsidR="00CA56D9" w:rsidRPr="00A86BCC">
        <w:t xml:space="preserve"> and assessment of resources and time,</w:t>
      </w:r>
      <w:r w:rsidRPr="00A86BCC">
        <w:t xml:space="preserve"> </w:t>
      </w:r>
      <w:r w:rsidR="00BF32AD" w:rsidRPr="00A86BCC">
        <w:t>should</w:t>
      </w:r>
      <w:r w:rsidR="00CA56D9" w:rsidRPr="00A86BCC">
        <w:t xml:space="preserve"> demonstrate:</w:t>
      </w:r>
    </w:p>
    <w:p w14:paraId="15505B9C" w14:textId="3B4CAC75" w:rsidR="00CA56D9" w:rsidRPr="00A86BCC" w:rsidRDefault="00CA56D9" w:rsidP="001B02A0">
      <w:pPr>
        <w:pStyle w:val="ListParagraph"/>
        <w:numPr>
          <w:ilvl w:val="0"/>
          <w:numId w:val="8"/>
        </w:numPr>
        <w:spacing w:before="240" w:after="240" w:line="240" w:lineRule="auto"/>
      </w:pPr>
      <w:r w:rsidRPr="00A86BCC">
        <w:t>How</w:t>
      </w:r>
      <w:r w:rsidR="00B14E80" w:rsidRPr="00A86BCC">
        <w:t xml:space="preserve">, </w:t>
      </w:r>
      <w:r w:rsidRPr="00A86BCC">
        <w:t xml:space="preserve">as a group, </w:t>
      </w:r>
      <w:r w:rsidR="00B14E80" w:rsidRPr="00A86BCC">
        <w:t xml:space="preserve">the </w:t>
      </w:r>
      <w:r w:rsidRPr="00A86BCC">
        <w:t>engagement team</w:t>
      </w:r>
      <w:r w:rsidR="00BF32AD" w:rsidRPr="00A86BCC">
        <w:t xml:space="preserve"> collectively</w:t>
      </w:r>
      <w:r w:rsidR="00B14E80" w:rsidRPr="00A86BCC">
        <w:t xml:space="preserve"> possess</w:t>
      </w:r>
      <w:r w:rsidR="00173FC9">
        <w:t>es</w:t>
      </w:r>
      <w:r w:rsidR="00B14E80" w:rsidRPr="00A86BCC">
        <w:t xml:space="preserve"> the </w:t>
      </w:r>
      <w:r w:rsidR="00BC6CB0" w:rsidRPr="00A86BCC">
        <w:t>competencies</w:t>
      </w:r>
      <w:r w:rsidR="009F28A3">
        <w:t xml:space="preserve"> and capabilities, including sufficient time</w:t>
      </w:r>
      <w:r w:rsidR="00BC6CB0" w:rsidRPr="00A86BCC">
        <w:t xml:space="preserve">, </w:t>
      </w:r>
      <w:r w:rsidR="00B14E80" w:rsidRPr="00A86BCC">
        <w:t>to perform the engagement in accordance with professional stand</w:t>
      </w:r>
      <w:r w:rsidRPr="00A86BCC">
        <w:t>ards and applicable legislation; and</w:t>
      </w:r>
    </w:p>
    <w:p w14:paraId="46D720C0" w14:textId="66F2F86A" w:rsidR="00B14E80" w:rsidRPr="00A86BCC" w:rsidRDefault="00CA56D9" w:rsidP="001B02A0">
      <w:pPr>
        <w:pStyle w:val="ListParagraph"/>
        <w:numPr>
          <w:ilvl w:val="0"/>
          <w:numId w:val="8"/>
        </w:numPr>
        <w:spacing w:before="240" w:after="240" w:line="240" w:lineRule="auto"/>
      </w:pPr>
      <w:r w:rsidRPr="00A86BCC">
        <w:t>Whether the</w:t>
      </w:r>
      <w:r w:rsidR="007A2525" w:rsidRPr="00A86BCC">
        <w:t xml:space="preserve">re are </w:t>
      </w:r>
      <w:r w:rsidRPr="00A86BCC">
        <w:t>sufficient hours and contract dollars available to perform the engagement and meet the reporting deadline.</w:t>
      </w:r>
      <w:r w:rsidR="00B9665A">
        <w:t xml:space="preserve"> </w:t>
      </w:r>
    </w:p>
    <w:p w14:paraId="46103E9D" w14:textId="741CAF15" w:rsidR="00A86618" w:rsidRDefault="00A86618" w:rsidP="001B02A0">
      <w:pPr>
        <w:shd w:val="clear" w:color="auto" w:fill="C6D9F1" w:themeFill="text2" w:themeFillTint="33"/>
        <w:spacing w:before="240" w:after="240" w:line="240" w:lineRule="auto"/>
      </w:pPr>
    </w:p>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3961C8" w:rsidRPr="00A86BCC" w14:paraId="229E94DB" w14:textId="77777777" w:rsidTr="00EE1648">
        <w:tc>
          <w:tcPr>
            <w:tcW w:w="10296" w:type="dxa"/>
            <w:shd w:val="clear" w:color="auto" w:fill="C6D9F1" w:themeFill="text2" w:themeFillTint="33"/>
          </w:tcPr>
          <w:p w14:paraId="783EF735" w14:textId="41ECC0D1" w:rsidR="003961C8" w:rsidRDefault="003961C8" w:rsidP="00B9665A">
            <w:pPr>
              <w:spacing w:before="120" w:after="120"/>
              <w:rPr>
                <w:b/>
                <w:sz w:val="24"/>
                <w:szCs w:val="24"/>
              </w:rPr>
            </w:pPr>
            <w:r w:rsidRPr="003961C8">
              <w:rPr>
                <w:b/>
                <w:sz w:val="28"/>
              </w:rPr>
              <w:t xml:space="preserve">Record the assessment of engagement team </w:t>
            </w:r>
            <w:r w:rsidRPr="00010B70">
              <w:rPr>
                <w:b/>
                <w:sz w:val="28"/>
                <w:szCs w:val="28"/>
              </w:rPr>
              <w:t>competencies</w:t>
            </w:r>
            <w:r w:rsidRPr="00227BF2">
              <w:rPr>
                <w:b/>
                <w:sz w:val="28"/>
                <w:szCs w:val="28"/>
              </w:rPr>
              <w:t xml:space="preserve"> </w:t>
            </w:r>
            <w:r w:rsidR="00F908E6" w:rsidRPr="00227BF2">
              <w:rPr>
                <w:b/>
                <w:sz w:val="28"/>
                <w:szCs w:val="28"/>
              </w:rPr>
              <w:t>and capabilities</w:t>
            </w:r>
          </w:p>
        </w:tc>
      </w:tr>
      <w:tr w:rsidR="00BC6CB0" w:rsidRPr="00A86BCC" w14:paraId="49F7E8E8" w14:textId="77777777" w:rsidTr="00EE1648">
        <w:tc>
          <w:tcPr>
            <w:tcW w:w="10296" w:type="dxa"/>
          </w:tcPr>
          <w:p w14:paraId="6D630A2D" w14:textId="5C81470B" w:rsidR="00CA56D9" w:rsidRPr="00A86BCC" w:rsidRDefault="003961C8" w:rsidP="00B9665A">
            <w:pPr>
              <w:spacing w:before="120" w:after="120"/>
              <w:ind w:left="427" w:hanging="427"/>
              <w:rPr>
                <w:b/>
                <w:sz w:val="24"/>
                <w:szCs w:val="24"/>
              </w:rPr>
            </w:pPr>
            <w:r>
              <w:rPr>
                <w:b/>
                <w:sz w:val="24"/>
                <w:szCs w:val="24"/>
              </w:rPr>
              <w:t>3</w:t>
            </w:r>
            <w:r w:rsidR="00010B70">
              <w:rPr>
                <w:b/>
                <w:sz w:val="24"/>
                <w:szCs w:val="24"/>
              </w:rPr>
              <w:t xml:space="preserve"> </w:t>
            </w:r>
            <w:r w:rsidR="00A7768C" w:rsidRPr="00A86BCC">
              <w:rPr>
                <w:b/>
                <w:sz w:val="24"/>
                <w:szCs w:val="24"/>
              </w:rPr>
              <w:t>a)</w:t>
            </w:r>
            <w:r w:rsidR="00DF1C58">
              <w:rPr>
                <w:b/>
              </w:rPr>
              <w:tab/>
            </w:r>
            <w:r w:rsidR="00471976" w:rsidRPr="00A86BCC">
              <w:rPr>
                <w:b/>
                <w:sz w:val="24"/>
                <w:szCs w:val="24"/>
              </w:rPr>
              <w:t xml:space="preserve">Describe how </w:t>
            </w:r>
            <w:r w:rsidR="0033231A" w:rsidRPr="00A86BCC">
              <w:rPr>
                <w:b/>
                <w:sz w:val="24"/>
                <w:szCs w:val="24"/>
              </w:rPr>
              <w:t xml:space="preserve">the </w:t>
            </w:r>
            <w:r w:rsidR="00471976" w:rsidRPr="00A86BCC">
              <w:rPr>
                <w:b/>
                <w:sz w:val="24"/>
                <w:szCs w:val="24"/>
              </w:rPr>
              <w:t xml:space="preserve">engagement </w:t>
            </w:r>
            <w:r w:rsidR="0033231A" w:rsidRPr="00A86BCC">
              <w:rPr>
                <w:b/>
                <w:sz w:val="24"/>
                <w:szCs w:val="24"/>
              </w:rPr>
              <w:t>team</w:t>
            </w:r>
            <w:r w:rsidR="00471976" w:rsidRPr="00A86BCC">
              <w:rPr>
                <w:b/>
                <w:sz w:val="24"/>
                <w:szCs w:val="24"/>
              </w:rPr>
              <w:t>, as a collective, addresses</w:t>
            </w:r>
            <w:r w:rsidR="0033231A" w:rsidRPr="00A86BCC">
              <w:rPr>
                <w:b/>
                <w:sz w:val="24"/>
                <w:szCs w:val="24"/>
              </w:rPr>
              <w:t xml:space="preserve"> the complexities identified in Step 1</w:t>
            </w:r>
            <w:r w:rsidR="00762971" w:rsidRPr="00A86BCC">
              <w:rPr>
                <w:b/>
                <w:sz w:val="24"/>
                <w:szCs w:val="24"/>
              </w:rPr>
              <w:t>.</w:t>
            </w:r>
          </w:p>
          <w:p w14:paraId="54792C0F" w14:textId="3E3B1541" w:rsidR="00BC6CB0" w:rsidRDefault="00762971" w:rsidP="00B9665A">
            <w:pPr>
              <w:spacing w:before="120" w:after="120"/>
              <w:rPr>
                <w:b/>
                <w:sz w:val="24"/>
                <w:szCs w:val="24"/>
              </w:rPr>
            </w:pPr>
            <w:r w:rsidRPr="00A86BCC">
              <w:rPr>
                <w:b/>
                <w:sz w:val="24"/>
                <w:szCs w:val="24"/>
              </w:rPr>
              <w:t>Id</w:t>
            </w:r>
            <w:r w:rsidR="00DF1C58">
              <w:rPr>
                <w:b/>
                <w:sz w:val="24"/>
                <w:szCs w:val="24"/>
              </w:rPr>
              <w:t>entify any gaps in competencies</w:t>
            </w:r>
            <w:r w:rsidR="00F908E6">
              <w:rPr>
                <w:b/>
                <w:sz w:val="24"/>
                <w:szCs w:val="24"/>
              </w:rPr>
              <w:t xml:space="preserve"> and capabilities</w:t>
            </w:r>
          </w:p>
          <w:p w14:paraId="479C15AA" w14:textId="77777777" w:rsidR="00F53399" w:rsidRPr="00DF1C58" w:rsidRDefault="00F53399" w:rsidP="00B9665A">
            <w:pPr>
              <w:spacing w:before="120" w:after="120"/>
              <w:rPr>
                <w:sz w:val="28"/>
              </w:rPr>
            </w:pPr>
          </w:p>
        </w:tc>
      </w:tr>
    </w:tbl>
    <w:p w14:paraId="4157070F" w14:textId="6551587D" w:rsidR="00F53399" w:rsidRPr="00A86BCC" w:rsidRDefault="00F53399" w:rsidP="00B9665A">
      <w:pPr>
        <w:spacing w:before="240" w:after="240"/>
      </w:pPr>
      <w:r w:rsidRPr="00A86BCC">
        <w:t>Please refer to the following list of considerations</w:t>
      </w:r>
      <w:r>
        <w:t xml:space="preserve"> for</w:t>
      </w:r>
      <w:r w:rsidRPr="00A86BCC">
        <w:t xml:space="preserve"> assessing engagement team competencies</w:t>
      </w:r>
      <w:r w:rsidR="00F908E6">
        <w:t xml:space="preserve"> and capabilities (CAS 220.A72)</w:t>
      </w:r>
      <w:r w:rsidRPr="00A86BCC">
        <w:t>:</w:t>
      </w:r>
      <w:r w:rsidR="00B9665A">
        <w:t xml:space="preserve"> </w:t>
      </w:r>
    </w:p>
    <w:p w14:paraId="5C32C067" w14:textId="3F2F44FA" w:rsidR="006238DD" w:rsidRDefault="006238DD" w:rsidP="006238DD">
      <w:pPr>
        <w:numPr>
          <w:ilvl w:val="0"/>
          <w:numId w:val="1"/>
        </w:numPr>
        <w:spacing w:before="120" w:after="120" w:line="240" w:lineRule="auto"/>
      </w:pPr>
      <w:r>
        <w:t>Understanding of, and practical experience with, audit engagements of a similar nature and complexity through appropriate training and participation.</w:t>
      </w:r>
    </w:p>
    <w:p w14:paraId="220C1D1D" w14:textId="62AC52A3" w:rsidR="006238DD" w:rsidRDefault="006238DD" w:rsidP="006238DD">
      <w:pPr>
        <w:numPr>
          <w:ilvl w:val="0"/>
          <w:numId w:val="1"/>
        </w:numPr>
        <w:spacing w:before="120" w:after="120" w:line="240" w:lineRule="auto"/>
      </w:pPr>
      <w:r>
        <w:t>Understanding of professional standards and applicable legal and regulatory requirements.</w:t>
      </w:r>
    </w:p>
    <w:p w14:paraId="45C5B861" w14:textId="7400DE28" w:rsidR="006238DD" w:rsidRDefault="006238DD" w:rsidP="006238DD">
      <w:pPr>
        <w:numPr>
          <w:ilvl w:val="0"/>
          <w:numId w:val="1"/>
        </w:numPr>
        <w:spacing w:before="120" w:after="120" w:line="240" w:lineRule="auto"/>
      </w:pPr>
      <w:r>
        <w:t>Expertise in specialized areas of accounting or auditing.</w:t>
      </w:r>
    </w:p>
    <w:p w14:paraId="4D3F28B8" w14:textId="3DFB5343" w:rsidR="006238DD" w:rsidRDefault="006238DD" w:rsidP="006238DD">
      <w:pPr>
        <w:numPr>
          <w:ilvl w:val="0"/>
          <w:numId w:val="1"/>
        </w:numPr>
        <w:spacing w:before="120" w:after="120" w:line="240" w:lineRule="auto"/>
      </w:pPr>
      <w:r>
        <w:t>Expertise in IT used by the entity or automated tools or techniques that are to be used by the engagement team in planning and performing the audit engagement.</w:t>
      </w:r>
    </w:p>
    <w:p w14:paraId="0B09FFA0" w14:textId="7E7A4F9F" w:rsidR="006238DD" w:rsidRDefault="006238DD" w:rsidP="006238DD">
      <w:pPr>
        <w:numPr>
          <w:ilvl w:val="0"/>
          <w:numId w:val="1"/>
        </w:numPr>
        <w:spacing w:before="120" w:after="120" w:line="240" w:lineRule="auto"/>
      </w:pPr>
      <w:r>
        <w:t>Knowledge of relevant industries in which the entity being audited operates.</w:t>
      </w:r>
    </w:p>
    <w:p w14:paraId="19A05C5E" w14:textId="35386ED6" w:rsidR="006238DD" w:rsidRDefault="006238DD" w:rsidP="006238DD">
      <w:pPr>
        <w:numPr>
          <w:ilvl w:val="0"/>
          <w:numId w:val="1"/>
        </w:numPr>
        <w:spacing w:before="120" w:after="120" w:line="240" w:lineRule="auto"/>
      </w:pPr>
      <w:r>
        <w:t>Ability to exercise professional skepticism and professional judgment.</w:t>
      </w:r>
    </w:p>
    <w:p w14:paraId="4DE6B750" w14:textId="38E5A620" w:rsidR="006238DD" w:rsidRDefault="006238DD" w:rsidP="006238DD">
      <w:pPr>
        <w:numPr>
          <w:ilvl w:val="0"/>
          <w:numId w:val="1"/>
        </w:numPr>
        <w:spacing w:before="120" w:after="120" w:line="240" w:lineRule="auto"/>
      </w:pPr>
      <w:r>
        <w:t>Understanding of the Office's policies or procedures.</w:t>
      </w:r>
    </w:p>
    <w:p w14:paraId="089F5AAD" w14:textId="77777777" w:rsidR="00F53399" w:rsidRPr="00B14E80" w:rsidRDefault="00F53399" w:rsidP="00B9665A">
      <w:pPr>
        <w:spacing w:before="240" w:after="240"/>
      </w:pPr>
      <w:r>
        <w:t xml:space="preserve">You may also wish to include other elements such as: </w:t>
      </w:r>
    </w:p>
    <w:p w14:paraId="646663A1" w14:textId="77777777" w:rsidR="00F53399" w:rsidRPr="00D51F39" w:rsidRDefault="00F53399" w:rsidP="00B9665A">
      <w:pPr>
        <w:pStyle w:val="ListParagraph"/>
        <w:numPr>
          <w:ilvl w:val="0"/>
          <w:numId w:val="1"/>
        </w:numPr>
        <w:spacing w:before="120" w:after="120"/>
      </w:pPr>
      <w:r>
        <w:t>C</w:t>
      </w:r>
      <w:r w:rsidRPr="00D51F39">
        <w:t>ontinuity in staffing across audit phases</w:t>
      </w:r>
      <w:r>
        <w:t xml:space="preserve"> and from prior years</w:t>
      </w:r>
      <w:r w:rsidRPr="00D51F39">
        <w:t xml:space="preserve"> </w:t>
      </w:r>
    </w:p>
    <w:p w14:paraId="47090DF3" w14:textId="23233ED2" w:rsidR="00F53399" w:rsidRPr="00D51F39" w:rsidRDefault="00F53399" w:rsidP="00B9665A">
      <w:pPr>
        <w:pStyle w:val="ListParagraph"/>
        <w:numPr>
          <w:ilvl w:val="0"/>
          <w:numId w:val="1"/>
        </w:numPr>
        <w:spacing w:before="120" w:after="120"/>
      </w:pPr>
      <w:r w:rsidRPr="00D51F39">
        <w:t>Team members bilingual capability</w:t>
      </w:r>
    </w:p>
    <w:p w14:paraId="416903C9" w14:textId="00D3AAF4" w:rsidR="00F53399" w:rsidRDefault="00F53399" w:rsidP="00B9665A">
      <w:pPr>
        <w:pStyle w:val="ListParagraph"/>
        <w:numPr>
          <w:ilvl w:val="0"/>
          <w:numId w:val="1"/>
        </w:numPr>
        <w:spacing w:before="120" w:after="120"/>
      </w:pPr>
      <w:r w:rsidRPr="00D51F39">
        <w:t>The PX’s</w:t>
      </w:r>
      <w:r>
        <w:t xml:space="preserve"> (engagement leader)</w:t>
      </w:r>
      <w:r w:rsidRPr="00D51F39">
        <w:t xml:space="preserve"> availability (e.g. has not been assigned ot</w:t>
      </w:r>
      <w:r w:rsidR="00DF1C58">
        <w:t>her extensive responsibilities)</w:t>
      </w:r>
    </w:p>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F53399" w14:paraId="79FF3FB2" w14:textId="77777777" w:rsidTr="00EE1648">
        <w:tc>
          <w:tcPr>
            <w:tcW w:w="10296" w:type="dxa"/>
            <w:shd w:val="clear" w:color="auto" w:fill="C6D9F1" w:themeFill="text2" w:themeFillTint="33"/>
          </w:tcPr>
          <w:p w14:paraId="74C30E0F" w14:textId="77777777" w:rsidR="00F53399" w:rsidRDefault="00F53399" w:rsidP="00DF1C58">
            <w:pPr>
              <w:spacing w:before="120" w:after="120"/>
              <w:rPr>
                <w:b/>
                <w:sz w:val="24"/>
                <w:szCs w:val="24"/>
              </w:rPr>
            </w:pPr>
            <w:r w:rsidRPr="003961C8">
              <w:rPr>
                <w:b/>
                <w:sz w:val="28"/>
              </w:rPr>
              <w:t>Record the assessment of engagement team resources and time</w:t>
            </w:r>
            <w:r>
              <w:rPr>
                <w:b/>
                <w:sz w:val="24"/>
                <w:szCs w:val="24"/>
              </w:rPr>
              <w:t xml:space="preserve"> </w:t>
            </w:r>
          </w:p>
        </w:tc>
      </w:tr>
      <w:tr w:rsidR="00F53399" w:rsidRPr="00A86BCC" w14:paraId="0F6F95DB" w14:textId="77777777" w:rsidTr="00EE1648">
        <w:tc>
          <w:tcPr>
            <w:tcW w:w="10296" w:type="dxa"/>
          </w:tcPr>
          <w:p w14:paraId="1592A5DA" w14:textId="3A29E8BA" w:rsidR="00F53399" w:rsidRPr="00A86BCC" w:rsidRDefault="00F53399" w:rsidP="00DF1C58">
            <w:pPr>
              <w:spacing w:before="120" w:after="120"/>
              <w:ind w:left="432" w:hanging="432"/>
              <w:rPr>
                <w:b/>
                <w:sz w:val="24"/>
                <w:szCs w:val="24"/>
              </w:rPr>
            </w:pPr>
            <w:r>
              <w:rPr>
                <w:b/>
                <w:sz w:val="24"/>
                <w:szCs w:val="24"/>
              </w:rPr>
              <w:t>3</w:t>
            </w:r>
            <w:r w:rsidR="00010B70">
              <w:rPr>
                <w:b/>
                <w:sz w:val="24"/>
                <w:szCs w:val="24"/>
              </w:rPr>
              <w:t xml:space="preserve"> </w:t>
            </w:r>
            <w:r w:rsidRPr="00A86BCC">
              <w:rPr>
                <w:b/>
                <w:sz w:val="24"/>
                <w:szCs w:val="24"/>
              </w:rPr>
              <w:t>b)</w:t>
            </w:r>
            <w:r w:rsidR="00DF1C58">
              <w:rPr>
                <w:b/>
                <w:sz w:val="24"/>
                <w:szCs w:val="24"/>
              </w:rPr>
              <w:tab/>
            </w:r>
            <w:r w:rsidRPr="00A86BCC">
              <w:rPr>
                <w:b/>
                <w:sz w:val="24"/>
                <w:szCs w:val="24"/>
              </w:rPr>
              <w:t xml:space="preserve">Assess whether the </w:t>
            </w:r>
            <w:r>
              <w:rPr>
                <w:b/>
                <w:sz w:val="24"/>
                <w:szCs w:val="24"/>
              </w:rPr>
              <w:t>assurance engagement</w:t>
            </w:r>
            <w:r w:rsidRPr="00A86BCC">
              <w:rPr>
                <w:b/>
                <w:sz w:val="24"/>
                <w:szCs w:val="24"/>
              </w:rPr>
              <w:t xml:space="preserve"> has sufficient resources and time available to perform the engagement and meet the reporting deadline.</w:t>
            </w:r>
            <w:r w:rsidR="00B9665A">
              <w:rPr>
                <w:b/>
                <w:sz w:val="24"/>
                <w:szCs w:val="24"/>
              </w:rPr>
              <w:t xml:space="preserve"> </w:t>
            </w:r>
          </w:p>
          <w:p w14:paraId="23AA4FF7" w14:textId="77777777" w:rsidR="00F53399" w:rsidRPr="00A86BCC" w:rsidRDefault="00F53399" w:rsidP="00DF1C58">
            <w:pPr>
              <w:spacing w:before="120" w:after="120"/>
              <w:ind w:left="432" w:hanging="432"/>
              <w:rPr>
                <w:b/>
                <w:sz w:val="28"/>
              </w:rPr>
            </w:pPr>
            <w:r w:rsidRPr="00A86BCC">
              <w:rPr>
                <w:b/>
                <w:sz w:val="24"/>
                <w:szCs w:val="24"/>
              </w:rPr>
              <w:t>Identify any gaps in available resources and time.</w:t>
            </w:r>
          </w:p>
          <w:p w14:paraId="57CA857B" w14:textId="77777777" w:rsidR="00F53399" w:rsidRPr="00DF1C58" w:rsidRDefault="00F53399" w:rsidP="00DF1C58">
            <w:pPr>
              <w:spacing w:before="120" w:after="120"/>
              <w:ind w:left="432" w:hanging="432"/>
              <w:rPr>
                <w:sz w:val="28"/>
              </w:rPr>
            </w:pPr>
          </w:p>
        </w:tc>
      </w:tr>
    </w:tbl>
    <w:p w14:paraId="46D4A1B0" w14:textId="77777777" w:rsidR="002327E0" w:rsidRPr="00DF1C58" w:rsidRDefault="002327E0" w:rsidP="00DF1C58"/>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F53399" w:rsidRPr="00A86BCC" w14:paraId="03229149" w14:textId="77777777" w:rsidTr="00EE1648">
        <w:tc>
          <w:tcPr>
            <w:tcW w:w="10296" w:type="dxa"/>
            <w:shd w:val="clear" w:color="auto" w:fill="C6D9F1" w:themeFill="text2" w:themeFillTint="33"/>
          </w:tcPr>
          <w:p w14:paraId="664BC071" w14:textId="6952C8DC" w:rsidR="00F53399" w:rsidRDefault="00F53399" w:rsidP="00DF1C58">
            <w:pPr>
              <w:spacing w:before="120" w:after="120"/>
              <w:rPr>
                <w:b/>
                <w:sz w:val="24"/>
                <w:szCs w:val="24"/>
              </w:rPr>
            </w:pPr>
            <w:r w:rsidRPr="003961C8">
              <w:rPr>
                <w:b/>
                <w:sz w:val="28"/>
              </w:rPr>
              <w:t xml:space="preserve">Record the </w:t>
            </w:r>
            <w:r>
              <w:rPr>
                <w:b/>
                <w:sz w:val="28"/>
              </w:rPr>
              <w:t>s</w:t>
            </w:r>
            <w:r w:rsidRPr="00F53399">
              <w:rPr>
                <w:b/>
                <w:sz w:val="28"/>
              </w:rPr>
              <w:t xml:space="preserve">trategies to mitigate gaps in </w:t>
            </w:r>
            <w:r w:rsidRPr="003961C8">
              <w:rPr>
                <w:b/>
                <w:sz w:val="28"/>
              </w:rPr>
              <w:t>engagement team competencies</w:t>
            </w:r>
            <w:r>
              <w:rPr>
                <w:b/>
                <w:sz w:val="28"/>
              </w:rPr>
              <w:t>,</w:t>
            </w:r>
            <w:r w:rsidR="00F908E6">
              <w:rPr>
                <w:b/>
                <w:sz w:val="28"/>
              </w:rPr>
              <w:t xml:space="preserve"> capabilities,</w:t>
            </w:r>
            <w:r w:rsidRPr="003961C8">
              <w:rPr>
                <w:b/>
                <w:sz w:val="28"/>
              </w:rPr>
              <w:t xml:space="preserve"> resources and time</w:t>
            </w:r>
          </w:p>
        </w:tc>
      </w:tr>
      <w:tr w:rsidR="008B71EB" w:rsidRPr="00A86BCC" w14:paraId="7B026209" w14:textId="77777777" w:rsidTr="00EE1648">
        <w:tc>
          <w:tcPr>
            <w:tcW w:w="10296" w:type="dxa"/>
          </w:tcPr>
          <w:p w14:paraId="1FECAFA6" w14:textId="356FF38D" w:rsidR="008B71EB" w:rsidRPr="00A86BCC" w:rsidRDefault="003961C8" w:rsidP="00DF1C58">
            <w:pPr>
              <w:spacing w:before="120" w:after="120"/>
              <w:ind w:left="427" w:hanging="427"/>
              <w:rPr>
                <w:b/>
                <w:sz w:val="28"/>
              </w:rPr>
            </w:pPr>
            <w:r>
              <w:rPr>
                <w:b/>
                <w:sz w:val="24"/>
                <w:szCs w:val="24"/>
              </w:rPr>
              <w:t>3</w:t>
            </w:r>
            <w:r w:rsidR="00010B70">
              <w:rPr>
                <w:b/>
                <w:sz w:val="24"/>
                <w:szCs w:val="24"/>
              </w:rPr>
              <w:t xml:space="preserve"> </w:t>
            </w:r>
            <w:r w:rsidR="008B71EB">
              <w:rPr>
                <w:b/>
                <w:sz w:val="24"/>
                <w:szCs w:val="24"/>
              </w:rPr>
              <w:t>c</w:t>
            </w:r>
            <w:r w:rsidR="008B71EB" w:rsidRPr="00A86BCC">
              <w:rPr>
                <w:b/>
                <w:sz w:val="24"/>
                <w:szCs w:val="24"/>
              </w:rPr>
              <w:t>)</w:t>
            </w:r>
            <w:r w:rsidR="00DF1C58">
              <w:rPr>
                <w:b/>
                <w:sz w:val="24"/>
                <w:szCs w:val="24"/>
              </w:rPr>
              <w:tab/>
            </w:r>
            <w:r w:rsidR="008B71EB" w:rsidRPr="00BF32AD">
              <w:rPr>
                <w:b/>
                <w:sz w:val="24"/>
              </w:rPr>
              <w:t xml:space="preserve">Describe strategy to mitigate the gaps to ensure the engagement team has the collective competencies, </w:t>
            </w:r>
            <w:r w:rsidR="00010B70">
              <w:rPr>
                <w:b/>
                <w:sz w:val="24"/>
              </w:rPr>
              <w:t xml:space="preserve">capabilities, </w:t>
            </w:r>
            <w:r w:rsidR="008B71EB" w:rsidRPr="00BF32AD">
              <w:rPr>
                <w:b/>
                <w:sz w:val="24"/>
              </w:rPr>
              <w:t>resources and time.</w:t>
            </w:r>
          </w:p>
          <w:p w14:paraId="6CEA7E76" w14:textId="77777777" w:rsidR="008B71EB" w:rsidRPr="00DF1C58" w:rsidRDefault="008B71EB" w:rsidP="00DF1C58">
            <w:pPr>
              <w:spacing w:before="120" w:after="120"/>
              <w:rPr>
                <w:sz w:val="28"/>
              </w:rPr>
            </w:pPr>
          </w:p>
        </w:tc>
      </w:tr>
    </w:tbl>
    <w:p w14:paraId="03C491BA" w14:textId="0CDF543B" w:rsidR="008B71EB" w:rsidRDefault="008B71EB" w:rsidP="00DF1C58">
      <w:pPr>
        <w:spacing w:before="240" w:after="240"/>
      </w:pPr>
      <w:r>
        <w:t xml:space="preserve">Consider the following </w:t>
      </w:r>
      <w:r w:rsidRPr="00E602CE">
        <w:rPr>
          <w:b/>
        </w:rPr>
        <w:t>strategies</w:t>
      </w:r>
      <w:r w:rsidR="00F908E6">
        <w:rPr>
          <w:b/>
        </w:rPr>
        <w:t xml:space="preserve"> (CAS 220.A78)</w:t>
      </w:r>
      <w:r w:rsidRPr="00E602CE">
        <w:rPr>
          <w:b/>
        </w:rPr>
        <w:t>:</w:t>
      </w:r>
      <w:r>
        <w:t xml:space="preserve"> </w:t>
      </w:r>
    </w:p>
    <w:p w14:paraId="43761780" w14:textId="17D08249" w:rsidR="00D316A2" w:rsidRDefault="00D316A2" w:rsidP="00D316A2">
      <w:pPr>
        <w:pStyle w:val="ListParagraph"/>
        <w:numPr>
          <w:ilvl w:val="0"/>
          <w:numId w:val="3"/>
        </w:numPr>
      </w:pPr>
      <w:r w:rsidRPr="00D316A2">
        <w:t>Changing the planned approach to the nature, timing and extent of direction, supervision and review</w:t>
      </w:r>
    </w:p>
    <w:p w14:paraId="079A4879" w14:textId="6C387349" w:rsidR="00D316A2" w:rsidRDefault="00D316A2" w:rsidP="00D316A2">
      <w:pPr>
        <w:pStyle w:val="ListParagraph"/>
        <w:numPr>
          <w:ilvl w:val="0"/>
          <w:numId w:val="3"/>
        </w:numPr>
      </w:pPr>
      <w:r w:rsidRPr="00D316A2">
        <w:t>Discussing an extension to reporting deadlines with management or those charged with governance, when an extension is possible und</w:t>
      </w:r>
      <w:r>
        <w:t>er applicable law or regulation</w:t>
      </w:r>
    </w:p>
    <w:p w14:paraId="50F76E71" w14:textId="691B39C6" w:rsidR="00F908E6" w:rsidRDefault="00F908E6" w:rsidP="00D316A2">
      <w:pPr>
        <w:pStyle w:val="ListParagraph"/>
        <w:numPr>
          <w:ilvl w:val="0"/>
          <w:numId w:val="3"/>
        </w:numPr>
      </w:pPr>
      <w:r w:rsidRPr="00227BF2">
        <w:t>Following the firm's policies or procedures for resolving differences of opinion if the engagement partner does not obtain the necessary resources for the audit engagement</w:t>
      </w:r>
    </w:p>
    <w:p w14:paraId="43AD2AC3" w14:textId="2F5610B7" w:rsidR="008B71EB" w:rsidRDefault="008B71EB" w:rsidP="001A6A07">
      <w:pPr>
        <w:pStyle w:val="ListParagraph"/>
        <w:numPr>
          <w:ilvl w:val="0"/>
          <w:numId w:val="3"/>
        </w:numPr>
      </w:pPr>
      <w:r>
        <w:t>Specialized training for team or individual team members</w:t>
      </w:r>
    </w:p>
    <w:p w14:paraId="654E5401" w14:textId="77777777" w:rsidR="008B71EB" w:rsidRDefault="008B71EB" w:rsidP="001A6A07">
      <w:pPr>
        <w:pStyle w:val="ListParagraph"/>
        <w:numPr>
          <w:ilvl w:val="0"/>
          <w:numId w:val="3"/>
        </w:numPr>
      </w:pPr>
      <w:r>
        <w:t xml:space="preserve">Consultation with </w:t>
      </w:r>
      <w:hyperlink r:id="rId19" w:history="1">
        <w:r w:rsidRPr="002327E0">
          <w:rPr>
            <w:rStyle w:val="Hyperlink"/>
            <w:color w:val="auto"/>
            <w:u w:val="none"/>
          </w:rPr>
          <w:t>OAG Internal Specialists</w:t>
        </w:r>
      </w:hyperlink>
    </w:p>
    <w:p w14:paraId="08F98A0D" w14:textId="77777777" w:rsidR="008B71EB" w:rsidRDefault="008B71EB" w:rsidP="001A6A07">
      <w:pPr>
        <w:pStyle w:val="ListParagraph"/>
        <w:numPr>
          <w:ilvl w:val="0"/>
          <w:numId w:val="3"/>
        </w:numPr>
      </w:pPr>
      <w:r w:rsidRPr="00A2510C">
        <w:t xml:space="preserve">Contracting </w:t>
      </w:r>
      <w:r>
        <w:t xml:space="preserve">for consultation with </w:t>
      </w:r>
      <w:r w:rsidRPr="00A2510C">
        <w:t>external expertise</w:t>
      </w:r>
    </w:p>
    <w:p w14:paraId="6831C679" w14:textId="77777777" w:rsidR="008B71EB" w:rsidRPr="008B71EB" w:rsidRDefault="008B71EB" w:rsidP="001A6A07">
      <w:pPr>
        <w:pStyle w:val="ListParagraph"/>
        <w:numPr>
          <w:ilvl w:val="0"/>
          <w:numId w:val="3"/>
        </w:numPr>
        <w:spacing w:after="0" w:line="240" w:lineRule="auto"/>
      </w:pPr>
      <w:r>
        <w:t>Use of external specialists to perform audit steps</w:t>
      </w:r>
    </w:p>
    <w:p w14:paraId="5A71E06E" w14:textId="6B8415C3" w:rsidR="000737DF" w:rsidRDefault="00CD6ADD" w:rsidP="00DF1C58">
      <w:pPr>
        <w:pStyle w:val="Heading1"/>
        <w:numPr>
          <w:ilvl w:val="2"/>
          <w:numId w:val="11"/>
        </w:numPr>
        <w:spacing w:before="240" w:after="240"/>
        <w:ind w:left="360"/>
      </w:pPr>
      <w:r w:rsidRPr="00A7768C">
        <w:t xml:space="preserve">Affirmation </w:t>
      </w:r>
    </w:p>
    <w:p w14:paraId="07F1EBDA" w14:textId="3843BE74" w:rsidR="00EA353E" w:rsidRDefault="001B6F31" w:rsidP="00DF1C58">
      <w:pPr>
        <w:shd w:val="clear" w:color="auto" w:fill="C6D9F1" w:themeFill="text2" w:themeFillTint="33"/>
        <w:spacing w:before="240" w:after="240"/>
      </w:pPr>
      <w:r>
        <w:t xml:space="preserve">I have assessed the </w:t>
      </w:r>
      <w:r w:rsidR="00010B70">
        <w:t xml:space="preserve">resources, </w:t>
      </w:r>
      <w:r>
        <w:t>competencies</w:t>
      </w:r>
      <w:r w:rsidR="00010B70">
        <w:t xml:space="preserve">, </w:t>
      </w:r>
      <w:r w:rsidR="00F908E6">
        <w:t>capabilities</w:t>
      </w:r>
      <w:r w:rsidR="00010B70">
        <w:t xml:space="preserve"> and time</w:t>
      </w:r>
      <w:r>
        <w:t xml:space="preserve"> </w:t>
      </w:r>
      <w:r w:rsidR="00173FC9">
        <w:t>of the engagement team</w:t>
      </w:r>
      <w:r w:rsidR="00AA2577" w:rsidRPr="00A86BCC">
        <w:t>.</w:t>
      </w:r>
      <w:r w:rsidR="00B9665A">
        <w:t xml:space="preserve"> </w:t>
      </w:r>
      <w:r w:rsidR="00AA2577" w:rsidRPr="00A86BCC">
        <w:t xml:space="preserve">I am </w:t>
      </w:r>
      <w:r w:rsidR="00A2510C" w:rsidRPr="00A86BCC">
        <w:t xml:space="preserve">satisfied that </w:t>
      </w:r>
      <w:r w:rsidR="00F908E6" w:rsidRPr="00227BF2">
        <w:t xml:space="preserve">sufficient and appropriate resources are assigned to perform the engagement or are made available to the engagement team in a timely manner. I am also satisfied that members of the engagement team, and any auditor's external experts and internal auditors who provide direct assistance who are not part of the engagement team, collectively have the appropriate competence and capabilities, including sufficient time, to perform the audit engagement. </w:t>
      </w:r>
      <w:r w:rsidR="009F28A3">
        <w:t>I took appropriate action when resources assigned or made available were insufficient or inappropriate</w:t>
      </w:r>
      <w:r w:rsidR="009F28A3" w:rsidDel="00010B70">
        <w:t xml:space="preserve"> </w:t>
      </w:r>
    </w:p>
    <w:p w14:paraId="66F1BD5F" w14:textId="70CC843E" w:rsidR="00EA353E" w:rsidRDefault="00EA353E" w:rsidP="00DF1C58">
      <w:pPr>
        <w:spacing w:before="240" w:after="240"/>
      </w:pPr>
      <w:r>
        <w:t xml:space="preserve">The Engagement Leader should sign off on this document and the related procedure in </w:t>
      </w:r>
      <w:r w:rsidR="006238DD">
        <w:t>the audit file</w:t>
      </w:r>
      <w:r>
        <w:t>.</w:t>
      </w:r>
      <w:r>
        <w:br w:type="page"/>
      </w:r>
    </w:p>
    <w:p w14:paraId="62FAC1AC" w14:textId="33AC8B2D" w:rsidR="00EA353E" w:rsidRPr="003961C8" w:rsidRDefault="008B71EB" w:rsidP="003961C8">
      <w:pPr>
        <w:pStyle w:val="Heading1"/>
      </w:pPr>
      <w:r>
        <w:t>Appendix</w:t>
      </w:r>
      <w:r w:rsidR="003961C8" w:rsidRPr="003961C8">
        <w:t xml:space="preserve"> A</w:t>
      </w:r>
      <w:r>
        <w:t>:</w:t>
      </w:r>
      <w:r w:rsidR="00B9665A">
        <w:t xml:space="preserve"> </w:t>
      </w:r>
      <w:r w:rsidR="00EA353E">
        <w:t>Factors that contrib</w:t>
      </w:r>
      <w:r w:rsidR="001B02A0">
        <w:t>ute to engagement complexities</w:t>
      </w:r>
      <w:r w:rsidR="00F908E6">
        <w:t xml:space="preserve"> (OAG Audit 1081)</w:t>
      </w:r>
    </w:p>
    <w:p w14:paraId="48E4CD5C" w14:textId="5479018E" w:rsidR="00EA353E" w:rsidRPr="00A86BCC" w:rsidRDefault="00F908E6" w:rsidP="00F908E6">
      <w:pPr>
        <w:numPr>
          <w:ilvl w:val="0"/>
          <w:numId w:val="4"/>
        </w:numPr>
        <w:spacing w:before="120" w:after="120" w:line="240" w:lineRule="auto"/>
        <w:rPr>
          <w:rFonts w:eastAsia="Times New Roman" w:cs="Times New Roman"/>
        </w:rPr>
      </w:pPr>
      <w:r>
        <w:rPr>
          <w:rFonts w:eastAsia="Times New Roman" w:cs="Times New Roman"/>
        </w:rPr>
        <w:t xml:space="preserve">the </w:t>
      </w:r>
      <w:r w:rsidR="00EA353E" w:rsidRPr="00BB63EF">
        <w:rPr>
          <w:rFonts w:eastAsia="Times New Roman" w:cs="Times New Roman"/>
        </w:rPr>
        <w:t xml:space="preserve">accountability relationship of the entity, the importance of its mandate and the degree to which the </w:t>
      </w:r>
      <w:r w:rsidR="00EA353E" w:rsidRPr="00A86BCC">
        <w:rPr>
          <w:rFonts w:eastAsia="Times New Roman" w:cs="Times New Roman"/>
        </w:rPr>
        <w:t>entity or program is visible in the public eye</w:t>
      </w:r>
      <w:r>
        <w:rPr>
          <w:rFonts w:eastAsia="Times New Roman" w:cs="Times New Roman"/>
        </w:rPr>
        <w:t>;</w:t>
      </w:r>
      <w:r w:rsidR="00EA353E" w:rsidRPr="00A86BCC">
        <w:rPr>
          <w:rFonts w:eastAsia="Times New Roman" w:cs="Times New Roman"/>
        </w:rPr>
        <w:t xml:space="preserve"> </w:t>
      </w:r>
    </w:p>
    <w:p w14:paraId="0CA70F27" w14:textId="535A8873" w:rsidR="00EA353E" w:rsidRPr="00A86BCC" w:rsidRDefault="00F908E6" w:rsidP="00F908E6">
      <w:pPr>
        <w:numPr>
          <w:ilvl w:val="0"/>
          <w:numId w:val="4"/>
        </w:numPr>
        <w:spacing w:before="120" w:after="120" w:line="240" w:lineRule="auto"/>
        <w:rPr>
          <w:rFonts w:eastAsia="Times New Roman" w:cs="Times New Roman"/>
        </w:rPr>
      </w:pPr>
      <w:r>
        <w:rPr>
          <w:rFonts w:eastAsia="Times New Roman" w:cs="Times New Roman"/>
        </w:rPr>
        <w:t xml:space="preserve">the </w:t>
      </w:r>
      <w:r w:rsidR="00EA353E" w:rsidRPr="00A86BCC">
        <w:rPr>
          <w:rFonts w:eastAsia="Times New Roman" w:cs="Times New Roman"/>
        </w:rPr>
        <w:t xml:space="preserve">political sensitivity including recent </w:t>
      </w:r>
      <w:r>
        <w:rPr>
          <w:rFonts w:eastAsia="Times New Roman" w:cs="Times New Roman"/>
        </w:rPr>
        <w:t>p</w:t>
      </w:r>
      <w:r w:rsidR="00EA353E" w:rsidRPr="00A86BCC">
        <w:rPr>
          <w:rFonts w:eastAsia="Times New Roman" w:cs="Times New Roman"/>
        </w:rPr>
        <w:t>arliamentary interest in the entity or the subject matter of the assurance engagement</w:t>
      </w:r>
      <w:r w:rsidR="00227BF2">
        <w:rPr>
          <w:rFonts w:eastAsia="Times New Roman" w:cs="Times New Roman"/>
        </w:rPr>
        <w:t>;</w:t>
      </w:r>
    </w:p>
    <w:p w14:paraId="2F2DE7CC" w14:textId="43941F3E" w:rsidR="00F908E6" w:rsidRDefault="00F908E6" w:rsidP="00010B70">
      <w:pPr>
        <w:numPr>
          <w:ilvl w:val="0"/>
          <w:numId w:val="4"/>
        </w:numPr>
        <w:spacing w:before="120" w:after="120" w:line="240" w:lineRule="auto"/>
        <w:rPr>
          <w:rFonts w:eastAsia="Times New Roman" w:cs="Times New Roman"/>
        </w:rPr>
      </w:pPr>
      <w:r>
        <w:rPr>
          <w:rFonts w:eastAsia="Times New Roman" w:cs="Times New Roman"/>
        </w:rPr>
        <w:t xml:space="preserve">the </w:t>
      </w:r>
      <w:r w:rsidR="00EA353E" w:rsidRPr="00A86BCC">
        <w:rPr>
          <w:rFonts w:eastAsia="Times New Roman" w:cs="Times New Roman"/>
        </w:rPr>
        <w:t>size of the entity</w:t>
      </w:r>
      <w:r w:rsidR="00227BF2">
        <w:rPr>
          <w:rFonts w:eastAsia="Times New Roman" w:cs="Times New Roman"/>
        </w:rPr>
        <w:t xml:space="preserve"> </w:t>
      </w:r>
      <w:r w:rsidR="00227BF2" w:rsidRPr="00227BF2">
        <w:rPr>
          <w:rFonts w:eastAsia="Times New Roman" w:cs="Times New Roman"/>
        </w:rPr>
        <w:t>or program, the number of entities scoped into the assurance engagement, or the Office’s past experience reporting on the subject matter of the engagement</w:t>
      </w:r>
      <w:r>
        <w:rPr>
          <w:rFonts w:eastAsia="Times New Roman" w:cs="Times New Roman"/>
        </w:rPr>
        <w:t>;</w:t>
      </w:r>
    </w:p>
    <w:p w14:paraId="7FFCFEA4" w14:textId="533197B1" w:rsidR="00EA353E" w:rsidRPr="00A86BCC" w:rsidRDefault="00F908E6" w:rsidP="00010B70">
      <w:pPr>
        <w:numPr>
          <w:ilvl w:val="0"/>
          <w:numId w:val="4"/>
        </w:numPr>
        <w:spacing w:before="120" w:after="120" w:line="240" w:lineRule="auto"/>
        <w:rPr>
          <w:rFonts w:eastAsia="Times New Roman" w:cs="Times New Roman"/>
        </w:rPr>
      </w:pPr>
      <w:r w:rsidRPr="00227BF2">
        <w:rPr>
          <w:rFonts w:eastAsia="Times New Roman" w:cs="Times New Roman"/>
        </w:rPr>
        <w:t>the Office’s reporting responsibility for the assurance engagement, including joint-audit engagements, whereby the Office signs an opinion or issues a report together with a public accounting firm or another legislative audit office</w:t>
      </w:r>
      <w:r>
        <w:rPr>
          <w:rFonts w:eastAsia="Times New Roman" w:cs="Times New Roman"/>
        </w:rPr>
        <w:t>;</w:t>
      </w:r>
      <w:r w:rsidR="00EA353E" w:rsidRPr="00A86BCC">
        <w:rPr>
          <w:rFonts w:eastAsia="Times New Roman" w:cs="Times New Roman"/>
        </w:rPr>
        <w:t xml:space="preserve"> </w:t>
      </w:r>
    </w:p>
    <w:p w14:paraId="1B13DC91" w14:textId="19124E9C" w:rsidR="00EA353E" w:rsidRDefault="00F908E6" w:rsidP="00010B70">
      <w:pPr>
        <w:numPr>
          <w:ilvl w:val="0"/>
          <w:numId w:val="4"/>
        </w:numPr>
        <w:spacing w:before="120" w:after="120" w:line="240" w:lineRule="auto"/>
        <w:rPr>
          <w:rFonts w:eastAsia="Times New Roman" w:cs="Times New Roman"/>
        </w:rPr>
      </w:pPr>
      <w:r>
        <w:rPr>
          <w:rFonts w:eastAsia="Times New Roman" w:cs="Times New Roman"/>
        </w:rPr>
        <w:t xml:space="preserve">the </w:t>
      </w:r>
      <w:r w:rsidR="00EA353E" w:rsidRPr="00BB63EF">
        <w:rPr>
          <w:rFonts w:eastAsia="Times New Roman" w:cs="Times New Roman"/>
        </w:rPr>
        <w:t>nature of the entity’s operations</w:t>
      </w:r>
      <w:r>
        <w:rPr>
          <w:rFonts w:eastAsia="Times New Roman" w:cs="Times New Roman"/>
        </w:rPr>
        <w:t>,</w:t>
      </w:r>
      <w:r w:rsidRPr="00227BF2">
        <w:rPr>
          <w:rFonts w:eastAsia="Times New Roman" w:cs="Times New Roman"/>
        </w:rPr>
        <w:t xml:space="preserve"> such as the existence of very complex and specialized transactions or issues that require significant professional judgment to evaluate</w:t>
      </w:r>
      <w:r>
        <w:rPr>
          <w:rFonts w:eastAsia="Times New Roman" w:cs="Times New Roman"/>
        </w:rPr>
        <w:t>;</w:t>
      </w:r>
      <w:r w:rsidR="00EA353E" w:rsidRPr="00BB63EF">
        <w:rPr>
          <w:rFonts w:eastAsia="Times New Roman" w:cs="Times New Roman"/>
        </w:rPr>
        <w:t xml:space="preserve"> </w:t>
      </w:r>
    </w:p>
    <w:p w14:paraId="0F68A51A" w14:textId="5A47E9B9" w:rsidR="00EA353E" w:rsidRDefault="00F908E6" w:rsidP="00010B70">
      <w:pPr>
        <w:numPr>
          <w:ilvl w:val="0"/>
          <w:numId w:val="4"/>
        </w:numPr>
        <w:spacing w:before="120" w:after="120" w:line="240" w:lineRule="auto"/>
        <w:rPr>
          <w:rFonts w:eastAsia="Times New Roman" w:cs="Times New Roman"/>
        </w:rPr>
      </w:pPr>
      <w:r>
        <w:rPr>
          <w:rFonts w:eastAsia="Times New Roman" w:cs="Times New Roman"/>
        </w:rPr>
        <w:t xml:space="preserve">the </w:t>
      </w:r>
      <w:r w:rsidR="00EA353E" w:rsidRPr="00AF07EE">
        <w:rPr>
          <w:rFonts w:eastAsia="Times New Roman" w:cs="Times New Roman"/>
        </w:rPr>
        <w:t>results of the assessment of engagement risk performed by the engagement team</w:t>
      </w:r>
      <w:r>
        <w:rPr>
          <w:rFonts w:eastAsia="Times New Roman" w:cs="Times New Roman"/>
        </w:rPr>
        <w:t>,</w:t>
      </w:r>
      <w:r w:rsidR="00EA353E" w:rsidRPr="00AF07EE">
        <w:rPr>
          <w:rFonts w:eastAsia="Times New Roman" w:cs="Times New Roman"/>
        </w:rPr>
        <w:t xml:space="preserve"> including the acceptance and continuance </w:t>
      </w:r>
      <w:r>
        <w:rPr>
          <w:rFonts w:eastAsia="Times New Roman" w:cs="Times New Roman"/>
        </w:rPr>
        <w:t>risk assessment;</w:t>
      </w:r>
      <w:r w:rsidRPr="00AF07EE">
        <w:rPr>
          <w:rFonts w:eastAsia="Times New Roman" w:cs="Times New Roman"/>
        </w:rPr>
        <w:t xml:space="preserve"> </w:t>
      </w:r>
    </w:p>
    <w:p w14:paraId="69209CF5" w14:textId="28D1FCEF" w:rsidR="00EA353E" w:rsidRPr="00AF07EE" w:rsidRDefault="00F908E6" w:rsidP="00010B70">
      <w:pPr>
        <w:numPr>
          <w:ilvl w:val="0"/>
          <w:numId w:val="4"/>
        </w:numPr>
        <w:spacing w:before="120" w:after="120" w:line="240" w:lineRule="auto"/>
        <w:rPr>
          <w:rFonts w:eastAsia="Times New Roman" w:cs="Times New Roman"/>
        </w:rPr>
      </w:pPr>
      <w:r>
        <w:rPr>
          <w:rFonts w:eastAsia="Times New Roman" w:cs="Times New Roman"/>
        </w:rPr>
        <w:t>t</w:t>
      </w:r>
      <w:r w:rsidRPr="00227BF2">
        <w:rPr>
          <w:rFonts w:eastAsia="Times New Roman" w:cs="Times New Roman"/>
        </w:rPr>
        <w:t xml:space="preserve">he </w:t>
      </w:r>
      <w:r w:rsidR="00EA353E" w:rsidRPr="0021293A">
        <w:rPr>
          <w:rFonts w:eastAsia="Times New Roman" w:cs="Times New Roman"/>
        </w:rPr>
        <w:t>extent of professional judgment and expertise required by the engagement team in order to assess management’s significant judgments and</w:t>
      </w:r>
      <w:r>
        <w:rPr>
          <w:rFonts w:eastAsia="Times New Roman" w:cs="Times New Roman"/>
        </w:rPr>
        <w:t xml:space="preserve"> </w:t>
      </w:r>
      <w:r w:rsidRPr="0021293A">
        <w:rPr>
          <w:rFonts w:eastAsia="Times New Roman" w:cs="Times New Roman"/>
        </w:rPr>
        <w:t>estimates and management’s assessment of significant risks and key measures of performance</w:t>
      </w:r>
      <w:r>
        <w:rPr>
          <w:rFonts w:eastAsia="Times New Roman" w:cs="Times New Roman"/>
        </w:rPr>
        <w:t>;</w:t>
      </w:r>
      <w:r w:rsidR="00EA353E" w:rsidRPr="0021293A">
        <w:rPr>
          <w:rFonts w:eastAsia="Times New Roman" w:cs="Times New Roman"/>
        </w:rPr>
        <w:t xml:space="preserve"> </w:t>
      </w:r>
    </w:p>
    <w:p w14:paraId="254090BC" w14:textId="5BF6013D" w:rsidR="00F908E6" w:rsidRPr="00227BF2" w:rsidRDefault="00F908E6" w:rsidP="00227BF2">
      <w:pPr>
        <w:numPr>
          <w:ilvl w:val="0"/>
          <w:numId w:val="4"/>
        </w:numPr>
        <w:spacing w:before="120" w:after="120" w:line="240" w:lineRule="auto"/>
        <w:rPr>
          <w:rFonts w:eastAsia="Times New Roman" w:cs="Times New Roman"/>
        </w:rPr>
      </w:pPr>
      <w:r w:rsidRPr="00227BF2">
        <w:rPr>
          <w:rFonts w:eastAsia="Times New Roman" w:cs="Times New Roman"/>
        </w:rPr>
        <w:t>the composition of the engagement team, such as a newly appointed audit principal, significant turnover in the engagement team, or the team’s limited experience</w:t>
      </w:r>
      <w:r w:rsidR="00227BF2">
        <w:rPr>
          <w:rFonts w:eastAsia="Times New Roman" w:cs="Times New Roman"/>
        </w:rPr>
        <w:t xml:space="preserve"> </w:t>
      </w:r>
      <w:r w:rsidR="00227BF2" w:rsidRPr="00227BF2">
        <w:rPr>
          <w:rFonts w:eastAsia="Times New Roman" w:cs="Times New Roman"/>
        </w:rPr>
        <w:t>with the objectives or subject matter of the engagement</w:t>
      </w:r>
      <w:r w:rsidRPr="00227BF2">
        <w:rPr>
          <w:rFonts w:eastAsia="Times New Roman" w:cs="Times New Roman"/>
        </w:rPr>
        <w:t>;</w:t>
      </w:r>
    </w:p>
    <w:p w14:paraId="38FD4DE5" w14:textId="1A0461D7" w:rsidR="00F908E6" w:rsidRPr="00227BF2" w:rsidRDefault="00F908E6" w:rsidP="00227BF2">
      <w:pPr>
        <w:numPr>
          <w:ilvl w:val="0"/>
          <w:numId w:val="4"/>
        </w:numPr>
        <w:spacing w:before="120" w:after="120" w:line="240" w:lineRule="auto"/>
        <w:rPr>
          <w:rFonts w:cs="Times New Roman"/>
        </w:rPr>
      </w:pPr>
      <w:r w:rsidRPr="00227BF2">
        <w:rPr>
          <w:rFonts w:eastAsia="Times New Roman" w:cs="Times New Roman"/>
        </w:rPr>
        <w:t>is an international engagement;</w:t>
      </w:r>
    </w:p>
    <w:p w14:paraId="366999C0" w14:textId="0CB3BC68" w:rsidR="00F908E6" w:rsidRPr="00227BF2" w:rsidRDefault="00F908E6" w:rsidP="00227BF2">
      <w:pPr>
        <w:numPr>
          <w:ilvl w:val="0"/>
          <w:numId w:val="4"/>
        </w:numPr>
        <w:spacing w:before="120" w:after="120" w:line="240" w:lineRule="auto"/>
        <w:rPr>
          <w:rFonts w:cs="Times New Roman"/>
        </w:rPr>
      </w:pPr>
      <w:r>
        <w:rPr>
          <w:rFonts w:eastAsia="Times New Roman" w:cs="Times New Roman"/>
        </w:rPr>
        <w:t>r</w:t>
      </w:r>
      <w:r w:rsidRPr="007A66BB">
        <w:rPr>
          <w:rFonts w:eastAsia="Times New Roman" w:cs="Times New Roman"/>
        </w:rPr>
        <w:t>ecent history of difficult or contentio</w:t>
      </w:r>
      <w:r>
        <w:rPr>
          <w:rFonts w:eastAsia="Times New Roman" w:cs="Times New Roman"/>
        </w:rPr>
        <w:t>us engagement issues, including disagreements with management</w:t>
      </w:r>
      <w:r w:rsidR="00227BF2">
        <w:rPr>
          <w:rFonts w:eastAsia="Times New Roman" w:cs="Times New Roman"/>
        </w:rPr>
        <w:t xml:space="preserve">, </w:t>
      </w:r>
      <w:r w:rsidR="00227BF2" w:rsidRPr="00227BF2">
        <w:rPr>
          <w:rFonts w:eastAsia="Times New Roman" w:cs="Times New Roman"/>
        </w:rPr>
        <w:t>negative conclusions in previous reports, and reservations in previous opinions and reports</w:t>
      </w:r>
      <w:r>
        <w:rPr>
          <w:rFonts w:eastAsia="Times New Roman" w:cs="Times New Roman"/>
        </w:rPr>
        <w:t>;</w:t>
      </w:r>
    </w:p>
    <w:p w14:paraId="7DFDD734" w14:textId="345A589B" w:rsidR="00F908E6" w:rsidRPr="00F908E6" w:rsidRDefault="00F908E6" w:rsidP="00F908E6">
      <w:pPr>
        <w:numPr>
          <w:ilvl w:val="0"/>
          <w:numId w:val="4"/>
        </w:numPr>
        <w:spacing w:before="120" w:after="120" w:line="240" w:lineRule="auto"/>
        <w:rPr>
          <w:rFonts w:eastAsia="Times New Roman" w:cs="Times New Roman"/>
        </w:rPr>
      </w:pPr>
      <w:r>
        <w:rPr>
          <w:rFonts w:eastAsia="Times New Roman" w:cs="Times New Roman"/>
        </w:rPr>
        <w:t>u</w:t>
      </w:r>
      <w:r w:rsidRPr="007A66BB">
        <w:rPr>
          <w:rFonts w:eastAsia="Times New Roman" w:cs="Times New Roman"/>
        </w:rPr>
        <w:t>ncertainty about the entity's ability to continue operating as a going co</w:t>
      </w:r>
      <w:r>
        <w:rPr>
          <w:rFonts w:eastAsia="Times New Roman" w:cs="Times New Roman"/>
        </w:rPr>
        <w:t>ncern or to deliver its mandate;</w:t>
      </w:r>
    </w:p>
    <w:p w14:paraId="6E332258" w14:textId="77777777" w:rsidR="00F908E6" w:rsidRPr="00227BF2" w:rsidRDefault="00F908E6" w:rsidP="00227BF2">
      <w:pPr>
        <w:numPr>
          <w:ilvl w:val="0"/>
          <w:numId w:val="4"/>
        </w:numPr>
        <w:spacing w:before="120" w:after="120" w:line="240" w:lineRule="auto"/>
        <w:rPr>
          <w:rFonts w:eastAsia="Times New Roman" w:cs="Times New Roman"/>
        </w:rPr>
      </w:pPr>
      <w:r w:rsidRPr="00227BF2">
        <w:rPr>
          <w:rFonts w:eastAsia="Times New Roman" w:cs="Times New Roman"/>
        </w:rPr>
        <w:t>any other specified risk factors, such as known and potential threats to the Office’s independence;</w:t>
      </w:r>
    </w:p>
    <w:p w14:paraId="3AB97D6F" w14:textId="0256BFD4" w:rsidR="00F908E6" w:rsidRPr="00227BF2" w:rsidRDefault="00F908E6" w:rsidP="00227BF2">
      <w:pPr>
        <w:numPr>
          <w:ilvl w:val="0"/>
          <w:numId w:val="4"/>
        </w:numPr>
        <w:spacing w:before="120" w:after="120" w:line="240" w:lineRule="auto"/>
        <w:rPr>
          <w:rFonts w:eastAsia="Times New Roman" w:cs="Times New Roman"/>
        </w:rPr>
      </w:pPr>
      <w:r w:rsidRPr="00227BF2">
        <w:rPr>
          <w:rFonts w:eastAsia="Times New Roman" w:cs="Times New Roman"/>
        </w:rPr>
        <w:t xml:space="preserve">the engagement has recently resulted in a modified opinion; </w:t>
      </w:r>
    </w:p>
    <w:p w14:paraId="5038584D" w14:textId="16F154CA" w:rsidR="00F908E6" w:rsidRPr="00227BF2" w:rsidRDefault="00F908E6" w:rsidP="00F908E6">
      <w:pPr>
        <w:numPr>
          <w:ilvl w:val="0"/>
          <w:numId w:val="4"/>
        </w:numPr>
        <w:spacing w:before="120" w:after="120" w:line="240" w:lineRule="auto"/>
        <w:rPr>
          <w:rFonts w:eastAsia="Times New Roman" w:cs="Times New Roman"/>
        </w:rPr>
      </w:pPr>
      <w:r w:rsidRPr="00227BF2">
        <w:rPr>
          <w:rFonts w:eastAsia="Times New Roman" w:cs="Times New Roman"/>
        </w:rPr>
        <w:t xml:space="preserve">significant prior period errors are being </w:t>
      </w:r>
      <w:r w:rsidRPr="00F908E6">
        <w:rPr>
          <w:rFonts w:eastAsia="Times New Roman" w:cs="Times New Roman"/>
        </w:rPr>
        <w:t>identified on a recurring basis</w:t>
      </w:r>
      <w:r>
        <w:rPr>
          <w:rFonts w:eastAsia="Times New Roman" w:cs="Times New Roman"/>
        </w:rPr>
        <w:t>;</w:t>
      </w:r>
    </w:p>
    <w:p w14:paraId="6CA3914D" w14:textId="53F1A7A5" w:rsidR="00F908E6" w:rsidRDefault="00F908E6" w:rsidP="00F908E6">
      <w:pPr>
        <w:pStyle w:val="ListParagraph"/>
        <w:numPr>
          <w:ilvl w:val="0"/>
          <w:numId w:val="4"/>
        </w:numPr>
        <w:spacing w:before="120" w:after="120"/>
      </w:pPr>
      <w:r>
        <w:t>potential for fraud;</w:t>
      </w:r>
    </w:p>
    <w:p w14:paraId="233264DB" w14:textId="434E81A7" w:rsidR="00EA353E" w:rsidRPr="007A66BB" w:rsidRDefault="00EA353E" w:rsidP="00F908E6">
      <w:pPr>
        <w:pStyle w:val="ListParagraph"/>
        <w:numPr>
          <w:ilvl w:val="0"/>
          <w:numId w:val="4"/>
        </w:numPr>
        <w:spacing w:before="120" w:after="120"/>
      </w:pPr>
      <w:r w:rsidRPr="007A66BB">
        <w:t>significant economic, accounting or other developments that require specific attention</w:t>
      </w:r>
      <w:r w:rsidR="00F908E6">
        <w:t>;</w:t>
      </w:r>
    </w:p>
    <w:p w14:paraId="333AAC15" w14:textId="35D0CD51" w:rsidR="00EA353E" w:rsidRPr="007A66BB" w:rsidRDefault="00EA353E">
      <w:pPr>
        <w:pStyle w:val="ListParagraph"/>
        <w:numPr>
          <w:ilvl w:val="0"/>
          <w:numId w:val="4"/>
        </w:numPr>
        <w:spacing w:before="120" w:after="120"/>
      </w:pPr>
      <w:r>
        <w:t>s</w:t>
      </w:r>
      <w:r w:rsidRPr="007A66BB">
        <w:t>ignificant transactions with related parties</w:t>
      </w:r>
      <w:r w:rsidR="00F908E6">
        <w:t>;</w:t>
      </w:r>
    </w:p>
    <w:p w14:paraId="6CE87818" w14:textId="23CFD6B1" w:rsidR="00EA353E" w:rsidRPr="007A66BB" w:rsidRDefault="00EA353E">
      <w:pPr>
        <w:pStyle w:val="ListParagraph"/>
        <w:numPr>
          <w:ilvl w:val="0"/>
          <w:numId w:val="4"/>
        </w:numPr>
        <w:spacing w:before="120" w:after="120"/>
      </w:pPr>
      <w:r>
        <w:t>d</w:t>
      </w:r>
      <w:r w:rsidRPr="007A66BB">
        <w:t xml:space="preserve">egree of </w:t>
      </w:r>
      <w:r>
        <w:t>subjectivity in the measurement of financial information related to risk, especially those measurements involving a wide range of measurement uncertainty</w:t>
      </w:r>
      <w:r w:rsidR="00F908E6">
        <w:t>; and</w:t>
      </w:r>
    </w:p>
    <w:p w14:paraId="0FAC7917" w14:textId="17374050" w:rsidR="00710B75" w:rsidRDefault="00EA353E" w:rsidP="00810959">
      <w:pPr>
        <w:pStyle w:val="ListParagraph"/>
        <w:numPr>
          <w:ilvl w:val="0"/>
          <w:numId w:val="4"/>
        </w:numPr>
        <w:spacing w:before="120" w:after="120"/>
      </w:pPr>
      <w:r>
        <w:t xml:space="preserve">significant transactions that are outside the normal course of business for the entity, or that </w:t>
      </w:r>
      <w:r w:rsidR="00DF1C58">
        <w:t>otherwise appear to be unusual.</w:t>
      </w:r>
    </w:p>
    <w:sectPr w:rsidR="00710B75" w:rsidSect="001A6A07">
      <w:footerReference w:type="default" r:id="rId20"/>
      <w:headerReference w:type="first" r:id="rId21"/>
      <w:footerReference w:type="first" r:id="rId22"/>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CEF0" w14:textId="77777777" w:rsidR="00D81743" w:rsidRDefault="00D81743" w:rsidP="00F14994">
      <w:pPr>
        <w:spacing w:after="0" w:line="240" w:lineRule="auto"/>
      </w:pPr>
      <w:r>
        <w:separator/>
      </w:r>
    </w:p>
  </w:endnote>
  <w:endnote w:type="continuationSeparator" w:id="0">
    <w:p w14:paraId="17AB47C2" w14:textId="77777777" w:rsidR="00D81743" w:rsidRDefault="00D81743" w:rsidP="00F1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547"/>
      <w:docPartObj>
        <w:docPartGallery w:val="Page Numbers (Bottom of Page)"/>
        <w:docPartUnique/>
      </w:docPartObj>
    </w:sdtPr>
    <w:sdtEndPr>
      <w:rPr>
        <w:rFonts w:ascii="Arial" w:hAnsi="Arial" w:cs="Arial"/>
        <w:sz w:val="20"/>
        <w:szCs w:val="20"/>
      </w:rPr>
    </w:sdtEndPr>
    <w:sdtContent>
      <w:p w14:paraId="582DB2C7" w14:textId="77777777" w:rsidR="00D81743" w:rsidRPr="008A6A18" w:rsidRDefault="00D81743" w:rsidP="003C585E">
        <w:pPr>
          <w:pStyle w:val="Footer"/>
          <w:spacing w:before="240"/>
          <w:jc w:val="right"/>
          <w:rPr>
            <w:rFonts w:ascii="Arial" w:hAnsi="Arial" w:cs="Arial"/>
            <w:sz w:val="20"/>
            <w:szCs w:val="20"/>
          </w:rPr>
        </w:pPr>
        <w:r w:rsidRPr="008A6A18">
          <w:rPr>
            <w:rFonts w:ascii="Arial" w:hAnsi="Arial" w:cs="Arial"/>
            <w:sz w:val="20"/>
            <w:szCs w:val="20"/>
          </w:rPr>
          <w:fldChar w:fldCharType="begin"/>
        </w:r>
        <w:r w:rsidRPr="008A6A18">
          <w:rPr>
            <w:rFonts w:ascii="Arial" w:hAnsi="Arial" w:cs="Arial"/>
            <w:sz w:val="20"/>
            <w:szCs w:val="20"/>
          </w:rPr>
          <w:instrText xml:space="preserve"> PAGE   \* MERGEFORMAT </w:instrText>
        </w:r>
        <w:r w:rsidRPr="008A6A18">
          <w:rPr>
            <w:rFonts w:ascii="Arial" w:hAnsi="Arial" w:cs="Arial"/>
            <w:sz w:val="20"/>
            <w:szCs w:val="20"/>
          </w:rPr>
          <w:fldChar w:fldCharType="separate"/>
        </w:r>
        <w:r w:rsidR="00CC41BC">
          <w:rPr>
            <w:rFonts w:ascii="Arial" w:hAnsi="Arial" w:cs="Arial"/>
            <w:noProof/>
            <w:sz w:val="20"/>
            <w:szCs w:val="20"/>
          </w:rPr>
          <w:t>11</w:t>
        </w:r>
        <w:r w:rsidRPr="008A6A18">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FB71" w14:textId="60BB3CBC" w:rsidR="00D81743" w:rsidRDefault="00D81743" w:rsidP="003C585E">
    <w:pPr>
      <w:pStyle w:val="Footer"/>
      <w:spacing w:before="240"/>
      <w:ind w:left="-144"/>
      <w:rPr>
        <w:rFonts w:ascii="Arial" w:hAnsi="Arial" w:cs="Arial"/>
        <w:sz w:val="16"/>
        <w:szCs w:val="16"/>
      </w:rPr>
    </w:pPr>
    <w:r>
      <w:rPr>
        <w:rFonts w:ascii="Arial" w:hAnsi="Arial" w:cs="Arial"/>
        <w:sz w:val="16"/>
        <w:szCs w:val="16"/>
      </w:rPr>
      <w:t>Dec-2022</w:t>
    </w:r>
  </w:p>
  <w:p w14:paraId="3BEA1350" w14:textId="73FFBF72" w:rsidR="00D81743" w:rsidRPr="003C585E" w:rsidRDefault="00D81743" w:rsidP="003C585E">
    <w:pPr>
      <w:pStyle w:val="Footer"/>
      <w:tabs>
        <w:tab w:val="clear" w:pos="4680"/>
        <w:tab w:val="clear" w:pos="9360"/>
        <w:tab w:val="right" w:pos="10080"/>
      </w:tabs>
      <w:ind w:left="-142"/>
      <w:rPr>
        <w:rFonts w:ascii="Arial" w:hAnsi="Arial" w:cs="Arial"/>
        <w:sz w:val="16"/>
        <w:szCs w:val="16"/>
      </w:rPr>
    </w:pPr>
    <w:r>
      <w:rPr>
        <w:rFonts w:ascii="Arial" w:hAnsi="Arial" w:cs="Arial"/>
        <w:sz w:val="16"/>
        <w:szCs w:val="16"/>
      </w:rPr>
      <w:t>Template Owner: Audit Services</w:t>
    </w:r>
    <w:r>
      <w:rPr>
        <w:rFonts w:ascii="Arial" w:hAnsi="Arial" w:cs="Arial"/>
        <w:sz w:val="16"/>
        <w:szCs w:val="16"/>
      </w:rPr>
      <w:tab/>
    </w:r>
    <w:r w:rsidRPr="008A6A18">
      <w:rPr>
        <w:rFonts w:ascii="Arial" w:hAnsi="Arial" w:cs="Arial"/>
        <w:sz w:val="20"/>
        <w:szCs w:val="20"/>
      </w:rPr>
      <w:fldChar w:fldCharType="begin"/>
    </w:r>
    <w:r w:rsidRPr="008A6A18">
      <w:rPr>
        <w:rFonts w:ascii="Arial" w:hAnsi="Arial" w:cs="Arial"/>
        <w:sz w:val="20"/>
        <w:szCs w:val="20"/>
      </w:rPr>
      <w:instrText xml:space="preserve"> PAGE   \* MERGEFORMAT </w:instrText>
    </w:r>
    <w:r w:rsidRPr="008A6A18">
      <w:rPr>
        <w:rFonts w:ascii="Arial" w:hAnsi="Arial" w:cs="Arial"/>
        <w:sz w:val="20"/>
        <w:szCs w:val="20"/>
      </w:rPr>
      <w:fldChar w:fldCharType="separate"/>
    </w:r>
    <w:r w:rsidR="00CC41BC">
      <w:rPr>
        <w:rFonts w:ascii="Arial" w:hAnsi="Arial" w:cs="Arial"/>
        <w:noProof/>
        <w:sz w:val="20"/>
        <w:szCs w:val="20"/>
      </w:rPr>
      <w:t>1</w:t>
    </w:r>
    <w:r w:rsidRPr="008A6A18">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15E28" w14:textId="77777777" w:rsidR="00D81743" w:rsidRDefault="00D81743" w:rsidP="00F14994">
      <w:pPr>
        <w:spacing w:after="0" w:line="240" w:lineRule="auto"/>
      </w:pPr>
      <w:r>
        <w:separator/>
      </w:r>
    </w:p>
  </w:footnote>
  <w:footnote w:type="continuationSeparator" w:id="0">
    <w:p w14:paraId="357CAF88" w14:textId="77777777" w:rsidR="00D81743" w:rsidRDefault="00D81743" w:rsidP="00F14994">
      <w:pPr>
        <w:spacing w:after="0" w:line="240" w:lineRule="auto"/>
      </w:pPr>
      <w:r>
        <w:continuationSeparator/>
      </w:r>
    </w:p>
  </w:footnote>
  <w:footnote w:id="1">
    <w:p w14:paraId="71B64727" w14:textId="77777777" w:rsidR="00D81743" w:rsidRPr="00227BF2" w:rsidRDefault="00D81743" w:rsidP="006B3BFE">
      <w:pPr>
        <w:spacing w:after="0" w:line="240" w:lineRule="auto"/>
        <w:rPr>
          <w:rFonts w:cstheme="minorHAnsi"/>
          <w:sz w:val="18"/>
          <w:szCs w:val="18"/>
        </w:rPr>
      </w:pPr>
      <w:r w:rsidRPr="008162B3">
        <w:rPr>
          <w:vertAlign w:val="superscript"/>
        </w:rPr>
        <w:footnoteRef/>
      </w:r>
      <w:r w:rsidRPr="006B3BFE">
        <w:rPr>
          <w:sz w:val="20"/>
          <w:szCs w:val="20"/>
          <w:vertAlign w:val="superscript"/>
        </w:rPr>
        <w:t xml:space="preserve"> </w:t>
      </w:r>
      <w:r w:rsidRPr="00227BF2">
        <w:rPr>
          <w:rFonts w:cstheme="minorHAnsi"/>
          <w:sz w:val="18"/>
          <w:szCs w:val="18"/>
        </w:rPr>
        <w:t xml:space="preserve">The engagement team is considered to be: </w:t>
      </w:r>
    </w:p>
    <w:p w14:paraId="78D4A517" w14:textId="065E6A06" w:rsidR="00D81743" w:rsidRPr="00227BF2" w:rsidRDefault="00D81743" w:rsidP="00F44C2F">
      <w:pPr>
        <w:pStyle w:val="ListParagraph"/>
        <w:numPr>
          <w:ilvl w:val="0"/>
          <w:numId w:val="9"/>
        </w:numPr>
        <w:spacing w:after="0" w:line="240" w:lineRule="auto"/>
        <w:ind w:hanging="218"/>
        <w:rPr>
          <w:rFonts w:cstheme="minorHAnsi"/>
          <w:sz w:val="18"/>
          <w:szCs w:val="18"/>
        </w:rPr>
      </w:pPr>
      <w:r w:rsidRPr="00227BF2">
        <w:rPr>
          <w:rFonts w:cstheme="minorHAnsi"/>
          <w:sz w:val="18"/>
          <w:szCs w:val="18"/>
        </w:rPr>
        <w:t xml:space="preserve">each </w:t>
      </w:r>
      <w:r>
        <w:rPr>
          <w:rFonts w:cstheme="minorHAnsi"/>
          <w:sz w:val="18"/>
          <w:szCs w:val="18"/>
        </w:rPr>
        <w:t>member</w:t>
      </w:r>
      <w:r w:rsidRPr="00227BF2">
        <w:rPr>
          <w:rFonts w:cstheme="minorHAnsi"/>
          <w:sz w:val="18"/>
          <w:szCs w:val="18"/>
        </w:rPr>
        <w:t xml:space="preserve"> of the Office </w:t>
      </w:r>
      <w:r>
        <w:rPr>
          <w:rFonts w:cstheme="minorHAnsi"/>
          <w:sz w:val="18"/>
          <w:szCs w:val="18"/>
        </w:rPr>
        <w:t>performing</w:t>
      </w:r>
      <w:r w:rsidRPr="00227BF2">
        <w:rPr>
          <w:rFonts w:cstheme="minorHAnsi"/>
          <w:sz w:val="18"/>
          <w:szCs w:val="18"/>
        </w:rPr>
        <w:t xml:space="preserve"> the assurance engagement;</w:t>
      </w:r>
    </w:p>
    <w:p w14:paraId="5547CD6F" w14:textId="6F161476" w:rsidR="00D81743" w:rsidRPr="00227BF2" w:rsidRDefault="00D81743" w:rsidP="00F44C2F">
      <w:pPr>
        <w:pStyle w:val="ListParagraph"/>
        <w:numPr>
          <w:ilvl w:val="0"/>
          <w:numId w:val="9"/>
        </w:numPr>
        <w:spacing w:after="0" w:line="240" w:lineRule="auto"/>
        <w:ind w:hanging="218"/>
        <w:rPr>
          <w:rFonts w:cstheme="minorHAnsi"/>
          <w:sz w:val="18"/>
          <w:szCs w:val="18"/>
        </w:rPr>
      </w:pPr>
      <w:r w:rsidRPr="00227BF2">
        <w:rPr>
          <w:rFonts w:cstheme="minorHAnsi"/>
          <w:sz w:val="18"/>
          <w:szCs w:val="18"/>
        </w:rPr>
        <w:t xml:space="preserve">each contractor </w:t>
      </w:r>
      <w:r>
        <w:rPr>
          <w:rFonts w:cstheme="minorHAnsi"/>
          <w:sz w:val="18"/>
          <w:szCs w:val="18"/>
        </w:rPr>
        <w:t>performing</w:t>
      </w:r>
      <w:r w:rsidRPr="00227BF2">
        <w:rPr>
          <w:rFonts w:cstheme="minorHAnsi"/>
          <w:sz w:val="18"/>
          <w:szCs w:val="18"/>
        </w:rPr>
        <w:t xml:space="preserve"> the assurance engagement</w:t>
      </w:r>
      <w:r>
        <w:rPr>
          <w:rFonts w:cstheme="minorHAnsi"/>
          <w:sz w:val="18"/>
          <w:szCs w:val="18"/>
        </w:rPr>
        <w:t xml:space="preserve">, </w:t>
      </w:r>
      <w:r w:rsidRPr="00810959">
        <w:rPr>
          <w:rFonts w:cstheme="minorHAnsi"/>
          <w:sz w:val="18"/>
          <w:szCs w:val="18"/>
        </w:rPr>
        <w:t>but does not include an external expert possessing skills, knowledge and experience in a field other than accounting or auditing whose work in that field is used to assist the member or firm in obtaining sufficient appropriate evidence</w:t>
      </w:r>
      <w:r w:rsidRPr="00227BF2">
        <w:rPr>
          <w:rFonts w:cstheme="minorHAnsi"/>
          <w:sz w:val="18"/>
          <w:szCs w:val="18"/>
        </w:rPr>
        <w:t>;</w:t>
      </w:r>
    </w:p>
    <w:p w14:paraId="58A038C4" w14:textId="3D1BDA1E" w:rsidR="00D81743" w:rsidRPr="00227BF2" w:rsidRDefault="00D81743" w:rsidP="00F44C2F">
      <w:pPr>
        <w:pStyle w:val="ListParagraph"/>
        <w:numPr>
          <w:ilvl w:val="0"/>
          <w:numId w:val="9"/>
        </w:numPr>
        <w:spacing w:after="0" w:line="240" w:lineRule="auto"/>
        <w:ind w:hanging="218"/>
        <w:rPr>
          <w:rFonts w:cstheme="minorHAnsi"/>
          <w:sz w:val="18"/>
          <w:szCs w:val="18"/>
        </w:rPr>
      </w:pPr>
      <w:r w:rsidRPr="00227BF2">
        <w:rPr>
          <w:rFonts w:cstheme="minorHAnsi"/>
          <w:sz w:val="18"/>
          <w:szCs w:val="18"/>
        </w:rPr>
        <w:t xml:space="preserve">all other </w:t>
      </w:r>
      <w:r>
        <w:rPr>
          <w:rFonts w:cstheme="minorHAnsi"/>
          <w:sz w:val="18"/>
          <w:szCs w:val="18"/>
        </w:rPr>
        <w:t>member</w:t>
      </w:r>
      <w:r w:rsidR="000F1D08">
        <w:rPr>
          <w:rFonts w:cstheme="minorHAnsi"/>
          <w:sz w:val="18"/>
          <w:szCs w:val="18"/>
        </w:rPr>
        <w:t>s</w:t>
      </w:r>
      <w:r>
        <w:rPr>
          <w:rFonts w:cstheme="minorHAnsi"/>
          <w:sz w:val="18"/>
          <w:szCs w:val="18"/>
        </w:rPr>
        <w:t xml:space="preserve"> of the </w:t>
      </w:r>
      <w:r w:rsidRPr="00227BF2">
        <w:rPr>
          <w:rFonts w:cstheme="minorHAnsi"/>
          <w:sz w:val="18"/>
          <w:szCs w:val="18"/>
        </w:rPr>
        <w:t>Office who can directly influence the outcome of the assurance engagement, including</w:t>
      </w:r>
    </w:p>
    <w:p w14:paraId="15AE8CC6" w14:textId="3616B228" w:rsidR="00D81743" w:rsidRPr="00227BF2" w:rsidRDefault="00D81743" w:rsidP="001A6A07">
      <w:pPr>
        <w:pStyle w:val="ListParagraph"/>
        <w:numPr>
          <w:ilvl w:val="0"/>
          <w:numId w:val="10"/>
        </w:numPr>
        <w:spacing w:after="0" w:line="240" w:lineRule="auto"/>
        <w:ind w:left="709" w:hanging="425"/>
        <w:rPr>
          <w:rFonts w:cstheme="minorHAnsi"/>
          <w:sz w:val="18"/>
          <w:szCs w:val="18"/>
        </w:rPr>
      </w:pPr>
      <w:r w:rsidRPr="00227BF2">
        <w:rPr>
          <w:rFonts w:cstheme="minorHAnsi"/>
          <w:sz w:val="18"/>
          <w:szCs w:val="18"/>
        </w:rPr>
        <w:t xml:space="preserve">those who recommend the compensation of, or who provide direct supervisory, management or other oversight of, the assurance engagement leader </w:t>
      </w:r>
      <w:r w:rsidR="00393362">
        <w:rPr>
          <w:rFonts w:cstheme="minorHAnsi"/>
          <w:sz w:val="18"/>
          <w:szCs w:val="18"/>
        </w:rPr>
        <w:t>in connection</w:t>
      </w:r>
      <w:r w:rsidR="00393362" w:rsidRPr="00227BF2">
        <w:rPr>
          <w:rFonts w:cstheme="minorHAnsi"/>
          <w:sz w:val="18"/>
          <w:szCs w:val="18"/>
        </w:rPr>
        <w:t xml:space="preserve"> </w:t>
      </w:r>
      <w:r w:rsidRPr="00227BF2">
        <w:rPr>
          <w:rFonts w:cstheme="minorHAnsi"/>
          <w:sz w:val="18"/>
          <w:szCs w:val="18"/>
        </w:rPr>
        <w:t>with the performance of the assurance engagement;</w:t>
      </w:r>
    </w:p>
    <w:p w14:paraId="645B4C0A" w14:textId="1FBD8B5D" w:rsidR="00D81743" w:rsidRPr="00227BF2" w:rsidRDefault="00D81743" w:rsidP="001A6A07">
      <w:pPr>
        <w:pStyle w:val="ListParagraph"/>
        <w:numPr>
          <w:ilvl w:val="0"/>
          <w:numId w:val="10"/>
        </w:numPr>
        <w:spacing w:after="0" w:line="240" w:lineRule="auto"/>
        <w:ind w:left="709" w:hanging="425"/>
        <w:rPr>
          <w:rFonts w:cstheme="minorHAnsi"/>
          <w:sz w:val="18"/>
          <w:szCs w:val="18"/>
        </w:rPr>
      </w:pPr>
      <w:r w:rsidRPr="00227BF2">
        <w:rPr>
          <w:rFonts w:cstheme="minorHAnsi"/>
          <w:sz w:val="18"/>
          <w:szCs w:val="18"/>
        </w:rPr>
        <w:t>those who provide consultation regarding technical or industry-specific issues, transactions</w:t>
      </w:r>
      <w:r>
        <w:rPr>
          <w:rFonts w:cstheme="minorHAnsi"/>
          <w:sz w:val="18"/>
          <w:szCs w:val="18"/>
        </w:rPr>
        <w:t xml:space="preserve"> or </w:t>
      </w:r>
      <w:r w:rsidRPr="00227BF2">
        <w:rPr>
          <w:rFonts w:cstheme="minorHAnsi"/>
          <w:sz w:val="18"/>
          <w:szCs w:val="18"/>
        </w:rPr>
        <w:t xml:space="preserve">events for the assurance team; and </w:t>
      </w:r>
    </w:p>
    <w:p w14:paraId="1D80F9BF" w14:textId="459838AA" w:rsidR="00D81743" w:rsidRPr="00227BF2" w:rsidRDefault="00D81743" w:rsidP="001A6A07">
      <w:pPr>
        <w:pStyle w:val="ListParagraph"/>
        <w:numPr>
          <w:ilvl w:val="0"/>
          <w:numId w:val="10"/>
        </w:numPr>
        <w:spacing w:after="0" w:line="240" w:lineRule="auto"/>
        <w:ind w:left="709" w:hanging="425"/>
        <w:rPr>
          <w:rFonts w:cstheme="minorHAnsi"/>
          <w:sz w:val="18"/>
          <w:szCs w:val="18"/>
        </w:rPr>
      </w:pPr>
      <w:r w:rsidRPr="00227BF2">
        <w:rPr>
          <w:rFonts w:cstheme="minorHAnsi"/>
          <w:sz w:val="18"/>
          <w:szCs w:val="18"/>
        </w:rPr>
        <w:t xml:space="preserve">those who provide quality </w:t>
      </w:r>
      <w:r w:rsidR="00646A92">
        <w:rPr>
          <w:rFonts w:cstheme="minorHAnsi"/>
          <w:sz w:val="18"/>
          <w:szCs w:val="18"/>
        </w:rPr>
        <w:t>management</w:t>
      </w:r>
      <w:r w:rsidRPr="00227BF2">
        <w:rPr>
          <w:rFonts w:cstheme="minorHAnsi"/>
          <w:sz w:val="18"/>
          <w:szCs w:val="18"/>
        </w:rPr>
        <w:t xml:space="preserve"> for the assurance engagement; and </w:t>
      </w:r>
    </w:p>
    <w:p w14:paraId="77F9CD41" w14:textId="75E77131" w:rsidR="00D81743" w:rsidRPr="00227BF2" w:rsidRDefault="00D81743" w:rsidP="00F44C2F">
      <w:pPr>
        <w:pStyle w:val="ListParagraph"/>
        <w:numPr>
          <w:ilvl w:val="0"/>
          <w:numId w:val="9"/>
        </w:numPr>
        <w:spacing w:after="0" w:line="240" w:lineRule="auto"/>
        <w:ind w:hanging="218"/>
        <w:rPr>
          <w:rFonts w:cstheme="minorHAnsi"/>
          <w:sz w:val="18"/>
          <w:szCs w:val="18"/>
        </w:rPr>
      </w:pPr>
      <w:r w:rsidRPr="00227BF2">
        <w:rPr>
          <w:rFonts w:cstheme="minorHAnsi"/>
          <w:sz w:val="18"/>
          <w:szCs w:val="18"/>
        </w:rPr>
        <w:t>all other persons in the Office or external to the Office who can directly influence the outcome of the assurance engagement.</w:t>
      </w:r>
    </w:p>
  </w:footnote>
  <w:footnote w:id="2">
    <w:p w14:paraId="71E01994" w14:textId="0EFA8B50" w:rsidR="00D81743" w:rsidRPr="00227BF2" w:rsidRDefault="00D81743" w:rsidP="00B9665A">
      <w:pPr>
        <w:spacing w:after="120"/>
        <w:rPr>
          <w:sz w:val="18"/>
          <w:szCs w:val="18"/>
        </w:rPr>
      </w:pPr>
      <w:r w:rsidRPr="008162B3">
        <w:rPr>
          <w:sz w:val="20"/>
          <w:szCs w:val="20"/>
          <w:vertAlign w:val="superscript"/>
        </w:rPr>
        <w:footnoteRef/>
      </w:r>
      <w:r w:rsidRPr="008162B3">
        <w:rPr>
          <w:sz w:val="20"/>
          <w:szCs w:val="20"/>
          <w:vertAlign w:val="superscript"/>
        </w:rPr>
        <w:t xml:space="preserve"> </w:t>
      </w:r>
      <w:r w:rsidRPr="00227BF2">
        <w:rPr>
          <w:sz w:val="18"/>
          <w:szCs w:val="18"/>
        </w:rPr>
        <w:t>Annual Audits are to include “auditor’s experts” in the listing of Other Planned Resources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5D42B" w14:textId="677001D4" w:rsidR="00D81743" w:rsidRPr="00E91D6B" w:rsidRDefault="00CC41BC" w:rsidP="007D5921">
    <w:pPr>
      <w:pStyle w:val="Header"/>
      <w:jc w:val="right"/>
      <w:rPr>
        <w:rFonts w:ascii="Arial" w:hAnsi="Arial" w:cs="Arial"/>
      </w:rPr>
    </w:pPr>
    <w:sdt>
      <w:sdtPr>
        <w:rPr>
          <w:rFonts w:ascii="Arial" w:hAnsi="Arial" w:cs="Arial"/>
          <w:b/>
          <w:lang w:val="fr-CA"/>
        </w:rPr>
        <w:alias w:val="Security Label"/>
        <w:tag w:val="OAG-BVG-Classification"/>
        <w:id w:val="370649869"/>
        <w:placeholder>
          <w:docPart w:val="0ED2AE6A445049B79400CDCEC81F7A3A"/>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D81743" w:rsidRPr="00E91D6B">
          <w:rPr>
            <w:rFonts w:ascii="Arial" w:hAnsi="Arial" w:cs="Arial"/>
            <w:b/>
            <w:lang w:val="fr-CA"/>
          </w:rPr>
          <w:t>PROTECTED A (when completed)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538C"/>
    <w:multiLevelType w:val="hybridMultilevel"/>
    <w:tmpl w:val="CD5AA5D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12465E"/>
    <w:multiLevelType w:val="hybridMultilevel"/>
    <w:tmpl w:val="905C7BAC"/>
    <w:lvl w:ilvl="0" w:tplc="74869AD6">
      <w:start w:val="1"/>
      <w:numFmt w:val="lowerLetter"/>
      <w:lvlText w:val="(%1)"/>
      <w:lvlJc w:val="left"/>
      <w:pPr>
        <w:ind w:left="428" w:hanging="360"/>
      </w:pPr>
      <w:rPr>
        <w:rFonts w:hint="default"/>
      </w:rPr>
    </w:lvl>
    <w:lvl w:ilvl="1" w:tplc="90F0CC18">
      <w:numFmt w:val="bullet"/>
      <w:lvlText w:val="•"/>
      <w:lvlJc w:val="left"/>
      <w:pPr>
        <w:ind w:left="1148" w:hanging="360"/>
      </w:pPr>
      <w:rPr>
        <w:rFonts w:ascii="Calibri" w:eastAsiaTheme="minorEastAsia" w:hAnsi="Calibri" w:cstheme="minorBidi" w:hint="default"/>
      </w:rPr>
    </w:lvl>
    <w:lvl w:ilvl="2" w:tplc="D3DE76AE">
      <w:start w:val="1"/>
      <w:numFmt w:val="decimal"/>
      <w:lvlText w:val="%3."/>
      <w:lvlJc w:val="left"/>
      <w:pPr>
        <w:ind w:left="2048" w:hanging="360"/>
      </w:pPr>
      <w:rPr>
        <w:rFonts w:hint="default"/>
      </w:rPr>
    </w:lvl>
    <w:lvl w:ilvl="3" w:tplc="0C0C000F" w:tentative="1">
      <w:start w:val="1"/>
      <w:numFmt w:val="decimal"/>
      <w:lvlText w:val="%4."/>
      <w:lvlJc w:val="left"/>
      <w:pPr>
        <w:ind w:left="2588" w:hanging="360"/>
      </w:pPr>
    </w:lvl>
    <w:lvl w:ilvl="4" w:tplc="0C0C0019" w:tentative="1">
      <w:start w:val="1"/>
      <w:numFmt w:val="lowerLetter"/>
      <w:lvlText w:val="%5."/>
      <w:lvlJc w:val="left"/>
      <w:pPr>
        <w:ind w:left="3308" w:hanging="360"/>
      </w:pPr>
    </w:lvl>
    <w:lvl w:ilvl="5" w:tplc="0C0C001B" w:tentative="1">
      <w:start w:val="1"/>
      <w:numFmt w:val="lowerRoman"/>
      <w:lvlText w:val="%6."/>
      <w:lvlJc w:val="right"/>
      <w:pPr>
        <w:ind w:left="4028" w:hanging="180"/>
      </w:pPr>
    </w:lvl>
    <w:lvl w:ilvl="6" w:tplc="0C0C000F" w:tentative="1">
      <w:start w:val="1"/>
      <w:numFmt w:val="decimal"/>
      <w:lvlText w:val="%7."/>
      <w:lvlJc w:val="left"/>
      <w:pPr>
        <w:ind w:left="4748" w:hanging="360"/>
      </w:pPr>
    </w:lvl>
    <w:lvl w:ilvl="7" w:tplc="0C0C0019" w:tentative="1">
      <w:start w:val="1"/>
      <w:numFmt w:val="lowerLetter"/>
      <w:lvlText w:val="%8."/>
      <w:lvlJc w:val="left"/>
      <w:pPr>
        <w:ind w:left="5468" w:hanging="360"/>
      </w:pPr>
    </w:lvl>
    <w:lvl w:ilvl="8" w:tplc="0C0C001B" w:tentative="1">
      <w:start w:val="1"/>
      <w:numFmt w:val="lowerRoman"/>
      <w:lvlText w:val="%9."/>
      <w:lvlJc w:val="right"/>
      <w:pPr>
        <w:ind w:left="6188" w:hanging="180"/>
      </w:pPr>
    </w:lvl>
  </w:abstractNum>
  <w:abstractNum w:abstractNumId="2" w15:restartNumberingAfterBreak="0">
    <w:nsid w:val="057206DD"/>
    <w:multiLevelType w:val="hybridMultilevel"/>
    <w:tmpl w:val="EB967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3E0FFA"/>
    <w:multiLevelType w:val="multilevel"/>
    <w:tmpl w:val="1972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B3228"/>
    <w:multiLevelType w:val="hybridMultilevel"/>
    <w:tmpl w:val="8DAEED9C"/>
    <w:lvl w:ilvl="0" w:tplc="29DAFC10">
      <w:start w:val="1"/>
      <w:numFmt w:val="lowerLetter"/>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DF1EC8"/>
    <w:multiLevelType w:val="hybridMultilevel"/>
    <w:tmpl w:val="1848DFFE"/>
    <w:lvl w:ilvl="0" w:tplc="8EFCE4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E76E8B"/>
    <w:multiLevelType w:val="hybridMultilevel"/>
    <w:tmpl w:val="5372C502"/>
    <w:lvl w:ilvl="0" w:tplc="10090001">
      <w:start w:val="1"/>
      <w:numFmt w:val="bullet"/>
      <w:lvlText w:val=""/>
      <w:lvlJc w:val="left"/>
      <w:pPr>
        <w:ind w:left="428" w:hanging="360"/>
      </w:pPr>
      <w:rPr>
        <w:rFonts w:ascii="Symbol" w:hAnsi="Symbol" w:hint="default"/>
      </w:rPr>
    </w:lvl>
    <w:lvl w:ilvl="1" w:tplc="90F0CC18">
      <w:numFmt w:val="bullet"/>
      <w:lvlText w:val="•"/>
      <w:lvlJc w:val="left"/>
      <w:pPr>
        <w:ind w:left="1148" w:hanging="360"/>
      </w:pPr>
      <w:rPr>
        <w:rFonts w:ascii="Calibri" w:eastAsiaTheme="minorEastAsia" w:hAnsi="Calibri" w:cstheme="minorBidi" w:hint="default"/>
      </w:rPr>
    </w:lvl>
    <w:lvl w:ilvl="2" w:tplc="D3DE76AE">
      <w:start w:val="1"/>
      <w:numFmt w:val="decimal"/>
      <w:lvlText w:val="%3."/>
      <w:lvlJc w:val="left"/>
      <w:pPr>
        <w:ind w:left="2048" w:hanging="360"/>
      </w:pPr>
      <w:rPr>
        <w:rFonts w:hint="default"/>
      </w:rPr>
    </w:lvl>
    <w:lvl w:ilvl="3" w:tplc="0C0C000F" w:tentative="1">
      <w:start w:val="1"/>
      <w:numFmt w:val="decimal"/>
      <w:lvlText w:val="%4."/>
      <w:lvlJc w:val="left"/>
      <w:pPr>
        <w:ind w:left="2588" w:hanging="360"/>
      </w:pPr>
    </w:lvl>
    <w:lvl w:ilvl="4" w:tplc="0C0C0019" w:tentative="1">
      <w:start w:val="1"/>
      <w:numFmt w:val="lowerLetter"/>
      <w:lvlText w:val="%5."/>
      <w:lvlJc w:val="left"/>
      <w:pPr>
        <w:ind w:left="3308" w:hanging="360"/>
      </w:pPr>
    </w:lvl>
    <w:lvl w:ilvl="5" w:tplc="0C0C001B" w:tentative="1">
      <w:start w:val="1"/>
      <w:numFmt w:val="lowerRoman"/>
      <w:lvlText w:val="%6."/>
      <w:lvlJc w:val="right"/>
      <w:pPr>
        <w:ind w:left="4028" w:hanging="180"/>
      </w:pPr>
    </w:lvl>
    <w:lvl w:ilvl="6" w:tplc="0C0C000F" w:tentative="1">
      <w:start w:val="1"/>
      <w:numFmt w:val="decimal"/>
      <w:lvlText w:val="%7."/>
      <w:lvlJc w:val="left"/>
      <w:pPr>
        <w:ind w:left="4748" w:hanging="360"/>
      </w:pPr>
    </w:lvl>
    <w:lvl w:ilvl="7" w:tplc="0C0C0019" w:tentative="1">
      <w:start w:val="1"/>
      <w:numFmt w:val="lowerLetter"/>
      <w:lvlText w:val="%8."/>
      <w:lvlJc w:val="left"/>
      <w:pPr>
        <w:ind w:left="5468" w:hanging="360"/>
      </w:pPr>
    </w:lvl>
    <w:lvl w:ilvl="8" w:tplc="0C0C001B" w:tentative="1">
      <w:start w:val="1"/>
      <w:numFmt w:val="lowerRoman"/>
      <w:lvlText w:val="%9."/>
      <w:lvlJc w:val="right"/>
      <w:pPr>
        <w:ind w:left="6188" w:hanging="180"/>
      </w:pPr>
    </w:lvl>
  </w:abstractNum>
  <w:abstractNum w:abstractNumId="7" w15:restartNumberingAfterBreak="0">
    <w:nsid w:val="172C162B"/>
    <w:multiLevelType w:val="hybridMultilevel"/>
    <w:tmpl w:val="566A7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534C6"/>
    <w:multiLevelType w:val="hybridMultilevel"/>
    <w:tmpl w:val="174C4682"/>
    <w:lvl w:ilvl="0" w:tplc="5A74792C">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9" w15:restartNumberingAfterBreak="0">
    <w:nsid w:val="1E5A2956"/>
    <w:multiLevelType w:val="multilevel"/>
    <w:tmpl w:val="09A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076E7"/>
    <w:multiLevelType w:val="hybridMultilevel"/>
    <w:tmpl w:val="79BC9DEE"/>
    <w:lvl w:ilvl="0" w:tplc="10090001">
      <w:start w:val="1"/>
      <w:numFmt w:val="bullet"/>
      <w:lvlText w:val=""/>
      <w:lvlJc w:val="left"/>
      <w:pPr>
        <w:ind w:left="428" w:hanging="360"/>
      </w:pPr>
      <w:rPr>
        <w:rFonts w:ascii="Symbol" w:hAnsi="Symbol" w:hint="default"/>
      </w:rPr>
    </w:lvl>
    <w:lvl w:ilvl="1" w:tplc="90F0CC18">
      <w:numFmt w:val="bullet"/>
      <w:lvlText w:val="•"/>
      <w:lvlJc w:val="left"/>
      <w:pPr>
        <w:ind w:left="1148" w:hanging="360"/>
      </w:pPr>
      <w:rPr>
        <w:rFonts w:ascii="Calibri" w:eastAsiaTheme="minorEastAsia" w:hAnsi="Calibri" w:cstheme="minorBidi" w:hint="default"/>
      </w:rPr>
    </w:lvl>
    <w:lvl w:ilvl="2" w:tplc="D3DE76AE">
      <w:start w:val="1"/>
      <w:numFmt w:val="decimal"/>
      <w:lvlText w:val="%3."/>
      <w:lvlJc w:val="left"/>
      <w:pPr>
        <w:ind w:left="2048" w:hanging="360"/>
      </w:pPr>
      <w:rPr>
        <w:rFonts w:hint="default"/>
      </w:rPr>
    </w:lvl>
    <w:lvl w:ilvl="3" w:tplc="0C0C000F" w:tentative="1">
      <w:start w:val="1"/>
      <w:numFmt w:val="decimal"/>
      <w:lvlText w:val="%4."/>
      <w:lvlJc w:val="left"/>
      <w:pPr>
        <w:ind w:left="2588" w:hanging="360"/>
      </w:pPr>
    </w:lvl>
    <w:lvl w:ilvl="4" w:tplc="0C0C0019" w:tentative="1">
      <w:start w:val="1"/>
      <w:numFmt w:val="lowerLetter"/>
      <w:lvlText w:val="%5."/>
      <w:lvlJc w:val="left"/>
      <w:pPr>
        <w:ind w:left="3308" w:hanging="360"/>
      </w:pPr>
    </w:lvl>
    <w:lvl w:ilvl="5" w:tplc="0C0C001B" w:tentative="1">
      <w:start w:val="1"/>
      <w:numFmt w:val="lowerRoman"/>
      <w:lvlText w:val="%6."/>
      <w:lvlJc w:val="right"/>
      <w:pPr>
        <w:ind w:left="4028" w:hanging="180"/>
      </w:pPr>
    </w:lvl>
    <w:lvl w:ilvl="6" w:tplc="0C0C000F" w:tentative="1">
      <w:start w:val="1"/>
      <w:numFmt w:val="decimal"/>
      <w:lvlText w:val="%7."/>
      <w:lvlJc w:val="left"/>
      <w:pPr>
        <w:ind w:left="4748" w:hanging="360"/>
      </w:pPr>
    </w:lvl>
    <w:lvl w:ilvl="7" w:tplc="0C0C0019" w:tentative="1">
      <w:start w:val="1"/>
      <w:numFmt w:val="lowerLetter"/>
      <w:lvlText w:val="%8."/>
      <w:lvlJc w:val="left"/>
      <w:pPr>
        <w:ind w:left="5468" w:hanging="360"/>
      </w:pPr>
    </w:lvl>
    <w:lvl w:ilvl="8" w:tplc="0C0C001B" w:tentative="1">
      <w:start w:val="1"/>
      <w:numFmt w:val="lowerRoman"/>
      <w:lvlText w:val="%9."/>
      <w:lvlJc w:val="right"/>
      <w:pPr>
        <w:ind w:left="6188" w:hanging="180"/>
      </w:pPr>
    </w:lvl>
  </w:abstractNum>
  <w:abstractNum w:abstractNumId="11" w15:restartNumberingAfterBreak="0">
    <w:nsid w:val="249A4F22"/>
    <w:multiLevelType w:val="hybridMultilevel"/>
    <w:tmpl w:val="FB6E6586"/>
    <w:lvl w:ilvl="0" w:tplc="66C0412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B52B44"/>
    <w:multiLevelType w:val="hybridMultilevel"/>
    <w:tmpl w:val="8FE84962"/>
    <w:lvl w:ilvl="0" w:tplc="10090001">
      <w:start w:val="1"/>
      <w:numFmt w:val="bullet"/>
      <w:lvlText w:val=""/>
      <w:lvlJc w:val="left"/>
      <w:pPr>
        <w:ind w:left="720" w:hanging="360"/>
      </w:pPr>
      <w:rPr>
        <w:rFonts w:ascii="Symbol" w:hAnsi="Symbol" w:hint="default"/>
      </w:rPr>
    </w:lvl>
    <w:lvl w:ilvl="1" w:tplc="81F63508">
      <w:start w:val="8"/>
      <w:numFmt w:val="bullet"/>
      <w:lvlText w:val="•"/>
      <w:lvlJc w:val="left"/>
      <w:pPr>
        <w:ind w:left="1440" w:hanging="360"/>
      </w:pPr>
      <w:rPr>
        <w:rFonts w:ascii="Calibri" w:eastAsiaTheme="minorHAnsi"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C50E1D"/>
    <w:multiLevelType w:val="hybridMultilevel"/>
    <w:tmpl w:val="50E84D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9044B2"/>
    <w:multiLevelType w:val="hybridMultilevel"/>
    <w:tmpl w:val="73108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5F02C2"/>
    <w:multiLevelType w:val="hybridMultilevel"/>
    <w:tmpl w:val="1AE89258"/>
    <w:lvl w:ilvl="0" w:tplc="719A8E9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D9F4713"/>
    <w:multiLevelType w:val="hybridMultilevel"/>
    <w:tmpl w:val="DA16F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9502E5"/>
    <w:multiLevelType w:val="hybridMultilevel"/>
    <w:tmpl w:val="8696C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04615E"/>
    <w:multiLevelType w:val="hybridMultilevel"/>
    <w:tmpl w:val="26503934"/>
    <w:lvl w:ilvl="0" w:tplc="10090001">
      <w:start w:val="1"/>
      <w:numFmt w:val="bullet"/>
      <w:lvlText w:val=""/>
      <w:lvlJc w:val="left"/>
      <w:pPr>
        <w:ind w:left="428" w:hanging="360"/>
      </w:pPr>
      <w:rPr>
        <w:rFonts w:ascii="Symbol" w:hAnsi="Symbol" w:hint="default"/>
      </w:rPr>
    </w:lvl>
    <w:lvl w:ilvl="1" w:tplc="90F0CC18">
      <w:numFmt w:val="bullet"/>
      <w:lvlText w:val="•"/>
      <w:lvlJc w:val="left"/>
      <w:pPr>
        <w:ind w:left="1148" w:hanging="360"/>
      </w:pPr>
      <w:rPr>
        <w:rFonts w:ascii="Calibri" w:eastAsiaTheme="minorEastAsia" w:hAnsi="Calibri" w:cstheme="minorBidi" w:hint="default"/>
      </w:rPr>
    </w:lvl>
    <w:lvl w:ilvl="2" w:tplc="D3DE76AE">
      <w:start w:val="1"/>
      <w:numFmt w:val="decimal"/>
      <w:lvlText w:val="%3."/>
      <w:lvlJc w:val="left"/>
      <w:pPr>
        <w:ind w:left="2048" w:hanging="360"/>
      </w:pPr>
      <w:rPr>
        <w:rFonts w:hint="default"/>
      </w:rPr>
    </w:lvl>
    <w:lvl w:ilvl="3" w:tplc="0C0C000F" w:tentative="1">
      <w:start w:val="1"/>
      <w:numFmt w:val="decimal"/>
      <w:lvlText w:val="%4."/>
      <w:lvlJc w:val="left"/>
      <w:pPr>
        <w:ind w:left="2588" w:hanging="360"/>
      </w:pPr>
    </w:lvl>
    <w:lvl w:ilvl="4" w:tplc="0C0C0019" w:tentative="1">
      <w:start w:val="1"/>
      <w:numFmt w:val="lowerLetter"/>
      <w:lvlText w:val="%5."/>
      <w:lvlJc w:val="left"/>
      <w:pPr>
        <w:ind w:left="3308" w:hanging="360"/>
      </w:pPr>
    </w:lvl>
    <w:lvl w:ilvl="5" w:tplc="0C0C001B" w:tentative="1">
      <w:start w:val="1"/>
      <w:numFmt w:val="lowerRoman"/>
      <w:lvlText w:val="%6."/>
      <w:lvlJc w:val="right"/>
      <w:pPr>
        <w:ind w:left="4028" w:hanging="180"/>
      </w:pPr>
    </w:lvl>
    <w:lvl w:ilvl="6" w:tplc="0C0C000F" w:tentative="1">
      <w:start w:val="1"/>
      <w:numFmt w:val="decimal"/>
      <w:lvlText w:val="%7."/>
      <w:lvlJc w:val="left"/>
      <w:pPr>
        <w:ind w:left="4748" w:hanging="360"/>
      </w:pPr>
    </w:lvl>
    <w:lvl w:ilvl="7" w:tplc="0C0C0019" w:tentative="1">
      <w:start w:val="1"/>
      <w:numFmt w:val="lowerLetter"/>
      <w:lvlText w:val="%8."/>
      <w:lvlJc w:val="left"/>
      <w:pPr>
        <w:ind w:left="5468" w:hanging="360"/>
      </w:pPr>
    </w:lvl>
    <w:lvl w:ilvl="8" w:tplc="0C0C001B" w:tentative="1">
      <w:start w:val="1"/>
      <w:numFmt w:val="lowerRoman"/>
      <w:lvlText w:val="%9."/>
      <w:lvlJc w:val="right"/>
      <w:pPr>
        <w:ind w:left="6188" w:hanging="180"/>
      </w:pPr>
    </w:lvl>
  </w:abstractNum>
  <w:abstractNum w:abstractNumId="19" w15:restartNumberingAfterBreak="0">
    <w:nsid w:val="4927306C"/>
    <w:multiLevelType w:val="hybridMultilevel"/>
    <w:tmpl w:val="2FF8C72A"/>
    <w:lvl w:ilvl="0" w:tplc="F0DA7CD4">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4D3A696B"/>
    <w:multiLevelType w:val="hybridMultilevel"/>
    <w:tmpl w:val="D2BE493C"/>
    <w:lvl w:ilvl="0" w:tplc="F0DA7CD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25D0439"/>
    <w:multiLevelType w:val="hybridMultilevel"/>
    <w:tmpl w:val="64DE0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B22DC3"/>
    <w:multiLevelType w:val="multilevel"/>
    <w:tmpl w:val="09A67610"/>
    <w:lvl w:ilvl="0">
      <w:start w:val="1"/>
      <w:numFmt w:val="bullet"/>
      <w:lvlText w:val=""/>
      <w:lvlJc w:val="left"/>
      <w:pPr>
        <w:tabs>
          <w:tab w:val="num" w:pos="720"/>
        </w:tabs>
        <w:ind w:left="720" w:hanging="360"/>
      </w:pPr>
      <w:rPr>
        <w:rFonts w:ascii="Symbol" w:hAnsi="Symbol" w:hint="default"/>
        <w:sz w:val="20"/>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12ABC"/>
    <w:multiLevelType w:val="hybridMultilevel"/>
    <w:tmpl w:val="516AB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9484D45"/>
    <w:multiLevelType w:val="hybridMultilevel"/>
    <w:tmpl w:val="080AB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1450A6"/>
    <w:multiLevelType w:val="hybridMultilevel"/>
    <w:tmpl w:val="27F2B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3183328"/>
    <w:multiLevelType w:val="hybridMultilevel"/>
    <w:tmpl w:val="848A4030"/>
    <w:lvl w:ilvl="0" w:tplc="10090001">
      <w:start w:val="1"/>
      <w:numFmt w:val="bullet"/>
      <w:lvlText w:val=""/>
      <w:lvlJc w:val="left"/>
      <w:pPr>
        <w:ind w:left="428" w:hanging="360"/>
      </w:pPr>
      <w:rPr>
        <w:rFonts w:ascii="Symbol" w:hAnsi="Symbol" w:hint="default"/>
      </w:rPr>
    </w:lvl>
    <w:lvl w:ilvl="1" w:tplc="90F0CC18">
      <w:numFmt w:val="bullet"/>
      <w:lvlText w:val="•"/>
      <w:lvlJc w:val="left"/>
      <w:pPr>
        <w:ind w:left="1148" w:hanging="360"/>
      </w:pPr>
      <w:rPr>
        <w:rFonts w:ascii="Calibri" w:eastAsiaTheme="minorEastAsia" w:hAnsi="Calibri" w:cstheme="minorBidi" w:hint="default"/>
      </w:rPr>
    </w:lvl>
    <w:lvl w:ilvl="2" w:tplc="D3DE76AE">
      <w:start w:val="1"/>
      <w:numFmt w:val="decimal"/>
      <w:lvlText w:val="%3."/>
      <w:lvlJc w:val="left"/>
      <w:pPr>
        <w:ind w:left="2048" w:hanging="360"/>
      </w:pPr>
      <w:rPr>
        <w:rFonts w:hint="default"/>
      </w:rPr>
    </w:lvl>
    <w:lvl w:ilvl="3" w:tplc="0C0C000F" w:tentative="1">
      <w:start w:val="1"/>
      <w:numFmt w:val="decimal"/>
      <w:lvlText w:val="%4."/>
      <w:lvlJc w:val="left"/>
      <w:pPr>
        <w:ind w:left="2588" w:hanging="360"/>
      </w:pPr>
    </w:lvl>
    <w:lvl w:ilvl="4" w:tplc="0C0C0019" w:tentative="1">
      <w:start w:val="1"/>
      <w:numFmt w:val="lowerLetter"/>
      <w:lvlText w:val="%5."/>
      <w:lvlJc w:val="left"/>
      <w:pPr>
        <w:ind w:left="3308" w:hanging="360"/>
      </w:pPr>
    </w:lvl>
    <w:lvl w:ilvl="5" w:tplc="0C0C001B" w:tentative="1">
      <w:start w:val="1"/>
      <w:numFmt w:val="lowerRoman"/>
      <w:lvlText w:val="%6."/>
      <w:lvlJc w:val="right"/>
      <w:pPr>
        <w:ind w:left="4028" w:hanging="180"/>
      </w:pPr>
    </w:lvl>
    <w:lvl w:ilvl="6" w:tplc="0C0C000F" w:tentative="1">
      <w:start w:val="1"/>
      <w:numFmt w:val="decimal"/>
      <w:lvlText w:val="%7."/>
      <w:lvlJc w:val="left"/>
      <w:pPr>
        <w:ind w:left="4748" w:hanging="360"/>
      </w:pPr>
    </w:lvl>
    <w:lvl w:ilvl="7" w:tplc="0C0C0019" w:tentative="1">
      <w:start w:val="1"/>
      <w:numFmt w:val="lowerLetter"/>
      <w:lvlText w:val="%8."/>
      <w:lvlJc w:val="left"/>
      <w:pPr>
        <w:ind w:left="5468" w:hanging="360"/>
      </w:pPr>
    </w:lvl>
    <w:lvl w:ilvl="8" w:tplc="0C0C001B" w:tentative="1">
      <w:start w:val="1"/>
      <w:numFmt w:val="lowerRoman"/>
      <w:lvlText w:val="%9."/>
      <w:lvlJc w:val="right"/>
      <w:pPr>
        <w:ind w:left="6188" w:hanging="180"/>
      </w:pPr>
    </w:lvl>
  </w:abstractNum>
  <w:abstractNum w:abstractNumId="27" w15:restartNumberingAfterBreak="0">
    <w:nsid w:val="790D4484"/>
    <w:multiLevelType w:val="hybridMultilevel"/>
    <w:tmpl w:val="C5C23E0C"/>
    <w:lvl w:ilvl="0" w:tplc="16FC0464">
      <w:start w:val="4"/>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92F4ACB"/>
    <w:multiLevelType w:val="hybridMultilevel"/>
    <w:tmpl w:val="47B434D8"/>
    <w:lvl w:ilvl="0" w:tplc="4204F594">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9100A1"/>
    <w:multiLevelType w:val="hybridMultilevel"/>
    <w:tmpl w:val="2278C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8"/>
  </w:num>
  <w:num w:numId="6">
    <w:abstractNumId w:val="16"/>
  </w:num>
  <w:num w:numId="7">
    <w:abstractNumId w:val="14"/>
  </w:num>
  <w:num w:numId="8">
    <w:abstractNumId w:val="5"/>
  </w:num>
  <w:num w:numId="9">
    <w:abstractNumId w:val="25"/>
  </w:num>
  <w:num w:numId="10">
    <w:abstractNumId w:val="28"/>
  </w:num>
  <w:num w:numId="11">
    <w:abstractNumId w:val="1"/>
  </w:num>
  <w:num w:numId="12">
    <w:abstractNumId w:val="19"/>
  </w:num>
  <w:num w:numId="13">
    <w:abstractNumId w:val="29"/>
  </w:num>
  <w:num w:numId="14">
    <w:abstractNumId w:val="23"/>
  </w:num>
  <w:num w:numId="15">
    <w:abstractNumId w:val="27"/>
  </w:num>
  <w:num w:numId="16">
    <w:abstractNumId w:val="4"/>
  </w:num>
  <w:num w:numId="17">
    <w:abstractNumId w:val="11"/>
  </w:num>
  <w:num w:numId="18">
    <w:abstractNumId w:val="20"/>
  </w:num>
  <w:num w:numId="19">
    <w:abstractNumId w:val="21"/>
  </w:num>
  <w:num w:numId="20">
    <w:abstractNumId w:val="0"/>
  </w:num>
  <w:num w:numId="21">
    <w:abstractNumId w:val="17"/>
  </w:num>
  <w:num w:numId="22">
    <w:abstractNumId w:val="18"/>
  </w:num>
  <w:num w:numId="23">
    <w:abstractNumId w:val="26"/>
  </w:num>
  <w:num w:numId="24">
    <w:abstractNumId w:val="2"/>
  </w:num>
  <w:num w:numId="25">
    <w:abstractNumId w:val="10"/>
  </w:num>
  <w:num w:numId="26">
    <w:abstractNumId w:val="7"/>
  </w:num>
  <w:num w:numId="27">
    <w:abstractNumId w:val="6"/>
  </w:num>
  <w:num w:numId="28">
    <w:abstractNumId w:val="3"/>
  </w:num>
  <w:num w:numId="29">
    <w:abstractNumId w:val="9"/>
  </w:num>
  <w:num w:numId="3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DB"/>
    <w:rsid w:val="00010B70"/>
    <w:rsid w:val="000121F0"/>
    <w:rsid w:val="00014ECD"/>
    <w:rsid w:val="000169CE"/>
    <w:rsid w:val="00021AB4"/>
    <w:rsid w:val="000448CD"/>
    <w:rsid w:val="00045E82"/>
    <w:rsid w:val="000549EB"/>
    <w:rsid w:val="00060F14"/>
    <w:rsid w:val="00065AD3"/>
    <w:rsid w:val="00066055"/>
    <w:rsid w:val="00066E58"/>
    <w:rsid w:val="00071486"/>
    <w:rsid w:val="00071839"/>
    <w:rsid w:val="000737DF"/>
    <w:rsid w:val="00075140"/>
    <w:rsid w:val="000827A0"/>
    <w:rsid w:val="00085714"/>
    <w:rsid w:val="0008683D"/>
    <w:rsid w:val="00091404"/>
    <w:rsid w:val="00097425"/>
    <w:rsid w:val="000A4D55"/>
    <w:rsid w:val="000B0887"/>
    <w:rsid w:val="000B20C4"/>
    <w:rsid w:val="000C6CBD"/>
    <w:rsid w:val="000C792D"/>
    <w:rsid w:val="000D45D9"/>
    <w:rsid w:val="000F1D08"/>
    <w:rsid w:val="00106666"/>
    <w:rsid w:val="0011396D"/>
    <w:rsid w:val="001163AE"/>
    <w:rsid w:val="00117A16"/>
    <w:rsid w:val="0012506B"/>
    <w:rsid w:val="001355CA"/>
    <w:rsid w:val="001358B2"/>
    <w:rsid w:val="00143FC8"/>
    <w:rsid w:val="0015263E"/>
    <w:rsid w:val="001609F0"/>
    <w:rsid w:val="00163397"/>
    <w:rsid w:val="0016503F"/>
    <w:rsid w:val="00173FC9"/>
    <w:rsid w:val="001835AE"/>
    <w:rsid w:val="00194601"/>
    <w:rsid w:val="001A145C"/>
    <w:rsid w:val="001A6A07"/>
    <w:rsid w:val="001B02A0"/>
    <w:rsid w:val="001B0921"/>
    <w:rsid w:val="001B5F08"/>
    <w:rsid w:val="001B6F31"/>
    <w:rsid w:val="001D021D"/>
    <w:rsid w:val="001F176B"/>
    <w:rsid w:val="001F3A59"/>
    <w:rsid w:val="00200B49"/>
    <w:rsid w:val="0020551E"/>
    <w:rsid w:val="0021293A"/>
    <w:rsid w:val="00212FE4"/>
    <w:rsid w:val="0021763E"/>
    <w:rsid w:val="00227BF2"/>
    <w:rsid w:val="00230056"/>
    <w:rsid w:val="002327E0"/>
    <w:rsid w:val="00245793"/>
    <w:rsid w:val="00247B26"/>
    <w:rsid w:val="00250B99"/>
    <w:rsid w:val="00263888"/>
    <w:rsid w:val="0027031A"/>
    <w:rsid w:val="00283C41"/>
    <w:rsid w:val="00284140"/>
    <w:rsid w:val="00284297"/>
    <w:rsid w:val="00294C91"/>
    <w:rsid w:val="00297607"/>
    <w:rsid w:val="002A1ED4"/>
    <w:rsid w:val="002B3B47"/>
    <w:rsid w:val="002C1A9A"/>
    <w:rsid w:val="002F2987"/>
    <w:rsid w:val="00305688"/>
    <w:rsid w:val="00307978"/>
    <w:rsid w:val="00313A13"/>
    <w:rsid w:val="0031440F"/>
    <w:rsid w:val="0032537C"/>
    <w:rsid w:val="0033231A"/>
    <w:rsid w:val="00334491"/>
    <w:rsid w:val="00335FDD"/>
    <w:rsid w:val="00337F67"/>
    <w:rsid w:val="00341D02"/>
    <w:rsid w:val="003449F5"/>
    <w:rsid w:val="00344A04"/>
    <w:rsid w:val="00345947"/>
    <w:rsid w:val="003542AC"/>
    <w:rsid w:val="003631F3"/>
    <w:rsid w:val="00363CD3"/>
    <w:rsid w:val="00366DFA"/>
    <w:rsid w:val="00372566"/>
    <w:rsid w:val="00392170"/>
    <w:rsid w:val="00393362"/>
    <w:rsid w:val="003961C8"/>
    <w:rsid w:val="003B2C99"/>
    <w:rsid w:val="003C585E"/>
    <w:rsid w:val="003D17AD"/>
    <w:rsid w:val="003D4E77"/>
    <w:rsid w:val="003E525B"/>
    <w:rsid w:val="004049BF"/>
    <w:rsid w:val="004201DD"/>
    <w:rsid w:val="004324D5"/>
    <w:rsid w:val="004325AC"/>
    <w:rsid w:val="00434573"/>
    <w:rsid w:val="004432C6"/>
    <w:rsid w:val="00445C1F"/>
    <w:rsid w:val="00447E45"/>
    <w:rsid w:val="00452CC5"/>
    <w:rsid w:val="004618B7"/>
    <w:rsid w:val="00463A3A"/>
    <w:rsid w:val="00465594"/>
    <w:rsid w:val="00471656"/>
    <w:rsid w:val="00471976"/>
    <w:rsid w:val="0047280C"/>
    <w:rsid w:val="004760BD"/>
    <w:rsid w:val="00484C11"/>
    <w:rsid w:val="00487039"/>
    <w:rsid w:val="00491149"/>
    <w:rsid w:val="004A63AF"/>
    <w:rsid w:val="004B0FFA"/>
    <w:rsid w:val="004B459A"/>
    <w:rsid w:val="004B6080"/>
    <w:rsid w:val="004C04DF"/>
    <w:rsid w:val="004E02DC"/>
    <w:rsid w:val="004F6F48"/>
    <w:rsid w:val="004F788F"/>
    <w:rsid w:val="00505F62"/>
    <w:rsid w:val="00510649"/>
    <w:rsid w:val="00510B1F"/>
    <w:rsid w:val="00511298"/>
    <w:rsid w:val="005155BF"/>
    <w:rsid w:val="005248F0"/>
    <w:rsid w:val="00533ABF"/>
    <w:rsid w:val="00536C23"/>
    <w:rsid w:val="00550DCD"/>
    <w:rsid w:val="00551DE7"/>
    <w:rsid w:val="00553609"/>
    <w:rsid w:val="00554422"/>
    <w:rsid w:val="00563AC2"/>
    <w:rsid w:val="0056735A"/>
    <w:rsid w:val="00582CBD"/>
    <w:rsid w:val="0058410A"/>
    <w:rsid w:val="005A0750"/>
    <w:rsid w:val="005A075B"/>
    <w:rsid w:val="005A697D"/>
    <w:rsid w:val="005B7B94"/>
    <w:rsid w:val="005C5119"/>
    <w:rsid w:val="005C5C91"/>
    <w:rsid w:val="005C6EC6"/>
    <w:rsid w:val="005D0CA6"/>
    <w:rsid w:val="005E3467"/>
    <w:rsid w:val="005E7DE7"/>
    <w:rsid w:val="005F5930"/>
    <w:rsid w:val="005F737F"/>
    <w:rsid w:val="005F73DF"/>
    <w:rsid w:val="0060000A"/>
    <w:rsid w:val="006036BA"/>
    <w:rsid w:val="006220F2"/>
    <w:rsid w:val="006238DD"/>
    <w:rsid w:val="00623AE2"/>
    <w:rsid w:val="00646A92"/>
    <w:rsid w:val="00647177"/>
    <w:rsid w:val="00676DA9"/>
    <w:rsid w:val="00684008"/>
    <w:rsid w:val="00686F90"/>
    <w:rsid w:val="006B3BFE"/>
    <w:rsid w:val="006C222C"/>
    <w:rsid w:val="006D3D96"/>
    <w:rsid w:val="006D46DB"/>
    <w:rsid w:val="006D5F32"/>
    <w:rsid w:val="006F2B7F"/>
    <w:rsid w:val="006F465D"/>
    <w:rsid w:val="006F6217"/>
    <w:rsid w:val="00701AB4"/>
    <w:rsid w:val="00705FA9"/>
    <w:rsid w:val="00710B75"/>
    <w:rsid w:val="007143FE"/>
    <w:rsid w:val="00714CE2"/>
    <w:rsid w:val="00716C65"/>
    <w:rsid w:val="00721161"/>
    <w:rsid w:val="00722CD1"/>
    <w:rsid w:val="00736C07"/>
    <w:rsid w:val="00740434"/>
    <w:rsid w:val="00747637"/>
    <w:rsid w:val="00747B9D"/>
    <w:rsid w:val="00762971"/>
    <w:rsid w:val="007759D0"/>
    <w:rsid w:val="0078348F"/>
    <w:rsid w:val="007A2525"/>
    <w:rsid w:val="007A4A81"/>
    <w:rsid w:val="007A66AE"/>
    <w:rsid w:val="007A66BB"/>
    <w:rsid w:val="007A6A27"/>
    <w:rsid w:val="007C50D3"/>
    <w:rsid w:val="007C5FE8"/>
    <w:rsid w:val="007D5921"/>
    <w:rsid w:val="007E0126"/>
    <w:rsid w:val="007F57DC"/>
    <w:rsid w:val="007F5BCB"/>
    <w:rsid w:val="007F7BFF"/>
    <w:rsid w:val="008047E4"/>
    <w:rsid w:val="00810959"/>
    <w:rsid w:val="008162B3"/>
    <w:rsid w:val="00827B7D"/>
    <w:rsid w:val="00832E13"/>
    <w:rsid w:val="00834808"/>
    <w:rsid w:val="00842531"/>
    <w:rsid w:val="00844C18"/>
    <w:rsid w:val="00847DE7"/>
    <w:rsid w:val="0085405F"/>
    <w:rsid w:val="008704CD"/>
    <w:rsid w:val="00873A22"/>
    <w:rsid w:val="00875AD0"/>
    <w:rsid w:val="00877838"/>
    <w:rsid w:val="00892AC1"/>
    <w:rsid w:val="008A41EE"/>
    <w:rsid w:val="008A5A03"/>
    <w:rsid w:val="008A6A18"/>
    <w:rsid w:val="008A7B76"/>
    <w:rsid w:val="008B71EB"/>
    <w:rsid w:val="008D166E"/>
    <w:rsid w:val="008D7360"/>
    <w:rsid w:val="008E3A4F"/>
    <w:rsid w:val="008E611C"/>
    <w:rsid w:val="008E6A88"/>
    <w:rsid w:val="00911D9A"/>
    <w:rsid w:val="00922CEA"/>
    <w:rsid w:val="00930043"/>
    <w:rsid w:val="00934020"/>
    <w:rsid w:val="00937A72"/>
    <w:rsid w:val="00950D73"/>
    <w:rsid w:val="00956E94"/>
    <w:rsid w:val="00960ACE"/>
    <w:rsid w:val="00970AE3"/>
    <w:rsid w:val="00981918"/>
    <w:rsid w:val="00985924"/>
    <w:rsid w:val="00990B3B"/>
    <w:rsid w:val="0099347A"/>
    <w:rsid w:val="009A79FE"/>
    <w:rsid w:val="009B31B1"/>
    <w:rsid w:val="009D2354"/>
    <w:rsid w:val="009E079A"/>
    <w:rsid w:val="009E2147"/>
    <w:rsid w:val="009F28A3"/>
    <w:rsid w:val="00A0100F"/>
    <w:rsid w:val="00A04241"/>
    <w:rsid w:val="00A07B78"/>
    <w:rsid w:val="00A07DA0"/>
    <w:rsid w:val="00A2510C"/>
    <w:rsid w:val="00A27F45"/>
    <w:rsid w:val="00A35130"/>
    <w:rsid w:val="00A401DF"/>
    <w:rsid w:val="00A4382D"/>
    <w:rsid w:val="00A521BA"/>
    <w:rsid w:val="00A531F4"/>
    <w:rsid w:val="00A5514C"/>
    <w:rsid w:val="00A63E5B"/>
    <w:rsid w:val="00A65043"/>
    <w:rsid w:val="00A67BEE"/>
    <w:rsid w:val="00A71F95"/>
    <w:rsid w:val="00A72A87"/>
    <w:rsid w:val="00A7768C"/>
    <w:rsid w:val="00A77BB0"/>
    <w:rsid w:val="00A77ED2"/>
    <w:rsid w:val="00A82DF4"/>
    <w:rsid w:val="00A86618"/>
    <w:rsid w:val="00A86BCC"/>
    <w:rsid w:val="00A936A2"/>
    <w:rsid w:val="00AA2577"/>
    <w:rsid w:val="00AA5F38"/>
    <w:rsid w:val="00AA705A"/>
    <w:rsid w:val="00AA72DB"/>
    <w:rsid w:val="00AB781C"/>
    <w:rsid w:val="00AC0D2A"/>
    <w:rsid w:val="00AC292E"/>
    <w:rsid w:val="00AE31B0"/>
    <w:rsid w:val="00AE59E9"/>
    <w:rsid w:val="00AF07EE"/>
    <w:rsid w:val="00AF3408"/>
    <w:rsid w:val="00AF5125"/>
    <w:rsid w:val="00B02BE3"/>
    <w:rsid w:val="00B1417A"/>
    <w:rsid w:val="00B14E80"/>
    <w:rsid w:val="00B16B2D"/>
    <w:rsid w:val="00B26DAA"/>
    <w:rsid w:val="00B40309"/>
    <w:rsid w:val="00B41BB3"/>
    <w:rsid w:val="00B43AA1"/>
    <w:rsid w:val="00B52533"/>
    <w:rsid w:val="00B552A6"/>
    <w:rsid w:val="00B56027"/>
    <w:rsid w:val="00B60988"/>
    <w:rsid w:val="00B622DC"/>
    <w:rsid w:val="00B65CC4"/>
    <w:rsid w:val="00B67A7A"/>
    <w:rsid w:val="00B81720"/>
    <w:rsid w:val="00B90327"/>
    <w:rsid w:val="00B93F17"/>
    <w:rsid w:val="00B95C4B"/>
    <w:rsid w:val="00B9665A"/>
    <w:rsid w:val="00BA470F"/>
    <w:rsid w:val="00BB0AC2"/>
    <w:rsid w:val="00BB63EF"/>
    <w:rsid w:val="00BC27BE"/>
    <w:rsid w:val="00BC6CB0"/>
    <w:rsid w:val="00BC7FA8"/>
    <w:rsid w:val="00BE0302"/>
    <w:rsid w:val="00BE584D"/>
    <w:rsid w:val="00BF32AD"/>
    <w:rsid w:val="00C04F58"/>
    <w:rsid w:val="00C11599"/>
    <w:rsid w:val="00C16A31"/>
    <w:rsid w:val="00C21D5F"/>
    <w:rsid w:val="00C2394E"/>
    <w:rsid w:val="00C2586F"/>
    <w:rsid w:val="00C266DD"/>
    <w:rsid w:val="00C36C57"/>
    <w:rsid w:val="00C504DD"/>
    <w:rsid w:val="00C62055"/>
    <w:rsid w:val="00C81224"/>
    <w:rsid w:val="00C915E3"/>
    <w:rsid w:val="00C91C2C"/>
    <w:rsid w:val="00C92BC3"/>
    <w:rsid w:val="00CA0A97"/>
    <w:rsid w:val="00CA56D9"/>
    <w:rsid w:val="00CA7799"/>
    <w:rsid w:val="00CC41BC"/>
    <w:rsid w:val="00CD1DA3"/>
    <w:rsid w:val="00CD5030"/>
    <w:rsid w:val="00CD6ADD"/>
    <w:rsid w:val="00CE297B"/>
    <w:rsid w:val="00CE3576"/>
    <w:rsid w:val="00CE7262"/>
    <w:rsid w:val="00D21743"/>
    <w:rsid w:val="00D24F39"/>
    <w:rsid w:val="00D27141"/>
    <w:rsid w:val="00D316A2"/>
    <w:rsid w:val="00D45C2D"/>
    <w:rsid w:val="00D47F92"/>
    <w:rsid w:val="00D51F39"/>
    <w:rsid w:val="00D53079"/>
    <w:rsid w:val="00D724FC"/>
    <w:rsid w:val="00D80A98"/>
    <w:rsid w:val="00D81743"/>
    <w:rsid w:val="00D839DA"/>
    <w:rsid w:val="00D90C33"/>
    <w:rsid w:val="00DA260D"/>
    <w:rsid w:val="00DA4239"/>
    <w:rsid w:val="00DB5DD7"/>
    <w:rsid w:val="00DB7C05"/>
    <w:rsid w:val="00DB7E66"/>
    <w:rsid w:val="00DC132E"/>
    <w:rsid w:val="00DC7B7F"/>
    <w:rsid w:val="00DD16D9"/>
    <w:rsid w:val="00DD38CF"/>
    <w:rsid w:val="00DF1C58"/>
    <w:rsid w:val="00DF1F69"/>
    <w:rsid w:val="00E06388"/>
    <w:rsid w:val="00E07AD8"/>
    <w:rsid w:val="00E16BD7"/>
    <w:rsid w:val="00E214FB"/>
    <w:rsid w:val="00E23C34"/>
    <w:rsid w:val="00E24F34"/>
    <w:rsid w:val="00E32CEF"/>
    <w:rsid w:val="00E34178"/>
    <w:rsid w:val="00E602CE"/>
    <w:rsid w:val="00E6727B"/>
    <w:rsid w:val="00E71F9D"/>
    <w:rsid w:val="00E7397A"/>
    <w:rsid w:val="00E76657"/>
    <w:rsid w:val="00E86DA5"/>
    <w:rsid w:val="00E90501"/>
    <w:rsid w:val="00E91D6B"/>
    <w:rsid w:val="00E96907"/>
    <w:rsid w:val="00EA25EE"/>
    <w:rsid w:val="00EA353E"/>
    <w:rsid w:val="00EB7BAE"/>
    <w:rsid w:val="00EC01F1"/>
    <w:rsid w:val="00EC3004"/>
    <w:rsid w:val="00ED3352"/>
    <w:rsid w:val="00EE1496"/>
    <w:rsid w:val="00EE1648"/>
    <w:rsid w:val="00EE510B"/>
    <w:rsid w:val="00EF25EA"/>
    <w:rsid w:val="00EF7A7B"/>
    <w:rsid w:val="00F03086"/>
    <w:rsid w:val="00F14994"/>
    <w:rsid w:val="00F20289"/>
    <w:rsid w:val="00F22799"/>
    <w:rsid w:val="00F3278E"/>
    <w:rsid w:val="00F448F0"/>
    <w:rsid w:val="00F44B92"/>
    <w:rsid w:val="00F44C2F"/>
    <w:rsid w:val="00F509EC"/>
    <w:rsid w:val="00F52F81"/>
    <w:rsid w:val="00F53399"/>
    <w:rsid w:val="00F81F18"/>
    <w:rsid w:val="00F82578"/>
    <w:rsid w:val="00F908E6"/>
    <w:rsid w:val="00F93087"/>
    <w:rsid w:val="00F93A8B"/>
    <w:rsid w:val="00FA23B3"/>
    <w:rsid w:val="00FA5BA1"/>
    <w:rsid w:val="00FA7108"/>
    <w:rsid w:val="00FA7D51"/>
    <w:rsid w:val="00FB3446"/>
    <w:rsid w:val="00FB7079"/>
    <w:rsid w:val="00FB7991"/>
    <w:rsid w:val="00FC3EE5"/>
    <w:rsid w:val="00FC513F"/>
    <w:rsid w:val="00FC65A7"/>
    <w:rsid w:val="00FC6DA0"/>
    <w:rsid w:val="00FE3128"/>
    <w:rsid w:val="00FE67FF"/>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1ED10CB"/>
  <w15:docId w15:val="{4DB6517A-575F-4945-A576-4EACB77F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4297"/>
    <w:pPr>
      <w:keepNext/>
      <w:keepLines/>
      <w:spacing w:before="480" w:after="36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914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914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2DB"/>
    <w:pPr>
      <w:ind w:left="720"/>
      <w:contextualSpacing/>
    </w:pPr>
  </w:style>
  <w:style w:type="character" w:customStyle="1" w:styleId="googlereslink">
    <w:name w:val="google_res_link"/>
    <w:basedOn w:val="DefaultParagraphFont"/>
    <w:rsid w:val="00091404"/>
  </w:style>
  <w:style w:type="table" w:styleId="TableGrid">
    <w:name w:val="Table Grid"/>
    <w:basedOn w:val="TableNormal"/>
    <w:uiPriority w:val="59"/>
    <w:rsid w:val="0009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91404"/>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091404"/>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0914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404"/>
    <w:rPr>
      <w:b/>
      <w:bCs/>
    </w:rPr>
  </w:style>
  <w:style w:type="character" w:styleId="Emphasis">
    <w:name w:val="Emphasis"/>
    <w:basedOn w:val="DefaultParagraphFont"/>
    <w:uiPriority w:val="20"/>
    <w:qFormat/>
    <w:rsid w:val="00091404"/>
    <w:rPr>
      <w:i/>
      <w:iCs/>
    </w:rPr>
  </w:style>
  <w:style w:type="character" w:styleId="Hyperlink">
    <w:name w:val="Hyperlink"/>
    <w:basedOn w:val="DefaultParagraphFont"/>
    <w:uiPriority w:val="99"/>
    <w:unhideWhenUsed/>
    <w:rsid w:val="00091404"/>
    <w:rPr>
      <w:color w:val="0000FF"/>
      <w:u w:val="single"/>
    </w:rPr>
  </w:style>
  <w:style w:type="character" w:styleId="CommentReference">
    <w:name w:val="annotation reference"/>
    <w:basedOn w:val="DefaultParagraphFont"/>
    <w:uiPriority w:val="99"/>
    <w:semiHidden/>
    <w:unhideWhenUsed/>
    <w:rsid w:val="00091404"/>
    <w:rPr>
      <w:sz w:val="16"/>
      <w:szCs w:val="16"/>
    </w:rPr>
  </w:style>
  <w:style w:type="paragraph" w:styleId="CommentText">
    <w:name w:val="annotation text"/>
    <w:basedOn w:val="Normal"/>
    <w:link w:val="CommentTextChar"/>
    <w:uiPriority w:val="99"/>
    <w:semiHidden/>
    <w:unhideWhenUsed/>
    <w:rsid w:val="00091404"/>
    <w:pPr>
      <w:spacing w:line="240" w:lineRule="auto"/>
    </w:pPr>
    <w:rPr>
      <w:sz w:val="20"/>
      <w:szCs w:val="20"/>
    </w:rPr>
  </w:style>
  <w:style w:type="character" w:customStyle="1" w:styleId="CommentTextChar">
    <w:name w:val="Comment Text Char"/>
    <w:basedOn w:val="DefaultParagraphFont"/>
    <w:link w:val="CommentText"/>
    <w:uiPriority w:val="99"/>
    <w:semiHidden/>
    <w:rsid w:val="00091404"/>
    <w:rPr>
      <w:sz w:val="20"/>
      <w:szCs w:val="20"/>
    </w:rPr>
  </w:style>
  <w:style w:type="paragraph" w:styleId="CommentSubject">
    <w:name w:val="annotation subject"/>
    <w:basedOn w:val="CommentText"/>
    <w:next w:val="CommentText"/>
    <w:link w:val="CommentSubjectChar"/>
    <w:uiPriority w:val="99"/>
    <w:semiHidden/>
    <w:unhideWhenUsed/>
    <w:rsid w:val="00091404"/>
    <w:rPr>
      <w:b/>
      <w:bCs/>
    </w:rPr>
  </w:style>
  <w:style w:type="character" w:customStyle="1" w:styleId="CommentSubjectChar">
    <w:name w:val="Comment Subject Char"/>
    <w:basedOn w:val="CommentTextChar"/>
    <w:link w:val="CommentSubject"/>
    <w:uiPriority w:val="99"/>
    <w:semiHidden/>
    <w:rsid w:val="00091404"/>
    <w:rPr>
      <w:b/>
      <w:bCs/>
      <w:sz w:val="20"/>
      <w:szCs w:val="20"/>
    </w:rPr>
  </w:style>
  <w:style w:type="paragraph" w:styleId="BalloonText">
    <w:name w:val="Balloon Text"/>
    <w:basedOn w:val="Normal"/>
    <w:link w:val="BalloonTextChar"/>
    <w:uiPriority w:val="99"/>
    <w:semiHidden/>
    <w:unhideWhenUsed/>
    <w:rsid w:val="00091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404"/>
    <w:rPr>
      <w:rFonts w:ascii="Tahoma" w:hAnsi="Tahoma" w:cs="Tahoma"/>
      <w:sz w:val="16"/>
      <w:szCs w:val="16"/>
    </w:rPr>
  </w:style>
  <w:style w:type="paragraph" w:customStyle="1" w:styleId="cellText">
    <w:name w:val="cellText"/>
    <w:basedOn w:val="Normal"/>
    <w:qFormat/>
    <w:rsid w:val="004760BD"/>
    <w:pPr>
      <w:spacing w:before="120" w:after="120" w:line="240" w:lineRule="auto"/>
    </w:pPr>
    <w:rPr>
      <w:rFonts w:ascii="Arial" w:hAnsi="Arial" w:cs="Arial"/>
      <w:sz w:val="20"/>
      <w:szCs w:val="20"/>
      <w:lang w:bidi="en-US"/>
    </w:rPr>
  </w:style>
  <w:style w:type="paragraph" w:styleId="Revision">
    <w:name w:val="Revision"/>
    <w:hidden/>
    <w:uiPriority w:val="99"/>
    <w:semiHidden/>
    <w:rsid w:val="004201DD"/>
    <w:pPr>
      <w:spacing w:after="0" w:line="240" w:lineRule="auto"/>
    </w:pPr>
  </w:style>
  <w:style w:type="character" w:customStyle="1" w:styleId="Heading1Char">
    <w:name w:val="Heading 1 Char"/>
    <w:basedOn w:val="DefaultParagraphFont"/>
    <w:link w:val="Heading1"/>
    <w:uiPriority w:val="9"/>
    <w:rsid w:val="0028429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1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94"/>
  </w:style>
  <w:style w:type="paragraph" w:styleId="Footer">
    <w:name w:val="footer"/>
    <w:basedOn w:val="Normal"/>
    <w:link w:val="FooterChar"/>
    <w:uiPriority w:val="99"/>
    <w:unhideWhenUsed/>
    <w:rsid w:val="00F1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94"/>
  </w:style>
  <w:style w:type="paragraph" w:styleId="FootnoteText">
    <w:name w:val="footnote text"/>
    <w:basedOn w:val="Normal"/>
    <w:link w:val="FootnoteTextChar"/>
    <w:uiPriority w:val="99"/>
    <w:semiHidden/>
    <w:unhideWhenUsed/>
    <w:rsid w:val="00FC6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DA0"/>
    <w:rPr>
      <w:sz w:val="20"/>
      <w:szCs w:val="20"/>
    </w:rPr>
  </w:style>
  <w:style w:type="character" w:styleId="FootnoteReference">
    <w:name w:val="footnote reference"/>
    <w:basedOn w:val="DefaultParagraphFont"/>
    <w:uiPriority w:val="99"/>
    <w:semiHidden/>
    <w:unhideWhenUsed/>
    <w:rsid w:val="00FC6DA0"/>
    <w:rPr>
      <w:vertAlign w:val="superscript"/>
    </w:rPr>
  </w:style>
  <w:style w:type="character" w:styleId="FollowedHyperlink">
    <w:name w:val="FollowedHyperlink"/>
    <w:basedOn w:val="DefaultParagraphFont"/>
    <w:uiPriority w:val="99"/>
    <w:semiHidden/>
    <w:unhideWhenUsed/>
    <w:rsid w:val="00305688"/>
    <w:rPr>
      <w:color w:val="800080" w:themeColor="followedHyperlink"/>
      <w:u w:val="single"/>
    </w:rPr>
  </w:style>
  <w:style w:type="paragraph" w:customStyle="1" w:styleId="italicheadercas">
    <w:name w:val="italicheadercas"/>
    <w:basedOn w:val="Normal"/>
    <w:rsid w:val="00F908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umber">
    <w:name w:val="paragraphnumber"/>
    <w:basedOn w:val="Normal"/>
    <w:rsid w:val="00F908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10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rsid w:val="00010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text">
    <w:name w:val="paragraphtext"/>
    <w:basedOn w:val="Normal"/>
    <w:rsid w:val="008D73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000">
      <w:bodyDiv w:val="1"/>
      <w:marLeft w:val="0"/>
      <w:marRight w:val="0"/>
      <w:marTop w:val="0"/>
      <w:marBottom w:val="0"/>
      <w:divBdr>
        <w:top w:val="none" w:sz="0" w:space="0" w:color="auto"/>
        <w:left w:val="none" w:sz="0" w:space="0" w:color="auto"/>
        <w:bottom w:val="none" w:sz="0" w:space="0" w:color="auto"/>
        <w:right w:val="none" w:sz="0" w:space="0" w:color="auto"/>
      </w:divBdr>
      <w:divsChild>
        <w:div w:id="1512136784">
          <w:marLeft w:val="0"/>
          <w:marRight w:val="0"/>
          <w:marTop w:val="0"/>
          <w:marBottom w:val="0"/>
          <w:divBdr>
            <w:top w:val="none" w:sz="0" w:space="0" w:color="auto"/>
            <w:left w:val="none" w:sz="0" w:space="0" w:color="auto"/>
            <w:bottom w:val="none" w:sz="0" w:space="0" w:color="auto"/>
            <w:right w:val="none" w:sz="0" w:space="0" w:color="auto"/>
          </w:divBdr>
        </w:div>
      </w:divsChild>
    </w:div>
    <w:div w:id="666398361">
      <w:bodyDiv w:val="1"/>
      <w:marLeft w:val="0"/>
      <w:marRight w:val="0"/>
      <w:marTop w:val="0"/>
      <w:marBottom w:val="0"/>
      <w:divBdr>
        <w:top w:val="none" w:sz="0" w:space="0" w:color="auto"/>
        <w:left w:val="none" w:sz="0" w:space="0" w:color="auto"/>
        <w:bottom w:val="none" w:sz="0" w:space="0" w:color="auto"/>
        <w:right w:val="none" w:sz="0" w:space="0" w:color="auto"/>
      </w:divBdr>
      <w:divsChild>
        <w:div w:id="1333292711">
          <w:marLeft w:val="0"/>
          <w:marRight w:val="0"/>
          <w:marTop w:val="0"/>
          <w:marBottom w:val="0"/>
          <w:divBdr>
            <w:top w:val="none" w:sz="0" w:space="0" w:color="auto"/>
            <w:left w:val="none" w:sz="0" w:space="0" w:color="auto"/>
            <w:bottom w:val="none" w:sz="0" w:space="0" w:color="auto"/>
            <w:right w:val="none" w:sz="0" w:space="0" w:color="auto"/>
          </w:divBdr>
        </w:div>
        <w:div w:id="855655873">
          <w:marLeft w:val="0"/>
          <w:marRight w:val="0"/>
          <w:marTop w:val="0"/>
          <w:marBottom w:val="0"/>
          <w:divBdr>
            <w:top w:val="none" w:sz="0" w:space="0" w:color="auto"/>
            <w:left w:val="none" w:sz="0" w:space="0" w:color="auto"/>
            <w:bottom w:val="none" w:sz="0" w:space="0" w:color="auto"/>
            <w:right w:val="none" w:sz="0" w:space="0" w:color="auto"/>
          </w:divBdr>
        </w:div>
      </w:divsChild>
    </w:div>
    <w:div w:id="731193335">
      <w:bodyDiv w:val="1"/>
      <w:marLeft w:val="0"/>
      <w:marRight w:val="0"/>
      <w:marTop w:val="0"/>
      <w:marBottom w:val="0"/>
      <w:divBdr>
        <w:top w:val="none" w:sz="0" w:space="0" w:color="auto"/>
        <w:left w:val="none" w:sz="0" w:space="0" w:color="auto"/>
        <w:bottom w:val="none" w:sz="0" w:space="0" w:color="auto"/>
        <w:right w:val="none" w:sz="0" w:space="0" w:color="auto"/>
      </w:divBdr>
      <w:divsChild>
        <w:div w:id="1300961623">
          <w:marLeft w:val="0"/>
          <w:marRight w:val="0"/>
          <w:marTop w:val="0"/>
          <w:marBottom w:val="0"/>
          <w:divBdr>
            <w:top w:val="none" w:sz="0" w:space="0" w:color="auto"/>
            <w:left w:val="none" w:sz="0" w:space="0" w:color="auto"/>
            <w:bottom w:val="none" w:sz="0" w:space="0" w:color="auto"/>
            <w:right w:val="none" w:sz="0" w:space="0" w:color="auto"/>
          </w:divBdr>
          <w:divsChild>
            <w:div w:id="1911378575">
              <w:marLeft w:val="0"/>
              <w:marRight w:val="0"/>
              <w:marTop w:val="0"/>
              <w:marBottom w:val="0"/>
              <w:divBdr>
                <w:top w:val="none" w:sz="0" w:space="0" w:color="auto"/>
                <w:left w:val="none" w:sz="0" w:space="0" w:color="auto"/>
                <w:bottom w:val="none" w:sz="0" w:space="0" w:color="auto"/>
                <w:right w:val="none" w:sz="0" w:space="0" w:color="auto"/>
              </w:divBdr>
              <w:divsChild>
                <w:div w:id="1285041975">
                  <w:marLeft w:val="0"/>
                  <w:marRight w:val="0"/>
                  <w:marTop w:val="0"/>
                  <w:marBottom w:val="0"/>
                  <w:divBdr>
                    <w:top w:val="none" w:sz="0" w:space="0" w:color="auto"/>
                    <w:left w:val="none" w:sz="0" w:space="0" w:color="auto"/>
                    <w:bottom w:val="none" w:sz="0" w:space="0" w:color="auto"/>
                    <w:right w:val="none" w:sz="0" w:space="0" w:color="auto"/>
                  </w:divBdr>
                  <w:divsChild>
                    <w:div w:id="17914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040505">
      <w:bodyDiv w:val="1"/>
      <w:marLeft w:val="0"/>
      <w:marRight w:val="0"/>
      <w:marTop w:val="0"/>
      <w:marBottom w:val="0"/>
      <w:divBdr>
        <w:top w:val="none" w:sz="0" w:space="0" w:color="auto"/>
        <w:left w:val="none" w:sz="0" w:space="0" w:color="auto"/>
        <w:bottom w:val="none" w:sz="0" w:space="0" w:color="auto"/>
        <w:right w:val="none" w:sz="0" w:space="0" w:color="auto"/>
      </w:divBdr>
      <w:divsChild>
        <w:div w:id="1714383271">
          <w:marLeft w:val="0"/>
          <w:marRight w:val="0"/>
          <w:marTop w:val="0"/>
          <w:marBottom w:val="0"/>
          <w:divBdr>
            <w:top w:val="none" w:sz="0" w:space="0" w:color="auto"/>
            <w:left w:val="none" w:sz="0" w:space="0" w:color="auto"/>
            <w:bottom w:val="none" w:sz="0" w:space="0" w:color="auto"/>
            <w:right w:val="none" w:sz="0" w:space="0" w:color="auto"/>
          </w:divBdr>
        </w:div>
        <w:div w:id="1418357749">
          <w:marLeft w:val="0"/>
          <w:marRight w:val="0"/>
          <w:marTop w:val="0"/>
          <w:marBottom w:val="0"/>
          <w:divBdr>
            <w:top w:val="none" w:sz="0" w:space="0" w:color="auto"/>
            <w:left w:val="none" w:sz="0" w:space="0" w:color="auto"/>
            <w:bottom w:val="none" w:sz="0" w:space="0" w:color="auto"/>
            <w:right w:val="none" w:sz="0" w:space="0" w:color="auto"/>
          </w:divBdr>
        </w:div>
      </w:divsChild>
    </w:div>
    <w:div w:id="7726713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243">
          <w:marLeft w:val="0"/>
          <w:marRight w:val="0"/>
          <w:marTop w:val="0"/>
          <w:marBottom w:val="0"/>
          <w:divBdr>
            <w:top w:val="none" w:sz="0" w:space="0" w:color="auto"/>
            <w:left w:val="none" w:sz="0" w:space="0" w:color="auto"/>
            <w:bottom w:val="none" w:sz="0" w:space="0" w:color="auto"/>
            <w:right w:val="none" w:sz="0" w:space="0" w:color="auto"/>
          </w:divBdr>
          <w:divsChild>
            <w:div w:id="1088815566">
              <w:marLeft w:val="0"/>
              <w:marRight w:val="0"/>
              <w:marTop w:val="0"/>
              <w:marBottom w:val="0"/>
              <w:divBdr>
                <w:top w:val="none" w:sz="0" w:space="0" w:color="auto"/>
                <w:left w:val="none" w:sz="0" w:space="0" w:color="auto"/>
                <w:bottom w:val="none" w:sz="0" w:space="0" w:color="auto"/>
                <w:right w:val="none" w:sz="0" w:space="0" w:color="auto"/>
              </w:divBdr>
              <w:divsChild>
                <w:div w:id="363404075">
                  <w:marLeft w:val="0"/>
                  <w:marRight w:val="0"/>
                  <w:marTop w:val="0"/>
                  <w:marBottom w:val="0"/>
                  <w:divBdr>
                    <w:top w:val="none" w:sz="0" w:space="0" w:color="auto"/>
                    <w:left w:val="none" w:sz="0" w:space="0" w:color="auto"/>
                    <w:bottom w:val="none" w:sz="0" w:space="0" w:color="auto"/>
                    <w:right w:val="none" w:sz="0" w:space="0" w:color="auto"/>
                  </w:divBdr>
                  <w:divsChild>
                    <w:div w:id="1918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6727">
      <w:bodyDiv w:val="1"/>
      <w:marLeft w:val="0"/>
      <w:marRight w:val="0"/>
      <w:marTop w:val="0"/>
      <w:marBottom w:val="0"/>
      <w:divBdr>
        <w:top w:val="none" w:sz="0" w:space="0" w:color="auto"/>
        <w:left w:val="none" w:sz="0" w:space="0" w:color="auto"/>
        <w:bottom w:val="none" w:sz="0" w:space="0" w:color="auto"/>
        <w:right w:val="none" w:sz="0" w:space="0" w:color="auto"/>
      </w:divBdr>
      <w:divsChild>
        <w:div w:id="2059474977">
          <w:marLeft w:val="3"/>
          <w:marRight w:val="3"/>
          <w:marTop w:val="0"/>
          <w:marBottom w:val="0"/>
          <w:divBdr>
            <w:top w:val="none" w:sz="0" w:space="0" w:color="auto"/>
            <w:left w:val="single" w:sz="48" w:space="0" w:color="FFFFFF"/>
            <w:bottom w:val="single" w:sz="48" w:space="0" w:color="FFFFFF"/>
            <w:right w:val="single" w:sz="48" w:space="0" w:color="FFFFFF"/>
          </w:divBdr>
          <w:divsChild>
            <w:div w:id="414254257">
              <w:marLeft w:val="0"/>
              <w:marRight w:val="0"/>
              <w:marTop w:val="0"/>
              <w:marBottom w:val="0"/>
              <w:divBdr>
                <w:top w:val="none" w:sz="0" w:space="0" w:color="auto"/>
                <w:left w:val="none" w:sz="0" w:space="0" w:color="auto"/>
                <w:bottom w:val="none" w:sz="0" w:space="0" w:color="auto"/>
                <w:right w:val="none" w:sz="0" w:space="0" w:color="auto"/>
              </w:divBdr>
              <w:divsChild>
                <w:div w:id="1084182150">
                  <w:marLeft w:val="0"/>
                  <w:marRight w:val="-100"/>
                  <w:marTop w:val="0"/>
                  <w:marBottom w:val="0"/>
                  <w:divBdr>
                    <w:top w:val="none" w:sz="0" w:space="0" w:color="auto"/>
                    <w:left w:val="none" w:sz="0" w:space="0" w:color="auto"/>
                    <w:bottom w:val="none" w:sz="0" w:space="0" w:color="auto"/>
                    <w:right w:val="none" w:sz="0" w:space="0" w:color="auto"/>
                  </w:divBdr>
                  <w:divsChild>
                    <w:div w:id="633216174">
                      <w:marLeft w:val="25"/>
                      <w:marRight w:val="0"/>
                      <w:marTop w:val="0"/>
                      <w:marBottom w:val="0"/>
                      <w:divBdr>
                        <w:top w:val="none" w:sz="0" w:space="0" w:color="auto"/>
                        <w:left w:val="none" w:sz="0" w:space="0" w:color="auto"/>
                        <w:bottom w:val="none" w:sz="0" w:space="0" w:color="auto"/>
                        <w:right w:val="none" w:sz="0" w:space="0" w:color="auto"/>
                      </w:divBdr>
                      <w:divsChild>
                        <w:div w:id="1346327348">
                          <w:marLeft w:val="0"/>
                          <w:marRight w:val="0"/>
                          <w:marTop w:val="0"/>
                          <w:marBottom w:val="0"/>
                          <w:divBdr>
                            <w:top w:val="none" w:sz="0" w:space="0" w:color="auto"/>
                            <w:left w:val="none" w:sz="0" w:space="0" w:color="auto"/>
                            <w:bottom w:val="none" w:sz="0" w:space="0" w:color="auto"/>
                            <w:right w:val="none" w:sz="0" w:space="0" w:color="auto"/>
                          </w:divBdr>
                          <w:divsChild>
                            <w:div w:id="458570158">
                              <w:marLeft w:val="0"/>
                              <w:marRight w:val="0"/>
                              <w:marTop w:val="0"/>
                              <w:marBottom w:val="0"/>
                              <w:divBdr>
                                <w:top w:val="none" w:sz="0" w:space="0" w:color="auto"/>
                                <w:left w:val="none" w:sz="0" w:space="0" w:color="auto"/>
                                <w:bottom w:val="none" w:sz="0" w:space="0" w:color="auto"/>
                                <w:right w:val="none" w:sz="0" w:space="0" w:color="auto"/>
                              </w:divBdr>
                              <w:divsChild>
                                <w:div w:id="15499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73788">
      <w:bodyDiv w:val="1"/>
      <w:marLeft w:val="0"/>
      <w:marRight w:val="0"/>
      <w:marTop w:val="0"/>
      <w:marBottom w:val="0"/>
      <w:divBdr>
        <w:top w:val="none" w:sz="0" w:space="0" w:color="auto"/>
        <w:left w:val="none" w:sz="0" w:space="0" w:color="auto"/>
        <w:bottom w:val="none" w:sz="0" w:space="0" w:color="auto"/>
        <w:right w:val="none" w:sz="0" w:space="0" w:color="auto"/>
      </w:divBdr>
      <w:divsChild>
        <w:div w:id="2090347808">
          <w:marLeft w:val="0"/>
          <w:marRight w:val="0"/>
          <w:marTop w:val="0"/>
          <w:marBottom w:val="0"/>
          <w:divBdr>
            <w:top w:val="none" w:sz="0" w:space="0" w:color="auto"/>
            <w:left w:val="none" w:sz="0" w:space="0" w:color="auto"/>
            <w:bottom w:val="none" w:sz="0" w:space="0" w:color="auto"/>
            <w:right w:val="none" w:sz="0" w:space="0" w:color="auto"/>
          </w:divBdr>
          <w:divsChild>
            <w:div w:id="991251318">
              <w:marLeft w:val="0"/>
              <w:marRight w:val="0"/>
              <w:marTop w:val="0"/>
              <w:marBottom w:val="0"/>
              <w:divBdr>
                <w:top w:val="none" w:sz="0" w:space="0" w:color="auto"/>
                <w:left w:val="none" w:sz="0" w:space="0" w:color="auto"/>
                <w:bottom w:val="none" w:sz="0" w:space="0" w:color="auto"/>
                <w:right w:val="none" w:sz="0" w:space="0" w:color="auto"/>
              </w:divBdr>
              <w:divsChild>
                <w:div w:id="570119712">
                  <w:marLeft w:val="0"/>
                  <w:marRight w:val="0"/>
                  <w:marTop w:val="0"/>
                  <w:marBottom w:val="0"/>
                  <w:divBdr>
                    <w:top w:val="none" w:sz="0" w:space="0" w:color="auto"/>
                    <w:left w:val="none" w:sz="0" w:space="0" w:color="auto"/>
                    <w:bottom w:val="none" w:sz="0" w:space="0" w:color="auto"/>
                    <w:right w:val="none" w:sz="0" w:space="0" w:color="auto"/>
                  </w:divBdr>
                  <w:divsChild>
                    <w:div w:id="306209953">
                      <w:marLeft w:val="0"/>
                      <w:marRight w:val="0"/>
                      <w:marTop w:val="0"/>
                      <w:marBottom w:val="0"/>
                      <w:divBdr>
                        <w:top w:val="none" w:sz="0" w:space="0" w:color="auto"/>
                        <w:left w:val="none" w:sz="0" w:space="0" w:color="auto"/>
                        <w:bottom w:val="none" w:sz="0" w:space="0" w:color="auto"/>
                        <w:right w:val="none" w:sz="0" w:space="0" w:color="auto"/>
                      </w:divBdr>
                      <w:divsChild>
                        <w:div w:id="81220821">
                          <w:marLeft w:val="0"/>
                          <w:marRight w:val="0"/>
                          <w:marTop w:val="0"/>
                          <w:marBottom w:val="0"/>
                          <w:divBdr>
                            <w:top w:val="none" w:sz="0" w:space="0" w:color="auto"/>
                            <w:left w:val="none" w:sz="0" w:space="0" w:color="auto"/>
                            <w:bottom w:val="none" w:sz="0" w:space="0" w:color="auto"/>
                            <w:right w:val="none" w:sz="0" w:space="0" w:color="auto"/>
                          </w:divBdr>
                          <w:divsChild>
                            <w:div w:id="796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099282">
      <w:bodyDiv w:val="1"/>
      <w:marLeft w:val="0"/>
      <w:marRight w:val="0"/>
      <w:marTop w:val="0"/>
      <w:marBottom w:val="0"/>
      <w:divBdr>
        <w:top w:val="none" w:sz="0" w:space="0" w:color="auto"/>
        <w:left w:val="none" w:sz="0" w:space="0" w:color="auto"/>
        <w:bottom w:val="none" w:sz="0" w:space="0" w:color="auto"/>
        <w:right w:val="none" w:sz="0" w:space="0" w:color="auto"/>
      </w:divBdr>
      <w:divsChild>
        <w:div w:id="2110154654">
          <w:marLeft w:val="3"/>
          <w:marRight w:val="3"/>
          <w:marTop w:val="0"/>
          <w:marBottom w:val="0"/>
          <w:divBdr>
            <w:top w:val="none" w:sz="0" w:space="0" w:color="auto"/>
            <w:left w:val="single" w:sz="48" w:space="0" w:color="FFFFFF"/>
            <w:bottom w:val="single" w:sz="48" w:space="0" w:color="FFFFFF"/>
            <w:right w:val="single" w:sz="48" w:space="0" w:color="FFFFFF"/>
          </w:divBdr>
          <w:divsChild>
            <w:div w:id="1236934615">
              <w:marLeft w:val="0"/>
              <w:marRight w:val="0"/>
              <w:marTop w:val="0"/>
              <w:marBottom w:val="0"/>
              <w:divBdr>
                <w:top w:val="none" w:sz="0" w:space="0" w:color="auto"/>
                <w:left w:val="none" w:sz="0" w:space="0" w:color="auto"/>
                <w:bottom w:val="none" w:sz="0" w:space="0" w:color="auto"/>
                <w:right w:val="none" w:sz="0" w:space="0" w:color="auto"/>
              </w:divBdr>
              <w:divsChild>
                <w:div w:id="493184943">
                  <w:marLeft w:val="0"/>
                  <w:marRight w:val="-100"/>
                  <w:marTop w:val="0"/>
                  <w:marBottom w:val="0"/>
                  <w:divBdr>
                    <w:top w:val="none" w:sz="0" w:space="0" w:color="auto"/>
                    <w:left w:val="none" w:sz="0" w:space="0" w:color="auto"/>
                    <w:bottom w:val="none" w:sz="0" w:space="0" w:color="auto"/>
                    <w:right w:val="none" w:sz="0" w:space="0" w:color="auto"/>
                  </w:divBdr>
                  <w:divsChild>
                    <w:div w:id="763651150">
                      <w:marLeft w:val="25"/>
                      <w:marRight w:val="0"/>
                      <w:marTop w:val="0"/>
                      <w:marBottom w:val="0"/>
                      <w:divBdr>
                        <w:top w:val="none" w:sz="0" w:space="0" w:color="auto"/>
                        <w:left w:val="none" w:sz="0" w:space="0" w:color="auto"/>
                        <w:bottom w:val="none" w:sz="0" w:space="0" w:color="auto"/>
                        <w:right w:val="none" w:sz="0" w:space="0" w:color="auto"/>
                      </w:divBdr>
                      <w:divsChild>
                        <w:div w:id="661810522">
                          <w:marLeft w:val="0"/>
                          <w:marRight w:val="0"/>
                          <w:marTop w:val="0"/>
                          <w:marBottom w:val="0"/>
                          <w:divBdr>
                            <w:top w:val="none" w:sz="0" w:space="0" w:color="auto"/>
                            <w:left w:val="none" w:sz="0" w:space="0" w:color="auto"/>
                            <w:bottom w:val="none" w:sz="0" w:space="0" w:color="auto"/>
                            <w:right w:val="none" w:sz="0" w:space="0" w:color="auto"/>
                          </w:divBdr>
                          <w:divsChild>
                            <w:div w:id="672072625">
                              <w:marLeft w:val="0"/>
                              <w:marRight w:val="0"/>
                              <w:marTop w:val="0"/>
                              <w:marBottom w:val="0"/>
                              <w:divBdr>
                                <w:top w:val="none" w:sz="0" w:space="0" w:color="auto"/>
                                <w:left w:val="none" w:sz="0" w:space="0" w:color="auto"/>
                                <w:bottom w:val="none" w:sz="0" w:space="0" w:color="auto"/>
                                <w:right w:val="none" w:sz="0" w:space="0" w:color="auto"/>
                              </w:divBdr>
                              <w:divsChild>
                                <w:div w:id="1561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23598">
      <w:bodyDiv w:val="1"/>
      <w:marLeft w:val="0"/>
      <w:marRight w:val="0"/>
      <w:marTop w:val="0"/>
      <w:marBottom w:val="0"/>
      <w:divBdr>
        <w:top w:val="none" w:sz="0" w:space="0" w:color="auto"/>
        <w:left w:val="none" w:sz="0" w:space="0" w:color="auto"/>
        <w:bottom w:val="none" w:sz="0" w:space="0" w:color="auto"/>
        <w:right w:val="none" w:sz="0" w:space="0" w:color="auto"/>
      </w:divBdr>
    </w:div>
    <w:div w:id="1154029972">
      <w:bodyDiv w:val="1"/>
      <w:marLeft w:val="0"/>
      <w:marRight w:val="0"/>
      <w:marTop w:val="0"/>
      <w:marBottom w:val="0"/>
      <w:divBdr>
        <w:top w:val="none" w:sz="0" w:space="0" w:color="auto"/>
        <w:left w:val="none" w:sz="0" w:space="0" w:color="auto"/>
        <w:bottom w:val="none" w:sz="0" w:space="0" w:color="auto"/>
        <w:right w:val="none" w:sz="0" w:space="0" w:color="auto"/>
      </w:divBdr>
      <w:divsChild>
        <w:div w:id="266084583">
          <w:marLeft w:val="0"/>
          <w:marRight w:val="0"/>
          <w:marTop w:val="0"/>
          <w:marBottom w:val="0"/>
          <w:divBdr>
            <w:top w:val="none" w:sz="0" w:space="0" w:color="auto"/>
            <w:left w:val="none" w:sz="0" w:space="0" w:color="auto"/>
            <w:bottom w:val="none" w:sz="0" w:space="0" w:color="auto"/>
            <w:right w:val="none" w:sz="0" w:space="0" w:color="auto"/>
          </w:divBdr>
        </w:div>
      </w:divsChild>
    </w:div>
    <w:div w:id="1172840409">
      <w:bodyDiv w:val="1"/>
      <w:marLeft w:val="0"/>
      <w:marRight w:val="0"/>
      <w:marTop w:val="0"/>
      <w:marBottom w:val="0"/>
      <w:divBdr>
        <w:top w:val="none" w:sz="0" w:space="0" w:color="auto"/>
        <w:left w:val="none" w:sz="0" w:space="0" w:color="auto"/>
        <w:bottom w:val="none" w:sz="0" w:space="0" w:color="auto"/>
        <w:right w:val="none" w:sz="0" w:space="0" w:color="auto"/>
      </w:divBdr>
      <w:divsChild>
        <w:div w:id="487786735">
          <w:marLeft w:val="0"/>
          <w:marRight w:val="0"/>
          <w:marTop w:val="0"/>
          <w:marBottom w:val="0"/>
          <w:divBdr>
            <w:top w:val="none" w:sz="0" w:space="0" w:color="auto"/>
            <w:left w:val="none" w:sz="0" w:space="0" w:color="auto"/>
            <w:bottom w:val="none" w:sz="0" w:space="0" w:color="auto"/>
            <w:right w:val="none" w:sz="0" w:space="0" w:color="auto"/>
          </w:divBdr>
          <w:divsChild>
            <w:div w:id="876042317">
              <w:marLeft w:val="0"/>
              <w:marRight w:val="0"/>
              <w:marTop w:val="0"/>
              <w:marBottom w:val="0"/>
              <w:divBdr>
                <w:top w:val="none" w:sz="0" w:space="0" w:color="auto"/>
                <w:left w:val="none" w:sz="0" w:space="0" w:color="auto"/>
                <w:bottom w:val="none" w:sz="0" w:space="0" w:color="auto"/>
                <w:right w:val="none" w:sz="0" w:space="0" w:color="auto"/>
              </w:divBdr>
              <w:divsChild>
                <w:div w:id="735586261">
                  <w:marLeft w:val="0"/>
                  <w:marRight w:val="0"/>
                  <w:marTop w:val="0"/>
                  <w:marBottom w:val="0"/>
                  <w:divBdr>
                    <w:top w:val="none" w:sz="0" w:space="0" w:color="auto"/>
                    <w:left w:val="none" w:sz="0" w:space="0" w:color="auto"/>
                    <w:bottom w:val="none" w:sz="0" w:space="0" w:color="auto"/>
                    <w:right w:val="none" w:sz="0" w:space="0" w:color="auto"/>
                  </w:divBdr>
                  <w:divsChild>
                    <w:div w:id="20403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7726">
      <w:bodyDiv w:val="1"/>
      <w:marLeft w:val="0"/>
      <w:marRight w:val="0"/>
      <w:marTop w:val="0"/>
      <w:marBottom w:val="0"/>
      <w:divBdr>
        <w:top w:val="none" w:sz="0" w:space="0" w:color="auto"/>
        <w:left w:val="none" w:sz="0" w:space="0" w:color="auto"/>
        <w:bottom w:val="none" w:sz="0" w:space="0" w:color="auto"/>
        <w:right w:val="none" w:sz="0" w:space="0" w:color="auto"/>
      </w:divBdr>
      <w:divsChild>
        <w:div w:id="1195121945">
          <w:marLeft w:val="0"/>
          <w:marRight w:val="0"/>
          <w:marTop w:val="0"/>
          <w:marBottom w:val="0"/>
          <w:divBdr>
            <w:top w:val="none" w:sz="0" w:space="0" w:color="auto"/>
            <w:left w:val="none" w:sz="0" w:space="0" w:color="auto"/>
            <w:bottom w:val="none" w:sz="0" w:space="0" w:color="auto"/>
            <w:right w:val="none" w:sz="0" w:space="0" w:color="auto"/>
          </w:divBdr>
        </w:div>
      </w:divsChild>
    </w:div>
    <w:div w:id="1300919180">
      <w:bodyDiv w:val="1"/>
      <w:marLeft w:val="0"/>
      <w:marRight w:val="0"/>
      <w:marTop w:val="0"/>
      <w:marBottom w:val="0"/>
      <w:divBdr>
        <w:top w:val="none" w:sz="0" w:space="0" w:color="auto"/>
        <w:left w:val="none" w:sz="0" w:space="0" w:color="auto"/>
        <w:bottom w:val="none" w:sz="0" w:space="0" w:color="auto"/>
        <w:right w:val="none" w:sz="0" w:space="0" w:color="auto"/>
      </w:divBdr>
      <w:divsChild>
        <w:div w:id="86846973">
          <w:marLeft w:val="0"/>
          <w:marRight w:val="0"/>
          <w:marTop w:val="0"/>
          <w:marBottom w:val="0"/>
          <w:divBdr>
            <w:top w:val="none" w:sz="0" w:space="0" w:color="auto"/>
            <w:left w:val="none" w:sz="0" w:space="0" w:color="auto"/>
            <w:bottom w:val="none" w:sz="0" w:space="0" w:color="auto"/>
            <w:right w:val="none" w:sz="0" w:space="0" w:color="auto"/>
          </w:divBdr>
          <w:divsChild>
            <w:div w:id="1835029313">
              <w:marLeft w:val="0"/>
              <w:marRight w:val="0"/>
              <w:marTop w:val="0"/>
              <w:marBottom w:val="0"/>
              <w:divBdr>
                <w:top w:val="none" w:sz="0" w:space="0" w:color="auto"/>
                <w:left w:val="none" w:sz="0" w:space="0" w:color="auto"/>
                <w:bottom w:val="none" w:sz="0" w:space="0" w:color="auto"/>
                <w:right w:val="none" w:sz="0" w:space="0" w:color="auto"/>
              </w:divBdr>
              <w:divsChild>
                <w:div w:id="5986053">
                  <w:marLeft w:val="0"/>
                  <w:marRight w:val="0"/>
                  <w:marTop w:val="0"/>
                  <w:marBottom w:val="0"/>
                  <w:divBdr>
                    <w:top w:val="none" w:sz="0" w:space="0" w:color="auto"/>
                    <w:left w:val="none" w:sz="0" w:space="0" w:color="auto"/>
                    <w:bottom w:val="none" w:sz="0" w:space="0" w:color="auto"/>
                    <w:right w:val="none" w:sz="0" w:space="0" w:color="auto"/>
                  </w:divBdr>
                  <w:divsChild>
                    <w:div w:id="665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391">
      <w:bodyDiv w:val="1"/>
      <w:marLeft w:val="0"/>
      <w:marRight w:val="0"/>
      <w:marTop w:val="0"/>
      <w:marBottom w:val="0"/>
      <w:divBdr>
        <w:top w:val="none" w:sz="0" w:space="0" w:color="auto"/>
        <w:left w:val="none" w:sz="0" w:space="0" w:color="auto"/>
        <w:bottom w:val="none" w:sz="0" w:space="0" w:color="auto"/>
        <w:right w:val="none" w:sz="0" w:space="0" w:color="auto"/>
      </w:divBdr>
      <w:divsChild>
        <w:div w:id="759450355">
          <w:marLeft w:val="0"/>
          <w:marRight w:val="0"/>
          <w:marTop w:val="0"/>
          <w:marBottom w:val="0"/>
          <w:divBdr>
            <w:top w:val="none" w:sz="0" w:space="0" w:color="auto"/>
            <w:left w:val="none" w:sz="0" w:space="0" w:color="auto"/>
            <w:bottom w:val="none" w:sz="0" w:space="0" w:color="auto"/>
            <w:right w:val="none" w:sz="0" w:space="0" w:color="auto"/>
          </w:divBdr>
        </w:div>
      </w:divsChild>
    </w:div>
    <w:div w:id="1690567630">
      <w:bodyDiv w:val="1"/>
      <w:marLeft w:val="0"/>
      <w:marRight w:val="0"/>
      <w:marTop w:val="0"/>
      <w:marBottom w:val="0"/>
      <w:divBdr>
        <w:top w:val="none" w:sz="0" w:space="0" w:color="auto"/>
        <w:left w:val="none" w:sz="0" w:space="0" w:color="auto"/>
        <w:bottom w:val="none" w:sz="0" w:space="0" w:color="auto"/>
        <w:right w:val="none" w:sz="0" w:space="0" w:color="auto"/>
      </w:divBdr>
      <w:divsChild>
        <w:div w:id="341246395">
          <w:marLeft w:val="0"/>
          <w:marRight w:val="0"/>
          <w:marTop w:val="0"/>
          <w:marBottom w:val="0"/>
          <w:divBdr>
            <w:top w:val="none" w:sz="0" w:space="0" w:color="auto"/>
            <w:left w:val="none" w:sz="0" w:space="0" w:color="auto"/>
            <w:bottom w:val="none" w:sz="0" w:space="0" w:color="auto"/>
            <w:right w:val="none" w:sz="0" w:space="0" w:color="auto"/>
          </w:divBdr>
          <w:divsChild>
            <w:div w:id="356396933">
              <w:marLeft w:val="0"/>
              <w:marRight w:val="0"/>
              <w:marTop w:val="0"/>
              <w:marBottom w:val="0"/>
              <w:divBdr>
                <w:top w:val="none" w:sz="0" w:space="0" w:color="auto"/>
                <w:left w:val="none" w:sz="0" w:space="0" w:color="auto"/>
                <w:bottom w:val="none" w:sz="0" w:space="0" w:color="auto"/>
                <w:right w:val="none" w:sz="0" w:space="0" w:color="auto"/>
              </w:divBdr>
              <w:divsChild>
                <w:div w:id="358550219">
                  <w:marLeft w:val="0"/>
                  <w:marRight w:val="0"/>
                  <w:marTop w:val="0"/>
                  <w:marBottom w:val="0"/>
                  <w:divBdr>
                    <w:top w:val="none" w:sz="0" w:space="0" w:color="auto"/>
                    <w:left w:val="none" w:sz="0" w:space="0" w:color="auto"/>
                    <w:bottom w:val="none" w:sz="0" w:space="0" w:color="auto"/>
                    <w:right w:val="none" w:sz="0" w:space="0" w:color="auto"/>
                  </w:divBdr>
                  <w:divsChild>
                    <w:div w:id="11388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17743">
      <w:bodyDiv w:val="1"/>
      <w:marLeft w:val="0"/>
      <w:marRight w:val="0"/>
      <w:marTop w:val="0"/>
      <w:marBottom w:val="0"/>
      <w:divBdr>
        <w:top w:val="none" w:sz="0" w:space="0" w:color="auto"/>
        <w:left w:val="none" w:sz="0" w:space="0" w:color="auto"/>
        <w:bottom w:val="none" w:sz="0" w:space="0" w:color="auto"/>
        <w:right w:val="none" w:sz="0" w:space="0" w:color="auto"/>
      </w:divBdr>
      <w:divsChild>
        <w:div w:id="1050609689">
          <w:marLeft w:val="0"/>
          <w:marRight w:val="0"/>
          <w:marTop w:val="0"/>
          <w:marBottom w:val="0"/>
          <w:divBdr>
            <w:top w:val="none" w:sz="0" w:space="0" w:color="auto"/>
            <w:left w:val="none" w:sz="0" w:space="0" w:color="auto"/>
            <w:bottom w:val="none" w:sz="0" w:space="0" w:color="auto"/>
            <w:right w:val="none" w:sz="0" w:space="0" w:color="auto"/>
          </w:divBdr>
        </w:div>
        <w:div w:id="896936534">
          <w:marLeft w:val="0"/>
          <w:marRight w:val="0"/>
          <w:marTop w:val="0"/>
          <w:marBottom w:val="0"/>
          <w:divBdr>
            <w:top w:val="none" w:sz="0" w:space="0" w:color="auto"/>
            <w:left w:val="none" w:sz="0" w:space="0" w:color="auto"/>
            <w:bottom w:val="none" w:sz="0" w:space="0" w:color="auto"/>
            <w:right w:val="none" w:sz="0" w:space="0" w:color="auto"/>
          </w:divBdr>
        </w:div>
        <w:div w:id="1289748899">
          <w:marLeft w:val="0"/>
          <w:marRight w:val="0"/>
          <w:marTop w:val="0"/>
          <w:marBottom w:val="0"/>
          <w:divBdr>
            <w:top w:val="none" w:sz="0" w:space="0" w:color="auto"/>
            <w:left w:val="none" w:sz="0" w:space="0" w:color="auto"/>
            <w:bottom w:val="none" w:sz="0" w:space="0" w:color="auto"/>
            <w:right w:val="none" w:sz="0" w:space="0" w:color="auto"/>
          </w:divBdr>
        </w:div>
        <w:div w:id="1285771542">
          <w:marLeft w:val="0"/>
          <w:marRight w:val="0"/>
          <w:marTop w:val="0"/>
          <w:marBottom w:val="0"/>
          <w:divBdr>
            <w:top w:val="none" w:sz="0" w:space="0" w:color="auto"/>
            <w:left w:val="none" w:sz="0" w:space="0" w:color="auto"/>
            <w:bottom w:val="none" w:sz="0" w:space="0" w:color="auto"/>
            <w:right w:val="none" w:sz="0" w:space="0" w:color="auto"/>
          </w:divBdr>
        </w:div>
      </w:divsChild>
    </w:div>
    <w:div w:id="1963227529">
      <w:bodyDiv w:val="1"/>
      <w:marLeft w:val="0"/>
      <w:marRight w:val="0"/>
      <w:marTop w:val="0"/>
      <w:marBottom w:val="0"/>
      <w:divBdr>
        <w:top w:val="none" w:sz="0" w:space="0" w:color="auto"/>
        <w:left w:val="none" w:sz="0" w:space="0" w:color="auto"/>
        <w:bottom w:val="none" w:sz="0" w:space="0" w:color="auto"/>
        <w:right w:val="none" w:sz="0" w:space="0" w:color="auto"/>
      </w:divBdr>
      <w:divsChild>
        <w:div w:id="383287072">
          <w:marLeft w:val="0"/>
          <w:marRight w:val="0"/>
          <w:marTop w:val="0"/>
          <w:marBottom w:val="0"/>
          <w:divBdr>
            <w:top w:val="none" w:sz="0" w:space="0" w:color="auto"/>
            <w:left w:val="none" w:sz="0" w:space="0" w:color="auto"/>
            <w:bottom w:val="none" w:sz="0" w:space="0" w:color="auto"/>
            <w:right w:val="none" w:sz="0" w:space="0" w:color="auto"/>
          </w:divBdr>
        </w:div>
        <w:div w:id="716247782">
          <w:marLeft w:val="0"/>
          <w:marRight w:val="0"/>
          <w:marTop w:val="0"/>
          <w:marBottom w:val="0"/>
          <w:divBdr>
            <w:top w:val="none" w:sz="0" w:space="0" w:color="auto"/>
            <w:left w:val="none" w:sz="0" w:space="0" w:color="auto"/>
            <w:bottom w:val="none" w:sz="0" w:space="0" w:color="auto"/>
            <w:right w:val="none" w:sz="0" w:space="0" w:color="auto"/>
          </w:divBdr>
        </w:div>
        <w:div w:id="551696887">
          <w:marLeft w:val="0"/>
          <w:marRight w:val="0"/>
          <w:marTop w:val="0"/>
          <w:marBottom w:val="0"/>
          <w:divBdr>
            <w:top w:val="none" w:sz="0" w:space="0" w:color="auto"/>
            <w:left w:val="none" w:sz="0" w:space="0" w:color="auto"/>
            <w:bottom w:val="none" w:sz="0" w:space="0" w:color="auto"/>
            <w:right w:val="none" w:sz="0" w:space="0" w:color="auto"/>
          </w:divBdr>
        </w:div>
        <w:div w:id="1435634185">
          <w:marLeft w:val="0"/>
          <w:marRight w:val="0"/>
          <w:marTop w:val="0"/>
          <w:marBottom w:val="0"/>
          <w:divBdr>
            <w:top w:val="none" w:sz="0" w:space="0" w:color="auto"/>
            <w:left w:val="none" w:sz="0" w:space="0" w:color="auto"/>
            <w:bottom w:val="none" w:sz="0" w:space="0" w:color="auto"/>
            <w:right w:val="none" w:sz="0" w:space="0" w:color="auto"/>
          </w:divBdr>
        </w:div>
        <w:div w:id="187762532">
          <w:marLeft w:val="0"/>
          <w:marRight w:val="0"/>
          <w:marTop w:val="0"/>
          <w:marBottom w:val="0"/>
          <w:divBdr>
            <w:top w:val="none" w:sz="0" w:space="0" w:color="auto"/>
            <w:left w:val="none" w:sz="0" w:space="0" w:color="auto"/>
            <w:bottom w:val="none" w:sz="0" w:space="0" w:color="auto"/>
            <w:right w:val="none" w:sz="0" w:space="0" w:color="auto"/>
          </w:divBdr>
        </w:div>
        <w:div w:id="177433744">
          <w:marLeft w:val="0"/>
          <w:marRight w:val="0"/>
          <w:marTop w:val="0"/>
          <w:marBottom w:val="0"/>
          <w:divBdr>
            <w:top w:val="none" w:sz="0" w:space="0" w:color="auto"/>
            <w:left w:val="none" w:sz="0" w:space="0" w:color="auto"/>
            <w:bottom w:val="none" w:sz="0" w:space="0" w:color="auto"/>
            <w:right w:val="none" w:sz="0" w:space="0" w:color="auto"/>
          </w:divBdr>
        </w:div>
        <w:div w:id="1896963557">
          <w:marLeft w:val="0"/>
          <w:marRight w:val="0"/>
          <w:marTop w:val="0"/>
          <w:marBottom w:val="0"/>
          <w:divBdr>
            <w:top w:val="none" w:sz="0" w:space="0" w:color="auto"/>
            <w:left w:val="none" w:sz="0" w:space="0" w:color="auto"/>
            <w:bottom w:val="none" w:sz="0" w:space="0" w:color="auto"/>
            <w:right w:val="none" w:sz="0" w:space="0" w:color="auto"/>
          </w:divBdr>
        </w:div>
        <w:div w:id="1317956050">
          <w:marLeft w:val="0"/>
          <w:marRight w:val="0"/>
          <w:marTop w:val="0"/>
          <w:marBottom w:val="0"/>
          <w:divBdr>
            <w:top w:val="none" w:sz="0" w:space="0" w:color="auto"/>
            <w:left w:val="none" w:sz="0" w:space="0" w:color="auto"/>
            <w:bottom w:val="none" w:sz="0" w:space="0" w:color="auto"/>
            <w:right w:val="none" w:sz="0" w:space="0" w:color="auto"/>
          </w:divBdr>
        </w:div>
        <w:div w:id="1235045291">
          <w:marLeft w:val="0"/>
          <w:marRight w:val="0"/>
          <w:marTop w:val="0"/>
          <w:marBottom w:val="0"/>
          <w:divBdr>
            <w:top w:val="none" w:sz="0" w:space="0" w:color="auto"/>
            <w:left w:val="none" w:sz="0" w:space="0" w:color="auto"/>
            <w:bottom w:val="none" w:sz="0" w:space="0" w:color="auto"/>
            <w:right w:val="none" w:sz="0" w:space="0" w:color="auto"/>
          </w:divBdr>
        </w:div>
      </w:divsChild>
    </w:div>
    <w:div w:id="2099983687">
      <w:bodyDiv w:val="1"/>
      <w:marLeft w:val="0"/>
      <w:marRight w:val="0"/>
      <w:marTop w:val="0"/>
      <w:marBottom w:val="0"/>
      <w:divBdr>
        <w:top w:val="none" w:sz="0" w:space="0" w:color="auto"/>
        <w:left w:val="none" w:sz="0" w:space="0" w:color="auto"/>
        <w:bottom w:val="none" w:sz="0" w:space="0" w:color="auto"/>
        <w:right w:val="none" w:sz="0" w:space="0" w:color="auto"/>
      </w:divBdr>
      <w:divsChild>
        <w:div w:id="1665743826">
          <w:marLeft w:val="0"/>
          <w:marRight w:val="0"/>
          <w:marTop w:val="0"/>
          <w:marBottom w:val="0"/>
          <w:divBdr>
            <w:top w:val="none" w:sz="0" w:space="0" w:color="auto"/>
            <w:left w:val="none" w:sz="0" w:space="0" w:color="auto"/>
            <w:bottom w:val="none" w:sz="0" w:space="0" w:color="auto"/>
            <w:right w:val="none" w:sz="0" w:space="0" w:color="auto"/>
          </w:divBdr>
          <w:divsChild>
            <w:div w:id="694504512">
              <w:marLeft w:val="0"/>
              <w:marRight w:val="0"/>
              <w:marTop w:val="0"/>
              <w:marBottom w:val="0"/>
              <w:divBdr>
                <w:top w:val="none" w:sz="0" w:space="0" w:color="auto"/>
                <w:left w:val="none" w:sz="0" w:space="0" w:color="auto"/>
                <w:bottom w:val="none" w:sz="0" w:space="0" w:color="auto"/>
                <w:right w:val="none" w:sz="0" w:space="0" w:color="auto"/>
              </w:divBdr>
              <w:divsChild>
                <w:div w:id="171843083">
                  <w:marLeft w:val="0"/>
                  <w:marRight w:val="0"/>
                  <w:marTop w:val="0"/>
                  <w:marBottom w:val="0"/>
                  <w:divBdr>
                    <w:top w:val="none" w:sz="0" w:space="0" w:color="auto"/>
                    <w:left w:val="none" w:sz="0" w:space="0" w:color="auto"/>
                    <w:bottom w:val="none" w:sz="0" w:space="0" w:color="auto"/>
                    <w:right w:val="none" w:sz="0" w:space="0" w:color="auto"/>
                  </w:divBdr>
                  <w:divsChild>
                    <w:div w:id="1616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otia.ca/knowledge/home.aspx?productid=126" TargetMode="External"/><Relationship Id="rId13" Type="http://schemas.openxmlformats.org/officeDocument/2006/relationships/hyperlink" Target="https://www.knotia.ca/knowledge/home.aspx?productid=126" TargetMode="External"/><Relationship Id="rId18" Type="http://schemas.openxmlformats.org/officeDocument/2006/relationships/hyperlink" Target="https://www.knotia.ca/knowledge/home.aspx?productid=12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notia.ca/knowledge/home.aspx?productid=126" TargetMode="External"/><Relationship Id="rId17" Type="http://schemas.openxmlformats.org/officeDocument/2006/relationships/hyperlink" Target="https://www.knotia.ca/knowledge/home.aspx?productid=1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notia.ca/knowledge/home.aspx?productid=1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ocument.k5doc.loadDocumentByGotoString(126,%20'CAS%20220.A5',%200,%20null,%20false,%20221130911)"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knotia.ca/knowledge/home.aspx?productid=126" TargetMode="External"/><Relationship Id="rId23" Type="http://schemas.openxmlformats.org/officeDocument/2006/relationships/fontTable" Target="fontTable.xml"/><Relationship Id="rId10" Type="http://schemas.openxmlformats.org/officeDocument/2006/relationships/hyperlink" Target="javascript:document.k5doc.loadDocumentByGotoString(126,%20'CAS%20220.A76',%200,%20null,%20false,%20221130911)" TargetMode="External"/><Relationship Id="rId19" Type="http://schemas.openxmlformats.org/officeDocument/2006/relationships/hyperlink" Target="http://cmsprd.oag-bvg.gc.ca/intranet/audit/4389_ENC_HTML_PROD.shtm" TargetMode="External"/><Relationship Id="rId4" Type="http://schemas.openxmlformats.org/officeDocument/2006/relationships/settings" Target="settings.xml"/><Relationship Id="rId9" Type="http://schemas.openxmlformats.org/officeDocument/2006/relationships/hyperlink" Target="https://www.knotia.ca/knowledge/home.aspx?productid=126" TargetMode="External"/><Relationship Id="rId14" Type="http://schemas.openxmlformats.org/officeDocument/2006/relationships/hyperlink" Target="https://www.knotia.ca/knowledge/home.aspx?productid=126"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D2AE6A445049B79400CDCEC81F7A3A"/>
        <w:category>
          <w:name w:val="General"/>
          <w:gallery w:val="placeholder"/>
        </w:category>
        <w:types>
          <w:type w:val="bbPlcHdr"/>
        </w:types>
        <w:behaviors>
          <w:behavior w:val="content"/>
        </w:behaviors>
        <w:guid w:val="{E2AB2531-BFA2-4FE5-BBAA-EE832EBBEDF0}"/>
      </w:docPartPr>
      <w:docPartBody>
        <w:p w:rsidR="008603CD" w:rsidRDefault="0008511C" w:rsidP="0008511C">
          <w:pPr>
            <w:pStyle w:val="0ED2AE6A445049B79400CDCEC81F7A3A"/>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03"/>
    <w:rsid w:val="0008511C"/>
    <w:rsid w:val="008603CD"/>
    <w:rsid w:val="009D68FE"/>
    <w:rsid w:val="00AF0746"/>
    <w:rsid w:val="00B26703"/>
    <w:rsid w:val="00D9182F"/>
    <w:rsid w:val="00F75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11C"/>
    <w:rPr>
      <w:color w:val="808080"/>
    </w:rPr>
  </w:style>
  <w:style w:type="paragraph" w:customStyle="1" w:styleId="1656679721A94000942A7531F53ED00F">
    <w:name w:val="1656679721A94000942A7531F53ED00F"/>
    <w:rsid w:val="00B26703"/>
  </w:style>
  <w:style w:type="paragraph" w:customStyle="1" w:styleId="A8D1F44226954E5FA53B44B719C9F3F8">
    <w:name w:val="A8D1F44226954E5FA53B44B719C9F3F8"/>
    <w:rsid w:val="00F7534F"/>
  </w:style>
  <w:style w:type="paragraph" w:customStyle="1" w:styleId="0ED2AE6A445049B79400CDCEC81F7A3A">
    <w:name w:val="0ED2AE6A445049B79400CDCEC81F7A3A"/>
    <w:rsid w:val="00085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A7CE-7CB3-45CF-A95B-E51B3994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3023</Words>
  <Characters>17234</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Engagement Team Competency and Resource Assessment</vt:lpstr>
      <vt:lpstr>Engagement Team Competency and Resource Assessment</vt:lpstr>
    </vt:vector>
  </TitlesOfParts>
  <Company>OAG-BVG</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Team Competency and Resource Assessment</dc:title>
  <dc:subject>Engagement Team Competency and Resource Assessment</dc:subject>
  <dc:creator>OAG-BVG</dc:creator>
  <cp:lastModifiedBy>Martin, Anne-Marie</cp:lastModifiedBy>
  <cp:revision>3</cp:revision>
  <cp:lastPrinted>2012-01-17T19:29:00Z</cp:lastPrinted>
  <dcterms:created xsi:type="dcterms:W3CDTF">2023-05-29T15:03:00Z</dcterms:created>
  <dcterms:modified xsi:type="dcterms:W3CDTF">2023-05-29T15:04:00Z</dcterms:modified>
  <cp:category>Templates</cp:category>
  <cp:contentStatus>15539</cp:contentStatus>
</cp:coreProperties>
</file>