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09714" w14:textId="06ABC870" w:rsidR="004D00F4" w:rsidRPr="00444D6A" w:rsidRDefault="00294261" w:rsidP="004D00F4">
      <w:pPr>
        <w:pStyle w:val="Title"/>
        <w:rPr>
          <w:rFonts w:asciiTheme="minorHAnsi" w:hAnsiTheme="minorHAnsi" w:cstheme="minorHAnsi"/>
          <w:b/>
          <w:lang w:val="fr-CA"/>
        </w:rPr>
      </w:pPr>
      <w:r w:rsidRPr="00444D6A">
        <w:rPr>
          <w:rFonts w:asciiTheme="minorHAnsi" w:hAnsiTheme="minorHAnsi" w:cstheme="minorHAnsi"/>
          <w:noProof/>
          <w:lang w:eastAsia="en-CA"/>
        </w:rPr>
        <mc:AlternateContent>
          <mc:Choice Requires="wps">
            <w:drawing>
              <wp:anchor distT="0" distB="0" distL="114300" distR="114300" simplePos="0" relativeHeight="251659264" behindDoc="0" locked="0" layoutInCell="1" allowOverlap="1" wp14:anchorId="4FB67AC8" wp14:editId="26912612">
                <wp:simplePos x="0" y="0"/>
                <wp:positionH relativeFrom="margin">
                  <wp:align>left</wp:align>
                </wp:positionH>
                <wp:positionV relativeFrom="paragraph">
                  <wp:posOffset>-723900</wp:posOffset>
                </wp:positionV>
                <wp:extent cx="3017520" cy="717452"/>
                <wp:effectExtent l="0" t="0" r="0" b="698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17452"/>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6AE5B" w14:textId="77777777" w:rsidR="00196715" w:rsidRPr="007F4F61" w:rsidRDefault="00196715" w:rsidP="00294261">
                            <w:pPr>
                              <w:ind w:right="-720"/>
                              <w:rPr>
                                <w:rFonts w:cs="Arial"/>
                                <w:sz w:val="16"/>
                                <w:szCs w:val="16"/>
                                <w:lang w:val="fr-CA"/>
                              </w:rPr>
                            </w:pPr>
                            <w:r w:rsidRPr="007F4F61">
                              <w:rPr>
                                <w:rFonts w:cs="Arial"/>
                                <w:sz w:val="16"/>
                                <w:szCs w:val="16"/>
                                <w:lang w:val="fr-CA"/>
                              </w:rPr>
                              <w:t xml:space="preserve">Rapport au Comité de vérification — </w:t>
                            </w:r>
                            <w:r>
                              <w:rPr>
                                <w:rFonts w:cs="Arial"/>
                                <w:sz w:val="16"/>
                                <w:szCs w:val="16"/>
                                <w:lang w:val="fr-CA"/>
                              </w:rPr>
                              <w:t>Guide de l’utilisateur pour la rédaction des Résultats de l’audit</w:t>
                            </w:r>
                          </w:p>
                          <w:p w14:paraId="719BAA6E" w14:textId="1A742F2F" w:rsidR="00196715" w:rsidRPr="007F4F61" w:rsidRDefault="00A046B7" w:rsidP="00294261">
                            <w:pPr>
                              <w:ind w:right="-720"/>
                              <w:rPr>
                                <w:rFonts w:cs="Arial"/>
                                <w:sz w:val="16"/>
                                <w:szCs w:val="16"/>
                                <w:lang w:val="fr-CA"/>
                              </w:rPr>
                            </w:pPr>
                            <w:r>
                              <w:rPr>
                                <w:rFonts w:cs="Arial"/>
                                <w:sz w:val="16"/>
                                <w:szCs w:val="16"/>
                                <w:lang w:val="fr-CA"/>
                              </w:rPr>
                              <w:t>févr</w:t>
                            </w:r>
                            <w:r w:rsidR="005866FA">
                              <w:rPr>
                                <w:rFonts w:cs="Arial"/>
                                <w:sz w:val="16"/>
                                <w:szCs w:val="16"/>
                                <w:lang w:val="fr-CA"/>
                              </w:rPr>
                              <w:t>.</w:t>
                            </w:r>
                            <w:r w:rsidR="00811D18">
                              <w:rPr>
                                <w:rFonts w:cs="Arial"/>
                                <w:sz w:val="16"/>
                                <w:szCs w:val="16"/>
                                <w:lang w:val="fr-CA"/>
                              </w:rPr>
                              <w:t>-</w:t>
                            </w:r>
                            <w:r w:rsidR="00196715" w:rsidRPr="007F4F61">
                              <w:rPr>
                                <w:rFonts w:cs="Arial"/>
                                <w:sz w:val="16"/>
                                <w:szCs w:val="16"/>
                                <w:lang w:val="fr-CA"/>
                              </w:rPr>
                              <w:t>20</w:t>
                            </w:r>
                            <w:r w:rsidR="00196715">
                              <w:rPr>
                                <w:rFonts w:cs="Arial"/>
                                <w:sz w:val="16"/>
                                <w:szCs w:val="16"/>
                                <w:lang w:val="fr-CA"/>
                              </w:rPr>
                              <w:t>2</w:t>
                            </w:r>
                            <w:r w:rsidR="005866FA">
                              <w:rPr>
                                <w:rFonts w:cs="Arial"/>
                                <w:sz w:val="16"/>
                                <w:szCs w:val="16"/>
                                <w:lang w:val="fr-CA"/>
                              </w:rPr>
                              <w:t>3</w:t>
                            </w:r>
                          </w:p>
                          <w:p w14:paraId="7BE621D6" w14:textId="77777777" w:rsidR="00196715" w:rsidRPr="007F4F61" w:rsidRDefault="00196715" w:rsidP="00294261">
                            <w:pPr>
                              <w:ind w:right="-720"/>
                              <w:rPr>
                                <w:rFonts w:cs="Arial"/>
                                <w:sz w:val="16"/>
                                <w:szCs w:val="16"/>
                                <w:lang w:val="fr-CA"/>
                              </w:rPr>
                            </w:pPr>
                            <w:r w:rsidRPr="007F4F61">
                              <w:rPr>
                                <w:rFonts w:cs="Arial"/>
                                <w:sz w:val="16"/>
                                <w:szCs w:val="16"/>
                                <w:lang w:val="fr-CA"/>
                              </w:rPr>
                              <w:t>Propriétaire du modèle : Services d’audit</w:t>
                            </w:r>
                          </w:p>
                          <w:p w14:paraId="46AD13E4" w14:textId="77777777" w:rsidR="00196715" w:rsidRPr="007F4F61" w:rsidRDefault="00196715" w:rsidP="00294261">
                            <w:pPr>
                              <w:ind w:right="-720"/>
                              <w:rPr>
                                <w:rFonts w:cs="Arial"/>
                                <w:sz w:val="16"/>
                                <w:szCs w:val="16"/>
                                <w:lang w:val="fr-CA"/>
                              </w:rPr>
                            </w:pPr>
                            <w:r w:rsidRPr="007F4F61">
                              <w:rPr>
                                <w:rFonts w:cs="Arial"/>
                                <w:sz w:val="16"/>
                                <w:szCs w:val="16"/>
                                <w:lang w:val="fr-CA"/>
                              </w:rPr>
                              <w:t>Mis à jour par : Création et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67AC8" id="_x0000_t202" coordsize="21600,21600" o:spt="202" path="m,l,21600r21600,l21600,xe">
                <v:stroke joinstyle="miter"/>
                <v:path gradientshapeok="t" o:connecttype="rect"/>
              </v:shapetype>
              <v:shape id="Text Box 8" o:spid="_x0000_s1026" type="#_x0000_t202" style="position:absolute;margin-left:0;margin-top:-57pt;width:237.6pt;height:5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" fillcolor="#f2f2f2" stroked="f">
                <v:textbox>
                  <w:txbxContent>
                    <w:p w14:paraId="4B46AE5B" w14:textId="77777777" w:rsidR="00196715" w:rsidRPr="007F4F61" w:rsidRDefault="00196715" w:rsidP="00294261">
                      <w:pPr>
                        <w:ind w:right="-720"/>
                        <w:rPr>
                          <w:rFonts w:cs="Arial"/>
                          <w:sz w:val="16"/>
                          <w:szCs w:val="16"/>
                          <w:lang w:val="fr-CA"/>
                        </w:rPr>
                      </w:pPr>
                      <w:r w:rsidRPr="007F4F61">
                        <w:rPr>
                          <w:rFonts w:cs="Arial"/>
                          <w:sz w:val="16"/>
                          <w:szCs w:val="16"/>
                          <w:lang w:val="fr-CA"/>
                        </w:rPr>
                        <w:t xml:space="preserve">Rapport au Comité de vérification — </w:t>
                      </w:r>
                      <w:r>
                        <w:rPr>
                          <w:rFonts w:cs="Arial"/>
                          <w:sz w:val="16"/>
                          <w:szCs w:val="16"/>
                          <w:lang w:val="fr-CA"/>
                        </w:rPr>
                        <w:t>Guide de l’utilisateur pour la rédaction des Résultats de l’audit</w:t>
                      </w:r>
                    </w:p>
                    <w:p w14:paraId="719BAA6E" w14:textId="1A742F2F" w:rsidR="00196715" w:rsidRPr="007F4F61" w:rsidRDefault="00A046B7" w:rsidP="00294261">
                      <w:pPr>
                        <w:ind w:right="-720"/>
                        <w:rPr>
                          <w:rFonts w:cs="Arial"/>
                          <w:sz w:val="16"/>
                          <w:szCs w:val="16"/>
                          <w:lang w:val="fr-CA"/>
                        </w:rPr>
                      </w:pPr>
                      <w:r>
                        <w:rPr>
                          <w:rFonts w:cs="Arial"/>
                          <w:sz w:val="16"/>
                          <w:szCs w:val="16"/>
                          <w:lang w:val="fr-CA"/>
                        </w:rPr>
                        <w:t>févr</w:t>
                      </w:r>
                      <w:r w:rsidR="005866FA">
                        <w:rPr>
                          <w:rFonts w:cs="Arial"/>
                          <w:sz w:val="16"/>
                          <w:szCs w:val="16"/>
                          <w:lang w:val="fr-CA"/>
                        </w:rPr>
                        <w:t>.</w:t>
                      </w:r>
                      <w:r w:rsidR="00811D18">
                        <w:rPr>
                          <w:rFonts w:cs="Arial"/>
                          <w:sz w:val="16"/>
                          <w:szCs w:val="16"/>
                          <w:lang w:val="fr-CA"/>
                        </w:rPr>
                        <w:t>-</w:t>
                      </w:r>
                      <w:r w:rsidR="00196715" w:rsidRPr="007F4F61">
                        <w:rPr>
                          <w:rFonts w:cs="Arial"/>
                          <w:sz w:val="16"/>
                          <w:szCs w:val="16"/>
                          <w:lang w:val="fr-CA"/>
                        </w:rPr>
                        <w:t>20</w:t>
                      </w:r>
                      <w:r w:rsidR="00196715">
                        <w:rPr>
                          <w:rFonts w:cs="Arial"/>
                          <w:sz w:val="16"/>
                          <w:szCs w:val="16"/>
                          <w:lang w:val="fr-CA"/>
                        </w:rPr>
                        <w:t>2</w:t>
                      </w:r>
                      <w:r w:rsidR="005866FA">
                        <w:rPr>
                          <w:rFonts w:cs="Arial"/>
                          <w:sz w:val="16"/>
                          <w:szCs w:val="16"/>
                          <w:lang w:val="fr-CA"/>
                        </w:rPr>
                        <w:t>3</w:t>
                      </w:r>
                    </w:p>
                    <w:p w14:paraId="7BE621D6" w14:textId="77777777" w:rsidR="00196715" w:rsidRPr="007F4F61" w:rsidRDefault="00196715" w:rsidP="00294261">
                      <w:pPr>
                        <w:ind w:right="-720"/>
                        <w:rPr>
                          <w:rFonts w:cs="Arial"/>
                          <w:sz w:val="16"/>
                          <w:szCs w:val="16"/>
                          <w:lang w:val="fr-CA"/>
                        </w:rPr>
                      </w:pPr>
                      <w:r w:rsidRPr="007F4F61">
                        <w:rPr>
                          <w:rFonts w:cs="Arial"/>
                          <w:sz w:val="16"/>
                          <w:szCs w:val="16"/>
                          <w:lang w:val="fr-CA"/>
                        </w:rPr>
                        <w:t>Propriétaire du modèle : Services d’audit</w:t>
                      </w:r>
                    </w:p>
                    <w:p w14:paraId="46AD13E4" w14:textId="77777777" w:rsidR="00196715" w:rsidRPr="007F4F61" w:rsidRDefault="00196715" w:rsidP="00294261">
                      <w:pPr>
                        <w:ind w:right="-720"/>
                        <w:rPr>
                          <w:rFonts w:cs="Arial"/>
                          <w:sz w:val="16"/>
                          <w:szCs w:val="16"/>
                          <w:lang w:val="fr-CA"/>
                        </w:rPr>
                      </w:pPr>
                      <w:r w:rsidRPr="007F4F61">
                        <w:rPr>
                          <w:rFonts w:cs="Arial"/>
                          <w:sz w:val="16"/>
                          <w:szCs w:val="16"/>
                          <w:lang w:val="fr-CA"/>
                        </w:rPr>
                        <w:t>Mis à jour par : Création et publication</w:t>
                      </w:r>
                    </w:p>
                  </w:txbxContent>
                </v:textbox>
                <w10:wrap anchorx="margin"/>
              </v:shape>
            </w:pict>
          </mc:Fallback>
        </mc:AlternateContent>
      </w:r>
      <w:r w:rsidR="00401DCA" w:rsidRPr="00444D6A">
        <w:rPr>
          <w:rFonts w:asciiTheme="minorHAnsi" w:hAnsiTheme="minorHAnsi" w:cstheme="minorHAnsi"/>
          <w:b/>
          <w:lang w:val="fr-CA"/>
        </w:rPr>
        <w:t>Rapport au Comité de vérification – Guide de l’utilisateur pour la rédaction d</w:t>
      </w:r>
      <w:r w:rsidR="00222C77" w:rsidRPr="00444D6A">
        <w:rPr>
          <w:rFonts w:asciiTheme="minorHAnsi" w:hAnsiTheme="minorHAnsi" w:cstheme="minorHAnsi"/>
          <w:b/>
          <w:lang w:val="fr-CA"/>
        </w:rPr>
        <w:t>es Résultats de l’audit</w:t>
      </w:r>
      <w:r w:rsidR="000B28B3" w:rsidRPr="00444D6A">
        <w:rPr>
          <w:rFonts w:asciiTheme="minorHAnsi" w:hAnsiTheme="minorHAnsi" w:cstheme="minorHAnsi"/>
          <w:b/>
          <w:lang w:val="fr-CA"/>
        </w:rPr>
        <w:t xml:space="preserve"> annuel</w:t>
      </w:r>
    </w:p>
    <w:p w14:paraId="4690B3BB" w14:textId="5DD9E998" w:rsidR="004D00F4" w:rsidRPr="00643955" w:rsidRDefault="00401DCA" w:rsidP="004D00F4">
      <w:pPr>
        <w:pStyle w:val="Para"/>
        <w:spacing w:before="0"/>
        <w:rPr>
          <w:b/>
        </w:rPr>
      </w:pPr>
      <w:r w:rsidRPr="00643955">
        <w:rPr>
          <w:b/>
        </w:rPr>
        <w:t>Le présent guide contient des instructions pour la préparation d</w:t>
      </w:r>
      <w:r w:rsidR="00C56D9F">
        <w:rPr>
          <w:b/>
        </w:rPr>
        <w:t>es Résultats de l’audit</w:t>
      </w:r>
      <w:r w:rsidRPr="00643955">
        <w:rPr>
          <w:b/>
        </w:rPr>
        <w:t xml:space="preserve">, qui fait partie du Rapport au Comité de vérification. Il est fortement recommandé de le consulter en même temps que le modèle du </w:t>
      </w:r>
      <w:hyperlink r:id="rId7" w:history="1">
        <w:r w:rsidRPr="00356E8C">
          <w:rPr>
            <w:rStyle w:val="Hyperlink"/>
            <w:b/>
          </w:rPr>
          <w:t>Rapport au Comité de vérification</w:t>
        </w:r>
      </w:hyperlink>
      <w:r w:rsidRPr="00643955">
        <w:rPr>
          <w:b/>
        </w:rPr>
        <w:t>.</w:t>
      </w:r>
    </w:p>
    <w:p w14:paraId="384BE221" w14:textId="77777777" w:rsidR="004D00F4" w:rsidRPr="00643955" w:rsidRDefault="00401DCA" w:rsidP="004D00F4">
      <w:pPr>
        <w:pStyle w:val="Para"/>
        <w:rPr>
          <w:b/>
        </w:rPr>
      </w:pPr>
      <w:r w:rsidRPr="00643955">
        <w:rPr>
          <w:b/>
        </w:rPr>
        <w:t>Note aux équipes :</w:t>
      </w:r>
    </w:p>
    <w:p w14:paraId="522ED39E" w14:textId="131A3C47" w:rsidR="004D00F4" w:rsidRPr="00687C28" w:rsidRDefault="00401DCA" w:rsidP="00401DCA">
      <w:pPr>
        <w:pStyle w:val="ParaList1"/>
      </w:pPr>
      <w:r w:rsidRPr="00687C28">
        <w:t xml:space="preserve">Conformément aux exigences en matière de communication de la NCA 260, l’auditeur doit préparer </w:t>
      </w:r>
      <w:r w:rsidR="000E27D0">
        <w:t>le</w:t>
      </w:r>
      <w:r w:rsidRPr="00687C28">
        <w:t xml:space="preserve"> </w:t>
      </w:r>
      <w:r w:rsidR="000E27D0">
        <w:t>R</w:t>
      </w:r>
      <w:r w:rsidRPr="00687C28">
        <w:t xml:space="preserve">apport </w:t>
      </w:r>
      <w:r w:rsidR="000E27D0">
        <w:t xml:space="preserve">au Comité de vérification </w:t>
      </w:r>
      <w:r w:rsidRPr="00687C28">
        <w:t xml:space="preserve">en </w:t>
      </w:r>
      <w:r w:rsidR="000E27D0">
        <w:t>utilisant le</w:t>
      </w:r>
      <w:r w:rsidRPr="00687C28">
        <w:t xml:space="preserve"> modèle </w:t>
      </w:r>
      <w:r w:rsidR="000E27D0">
        <w:t xml:space="preserve">du Rapport au Comité de vérification </w:t>
      </w:r>
      <w:r w:rsidRPr="00687C28">
        <w:t>et le présenter aux respon</w:t>
      </w:r>
      <w:r w:rsidR="00A30208" w:rsidRPr="00687C28">
        <w:t>sables de la gouvernance</w:t>
      </w:r>
      <w:r w:rsidR="00687C28" w:rsidRPr="00687C28">
        <w:t xml:space="preserve"> (c</w:t>
      </w:r>
      <w:r w:rsidRPr="00687C28">
        <w:t>omité de vérification ou</w:t>
      </w:r>
      <w:r w:rsidR="00687C28" w:rsidRPr="00687C28">
        <w:t xml:space="preserve"> toute autre</w:t>
      </w:r>
      <w:r w:rsidRPr="00687C28">
        <w:t xml:space="preserve"> personne physique ou morale ayant la responsabilité de surveiller l’orientation stratégique de l’entité et l’exécution de ses obligations en m</w:t>
      </w:r>
      <w:r w:rsidR="00687C28" w:rsidRPr="00687C28">
        <w:t>atière de reddition de comptes –</w:t>
      </w:r>
      <w:r w:rsidRPr="00687C28">
        <w:t xml:space="preserve"> NCA 260.10). S’il ne convient pas d’adresser le rapport au </w:t>
      </w:r>
      <w:r w:rsidR="00687C28" w:rsidRPr="00687C28">
        <w:t>c</w:t>
      </w:r>
      <w:r w:rsidRPr="00687C28">
        <w:t xml:space="preserve">omité de vérification ou, le cas échéant, au </w:t>
      </w:r>
      <w:r w:rsidR="00687C28" w:rsidRPr="00687C28">
        <w:t>c</w:t>
      </w:r>
      <w:r w:rsidRPr="00687C28">
        <w:t xml:space="preserve">omité ministériel de vérification, il faut déterminer le ou les responsables au sein de la structure de gouvernance de l’entité auditée à qui sera destiné le rapport et modifier le </w:t>
      </w:r>
      <w:r w:rsidR="000E27D0">
        <w:t xml:space="preserve">texte du </w:t>
      </w:r>
      <w:r w:rsidRPr="00687C28">
        <w:t>modèle en conséquence.</w:t>
      </w:r>
    </w:p>
    <w:p w14:paraId="6979471D" w14:textId="2B5EA477" w:rsidR="004D00F4" w:rsidRPr="00643955" w:rsidRDefault="00401DCA" w:rsidP="00401DCA">
      <w:pPr>
        <w:pStyle w:val="ParaList1"/>
      </w:pPr>
      <w:r w:rsidRPr="00643955">
        <w:t xml:space="preserve">Le modèle du Rapport au Comité de vérification doit servir de </w:t>
      </w:r>
      <w:r w:rsidRPr="00643955">
        <w:rPr>
          <w:b/>
        </w:rPr>
        <w:t>guide uniquement</w:t>
      </w:r>
      <w:r w:rsidRPr="00643955">
        <w:t>. Il a été préparé en langage clair et le ton a été choisi en conséquence. Tout ajout doit être rédigé dans le même style.</w:t>
      </w:r>
    </w:p>
    <w:p w14:paraId="6CAA00E5" w14:textId="77777777" w:rsidR="004D00F4" w:rsidRPr="00643955" w:rsidRDefault="00401DCA" w:rsidP="00401DCA">
      <w:pPr>
        <w:pStyle w:val="ParaList1"/>
      </w:pPr>
      <w:r w:rsidRPr="00643955">
        <w:t>Le texte est formaté en Microsoft Word. Si vous éprouvez des problèmes techniques avec le modèle, veuillez contacter le Service d’éditique et publications.</w:t>
      </w:r>
    </w:p>
    <w:p w14:paraId="50F13778" w14:textId="77777777" w:rsidR="004D00F4" w:rsidRPr="00643955" w:rsidRDefault="00401DCA" w:rsidP="00401DCA">
      <w:pPr>
        <w:pStyle w:val="ParaList1"/>
      </w:pPr>
      <w:r w:rsidRPr="00643955">
        <w:t>Ce guide ainsi que le modèle contiennent du texte entre [</w:t>
      </w:r>
      <w:r w:rsidRPr="00643955">
        <w:rPr>
          <w:color w:val="0000FF"/>
        </w:rPr>
        <w:t>crochets</w:t>
      </w:r>
      <w:r w:rsidRPr="00643955">
        <w:t xml:space="preserve">]. Il s’agit d’instructions ou de texte devant être modifié ou supprimé. La version finale du </w:t>
      </w:r>
      <w:r w:rsidRPr="00643955">
        <w:rPr>
          <w:b/>
        </w:rPr>
        <w:t>Rapport au Comité de vérification</w:t>
      </w:r>
      <w:r w:rsidRPr="00643955">
        <w:t xml:space="preserve"> ne devrait contenir aucun texte entre crochets ni de texte en bleu. De plus, tous les encadrés rouges ou verts du modèle (indiquant ce qui est « obligatoire » ou « facultatif ») doivent également être supprimés du modèle une fois le Rapport au Comité de vérification terminé.</w:t>
      </w:r>
    </w:p>
    <w:p w14:paraId="50E9CE2F" w14:textId="77777777" w:rsidR="004D00F4" w:rsidRPr="00643955" w:rsidRDefault="00401DCA" w:rsidP="00401DCA">
      <w:pPr>
        <w:pStyle w:val="ParaList1"/>
        <w:sectPr w:rsidR="004D00F4" w:rsidRPr="00643955" w:rsidSect="00F5295E">
          <w:headerReference w:type="default" r:id="rId8"/>
          <w:footerReference w:type="even" r:id="rId9"/>
          <w:headerReference w:type="first" r:id="rId10"/>
          <w:footerReference w:type="first" r:id="rId11"/>
          <w:type w:val="oddPage"/>
          <w:pgSz w:w="12240" w:h="15840" w:code="1"/>
          <w:pgMar w:top="1440" w:right="1440" w:bottom="1440" w:left="1440" w:header="706" w:footer="706" w:gutter="0"/>
          <w:cols w:space="708"/>
          <w:titlePg/>
          <w:docGrid w:linePitch="360"/>
        </w:sectPr>
      </w:pPr>
      <w:r w:rsidRPr="00643955">
        <w:rPr>
          <w:b/>
        </w:rPr>
        <w:t xml:space="preserve">À part les sections exigées par les normes et identifiées comme étant obligatoires, le contenu du rapport doit être modifié selon le jugement professionnel </w:t>
      </w:r>
      <w:r w:rsidRPr="00643955">
        <w:t>des membres de l’équipe d’audit afin qu’il réponde le mieux possible aux besoins des membres du Comité de vérification en matière d’information. C’est l’auditeur qui connaît le mieux les destinataires du rapport et qui peut le mieux l’adapter en conséquence.</w:t>
      </w:r>
    </w:p>
    <w:sdt>
      <w:sdtPr>
        <w:rPr>
          <w:rFonts w:ascii="Arial" w:hAnsi="Arial"/>
          <w:b w:val="0"/>
          <w:color w:val="auto"/>
          <w:sz w:val="22"/>
          <w:szCs w:val="22"/>
          <w:lang w:val="fr-CA"/>
        </w:rPr>
        <w:id w:val="-572280970"/>
        <w:docPartObj>
          <w:docPartGallery w:val="Table of Contents"/>
          <w:docPartUnique/>
        </w:docPartObj>
      </w:sdtPr>
      <w:sdtEndPr>
        <w:rPr>
          <w:bCs/>
          <w:noProof/>
        </w:rPr>
      </w:sdtEndPr>
      <w:sdtContent>
        <w:p w14:paraId="3497C7E0" w14:textId="77777777" w:rsidR="004D00F4" w:rsidRPr="00643955" w:rsidRDefault="006B3760" w:rsidP="004D00F4">
          <w:pPr>
            <w:pStyle w:val="TOCHeading"/>
            <w:spacing w:after="240"/>
            <w:rPr>
              <w:lang w:val="fr-CA"/>
            </w:rPr>
          </w:pPr>
          <w:r w:rsidRPr="00643955">
            <w:rPr>
              <w:lang w:val="fr-CA"/>
            </w:rPr>
            <w:t>Table des matières</w:t>
          </w:r>
        </w:p>
        <w:p w14:paraId="3029ED17" w14:textId="77777777" w:rsidR="00444D6A" w:rsidRDefault="004D00F4">
          <w:pPr>
            <w:pStyle w:val="TOC1"/>
            <w:rPr>
              <w:rFonts w:asciiTheme="minorHAnsi" w:eastAsiaTheme="minorEastAsia" w:hAnsiTheme="minorHAnsi" w:cstheme="minorBidi"/>
              <w:b w:val="0"/>
              <w:noProof/>
              <w:lang w:eastAsia="en-CA"/>
            </w:rPr>
          </w:pPr>
          <w:r w:rsidRPr="00643955">
            <w:rPr>
              <w:bCs/>
              <w:noProof/>
              <w:lang w:val="fr-CA"/>
            </w:rPr>
            <w:fldChar w:fldCharType="begin"/>
          </w:r>
          <w:r w:rsidRPr="00643955">
            <w:rPr>
              <w:bCs/>
              <w:noProof/>
              <w:lang w:val="fr-CA"/>
            </w:rPr>
            <w:instrText xml:space="preserve"> TOC \o "1-3" \h \z \u </w:instrText>
          </w:r>
          <w:r w:rsidRPr="00643955">
            <w:rPr>
              <w:bCs/>
              <w:noProof/>
              <w:lang w:val="fr-CA"/>
            </w:rPr>
            <w:fldChar w:fldCharType="separate"/>
          </w:r>
          <w:hyperlink w:anchor="_Toc102133488" w:history="1">
            <w:r w:rsidR="00444D6A" w:rsidRPr="006B1E3F">
              <w:rPr>
                <w:rStyle w:val="Hyperlink"/>
                <w:noProof/>
                <w:lang w:val="fr-CA"/>
              </w:rPr>
              <w:t>Questions d’audit, de comptabilité et d’information financière importantes</w:t>
            </w:r>
            <w:r w:rsidR="00444D6A">
              <w:rPr>
                <w:noProof/>
                <w:webHidden/>
              </w:rPr>
              <w:tab/>
            </w:r>
            <w:r w:rsidR="00444D6A">
              <w:rPr>
                <w:noProof/>
                <w:webHidden/>
              </w:rPr>
              <w:fldChar w:fldCharType="begin"/>
            </w:r>
            <w:r w:rsidR="00444D6A">
              <w:rPr>
                <w:noProof/>
                <w:webHidden/>
              </w:rPr>
              <w:instrText xml:space="preserve"> PAGEREF _Toc102133488 \h </w:instrText>
            </w:r>
            <w:r w:rsidR="00444D6A">
              <w:rPr>
                <w:noProof/>
                <w:webHidden/>
              </w:rPr>
            </w:r>
            <w:r w:rsidR="00444D6A">
              <w:rPr>
                <w:noProof/>
                <w:webHidden/>
              </w:rPr>
              <w:fldChar w:fldCharType="separate"/>
            </w:r>
            <w:r w:rsidR="00444D6A">
              <w:rPr>
                <w:noProof/>
                <w:webHidden/>
              </w:rPr>
              <w:t>5</w:t>
            </w:r>
            <w:r w:rsidR="00444D6A">
              <w:rPr>
                <w:noProof/>
                <w:webHidden/>
              </w:rPr>
              <w:fldChar w:fldCharType="end"/>
            </w:r>
          </w:hyperlink>
        </w:p>
        <w:p w14:paraId="53794AE5" w14:textId="77777777" w:rsidR="00444D6A" w:rsidRDefault="00E937B4">
          <w:pPr>
            <w:pStyle w:val="TOC2"/>
            <w:tabs>
              <w:tab w:val="right" w:leader="dot" w:pos="9350"/>
            </w:tabs>
            <w:rPr>
              <w:rFonts w:asciiTheme="minorHAnsi" w:eastAsiaTheme="minorEastAsia" w:hAnsiTheme="minorHAnsi" w:cstheme="minorBidi"/>
              <w:noProof/>
              <w:lang w:eastAsia="en-CA"/>
            </w:rPr>
          </w:pPr>
          <w:hyperlink w:anchor="_Toc102133489" w:history="1">
            <w:r w:rsidR="00444D6A" w:rsidRPr="006B1E3F">
              <w:rPr>
                <w:rStyle w:val="Hyperlink"/>
                <w:noProof/>
                <w:lang w:val="fr-CA"/>
              </w:rPr>
              <w:t xml:space="preserve">Mise en œuvre </w:t>
            </w:r>
            <w:r w:rsidR="00444D6A" w:rsidRPr="006B1E3F">
              <w:rPr>
                <w:rStyle w:val="Hyperlink"/>
                <w:rFonts w:cs="Arial"/>
                <w:noProof/>
                <w:lang w:val="fr-CA"/>
              </w:rPr>
              <w:t xml:space="preserve">[de </w:t>
            </w:r>
            <w:r w:rsidR="00444D6A" w:rsidRPr="006B1E3F">
              <w:rPr>
                <w:rStyle w:val="Hyperlink"/>
                <w:noProof/>
                <w:lang w:val="fr-CA"/>
              </w:rPr>
              <w:t>nouveaux systèmes de technologie de l’information / de l’automatisation de processus par la robotique / d’une technologie</w:t>
            </w:r>
            <w:r w:rsidR="00444D6A" w:rsidRPr="006B1E3F">
              <w:rPr>
                <w:rStyle w:val="Hyperlink"/>
                <w:rFonts w:cs="Arial"/>
                <w:noProof/>
                <w:lang w:val="fr-CA"/>
              </w:rPr>
              <w:t>]</w:t>
            </w:r>
            <w:r w:rsidR="00444D6A">
              <w:rPr>
                <w:noProof/>
                <w:webHidden/>
              </w:rPr>
              <w:tab/>
            </w:r>
            <w:r w:rsidR="00444D6A">
              <w:rPr>
                <w:noProof/>
                <w:webHidden/>
              </w:rPr>
              <w:fldChar w:fldCharType="begin"/>
            </w:r>
            <w:r w:rsidR="00444D6A">
              <w:rPr>
                <w:noProof/>
                <w:webHidden/>
              </w:rPr>
              <w:instrText xml:space="preserve"> PAGEREF _Toc102133489 \h </w:instrText>
            </w:r>
            <w:r w:rsidR="00444D6A">
              <w:rPr>
                <w:noProof/>
                <w:webHidden/>
              </w:rPr>
            </w:r>
            <w:r w:rsidR="00444D6A">
              <w:rPr>
                <w:noProof/>
                <w:webHidden/>
              </w:rPr>
              <w:fldChar w:fldCharType="separate"/>
            </w:r>
            <w:r w:rsidR="00444D6A">
              <w:rPr>
                <w:noProof/>
                <w:webHidden/>
              </w:rPr>
              <w:t>5</w:t>
            </w:r>
            <w:r w:rsidR="00444D6A">
              <w:rPr>
                <w:noProof/>
                <w:webHidden/>
              </w:rPr>
              <w:fldChar w:fldCharType="end"/>
            </w:r>
          </w:hyperlink>
        </w:p>
        <w:p w14:paraId="6F3B0E3A" w14:textId="77777777" w:rsidR="00444D6A" w:rsidRDefault="00E937B4">
          <w:pPr>
            <w:pStyle w:val="TOC2"/>
            <w:tabs>
              <w:tab w:val="right" w:leader="dot" w:pos="9350"/>
            </w:tabs>
            <w:rPr>
              <w:rFonts w:asciiTheme="minorHAnsi" w:eastAsiaTheme="minorEastAsia" w:hAnsiTheme="minorHAnsi" w:cstheme="minorBidi"/>
              <w:noProof/>
              <w:lang w:eastAsia="en-CA"/>
            </w:rPr>
          </w:pPr>
          <w:hyperlink w:anchor="_Toc102133490" w:history="1">
            <w:r w:rsidR="00444D6A" w:rsidRPr="006B1E3F">
              <w:rPr>
                <w:rStyle w:val="Hyperlink"/>
                <w:noProof/>
                <w:lang w:val="fr-CA"/>
              </w:rPr>
              <w:t>Continuité de l’exploitation et clauses restrictives</w:t>
            </w:r>
            <w:r w:rsidR="00444D6A">
              <w:rPr>
                <w:noProof/>
                <w:webHidden/>
              </w:rPr>
              <w:tab/>
            </w:r>
            <w:r w:rsidR="00444D6A">
              <w:rPr>
                <w:noProof/>
                <w:webHidden/>
              </w:rPr>
              <w:fldChar w:fldCharType="begin"/>
            </w:r>
            <w:r w:rsidR="00444D6A">
              <w:rPr>
                <w:noProof/>
                <w:webHidden/>
              </w:rPr>
              <w:instrText xml:space="preserve"> PAGEREF _Toc102133490 \h </w:instrText>
            </w:r>
            <w:r w:rsidR="00444D6A">
              <w:rPr>
                <w:noProof/>
                <w:webHidden/>
              </w:rPr>
            </w:r>
            <w:r w:rsidR="00444D6A">
              <w:rPr>
                <w:noProof/>
                <w:webHidden/>
              </w:rPr>
              <w:fldChar w:fldCharType="separate"/>
            </w:r>
            <w:r w:rsidR="00444D6A">
              <w:rPr>
                <w:noProof/>
                <w:webHidden/>
              </w:rPr>
              <w:t>5</w:t>
            </w:r>
            <w:r w:rsidR="00444D6A">
              <w:rPr>
                <w:noProof/>
                <w:webHidden/>
              </w:rPr>
              <w:fldChar w:fldCharType="end"/>
            </w:r>
          </w:hyperlink>
        </w:p>
        <w:p w14:paraId="479DBB82" w14:textId="77777777" w:rsidR="00444D6A" w:rsidRDefault="00E937B4">
          <w:pPr>
            <w:pStyle w:val="TOC2"/>
            <w:tabs>
              <w:tab w:val="right" w:leader="dot" w:pos="9350"/>
            </w:tabs>
            <w:rPr>
              <w:rFonts w:asciiTheme="minorHAnsi" w:eastAsiaTheme="minorEastAsia" w:hAnsiTheme="minorHAnsi" w:cstheme="minorBidi"/>
              <w:noProof/>
              <w:lang w:eastAsia="en-CA"/>
            </w:rPr>
          </w:pPr>
          <w:hyperlink w:anchor="_Toc102133491" w:history="1">
            <w:r w:rsidR="00444D6A" w:rsidRPr="006B1E3F">
              <w:rPr>
                <w:rStyle w:val="Hyperlink"/>
                <w:noProof/>
                <w:lang w:val="fr-CA"/>
              </w:rPr>
              <w:t>Dépréciation [du goodwill et des immobilisations incorporelles]</w:t>
            </w:r>
            <w:r w:rsidR="00444D6A">
              <w:rPr>
                <w:noProof/>
                <w:webHidden/>
              </w:rPr>
              <w:tab/>
            </w:r>
            <w:r w:rsidR="00444D6A">
              <w:rPr>
                <w:noProof/>
                <w:webHidden/>
              </w:rPr>
              <w:fldChar w:fldCharType="begin"/>
            </w:r>
            <w:r w:rsidR="00444D6A">
              <w:rPr>
                <w:noProof/>
                <w:webHidden/>
              </w:rPr>
              <w:instrText xml:space="preserve"> PAGEREF _Toc102133491 \h </w:instrText>
            </w:r>
            <w:r w:rsidR="00444D6A">
              <w:rPr>
                <w:noProof/>
                <w:webHidden/>
              </w:rPr>
            </w:r>
            <w:r w:rsidR="00444D6A">
              <w:rPr>
                <w:noProof/>
                <w:webHidden/>
              </w:rPr>
              <w:fldChar w:fldCharType="separate"/>
            </w:r>
            <w:r w:rsidR="00444D6A">
              <w:rPr>
                <w:noProof/>
                <w:webHidden/>
              </w:rPr>
              <w:t>6</w:t>
            </w:r>
            <w:r w:rsidR="00444D6A">
              <w:rPr>
                <w:noProof/>
                <w:webHidden/>
              </w:rPr>
              <w:fldChar w:fldCharType="end"/>
            </w:r>
          </w:hyperlink>
        </w:p>
        <w:p w14:paraId="092F4E8F" w14:textId="77777777" w:rsidR="00444D6A" w:rsidRDefault="00E937B4">
          <w:pPr>
            <w:pStyle w:val="TOC1"/>
            <w:rPr>
              <w:rFonts w:asciiTheme="minorHAnsi" w:eastAsiaTheme="minorEastAsia" w:hAnsiTheme="minorHAnsi" w:cstheme="minorBidi"/>
              <w:b w:val="0"/>
              <w:noProof/>
              <w:lang w:eastAsia="en-CA"/>
            </w:rPr>
          </w:pPr>
          <w:hyperlink w:anchor="_Toc102133492" w:history="1">
            <w:r w:rsidR="00444D6A" w:rsidRPr="006B1E3F">
              <w:rPr>
                <w:rStyle w:val="Hyperlink"/>
                <w:noProof/>
                <w:lang w:val="fr-CA"/>
              </w:rPr>
              <w:t>Directives supplémentaires A — Cadre pour la communication des questions importantes</w:t>
            </w:r>
            <w:r w:rsidR="00444D6A">
              <w:rPr>
                <w:noProof/>
                <w:webHidden/>
              </w:rPr>
              <w:tab/>
            </w:r>
            <w:r w:rsidR="00444D6A">
              <w:rPr>
                <w:noProof/>
                <w:webHidden/>
              </w:rPr>
              <w:fldChar w:fldCharType="begin"/>
            </w:r>
            <w:r w:rsidR="00444D6A">
              <w:rPr>
                <w:noProof/>
                <w:webHidden/>
              </w:rPr>
              <w:instrText xml:space="preserve"> PAGEREF _Toc102133492 \h </w:instrText>
            </w:r>
            <w:r w:rsidR="00444D6A">
              <w:rPr>
                <w:noProof/>
                <w:webHidden/>
              </w:rPr>
            </w:r>
            <w:r w:rsidR="00444D6A">
              <w:rPr>
                <w:noProof/>
                <w:webHidden/>
              </w:rPr>
              <w:fldChar w:fldCharType="separate"/>
            </w:r>
            <w:r w:rsidR="00444D6A">
              <w:rPr>
                <w:noProof/>
                <w:webHidden/>
              </w:rPr>
              <w:t>8</w:t>
            </w:r>
            <w:r w:rsidR="00444D6A">
              <w:rPr>
                <w:noProof/>
                <w:webHidden/>
              </w:rPr>
              <w:fldChar w:fldCharType="end"/>
            </w:r>
          </w:hyperlink>
        </w:p>
        <w:p w14:paraId="76E57FBD" w14:textId="77777777" w:rsidR="00444D6A" w:rsidRDefault="00E937B4">
          <w:pPr>
            <w:pStyle w:val="TOC1"/>
            <w:rPr>
              <w:rFonts w:asciiTheme="minorHAnsi" w:eastAsiaTheme="minorEastAsia" w:hAnsiTheme="minorHAnsi" w:cstheme="minorBidi"/>
              <w:b w:val="0"/>
              <w:noProof/>
              <w:lang w:eastAsia="en-CA"/>
            </w:rPr>
          </w:pPr>
          <w:hyperlink w:anchor="_Toc102133493" w:history="1">
            <w:r w:rsidR="00444D6A" w:rsidRPr="006B1E3F">
              <w:rPr>
                <w:rStyle w:val="Hyperlink"/>
                <w:noProof/>
                <w:lang w:val="fr-CA"/>
              </w:rPr>
              <w:t>Directives supplémentaires B — Modifications apportées au rapport type de l’auditeur et aux questions clés de l'audit</w:t>
            </w:r>
            <w:r w:rsidR="00444D6A">
              <w:rPr>
                <w:noProof/>
                <w:webHidden/>
              </w:rPr>
              <w:tab/>
            </w:r>
            <w:r w:rsidR="00444D6A">
              <w:rPr>
                <w:noProof/>
                <w:webHidden/>
              </w:rPr>
              <w:fldChar w:fldCharType="begin"/>
            </w:r>
            <w:r w:rsidR="00444D6A">
              <w:rPr>
                <w:noProof/>
                <w:webHidden/>
              </w:rPr>
              <w:instrText xml:space="preserve"> PAGEREF _Toc102133493 \h </w:instrText>
            </w:r>
            <w:r w:rsidR="00444D6A">
              <w:rPr>
                <w:noProof/>
                <w:webHidden/>
              </w:rPr>
            </w:r>
            <w:r w:rsidR="00444D6A">
              <w:rPr>
                <w:noProof/>
                <w:webHidden/>
              </w:rPr>
              <w:fldChar w:fldCharType="separate"/>
            </w:r>
            <w:r w:rsidR="00444D6A">
              <w:rPr>
                <w:noProof/>
                <w:webHidden/>
              </w:rPr>
              <w:t>13</w:t>
            </w:r>
            <w:r w:rsidR="00444D6A">
              <w:rPr>
                <w:noProof/>
                <w:webHidden/>
              </w:rPr>
              <w:fldChar w:fldCharType="end"/>
            </w:r>
          </w:hyperlink>
        </w:p>
        <w:p w14:paraId="5D6273EA" w14:textId="77777777" w:rsidR="00444D6A" w:rsidRDefault="00E937B4">
          <w:pPr>
            <w:pStyle w:val="TOC1"/>
            <w:rPr>
              <w:rFonts w:asciiTheme="minorHAnsi" w:eastAsiaTheme="minorEastAsia" w:hAnsiTheme="minorHAnsi" w:cstheme="minorBidi"/>
              <w:b w:val="0"/>
              <w:noProof/>
              <w:lang w:eastAsia="en-CA"/>
            </w:rPr>
          </w:pPr>
          <w:hyperlink w:anchor="_Toc102133494" w:history="1">
            <w:r w:rsidR="00444D6A" w:rsidRPr="006B1E3F">
              <w:rPr>
                <w:rStyle w:val="Hyperlink"/>
                <w:noProof/>
                <w:lang w:val="fr-CA"/>
              </w:rPr>
              <w:t>Directives supplémentaires C — Autres questions importantes apparues au cours de l’audit</w:t>
            </w:r>
            <w:r w:rsidR="00444D6A">
              <w:rPr>
                <w:noProof/>
                <w:webHidden/>
              </w:rPr>
              <w:tab/>
            </w:r>
            <w:r w:rsidR="00444D6A">
              <w:rPr>
                <w:noProof/>
                <w:webHidden/>
              </w:rPr>
              <w:fldChar w:fldCharType="begin"/>
            </w:r>
            <w:r w:rsidR="00444D6A">
              <w:rPr>
                <w:noProof/>
                <w:webHidden/>
              </w:rPr>
              <w:instrText xml:space="preserve"> PAGEREF _Toc102133494 \h </w:instrText>
            </w:r>
            <w:r w:rsidR="00444D6A">
              <w:rPr>
                <w:noProof/>
                <w:webHidden/>
              </w:rPr>
            </w:r>
            <w:r w:rsidR="00444D6A">
              <w:rPr>
                <w:noProof/>
                <w:webHidden/>
              </w:rPr>
              <w:fldChar w:fldCharType="separate"/>
            </w:r>
            <w:r w:rsidR="00444D6A">
              <w:rPr>
                <w:noProof/>
                <w:webHidden/>
              </w:rPr>
              <w:t>14</w:t>
            </w:r>
            <w:r w:rsidR="00444D6A">
              <w:rPr>
                <w:noProof/>
                <w:webHidden/>
              </w:rPr>
              <w:fldChar w:fldCharType="end"/>
            </w:r>
          </w:hyperlink>
        </w:p>
        <w:p w14:paraId="0840DE80" w14:textId="77777777" w:rsidR="004D00F4" w:rsidRPr="00643955" w:rsidRDefault="004D00F4" w:rsidP="004D00F4">
          <w:pPr>
            <w:rPr>
              <w:lang w:val="fr-CA"/>
            </w:rPr>
          </w:pPr>
          <w:r w:rsidRPr="00643955">
            <w:rPr>
              <w:bCs/>
              <w:noProof/>
              <w:lang w:val="fr-CA"/>
            </w:rPr>
            <w:fldChar w:fldCharType="end"/>
          </w:r>
        </w:p>
      </w:sdtContent>
    </w:sdt>
    <w:p w14:paraId="3BA49550" w14:textId="77777777" w:rsidR="004D00F4" w:rsidRPr="00643955" w:rsidRDefault="004D00F4" w:rsidP="004D00F4">
      <w:pPr>
        <w:spacing w:after="160" w:line="259" w:lineRule="auto"/>
        <w:rPr>
          <w:lang w:val="fr-CA"/>
        </w:rPr>
        <w:sectPr w:rsidR="004D00F4" w:rsidRPr="00643955" w:rsidSect="00F5295E">
          <w:headerReference w:type="default" r:id="rId12"/>
          <w:footerReference w:type="default" r:id="rId13"/>
          <w:footerReference w:type="first" r:id="rId14"/>
          <w:type w:val="oddPage"/>
          <w:pgSz w:w="12240" w:h="15840"/>
          <w:pgMar w:top="1440" w:right="1440" w:bottom="1440" w:left="1440" w:header="708" w:footer="708" w:gutter="0"/>
          <w:pgNumType w:fmt="lowerRoman"/>
          <w:cols w:space="708"/>
          <w:docGrid w:linePitch="360"/>
        </w:sectPr>
      </w:pPr>
    </w:p>
    <w:p w14:paraId="3400FC79" w14:textId="2524BD87" w:rsidR="004D00F4" w:rsidRPr="00643955" w:rsidRDefault="00687C28" w:rsidP="004D00F4">
      <w:pPr>
        <w:pStyle w:val="Heading1"/>
        <w:rPr>
          <w:lang w:val="fr-CA"/>
        </w:rPr>
      </w:pPr>
      <w:bookmarkStart w:id="0" w:name="_Toc102133488"/>
      <w:r>
        <w:rPr>
          <w:lang w:val="fr-CA"/>
        </w:rPr>
        <w:lastRenderedPageBreak/>
        <w:t>Questions d’audit, de comptabilité et d’information financière importantes</w:t>
      </w:r>
      <w:bookmarkEnd w:id="0"/>
    </w:p>
    <w:p w14:paraId="2F0DAF60" w14:textId="20AD71A9" w:rsidR="007242D9" w:rsidRPr="0022029E" w:rsidRDefault="007242D9" w:rsidP="007242D9">
      <w:pPr>
        <w:pStyle w:val="Heading2"/>
        <w:rPr>
          <w:lang w:val="fr-CA"/>
        </w:rPr>
      </w:pPr>
      <w:bookmarkStart w:id="1" w:name="_Toc102133489"/>
      <w:r w:rsidRPr="0022029E">
        <w:rPr>
          <w:lang w:val="fr-CA"/>
        </w:rPr>
        <w:t xml:space="preserve">Mise en œuvre </w:t>
      </w:r>
      <w:r w:rsidR="00F17683">
        <w:rPr>
          <w:rFonts w:cs="Arial"/>
          <w:lang w:val="fr-CA"/>
        </w:rPr>
        <w:t>[</w:t>
      </w:r>
      <w:r w:rsidR="00D15395" w:rsidRPr="00444D6A">
        <w:rPr>
          <w:rFonts w:cs="Arial"/>
          <w:color w:val="0000FF"/>
          <w:lang w:val="fr-CA"/>
        </w:rPr>
        <w:t xml:space="preserve">de </w:t>
      </w:r>
      <w:r w:rsidRPr="00444D6A">
        <w:rPr>
          <w:color w:val="0000FF"/>
          <w:lang w:val="fr-CA"/>
        </w:rPr>
        <w:t>nouveaux systèmes de technologie de l’information</w:t>
      </w:r>
      <w:r w:rsidR="00441D9A" w:rsidRPr="00444D6A">
        <w:rPr>
          <w:color w:val="0000FF"/>
          <w:lang w:val="fr-CA"/>
        </w:rPr>
        <w:t xml:space="preserve"> </w:t>
      </w:r>
      <w:r w:rsidR="00F17683" w:rsidRPr="00444D6A">
        <w:rPr>
          <w:color w:val="0000FF"/>
          <w:lang w:val="fr-CA"/>
        </w:rPr>
        <w:t>/</w:t>
      </w:r>
      <w:r w:rsidR="007A5114" w:rsidRPr="00444D6A">
        <w:rPr>
          <w:color w:val="0000FF"/>
          <w:lang w:val="fr-CA"/>
        </w:rPr>
        <w:t xml:space="preserve"> d</w:t>
      </w:r>
      <w:r w:rsidR="009477E5" w:rsidRPr="00444D6A">
        <w:rPr>
          <w:color w:val="0000FF"/>
          <w:lang w:val="fr-CA"/>
        </w:rPr>
        <w:t>e l</w:t>
      </w:r>
      <w:r w:rsidR="00F17683" w:rsidRPr="00444D6A">
        <w:rPr>
          <w:color w:val="0000FF"/>
          <w:lang w:val="fr-CA"/>
        </w:rPr>
        <w:t>’</w:t>
      </w:r>
      <w:r w:rsidR="007A5114" w:rsidRPr="00444D6A">
        <w:rPr>
          <w:color w:val="0000FF"/>
          <w:lang w:val="fr-CA"/>
        </w:rPr>
        <w:t>automatisation</w:t>
      </w:r>
      <w:r w:rsidR="00196715" w:rsidRPr="00444D6A">
        <w:rPr>
          <w:color w:val="0000FF"/>
          <w:lang w:val="fr-CA"/>
        </w:rPr>
        <w:t xml:space="preserve"> </w:t>
      </w:r>
      <w:r w:rsidR="006F2731" w:rsidRPr="00444D6A">
        <w:rPr>
          <w:color w:val="0000FF"/>
          <w:lang w:val="fr-CA"/>
        </w:rPr>
        <w:t xml:space="preserve">de processus par la </w:t>
      </w:r>
      <w:r w:rsidR="00D15395" w:rsidRPr="00444D6A">
        <w:rPr>
          <w:color w:val="0000FF"/>
          <w:lang w:val="fr-CA"/>
        </w:rPr>
        <w:t>roboti</w:t>
      </w:r>
      <w:r w:rsidR="006F2731" w:rsidRPr="00444D6A">
        <w:rPr>
          <w:color w:val="0000FF"/>
          <w:lang w:val="fr-CA"/>
        </w:rPr>
        <w:t>que</w:t>
      </w:r>
      <w:r w:rsidR="00D15395" w:rsidRPr="00444D6A">
        <w:rPr>
          <w:color w:val="0000FF"/>
          <w:lang w:val="fr-CA"/>
        </w:rPr>
        <w:t xml:space="preserve"> </w:t>
      </w:r>
      <w:r w:rsidR="00F17683" w:rsidRPr="00444D6A">
        <w:rPr>
          <w:color w:val="0000FF"/>
          <w:lang w:val="fr-CA"/>
        </w:rPr>
        <w:t>/ d</w:t>
      </w:r>
      <w:r w:rsidR="009477E5" w:rsidRPr="00444D6A">
        <w:rPr>
          <w:color w:val="0000FF"/>
          <w:lang w:val="fr-CA"/>
        </w:rPr>
        <w:t xml:space="preserve">’une </w:t>
      </w:r>
      <w:r w:rsidR="00F17683" w:rsidRPr="00444D6A">
        <w:rPr>
          <w:color w:val="0000FF"/>
          <w:lang w:val="fr-CA"/>
        </w:rPr>
        <w:t>technologie</w:t>
      </w:r>
      <w:r w:rsidR="00F17683">
        <w:rPr>
          <w:rFonts w:cs="Arial"/>
          <w:lang w:val="fr-CA"/>
        </w:rPr>
        <w:t>]</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242D9" w:rsidRPr="0022029E" w14:paraId="18F2732B" w14:textId="77777777" w:rsidTr="00196715">
        <w:tc>
          <w:tcPr>
            <w:tcW w:w="9350" w:type="dxa"/>
          </w:tcPr>
          <w:p w14:paraId="3B0DBC02" w14:textId="77777777" w:rsidR="007242D9" w:rsidRPr="0022029E" w:rsidRDefault="007242D9" w:rsidP="00196715">
            <w:pPr>
              <w:pStyle w:val="T1-TableHeading"/>
            </w:pPr>
            <w:r w:rsidRPr="0022029E">
              <w:t>Risque</w:t>
            </w:r>
          </w:p>
        </w:tc>
      </w:tr>
      <w:tr w:rsidR="007242D9" w:rsidRPr="00E937B4" w14:paraId="2C27DCD9" w14:textId="77777777" w:rsidTr="00196715">
        <w:tc>
          <w:tcPr>
            <w:tcW w:w="9350" w:type="dxa"/>
          </w:tcPr>
          <w:p w14:paraId="490D8AC2" w14:textId="38EE2674" w:rsidR="007242D9" w:rsidRDefault="007242D9" w:rsidP="00196715">
            <w:pPr>
              <w:pStyle w:val="T3-TableBullet1instructions"/>
              <w:rPr>
                <w:lang w:val="fr-CA"/>
              </w:rPr>
            </w:pPr>
            <w:r w:rsidRPr="0022029E">
              <w:rPr>
                <w:lang w:val="fr-CA"/>
              </w:rPr>
              <w:t xml:space="preserve">La mise en œuvre de nouveaux systèmes financiers crée un risque pour les activités de l’entité, puisque des problèmes </w:t>
            </w:r>
            <w:r w:rsidR="009477E5">
              <w:rPr>
                <w:lang w:val="fr-CA"/>
              </w:rPr>
              <w:t>touchant</w:t>
            </w:r>
            <w:r w:rsidR="009477E5" w:rsidRPr="0022029E">
              <w:rPr>
                <w:lang w:val="fr-CA"/>
              </w:rPr>
              <w:t xml:space="preserve"> </w:t>
            </w:r>
            <w:r w:rsidRPr="0022029E">
              <w:rPr>
                <w:lang w:val="fr-CA"/>
              </w:rPr>
              <w:t>l’utilisation ou le transfert des données pourraient nuire aux données recueillies par les systèmes. Le risque qui pèse sur la validité des données sous</w:t>
            </w:r>
            <w:r w:rsidRPr="0022029E">
              <w:rPr>
                <w:lang w:val="fr-CA"/>
              </w:rPr>
              <w:noBreakHyphen/>
              <w:t>jacentes pourrait avoir une incidence généralisée sur l’information financière.</w:t>
            </w:r>
          </w:p>
          <w:p w14:paraId="2838F551" w14:textId="2FA717A6" w:rsidR="00441D9A" w:rsidRPr="0022029E" w:rsidRDefault="00441D9A" w:rsidP="009477E5">
            <w:pPr>
              <w:pStyle w:val="T3-TableBullet1instructions"/>
              <w:rPr>
                <w:lang w:val="fr-CA"/>
              </w:rPr>
            </w:pPr>
            <w:r w:rsidRPr="00441D9A">
              <w:rPr>
                <w:lang w:val="fr-CA"/>
              </w:rPr>
              <w:t>L</w:t>
            </w:r>
            <w:r w:rsidR="009B5763">
              <w:rPr>
                <w:lang w:val="fr-CA"/>
              </w:rPr>
              <w:t>’</w:t>
            </w:r>
            <w:r w:rsidRPr="00441D9A">
              <w:rPr>
                <w:lang w:val="fr-CA"/>
              </w:rPr>
              <w:t>adoption de nouvelles technologies telles que l</w:t>
            </w:r>
            <w:r w:rsidR="009B5763">
              <w:rPr>
                <w:lang w:val="fr-CA"/>
              </w:rPr>
              <w:t>’</w:t>
            </w:r>
            <w:r w:rsidRPr="00441D9A">
              <w:rPr>
                <w:lang w:val="fr-CA"/>
              </w:rPr>
              <w:t>automatisation</w:t>
            </w:r>
            <w:r w:rsidR="009477E5">
              <w:rPr>
                <w:lang w:val="fr-CA"/>
              </w:rPr>
              <w:t xml:space="preserve"> robotisée</w:t>
            </w:r>
            <w:r w:rsidRPr="00441D9A">
              <w:rPr>
                <w:lang w:val="fr-CA"/>
              </w:rPr>
              <w:t xml:space="preserve"> de processus pour remplacer des contrôles manuels </w:t>
            </w:r>
            <w:r w:rsidR="00063EAB">
              <w:rPr>
                <w:lang w:val="fr-CA"/>
              </w:rPr>
              <w:t xml:space="preserve">antérieurs </w:t>
            </w:r>
            <w:r w:rsidRPr="00441D9A">
              <w:rPr>
                <w:lang w:val="fr-CA"/>
              </w:rPr>
              <w:t xml:space="preserve">crée des risques </w:t>
            </w:r>
            <w:r w:rsidR="009477E5">
              <w:rPr>
                <w:lang w:val="fr-CA"/>
              </w:rPr>
              <w:t>pour les</w:t>
            </w:r>
            <w:r>
              <w:rPr>
                <w:lang w:val="fr-CA"/>
              </w:rPr>
              <w:t xml:space="preserve"> activités</w:t>
            </w:r>
            <w:r w:rsidR="00F17683">
              <w:rPr>
                <w:lang w:val="fr-CA"/>
              </w:rPr>
              <w:t xml:space="preserve"> de</w:t>
            </w:r>
            <w:r w:rsidRPr="00441D9A">
              <w:rPr>
                <w:lang w:val="fr-CA"/>
              </w:rPr>
              <w:t xml:space="preserve"> </w:t>
            </w:r>
            <w:r w:rsidR="00063EAB">
              <w:rPr>
                <w:lang w:val="fr-CA"/>
              </w:rPr>
              <w:t xml:space="preserve">l’entité </w:t>
            </w:r>
            <w:r w:rsidRPr="00687BDC">
              <w:rPr>
                <w:color w:val="auto"/>
                <w:lang w:val="fr-CA"/>
              </w:rPr>
              <w:t>[</w:t>
            </w:r>
            <w:r w:rsidRPr="00441D9A">
              <w:rPr>
                <w:lang w:val="fr-CA"/>
              </w:rPr>
              <w:t>décrire les risques liés à la technologie spécifique</w:t>
            </w:r>
            <w:r w:rsidRPr="00687BDC">
              <w:rPr>
                <w:color w:val="auto"/>
                <w:lang w:val="fr-CA"/>
              </w:rPr>
              <w:t>]</w:t>
            </w:r>
            <w:r w:rsidRPr="00441D9A">
              <w:rPr>
                <w:lang w:val="fr-CA"/>
              </w:rPr>
              <w:t>.</w:t>
            </w:r>
          </w:p>
        </w:tc>
      </w:tr>
      <w:tr w:rsidR="007242D9" w:rsidRPr="0022029E" w14:paraId="7202E907" w14:textId="77777777" w:rsidTr="00196715">
        <w:tc>
          <w:tcPr>
            <w:tcW w:w="9350" w:type="dxa"/>
          </w:tcPr>
          <w:p w14:paraId="1050420F" w14:textId="768A1833" w:rsidR="007242D9" w:rsidRPr="0022029E" w:rsidRDefault="000E3F33" w:rsidP="00196715">
            <w:pPr>
              <w:pStyle w:val="T1-TableHeading"/>
            </w:pPr>
            <w:r w:rsidRPr="0022029E">
              <w:t xml:space="preserve">Notre réponse </w:t>
            </w:r>
          </w:p>
        </w:tc>
      </w:tr>
      <w:tr w:rsidR="007242D9" w:rsidRPr="00E937B4" w14:paraId="320F0BA7" w14:textId="77777777" w:rsidTr="00196715">
        <w:tc>
          <w:tcPr>
            <w:tcW w:w="9350" w:type="dxa"/>
          </w:tcPr>
          <w:p w14:paraId="74B2987E" w14:textId="2346039D" w:rsidR="007242D9" w:rsidRPr="0022029E" w:rsidRDefault="000E3F33" w:rsidP="00196715">
            <w:pPr>
              <w:pStyle w:val="T3-TableBullet1instructions"/>
              <w:rPr>
                <w:lang w:val="fr-CA"/>
              </w:rPr>
            </w:pPr>
            <w:r w:rsidRPr="0022029E">
              <w:rPr>
                <w:lang w:val="fr-CA"/>
              </w:rPr>
              <w:t>Nous avons testé</w:t>
            </w:r>
            <w:r w:rsidR="007242D9" w:rsidRPr="0022029E">
              <w:rPr>
                <w:lang w:val="fr-CA"/>
              </w:rPr>
              <w:t xml:space="preserve"> le transfert de données entre les systèmes.</w:t>
            </w:r>
          </w:p>
          <w:p w14:paraId="029109CC" w14:textId="50055ED9" w:rsidR="007242D9" w:rsidRPr="0022029E" w:rsidRDefault="000E3F33" w:rsidP="00196715">
            <w:pPr>
              <w:pStyle w:val="T3-TableBullet1instructions"/>
              <w:rPr>
                <w:lang w:val="fr-CA"/>
              </w:rPr>
            </w:pPr>
            <w:r w:rsidRPr="0022029E">
              <w:rPr>
                <w:lang w:val="fr-CA"/>
              </w:rPr>
              <w:t>Nous avons testé</w:t>
            </w:r>
            <w:r w:rsidR="007242D9" w:rsidRPr="0022029E">
              <w:rPr>
                <w:lang w:val="fr-CA"/>
              </w:rPr>
              <w:t xml:space="preserve"> les contrôles généraux informatiques et les contrôles automatisés</w:t>
            </w:r>
            <w:r w:rsidR="00441D9A">
              <w:rPr>
                <w:lang w:val="fr-CA"/>
              </w:rPr>
              <w:t xml:space="preserve"> dans la mesure jugée appropriée.</w:t>
            </w:r>
          </w:p>
          <w:p w14:paraId="11317981" w14:textId="2BFEEF54" w:rsidR="007242D9" w:rsidRPr="0022029E" w:rsidRDefault="000E3F33" w:rsidP="00F64807">
            <w:pPr>
              <w:pStyle w:val="T3-TableBullet1instructions"/>
              <w:rPr>
                <w:lang w:val="fr-CA"/>
              </w:rPr>
            </w:pPr>
            <w:r w:rsidRPr="0022029E">
              <w:rPr>
                <w:lang w:val="fr-CA"/>
              </w:rPr>
              <w:t>Nous avons a</w:t>
            </w:r>
            <w:r w:rsidR="007242D9" w:rsidRPr="0022029E">
              <w:rPr>
                <w:lang w:val="fr-CA"/>
              </w:rPr>
              <w:t>cqu</w:t>
            </w:r>
            <w:r w:rsidRPr="0022029E">
              <w:rPr>
                <w:lang w:val="fr-CA"/>
              </w:rPr>
              <w:t>is</w:t>
            </w:r>
            <w:r w:rsidR="007242D9" w:rsidRPr="0022029E">
              <w:rPr>
                <w:lang w:val="fr-CA"/>
              </w:rPr>
              <w:t xml:space="preserve"> une compréhension des problèmes suscités par la mise en œuvre et </w:t>
            </w:r>
            <w:r w:rsidR="00F64807">
              <w:rPr>
                <w:lang w:val="fr-CA"/>
              </w:rPr>
              <w:t>l</w:t>
            </w:r>
            <w:r w:rsidR="007242D9" w:rsidRPr="0022029E">
              <w:rPr>
                <w:lang w:val="fr-CA"/>
              </w:rPr>
              <w:t xml:space="preserve">es activités de suivi connexes et </w:t>
            </w:r>
            <w:r w:rsidR="00F17683">
              <w:rPr>
                <w:lang w:val="fr-CA"/>
              </w:rPr>
              <w:t xml:space="preserve">nous avons </w:t>
            </w:r>
            <w:r w:rsidR="007242D9" w:rsidRPr="0022029E">
              <w:rPr>
                <w:lang w:val="fr-CA"/>
              </w:rPr>
              <w:t>évalu</w:t>
            </w:r>
            <w:r w:rsidR="00F17683">
              <w:rPr>
                <w:lang w:val="fr-CA"/>
              </w:rPr>
              <w:t>é</w:t>
            </w:r>
            <w:r w:rsidR="007242D9" w:rsidRPr="0022029E">
              <w:rPr>
                <w:lang w:val="fr-CA"/>
              </w:rPr>
              <w:t xml:space="preserve"> l’incidence sur la fiabilité de l’information.</w:t>
            </w:r>
          </w:p>
        </w:tc>
      </w:tr>
      <w:tr w:rsidR="000E3F33" w:rsidRPr="009247AF" w14:paraId="47B0A938" w14:textId="77777777" w:rsidTr="00196715">
        <w:tc>
          <w:tcPr>
            <w:tcW w:w="9350" w:type="dxa"/>
          </w:tcPr>
          <w:p w14:paraId="559EC9CD" w14:textId="534F3DD1" w:rsidR="000E3F33" w:rsidRPr="0022029E" w:rsidRDefault="000E3F33" w:rsidP="000E3F33">
            <w:pPr>
              <w:pStyle w:val="T3-TableBullet1instructions"/>
              <w:numPr>
                <w:ilvl w:val="0"/>
                <w:numId w:val="0"/>
              </w:numPr>
              <w:ind w:left="360" w:hanging="360"/>
              <w:rPr>
                <w:lang w:val="fr-CA"/>
              </w:rPr>
            </w:pPr>
            <w:r w:rsidRPr="0022029E">
              <w:rPr>
                <w:b/>
                <w:color w:val="auto"/>
                <w:lang w:val="fr-CA"/>
              </w:rPr>
              <w:t>Nos constatations</w:t>
            </w:r>
          </w:p>
        </w:tc>
      </w:tr>
      <w:tr w:rsidR="000E3F33" w:rsidRPr="00E937B4" w14:paraId="679E468D" w14:textId="77777777" w:rsidTr="00196715">
        <w:tc>
          <w:tcPr>
            <w:tcW w:w="9350" w:type="dxa"/>
          </w:tcPr>
          <w:p w14:paraId="5F58AAD3" w14:textId="498F8E85" w:rsidR="000E3F33" w:rsidRPr="00666980" w:rsidRDefault="000E3F33" w:rsidP="00225C7D">
            <w:pPr>
              <w:pStyle w:val="T3-TableBullet1instructions"/>
              <w:rPr>
                <w:lang w:val="fr-CA"/>
              </w:rPr>
            </w:pPr>
            <w:r w:rsidRPr="00666980">
              <w:rPr>
                <w:color w:val="auto"/>
                <w:lang w:val="fr-CA"/>
              </w:rPr>
              <w:t>[</w:t>
            </w:r>
            <w:r w:rsidR="00DF0575" w:rsidRPr="00666980">
              <w:rPr>
                <w:lang w:val="fr-CA"/>
              </w:rPr>
              <w:t xml:space="preserve">En nous </w:t>
            </w:r>
            <w:r w:rsidR="00225C7D">
              <w:rPr>
                <w:lang w:val="fr-CA"/>
              </w:rPr>
              <w:t>basant</w:t>
            </w:r>
            <w:r w:rsidR="00F17683" w:rsidRPr="00666980">
              <w:rPr>
                <w:lang w:val="fr-CA"/>
              </w:rPr>
              <w:t xml:space="preserve"> </w:t>
            </w:r>
            <w:r w:rsidR="00DF0575" w:rsidRPr="00666980">
              <w:rPr>
                <w:lang w:val="fr-CA"/>
              </w:rPr>
              <w:t xml:space="preserve">sur nos travaux d’audit, nous n’avons aucun élément à </w:t>
            </w:r>
            <w:r w:rsidR="00DF0575" w:rsidRPr="000B28B3">
              <w:rPr>
                <w:lang w:val="fr-CA"/>
              </w:rPr>
              <w:t xml:space="preserve">vous </w:t>
            </w:r>
            <w:r w:rsidR="00225C7D">
              <w:rPr>
                <w:lang w:val="fr-CA"/>
              </w:rPr>
              <w:t>communiquer</w:t>
            </w:r>
            <w:r w:rsidR="00DF0575" w:rsidRPr="00666980">
              <w:rPr>
                <w:lang w:val="fr-CA"/>
              </w:rPr>
              <w:t>.</w:t>
            </w:r>
            <w:r w:rsidRPr="00666980">
              <w:rPr>
                <w:color w:val="auto"/>
                <w:lang w:val="fr-CA"/>
              </w:rPr>
              <w:t>]</w:t>
            </w:r>
          </w:p>
        </w:tc>
      </w:tr>
    </w:tbl>
    <w:p w14:paraId="063EE295" w14:textId="2E47E0BE" w:rsidR="007242D9" w:rsidRPr="0022029E" w:rsidRDefault="007242D9" w:rsidP="007242D9">
      <w:pPr>
        <w:pStyle w:val="Heading2"/>
        <w:rPr>
          <w:lang w:val="fr-CA"/>
        </w:rPr>
      </w:pPr>
      <w:bookmarkStart w:id="2" w:name="_Toc102133490"/>
      <w:r w:rsidRPr="0022029E">
        <w:rPr>
          <w:lang w:val="fr-CA"/>
        </w:rPr>
        <w:t>Continuité de l’exploitation</w:t>
      </w:r>
      <w:r w:rsidR="002842C1">
        <w:rPr>
          <w:lang w:val="fr-CA"/>
        </w:rPr>
        <w:t xml:space="preserve"> et clauses restrictives</w:t>
      </w:r>
      <w:bookmarkEnd w:id="2"/>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242D9" w:rsidRPr="0022029E" w14:paraId="1D79F977" w14:textId="77777777" w:rsidTr="000E3F33">
        <w:tc>
          <w:tcPr>
            <w:tcW w:w="9350" w:type="dxa"/>
          </w:tcPr>
          <w:p w14:paraId="35872A99" w14:textId="235B59D0" w:rsidR="007242D9" w:rsidRPr="0022029E" w:rsidRDefault="007242D9" w:rsidP="00196715">
            <w:pPr>
              <w:pStyle w:val="T1-TableHeading"/>
            </w:pPr>
            <w:r w:rsidRPr="0022029E">
              <w:t>Risque</w:t>
            </w:r>
          </w:p>
        </w:tc>
      </w:tr>
      <w:tr w:rsidR="007242D9" w:rsidRPr="00E937B4" w14:paraId="769893F5" w14:textId="77777777" w:rsidTr="000E3F33">
        <w:tc>
          <w:tcPr>
            <w:tcW w:w="9350" w:type="dxa"/>
          </w:tcPr>
          <w:p w14:paraId="6B640173" w14:textId="758ECFC2" w:rsidR="007242D9" w:rsidRPr="0022029E" w:rsidRDefault="007242D9" w:rsidP="00B917DA">
            <w:pPr>
              <w:pStyle w:val="T3-TableBullet1instructions"/>
              <w:rPr>
                <w:lang w:val="fr-CA"/>
              </w:rPr>
            </w:pPr>
            <w:r w:rsidRPr="0022029E">
              <w:rPr>
                <w:lang w:val="fr-CA"/>
              </w:rPr>
              <w:t>L’entité doit assurer le respect des clauses restrictives</w:t>
            </w:r>
            <w:r w:rsidR="006F2731">
              <w:rPr>
                <w:lang w:val="fr-CA"/>
              </w:rPr>
              <w:t xml:space="preserve"> et de ses </w:t>
            </w:r>
            <w:r w:rsidRPr="0022029E">
              <w:rPr>
                <w:lang w:val="fr-CA"/>
              </w:rPr>
              <w:t>mandats d’autosuffisance financière.</w:t>
            </w:r>
            <w:r w:rsidRPr="0022029E">
              <w:rPr>
                <w:lang w:val="fr-CA"/>
              </w:rPr>
              <w:br/>
            </w:r>
            <w:r w:rsidRPr="0022029E">
              <w:rPr>
                <w:lang w:val="fr-CA"/>
              </w:rPr>
              <w:br/>
              <w:t xml:space="preserve">La direction </w:t>
            </w:r>
            <w:r w:rsidR="00B917DA">
              <w:rPr>
                <w:lang w:val="fr-CA"/>
              </w:rPr>
              <w:t xml:space="preserve">a </w:t>
            </w:r>
            <w:r w:rsidRPr="0022029E">
              <w:rPr>
                <w:lang w:val="fr-CA"/>
              </w:rPr>
              <w:t>rédig</w:t>
            </w:r>
            <w:r w:rsidR="00B917DA">
              <w:rPr>
                <w:lang w:val="fr-CA"/>
              </w:rPr>
              <w:t>é</w:t>
            </w:r>
            <w:r w:rsidRPr="0022029E">
              <w:rPr>
                <w:lang w:val="fr-CA"/>
              </w:rPr>
              <w:t xml:space="preserve"> un document indiquant la conformité de l’entité avec les clauses restrictives</w:t>
            </w:r>
            <w:r w:rsidR="006F2731">
              <w:rPr>
                <w:lang w:val="fr-CA"/>
              </w:rPr>
              <w:t xml:space="preserve"> et </w:t>
            </w:r>
            <w:r w:rsidRPr="0022029E">
              <w:rPr>
                <w:lang w:val="fr-CA"/>
              </w:rPr>
              <w:t xml:space="preserve">son mandat d’autosuffisance financière et décrivant les hypothèses </w:t>
            </w:r>
            <w:r w:rsidR="006F2731">
              <w:rPr>
                <w:lang w:val="fr-CA"/>
              </w:rPr>
              <w:t xml:space="preserve">clés </w:t>
            </w:r>
            <w:r w:rsidRPr="0022029E">
              <w:rPr>
                <w:lang w:val="fr-CA"/>
              </w:rPr>
              <w:t xml:space="preserve">prises en compte pour établir </w:t>
            </w:r>
            <w:r w:rsidR="006F2731">
              <w:rPr>
                <w:lang w:val="fr-CA"/>
              </w:rPr>
              <w:t>s</w:t>
            </w:r>
            <w:r w:rsidRPr="0022029E">
              <w:rPr>
                <w:lang w:val="fr-CA"/>
              </w:rPr>
              <w:t>es prévisions.</w:t>
            </w:r>
          </w:p>
        </w:tc>
      </w:tr>
      <w:tr w:rsidR="007242D9" w:rsidRPr="009247AF" w14:paraId="4A6D4259" w14:textId="77777777" w:rsidTr="000E3F33">
        <w:tc>
          <w:tcPr>
            <w:tcW w:w="9350" w:type="dxa"/>
          </w:tcPr>
          <w:p w14:paraId="56710F85" w14:textId="0647D705" w:rsidR="007242D9" w:rsidRPr="009247AF" w:rsidRDefault="006F2731" w:rsidP="00196715">
            <w:pPr>
              <w:pStyle w:val="T1-TableHeading"/>
              <w:rPr>
                <w:highlight w:val="cyan"/>
              </w:rPr>
            </w:pPr>
            <w:r>
              <w:t xml:space="preserve"> </w:t>
            </w:r>
            <w:r w:rsidR="00444D6A">
              <w:t>Notre réponse</w:t>
            </w:r>
          </w:p>
        </w:tc>
      </w:tr>
      <w:tr w:rsidR="007242D9" w:rsidRPr="00E937B4" w14:paraId="0B9F75C8" w14:textId="77777777" w:rsidTr="000E3F33">
        <w:tc>
          <w:tcPr>
            <w:tcW w:w="9350" w:type="dxa"/>
          </w:tcPr>
          <w:p w14:paraId="5C9732C9" w14:textId="02C52DA2" w:rsidR="007242D9" w:rsidRPr="000B28B3" w:rsidRDefault="000E3F33" w:rsidP="00196715">
            <w:pPr>
              <w:pStyle w:val="T3-TableBullet1instructions"/>
              <w:rPr>
                <w:lang w:val="fr-CA"/>
              </w:rPr>
            </w:pPr>
            <w:r w:rsidRPr="000B28B3">
              <w:rPr>
                <w:lang w:val="fr-CA"/>
              </w:rPr>
              <w:t>Nous avons o</w:t>
            </w:r>
            <w:r w:rsidR="007242D9" w:rsidRPr="000B28B3">
              <w:rPr>
                <w:lang w:val="fr-CA"/>
              </w:rPr>
              <w:t>bten</w:t>
            </w:r>
            <w:r w:rsidRPr="000B28B3">
              <w:rPr>
                <w:lang w:val="fr-CA"/>
              </w:rPr>
              <w:t>u</w:t>
            </w:r>
            <w:r w:rsidR="007242D9" w:rsidRPr="00E306C0">
              <w:rPr>
                <w:lang w:val="fr-CA"/>
              </w:rPr>
              <w:t xml:space="preserve"> les prévisions et les hypothèses </w:t>
            </w:r>
            <w:r w:rsidR="006F2731">
              <w:rPr>
                <w:lang w:val="fr-CA"/>
              </w:rPr>
              <w:t xml:space="preserve">clés </w:t>
            </w:r>
            <w:r w:rsidR="007242D9" w:rsidRPr="00E306C0">
              <w:rPr>
                <w:lang w:val="fr-CA"/>
              </w:rPr>
              <w:t>établies par la direction pour vérifier si elles sont raisonnables.</w:t>
            </w:r>
          </w:p>
          <w:p w14:paraId="2F843CC9" w14:textId="48455118" w:rsidR="007242D9" w:rsidRPr="00AF4487" w:rsidRDefault="000E3F33" w:rsidP="002842C1">
            <w:pPr>
              <w:pStyle w:val="T3-TableBullet1instructions"/>
              <w:rPr>
                <w:lang w:val="fr-CA"/>
              </w:rPr>
            </w:pPr>
            <w:r w:rsidRPr="000B28B3">
              <w:rPr>
                <w:lang w:val="fr-CA"/>
              </w:rPr>
              <w:lastRenderedPageBreak/>
              <w:t>Nous avons e</w:t>
            </w:r>
            <w:r w:rsidR="007242D9" w:rsidRPr="000B28B3">
              <w:rPr>
                <w:lang w:val="fr-CA"/>
              </w:rPr>
              <w:t>xamin</w:t>
            </w:r>
            <w:r w:rsidRPr="000B28B3">
              <w:rPr>
                <w:lang w:val="fr-CA"/>
              </w:rPr>
              <w:t>é</w:t>
            </w:r>
            <w:r w:rsidR="007242D9" w:rsidRPr="000B28B3">
              <w:rPr>
                <w:lang w:val="fr-CA"/>
              </w:rPr>
              <w:t xml:space="preserve"> les prévisions et l’analyse de sensibilité</w:t>
            </w:r>
            <w:r w:rsidR="002842C1">
              <w:rPr>
                <w:lang w:val="fr-CA"/>
              </w:rPr>
              <w:t xml:space="preserve"> </w:t>
            </w:r>
            <w:r w:rsidR="002842C1" w:rsidRPr="002842C1">
              <w:rPr>
                <w:lang w:val="fr-CA"/>
              </w:rPr>
              <w:t>préparées par la direction pour nous assurer qu</w:t>
            </w:r>
            <w:r w:rsidR="009811F5">
              <w:rPr>
                <w:lang w:val="fr-CA"/>
              </w:rPr>
              <w:t>’</w:t>
            </w:r>
            <w:r w:rsidR="002842C1" w:rsidRPr="002842C1">
              <w:rPr>
                <w:lang w:val="fr-CA"/>
              </w:rPr>
              <w:t>elles reflètent l</w:t>
            </w:r>
            <w:r w:rsidR="009811F5">
              <w:rPr>
                <w:lang w:val="fr-CA"/>
              </w:rPr>
              <w:t>’</w:t>
            </w:r>
            <w:r w:rsidR="002842C1" w:rsidRPr="002842C1">
              <w:rPr>
                <w:lang w:val="fr-CA"/>
              </w:rPr>
              <w:t>environnement actuel</w:t>
            </w:r>
            <w:r w:rsidR="003D2369">
              <w:rPr>
                <w:lang w:val="fr-CA"/>
              </w:rPr>
              <w:t xml:space="preserve"> </w:t>
            </w:r>
            <w:r w:rsidR="003D2369" w:rsidRPr="00F0118B">
              <w:rPr>
                <w:color w:val="auto"/>
                <w:lang w:val="fr-CA"/>
              </w:rPr>
              <w:t>[</w:t>
            </w:r>
            <w:r w:rsidR="003D2369">
              <w:rPr>
                <w:lang w:val="fr-CA"/>
              </w:rPr>
              <w:t>décrire</w:t>
            </w:r>
            <w:r w:rsidR="004E5A5D">
              <w:rPr>
                <w:lang w:val="fr-CA"/>
              </w:rPr>
              <w:t> </w:t>
            </w:r>
            <w:r w:rsidR="00EC264A">
              <w:rPr>
                <w:lang w:val="fr-CA"/>
              </w:rPr>
              <w:t xml:space="preserve">— </w:t>
            </w:r>
            <w:r w:rsidR="003D2369">
              <w:rPr>
                <w:lang w:val="fr-CA"/>
              </w:rPr>
              <w:t>par exemple</w:t>
            </w:r>
            <w:r w:rsidR="00EC264A">
              <w:rPr>
                <w:lang w:val="fr-CA"/>
              </w:rPr>
              <w:t>, inclure</w:t>
            </w:r>
            <w:r w:rsidR="003D2369">
              <w:rPr>
                <w:lang w:val="fr-CA"/>
              </w:rPr>
              <w:t xml:space="preserve"> les </w:t>
            </w:r>
            <w:r w:rsidR="00EC264A">
              <w:rPr>
                <w:lang w:val="fr-CA"/>
              </w:rPr>
              <w:t>répercussions découlant de la</w:t>
            </w:r>
            <w:r w:rsidR="003D2369" w:rsidRPr="00AF4487">
              <w:rPr>
                <w:lang w:val="fr-CA"/>
              </w:rPr>
              <w:t xml:space="preserve"> perturbation de la chaîne d’approvisionnement de l’entité</w:t>
            </w:r>
            <w:r w:rsidR="003D2369" w:rsidRPr="00F0118B">
              <w:rPr>
                <w:color w:val="auto"/>
                <w:lang w:val="fr-CA"/>
              </w:rPr>
              <w:t>]</w:t>
            </w:r>
            <w:r w:rsidR="002842C1" w:rsidRPr="00AF4487">
              <w:rPr>
                <w:lang w:val="fr-CA"/>
              </w:rPr>
              <w:t>.</w:t>
            </w:r>
          </w:p>
          <w:p w14:paraId="3EA95AD8" w14:textId="1B2F6B22" w:rsidR="005C4E84" w:rsidRPr="008B5C11" w:rsidRDefault="005C4E84" w:rsidP="002842C1">
            <w:pPr>
              <w:pStyle w:val="T3-TableBullet1instructions"/>
              <w:rPr>
                <w:lang w:val="fr-CA"/>
              </w:rPr>
            </w:pPr>
            <w:r w:rsidRPr="008B5C11">
              <w:rPr>
                <w:lang w:val="fr-CA"/>
              </w:rPr>
              <w:t xml:space="preserve">Nous avons fait appel à des </w:t>
            </w:r>
            <w:r w:rsidR="00DC2CB1" w:rsidRPr="00F0118B">
              <w:rPr>
                <w:color w:val="auto"/>
                <w:lang w:val="fr-CA"/>
              </w:rPr>
              <w:t>[</w:t>
            </w:r>
            <w:r w:rsidR="00DC2CB1" w:rsidRPr="008B5C11">
              <w:rPr>
                <w:lang w:val="fr-CA"/>
              </w:rPr>
              <w:t>experts/</w:t>
            </w:r>
            <w:r w:rsidRPr="008B5C11">
              <w:rPr>
                <w:lang w:val="fr-CA"/>
              </w:rPr>
              <w:t>spécialistes</w:t>
            </w:r>
            <w:r w:rsidR="00DC2CB1" w:rsidRPr="00F0118B">
              <w:rPr>
                <w:color w:val="auto"/>
                <w:lang w:val="fr-CA"/>
              </w:rPr>
              <w:t>]</w:t>
            </w:r>
            <w:r w:rsidRPr="008B5C11">
              <w:rPr>
                <w:lang w:val="fr-CA"/>
              </w:rPr>
              <w:t xml:space="preserve"> </w:t>
            </w:r>
            <w:r w:rsidRPr="00F0118B">
              <w:rPr>
                <w:color w:val="auto"/>
                <w:lang w:val="fr-CA"/>
              </w:rPr>
              <w:t>[</w:t>
            </w:r>
            <w:r w:rsidRPr="008B5C11">
              <w:rPr>
                <w:lang w:val="fr-CA"/>
              </w:rPr>
              <w:t>préciser lesquels</w:t>
            </w:r>
            <w:r w:rsidRPr="00F0118B">
              <w:rPr>
                <w:color w:val="auto"/>
                <w:lang w:val="fr-CA"/>
              </w:rPr>
              <w:t>]</w:t>
            </w:r>
            <w:r w:rsidRPr="008B5C11">
              <w:rPr>
                <w:lang w:val="fr-CA"/>
              </w:rPr>
              <w:t xml:space="preserve"> pour contribuer à l’audit des prévisions établies par la direction.</w:t>
            </w:r>
          </w:p>
          <w:p w14:paraId="7ED7B889" w14:textId="1D77D979" w:rsidR="002842C1" w:rsidRDefault="002842C1" w:rsidP="002842C1">
            <w:pPr>
              <w:pStyle w:val="T3-TableBullet1instructions"/>
              <w:rPr>
                <w:lang w:val="fr-CA"/>
              </w:rPr>
            </w:pPr>
            <w:r w:rsidRPr="002842C1">
              <w:rPr>
                <w:lang w:val="fr-CA"/>
              </w:rPr>
              <w:t xml:space="preserve">Nous avons examiné les clauses </w:t>
            </w:r>
            <w:r>
              <w:rPr>
                <w:lang w:val="fr-CA"/>
              </w:rPr>
              <w:t xml:space="preserve">restrictives </w:t>
            </w:r>
            <w:r w:rsidRPr="002842C1">
              <w:rPr>
                <w:lang w:val="fr-CA"/>
              </w:rPr>
              <w:t>et l</w:t>
            </w:r>
            <w:r w:rsidR="009811F5">
              <w:rPr>
                <w:lang w:val="fr-CA"/>
              </w:rPr>
              <w:t>’</w:t>
            </w:r>
            <w:r w:rsidRPr="002842C1">
              <w:rPr>
                <w:lang w:val="fr-CA"/>
              </w:rPr>
              <w:t>évaluation par la direction d</w:t>
            </w:r>
            <w:r w:rsidR="009811F5">
              <w:rPr>
                <w:lang w:val="fr-CA"/>
              </w:rPr>
              <w:t>’</w:t>
            </w:r>
            <w:r w:rsidRPr="002842C1">
              <w:rPr>
                <w:lang w:val="fr-CA"/>
              </w:rPr>
              <w:t>une éventuelle violation de ces clauses.</w:t>
            </w:r>
          </w:p>
          <w:p w14:paraId="7F1CB6D8" w14:textId="19DEA9D6" w:rsidR="000E3F33" w:rsidRPr="00666980" w:rsidRDefault="002842C1" w:rsidP="00225C7D">
            <w:pPr>
              <w:pStyle w:val="T3-TableBullet1instructions"/>
              <w:rPr>
                <w:lang w:val="fr-CA"/>
              </w:rPr>
            </w:pPr>
            <w:r w:rsidRPr="002842C1">
              <w:rPr>
                <w:lang w:val="fr-CA"/>
              </w:rPr>
              <w:t xml:space="preserve">Nous avons évalué la capacité de </w:t>
            </w:r>
            <w:r w:rsidRPr="00F0118B">
              <w:rPr>
                <w:color w:val="auto"/>
                <w:lang w:val="fr-CA"/>
              </w:rPr>
              <w:t>[</w:t>
            </w:r>
            <w:r w:rsidRPr="002842C1">
              <w:rPr>
                <w:lang w:val="fr-CA"/>
              </w:rPr>
              <w:t>nom de l</w:t>
            </w:r>
            <w:r w:rsidR="009811F5">
              <w:rPr>
                <w:lang w:val="fr-CA"/>
              </w:rPr>
              <w:t>’</w:t>
            </w:r>
            <w:r w:rsidRPr="002842C1">
              <w:rPr>
                <w:lang w:val="fr-CA"/>
              </w:rPr>
              <w:t>entité</w:t>
            </w:r>
            <w:r w:rsidRPr="00F0118B">
              <w:rPr>
                <w:color w:val="auto"/>
                <w:lang w:val="fr-CA"/>
              </w:rPr>
              <w:t>]</w:t>
            </w:r>
            <w:r w:rsidRPr="002842C1">
              <w:rPr>
                <w:lang w:val="fr-CA"/>
              </w:rPr>
              <w:t xml:space="preserve"> à </w:t>
            </w:r>
            <w:r w:rsidR="005C4E84">
              <w:rPr>
                <w:lang w:val="fr-CA"/>
              </w:rPr>
              <w:t>continuer</w:t>
            </w:r>
            <w:r w:rsidRPr="002842C1">
              <w:rPr>
                <w:lang w:val="fr-CA"/>
              </w:rPr>
              <w:t xml:space="preserve"> son </w:t>
            </w:r>
            <w:r w:rsidR="00C82349">
              <w:rPr>
                <w:lang w:val="fr-CA"/>
              </w:rPr>
              <w:t>exploitation</w:t>
            </w:r>
            <w:r w:rsidRPr="002842C1">
              <w:rPr>
                <w:lang w:val="fr-CA"/>
              </w:rPr>
              <w:t xml:space="preserve"> selon les normes comptables applicables.</w:t>
            </w:r>
          </w:p>
        </w:tc>
      </w:tr>
      <w:tr w:rsidR="000E3F33" w:rsidRPr="009247AF" w14:paraId="0075A778" w14:textId="77777777" w:rsidTr="000E3F33">
        <w:tc>
          <w:tcPr>
            <w:tcW w:w="9350" w:type="dxa"/>
          </w:tcPr>
          <w:p w14:paraId="6C5E8087" w14:textId="77EC1E7B" w:rsidR="000E3F33" w:rsidRPr="0022029E" w:rsidRDefault="000E3F33" w:rsidP="000E3F33">
            <w:pPr>
              <w:pStyle w:val="T3-TableBullet1instructions"/>
              <w:numPr>
                <w:ilvl w:val="0"/>
                <w:numId w:val="0"/>
              </w:numPr>
              <w:ind w:left="360" w:hanging="360"/>
              <w:rPr>
                <w:lang w:val="fr-CA"/>
              </w:rPr>
            </w:pPr>
            <w:r w:rsidRPr="0022029E">
              <w:rPr>
                <w:b/>
                <w:color w:val="auto"/>
                <w:lang w:val="fr-CA"/>
              </w:rPr>
              <w:lastRenderedPageBreak/>
              <w:t>Nos constatations</w:t>
            </w:r>
          </w:p>
        </w:tc>
      </w:tr>
      <w:tr w:rsidR="000E3F33" w:rsidRPr="00E937B4" w14:paraId="53E8C113" w14:textId="77777777" w:rsidTr="000E3F33">
        <w:tc>
          <w:tcPr>
            <w:tcW w:w="9350" w:type="dxa"/>
          </w:tcPr>
          <w:p w14:paraId="3CA653C7" w14:textId="425614F0" w:rsidR="000E3F33" w:rsidRPr="00666980" w:rsidRDefault="000E3F33" w:rsidP="00225C7D">
            <w:pPr>
              <w:pStyle w:val="T3-TableBullet1instructions"/>
              <w:rPr>
                <w:lang w:val="fr-CA"/>
              </w:rPr>
            </w:pPr>
            <w:r w:rsidRPr="00666980">
              <w:rPr>
                <w:color w:val="auto"/>
                <w:lang w:val="fr-CA"/>
              </w:rPr>
              <w:t>[</w:t>
            </w:r>
            <w:r w:rsidR="00DF0575" w:rsidRPr="00666980">
              <w:rPr>
                <w:lang w:val="fr-CA"/>
              </w:rPr>
              <w:t xml:space="preserve">En nous </w:t>
            </w:r>
            <w:r w:rsidR="00225C7D">
              <w:rPr>
                <w:lang w:val="fr-CA"/>
              </w:rPr>
              <w:t>basant</w:t>
            </w:r>
            <w:r w:rsidR="00F17683" w:rsidRPr="00666980">
              <w:rPr>
                <w:lang w:val="fr-CA"/>
              </w:rPr>
              <w:t xml:space="preserve"> </w:t>
            </w:r>
            <w:r w:rsidR="00DF0575" w:rsidRPr="00666980">
              <w:rPr>
                <w:lang w:val="fr-CA"/>
              </w:rPr>
              <w:t xml:space="preserve">sur nos travaux d’audit, nous </w:t>
            </w:r>
            <w:r w:rsidR="00F17683">
              <w:rPr>
                <w:lang w:val="fr-CA"/>
              </w:rPr>
              <w:t xml:space="preserve">n’avons aucun élément à vous </w:t>
            </w:r>
            <w:r w:rsidR="00225C7D">
              <w:rPr>
                <w:lang w:val="fr-CA"/>
              </w:rPr>
              <w:t>communiquer</w:t>
            </w:r>
            <w:r w:rsidR="00DF0575" w:rsidRPr="00666980">
              <w:rPr>
                <w:lang w:val="fr-CA"/>
              </w:rPr>
              <w:t>.</w:t>
            </w:r>
            <w:r w:rsidR="00967432" w:rsidRPr="00666980">
              <w:rPr>
                <w:rFonts w:cs="Arial"/>
                <w:color w:val="auto"/>
                <w:lang w:val="fr-CA"/>
              </w:rPr>
              <w:t>]</w:t>
            </w:r>
          </w:p>
        </w:tc>
      </w:tr>
    </w:tbl>
    <w:p w14:paraId="4A48BB1E" w14:textId="77777777" w:rsidR="004D00F4" w:rsidRDefault="004D00F4" w:rsidP="004D00F4">
      <w:pPr>
        <w:pStyle w:val="Heading1"/>
        <w:rPr>
          <w:rFonts w:ascii="Arial" w:hAnsi="Arial" w:cs="Arial"/>
          <w:b w:val="0"/>
          <w:color w:val="auto"/>
          <w:sz w:val="22"/>
          <w:szCs w:val="22"/>
          <w:lang w:val="fr-CA"/>
        </w:rPr>
      </w:pPr>
    </w:p>
    <w:p w14:paraId="4EB9B0CA" w14:textId="5424E0A1" w:rsidR="008F4947" w:rsidRPr="00444D6A" w:rsidRDefault="002728F6" w:rsidP="00444D6A">
      <w:pPr>
        <w:pStyle w:val="Heading2"/>
        <w:rPr>
          <w:b/>
          <w:lang w:val="fr-CA"/>
        </w:rPr>
      </w:pPr>
      <w:bookmarkStart w:id="3" w:name="_Toc102133491"/>
      <w:r w:rsidRPr="00444D6A">
        <w:rPr>
          <w:lang w:val="fr-CA"/>
        </w:rPr>
        <w:t>Dépréciation</w:t>
      </w:r>
      <w:r>
        <w:rPr>
          <w:lang w:val="fr-CA"/>
        </w:rPr>
        <w:t xml:space="preserve"> </w:t>
      </w:r>
      <w:r w:rsidR="00444D6A">
        <w:rPr>
          <w:rFonts w:cs="Arial"/>
          <w:lang w:val="fr-CA"/>
        </w:rPr>
        <w:t>[</w:t>
      </w:r>
      <w:r w:rsidR="00225C7D" w:rsidRPr="00444D6A">
        <w:rPr>
          <w:color w:val="0000FF"/>
          <w:lang w:val="fr-CA"/>
        </w:rPr>
        <w:t xml:space="preserve">du </w:t>
      </w:r>
      <w:r w:rsidRPr="00444D6A">
        <w:rPr>
          <w:color w:val="0000FF"/>
          <w:lang w:val="fr-CA"/>
        </w:rPr>
        <w:t xml:space="preserve">goodwill et </w:t>
      </w:r>
      <w:r w:rsidR="00225C7D" w:rsidRPr="00444D6A">
        <w:rPr>
          <w:color w:val="0000FF"/>
          <w:lang w:val="fr-CA"/>
        </w:rPr>
        <w:t xml:space="preserve">des </w:t>
      </w:r>
      <w:r w:rsidRPr="00444D6A">
        <w:rPr>
          <w:color w:val="0000FF"/>
          <w:lang w:val="fr-CA"/>
        </w:rPr>
        <w:t>immobilisations incorporelles</w:t>
      </w:r>
      <w:bookmarkEnd w:id="3"/>
      <w:r w:rsidR="00444D6A">
        <w:rPr>
          <w:rFonts w:cs="Arial"/>
          <w:lang w:val="fr-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2349" w14:paraId="44177B70" w14:textId="77777777" w:rsidTr="00196715">
        <w:tc>
          <w:tcPr>
            <w:tcW w:w="9350" w:type="dxa"/>
          </w:tcPr>
          <w:p w14:paraId="4AF214DF" w14:textId="7B6E13C0" w:rsidR="00C82349" w:rsidRDefault="00C82349" w:rsidP="00196715">
            <w:pPr>
              <w:pStyle w:val="T1-TableHeading"/>
            </w:pPr>
            <w:r>
              <w:t>Ris</w:t>
            </w:r>
            <w:r w:rsidR="008F4947">
              <w:t>que</w:t>
            </w:r>
          </w:p>
        </w:tc>
      </w:tr>
      <w:tr w:rsidR="00C82349" w:rsidRPr="00E937B4" w14:paraId="42DF2390" w14:textId="77777777" w:rsidTr="00196715">
        <w:tc>
          <w:tcPr>
            <w:tcW w:w="9350" w:type="dxa"/>
          </w:tcPr>
          <w:p w14:paraId="643F8401" w14:textId="6B1A01E6" w:rsidR="008F4947" w:rsidRDefault="008F4947" w:rsidP="008F4947">
            <w:pPr>
              <w:pStyle w:val="T3-TableBullet1instructions"/>
              <w:rPr>
                <w:lang w:val="fr-CA"/>
              </w:rPr>
            </w:pPr>
            <w:r w:rsidRPr="00444D6A">
              <w:rPr>
                <w:lang w:val="fr-CA"/>
              </w:rPr>
              <w:t>Selon la norme IAS 36, la direction est tenue d</w:t>
            </w:r>
            <w:r w:rsidR="009811F5">
              <w:rPr>
                <w:lang w:val="fr-CA"/>
              </w:rPr>
              <w:t>’</w:t>
            </w:r>
            <w:r w:rsidRPr="00444D6A">
              <w:rPr>
                <w:lang w:val="fr-CA"/>
              </w:rPr>
              <w:t xml:space="preserve">évaluer la valeur comptable du goodwill et des immobilisations incorporelles à durée de vie </w:t>
            </w:r>
            <w:r w:rsidR="002728F6" w:rsidRPr="00444D6A">
              <w:rPr>
                <w:lang w:val="fr-CA"/>
              </w:rPr>
              <w:t>indéterminée</w:t>
            </w:r>
            <w:r w:rsidRPr="00444D6A">
              <w:rPr>
                <w:lang w:val="fr-CA"/>
              </w:rPr>
              <w:t xml:space="preserve"> chaque année ou lorsqu</w:t>
            </w:r>
            <w:r w:rsidR="009811F5">
              <w:rPr>
                <w:lang w:val="fr-CA"/>
              </w:rPr>
              <w:t>’</w:t>
            </w:r>
            <w:r w:rsidRPr="00444D6A">
              <w:rPr>
                <w:lang w:val="fr-CA"/>
              </w:rPr>
              <w:t xml:space="preserve">il </w:t>
            </w:r>
            <w:r w:rsidR="002728F6">
              <w:rPr>
                <w:lang w:val="fr-CA"/>
              </w:rPr>
              <w:t>y a</w:t>
            </w:r>
            <w:r w:rsidRPr="00444D6A">
              <w:rPr>
                <w:lang w:val="fr-CA"/>
              </w:rPr>
              <w:t xml:space="preserve"> un indicateur de perte de valeur.</w:t>
            </w:r>
          </w:p>
          <w:p w14:paraId="6DC1E79B" w14:textId="5D23DA95" w:rsidR="00C82349" w:rsidRPr="008F4947" w:rsidRDefault="00DC2CB1" w:rsidP="009B5763">
            <w:pPr>
              <w:pStyle w:val="T3-TableBullet1instructions"/>
              <w:rPr>
                <w:lang w:val="fr-CA"/>
              </w:rPr>
            </w:pPr>
            <w:r w:rsidRPr="00F0118B">
              <w:rPr>
                <w:color w:val="auto"/>
                <w:lang w:val="fr-CA"/>
              </w:rPr>
              <w:t>[</w:t>
            </w:r>
            <w:r>
              <w:rPr>
                <w:lang w:val="fr-CA"/>
              </w:rPr>
              <w:t xml:space="preserve">Ajouter une analyse supplémentaire </w:t>
            </w:r>
            <w:r w:rsidR="00870922">
              <w:rPr>
                <w:lang w:val="fr-CA"/>
              </w:rPr>
              <w:t xml:space="preserve">précise et détaillée </w:t>
            </w:r>
            <w:r>
              <w:rPr>
                <w:lang w:val="fr-CA"/>
              </w:rPr>
              <w:t>des facteurs de risque</w:t>
            </w:r>
            <w:r w:rsidR="00870922">
              <w:rPr>
                <w:lang w:val="fr-CA"/>
              </w:rPr>
              <w:t xml:space="preserve"> se rapportant à la mission qui ont</w:t>
            </w:r>
            <w:r>
              <w:rPr>
                <w:lang w:val="fr-CA"/>
              </w:rPr>
              <w:t xml:space="preserve"> mené au niveau de risque défini (par exemple</w:t>
            </w:r>
            <w:r w:rsidR="00FD5D9D">
              <w:rPr>
                <w:lang w:val="fr-CA"/>
              </w:rPr>
              <w:t>,</w:t>
            </w:r>
            <w:r>
              <w:rPr>
                <w:lang w:val="fr-CA"/>
              </w:rPr>
              <w:t xml:space="preserve"> un risque important</w:t>
            </w:r>
            <w:r w:rsidR="00870922">
              <w:rPr>
                <w:lang w:val="fr-CA"/>
              </w:rPr>
              <w:t>)</w:t>
            </w:r>
            <w:r>
              <w:rPr>
                <w:lang w:val="fr-CA"/>
              </w:rPr>
              <w:t>.</w:t>
            </w:r>
            <w:r w:rsidRPr="00F0118B">
              <w:rPr>
                <w:color w:val="auto"/>
                <w:lang w:val="fr-CA"/>
              </w:rPr>
              <w:t>]</w:t>
            </w:r>
          </w:p>
        </w:tc>
      </w:tr>
      <w:tr w:rsidR="00C82349" w14:paraId="6E53D671" w14:textId="77777777" w:rsidTr="00196715">
        <w:tc>
          <w:tcPr>
            <w:tcW w:w="9350" w:type="dxa"/>
          </w:tcPr>
          <w:p w14:paraId="056427B4" w14:textId="638F69C5" w:rsidR="00C82349" w:rsidRDefault="008F4947" w:rsidP="00196715">
            <w:pPr>
              <w:pStyle w:val="T1-TableHeading"/>
            </w:pPr>
            <w:r>
              <w:t>Nos réponses</w:t>
            </w:r>
          </w:p>
        </w:tc>
      </w:tr>
      <w:tr w:rsidR="00C82349" w:rsidRPr="00E937B4" w14:paraId="03D4115D" w14:textId="77777777" w:rsidTr="00196715">
        <w:tc>
          <w:tcPr>
            <w:tcW w:w="9350" w:type="dxa"/>
          </w:tcPr>
          <w:p w14:paraId="7CD91FD7" w14:textId="6EDF6481" w:rsidR="008F4947" w:rsidRPr="008C2224" w:rsidRDefault="008F4947" w:rsidP="008F4947">
            <w:pPr>
              <w:pStyle w:val="T3-TableBullet1instructions"/>
              <w:rPr>
                <w:lang w:val="fr-CA"/>
              </w:rPr>
            </w:pPr>
            <w:r w:rsidRPr="008C2224">
              <w:rPr>
                <w:lang w:val="fr-CA"/>
              </w:rPr>
              <w:t>Nous avons évalué</w:t>
            </w:r>
            <w:r w:rsidR="00870922">
              <w:rPr>
                <w:lang w:val="fr-CA"/>
              </w:rPr>
              <w:t xml:space="preserve"> la méthode, y compris l’ensemble d</w:t>
            </w:r>
            <w:r w:rsidRPr="008C2224">
              <w:rPr>
                <w:lang w:val="fr-CA"/>
              </w:rPr>
              <w:t>es modèl</w:t>
            </w:r>
            <w:r w:rsidR="00C61760" w:rsidRPr="00F17683">
              <w:rPr>
                <w:lang w:val="fr-CA"/>
              </w:rPr>
              <w:t xml:space="preserve">es </w:t>
            </w:r>
            <w:r w:rsidR="00870922">
              <w:rPr>
                <w:lang w:val="fr-CA"/>
              </w:rPr>
              <w:t>et des données utilisés</w:t>
            </w:r>
            <w:r w:rsidR="00870922" w:rsidRPr="00F17683">
              <w:rPr>
                <w:lang w:val="fr-CA"/>
              </w:rPr>
              <w:t xml:space="preserve"> </w:t>
            </w:r>
            <w:r w:rsidR="00C61760" w:rsidRPr="00F17683">
              <w:rPr>
                <w:lang w:val="fr-CA"/>
              </w:rPr>
              <w:t>par la direction</w:t>
            </w:r>
            <w:r w:rsidR="00870922">
              <w:rPr>
                <w:lang w:val="fr-CA"/>
              </w:rPr>
              <w:t xml:space="preserve"> pour déterminer l’estimation</w:t>
            </w:r>
            <w:r w:rsidR="00C61760" w:rsidRPr="00F17683">
              <w:rPr>
                <w:lang w:val="fr-CA"/>
              </w:rPr>
              <w:t xml:space="preserve"> </w:t>
            </w:r>
            <w:r w:rsidR="00C61760" w:rsidRPr="00687BDC">
              <w:rPr>
                <w:color w:val="auto"/>
                <w:lang w:val="fr-CA"/>
              </w:rPr>
              <w:t>[</w:t>
            </w:r>
            <w:r w:rsidR="00C61760" w:rsidRPr="00F17683">
              <w:rPr>
                <w:lang w:val="fr-CA"/>
              </w:rPr>
              <w:t>indiquer</w:t>
            </w:r>
            <w:r w:rsidRPr="008C2224">
              <w:rPr>
                <w:lang w:val="fr-CA"/>
              </w:rPr>
              <w:t xml:space="preserve"> la fréquence</w:t>
            </w:r>
            <w:r w:rsidR="00786D8C">
              <w:rPr>
                <w:lang w:val="fr-CA"/>
              </w:rPr>
              <w:t xml:space="preserve"> </w:t>
            </w:r>
            <w:r w:rsidR="001B582F">
              <w:rPr>
                <w:lang w:val="fr-CA"/>
              </w:rPr>
              <w:t>—</w:t>
            </w:r>
            <w:r w:rsidR="001B582F" w:rsidRPr="008C2224">
              <w:rPr>
                <w:lang w:val="fr-CA"/>
              </w:rPr>
              <w:t xml:space="preserve"> </w:t>
            </w:r>
            <w:r w:rsidRPr="008C2224">
              <w:rPr>
                <w:lang w:val="fr-CA"/>
              </w:rPr>
              <w:t>par</w:t>
            </w:r>
            <w:r w:rsidR="002728F6">
              <w:rPr>
                <w:lang w:val="fr-CA"/>
              </w:rPr>
              <w:t xml:space="preserve"> </w:t>
            </w:r>
            <w:r w:rsidRPr="008C2224">
              <w:rPr>
                <w:lang w:val="fr-CA"/>
              </w:rPr>
              <w:t xml:space="preserve">exemple, </w:t>
            </w:r>
            <w:r w:rsidR="009F5C8B">
              <w:rPr>
                <w:lang w:val="fr-CA"/>
              </w:rPr>
              <w:t xml:space="preserve">tous les </w:t>
            </w:r>
            <w:r w:rsidRPr="008C2224">
              <w:rPr>
                <w:lang w:val="fr-CA"/>
              </w:rPr>
              <w:t>trimestre</w:t>
            </w:r>
            <w:r w:rsidR="009F5C8B">
              <w:rPr>
                <w:lang w:val="fr-CA"/>
              </w:rPr>
              <w:t>s</w:t>
            </w:r>
            <w:r w:rsidRPr="00687BDC">
              <w:rPr>
                <w:color w:val="auto"/>
                <w:lang w:val="fr-CA"/>
              </w:rPr>
              <w:t>]</w:t>
            </w:r>
            <w:r w:rsidR="00870922">
              <w:rPr>
                <w:color w:val="auto"/>
                <w:lang w:val="fr-CA"/>
              </w:rPr>
              <w:t>,</w:t>
            </w:r>
            <w:r w:rsidRPr="008C2224">
              <w:rPr>
                <w:lang w:val="fr-CA"/>
              </w:rPr>
              <w:t xml:space="preserve"> remis en question les hypothèses</w:t>
            </w:r>
            <w:r w:rsidR="00870922">
              <w:rPr>
                <w:lang w:val="fr-CA"/>
              </w:rPr>
              <w:t xml:space="preserve"> importantes</w:t>
            </w:r>
            <w:r w:rsidRPr="008C2224">
              <w:rPr>
                <w:lang w:val="fr-CA"/>
              </w:rPr>
              <w:t xml:space="preserve">, </w:t>
            </w:r>
            <w:r w:rsidR="00870922">
              <w:rPr>
                <w:lang w:val="fr-CA"/>
              </w:rPr>
              <w:t xml:space="preserve">gardé </w:t>
            </w:r>
            <w:r w:rsidR="00C61760">
              <w:rPr>
                <w:lang w:val="fr-CA"/>
              </w:rPr>
              <w:t>un esprit critique à l’égard des</w:t>
            </w:r>
            <w:r w:rsidRPr="008C2224">
              <w:rPr>
                <w:lang w:val="fr-CA"/>
              </w:rPr>
              <w:t xml:space="preserve"> explications</w:t>
            </w:r>
            <w:r w:rsidR="00870922">
              <w:rPr>
                <w:lang w:val="fr-CA"/>
              </w:rPr>
              <w:t>,</w:t>
            </w:r>
            <w:r w:rsidRPr="008C2224">
              <w:rPr>
                <w:lang w:val="fr-CA"/>
              </w:rPr>
              <w:t xml:space="preserve"> </w:t>
            </w:r>
            <w:r w:rsidR="00870922">
              <w:rPr>
                <w:lang w:val="fr-CA"/>
              </w:rPr>
              <w:t xml:space="preserve">pris en considération les indices possibles d’un parti pris de la direction </w:t>
            </w:r>
            <w:r w:rsidRPr="008C2224">
              <w:rPr>
                <w:lang w:val="fr-CA"/>
              </w:rPr>
              <w:t>et obten</w:t>
            </w:r>
            <w:r w:rsidR="00870922">
              <w:rPr>
                <w:lang w:val="fr-CA"/>
              </w:rPr>
              <w:t>u</w:t>
            </w:r>
            <w:r w:rsidRPr="008C2224">
              <w:rPr>
                <w:lang w:val="fr-CA"/>
              </w:rPr>
              <w:t xml:space="preserve"> des preuves à l</w:t>
            </w:r>
            <w:r w:rsidR="009811F5">
              <w:rPr>
                <w:lang w:val="fr-CA"/>
              </w:rPr>
              <w:t>’</w:t>
            </w:r>
            <w:r w:rsidRPr="008C2224">
              <w:rPr>
                <w:lang w:val="fr-CA"/>
              </w:rPr>
              <w:t>appui si nécessaire afin de nous assurer que les modèles reflètent l</w:t>
            </w:r>
            <w:r w:rsidR="009811F5">
              <w:rPr>
                <w:lang w:val="fr-CA"/>
              </w:rPr>
              <w:t>’</w:t>
            </w:r>
            <w:r w:rsidRPr="008C2224">
              <w:rPr>
                <w:lang w:val="fr-CA"/>
              </w:rPr>
              <w:t>environnement actuel, y compris</w:t>
            </w:r>
            <w:r w:rsidR="00846467">
              <w:rPr>
                <w:lang w:val="fr-CA"/>
              </w:rPr>
              <w:t xml:space="preserve"> </w:t>
            </w:r>
            <w:r w:rsidR="00846467" w:rsidRPr="00F0118B">
              <w:rPr>
                <w:color w:val="auto"/>
                <w:lang w:val="fr-CA"/>
              </w:rPr>
              <w:t>[</w:t>
            </w:r>
            <w:r w:rsidR="00846467">
              <w:rPr>
                <w:lang w:val="fr-CA"/>
              </w:rPr>
              <w:t>décrire — par exemple</w:t>
            </w:r>
            <w:r w:rsidR="009811F5">
              <w:rPr>
                <w:lang w:val="fr-CA"/>
              </w:rPr>
              <w:t>,</w:t>
            </w:r>
            <w:r w:rsidR="00846467">
              <w:rPr>
                <w:lang w:val="fr-CA"/>
              </w:rPr>
              <w:t xml:space="preserve"> la perturbation continue de la chaîne d’approvisionnement</w:t>
            </w:r>
            <w:r w:rsidR="00FF0444">
              <w:rPr>
                <w:lang w:val="fr-CA"/>
              </w:rPr>
              <w:t xml:space="preserve"> de l’entité</w:t>
            </w:r>
            <w:r w:rsidR="00846467" w:rsidRPr="00F0118B">
              <w:rPr>
                <w:color w:val="auto"/>
                <w:lang w:val="fr-CA"/>
              </w:rPr>
              <w:t>]</w:t>
            </w:r>
            <w:r w:rsidRPr="008C2224">
              <w:rPr>
                <w:lang w:val="fr-CA"/>
              </w:rPr>
              <w:t>.</w:t>
            </w:r>
          </w:p>
          <w:p w14:paraId="30A7808E" w14:textId="58720540" w:rsidR="008F4947" w:rsidRPr="00FF0444" w:rsidRDefault="008F4947" w:rsidP="008F4947">
            <w:pPr>
              <w:pStyle w:val="T3-TableBullet1instructions"/>
              <w:rPr>
                <w:lang w:val="fr-CA"/>
              </w:rPr>
            </w:pPr>
            <w:r w:rsidRPr="008C2224">
              <w:rPr>
                <w:lang w:val="fr-CA"/>
              </w:rPr>
              <w:t xml:space="preserve">Nous </w:t>
            </w:r>
            <w:r w:rsidRPr="00FF0444">
              <w:rPr>
                <w:lang w:val="fr-CA"/>
              </w:rPr>
              <w:t>avons examiné si les modèles utilisés sont appropriés</w:t>
            </w:r>
            <w:r w:rsidR="00FF0444" w:rsidRPr="00FF0444">
              <w:rPr>
                <w:lang w:val="fr-CA"/>
              </w:rPr>
              <w:t xml:space="preserve"> en vérifiant notamment</w:t>
            </w:r>
            <w:r w:rsidRPr="00FF0444">
              <w:rPr>
                <w:lang w:val="fr-CA"/>
              </w:rPr>
              <w:t xml:space="preserve"> les calculs correspondants.</w:t>
            </w:r>
          </w:p>
          <w:p w14:paraId="3F328086" w14:textId="244A55EF" w:rsidR="00FF0444" w:rsidRPr="008C2224" w:rsidRDefault="00FF0444" w:rsidP="008F4947">
            <w:pPr>
              <w:pStyle w:val="T3-TableBullet1instructions"/>
              <w:rPr>
                <w:lang w:val="fr-CA"/>
              </w:rPr>
            </w:pPr>
            <w:r w:rsidRPr="00F0118B">
              <w:rPr>
                <w:lang w:val="fr-CA"/>
              </w:rPr>
              <w:t>Nous avons examin</w:t>
            </w:r>
            <w:r>
              <w:rPr>
                <w:lang w:val="fr-CA"/>
              </w:rPr>
              <w:t>é le caractère approprié des données ayant servi à établir l’estimation, y compris la pertinence et la fiabilité des données utilisées</w:t>
            </w:r>
            <w:r w:rsidRPr="00F0118B">
              <w:rPr>
                <w:lang w:val="fr-CA"/>
              </w:rPr>
              <w:t>.</w:t>
            </w:r>
          </w:p>
          <w:p w14:paraId="24FB8E65" w14:textId="29404610" w:rsidR="008F4947" w:rsidRPr="008C2224" w:rsidRDefault="008F4947" w:rsidP="008F4947">
            <w:pPr>
              <w:pStyle w:val="T3-TableBullet1instructions"/>
              <w:rPr>
                <w:lang w:val="fr-CA"/>
              </w:rPr>
            </w:pPr>
            <w:r w:rsidRPr="008C2224">
              <w:rPr>
                <w:lang w:val="fr-CA"/>
              </w:rPr>
              <w:t>Nous avons discuté avec la direction des</w:t>
            </w:r>
            <w:r w:rsidR="006F2731">
              <w:rPr>
                <w:lang w:val="fr-CA"/>
              </w:rPr>
              <w:t xml:space="preserve"> </w:t>
            </w:r>
            <w:r w:rsidRPr="008C2224">
              <w:rPr>
                <w:lang w:val="fr-CA"/>
              </w:rPr>
              <w:t xml:space="preserve">hypothèses </w:t>
            </w:r>
            <w:r w:rsidR="00FF0444">
              <w:rPr>
                <w:lang w:val="fr-CA"/>
              </w:rPr>
              <w:t xml:space="preserve">importantes </w:t>
            </w:r>
            <w:r w:rsidRPr="008C2224">
              <w:rPr>
                <w:lang w:val="fr-CA"/>
              </w:rPr>
              <w:t>sous-tendant les projections de</w:t>
            </w:r>
            <w:r w:rsidR="00C61760">
              <w:rPr>
                <w:lang w:val="fr-CA"/>
              </w:rPr>
              <w:t>s</w:t>
            </w:r>
            <w:r w:rsidRPr="008C2224">
              <w:rPr>
                <w:lang w:val="fr-CA"/>
              </w:rPr>
              <w:t xml:space="preserve"> flux de trésorerie et </w:t>
            </w:r>
            <w:r w:rsidR="00C61760">
              <w:rPr>
                <w:lang w:val="fr-CA"/>
              </w:rPr>
              <w:t>acquis une compréhension nous permettant de déterminer</w:t>
            </w:r>
            <w:r w:rsidRPr="008C2224">
              <w:rPr>
                <w:lang w:val="fr-CA"/>
              </w:rPr>
              <w:t xml:space="preserve"> si elles sont réalisables.</w:t>
            </w:r>
          </w:p>
          <w:p w14:paraId="6192851E" w14:textId="40D05823" w:rsidR="008F4947" w:rsidRPr="00FF0444" w:rsidRDefault="008F4947" w:rsidP="008F4947">
            <w:pPr>
              <w:pStyle w:val="T3-TableBullet1instructions"/>
              <w:rPr>
                <w:lang w:val="fr-CA"/>
              </w:rPr>
            </w:pPr>
            <w:r w:rsidRPr="008C2224">
              <w:rPr>
                <w:lang w:val="fr-CA"/>
              </w:rPr>
              <w:t>Nous avons examiné l</w:t>
            </w:r>
            <w:r w:rsidR="009811F5">
              <w:rPr>
                <w:lang w:val="fr-CA"/>
              </w:rPr>
              <w:t>’</w:t>
            </w:r>
            <w:r w:rsidRPr="008C2224">
              <w:rPr>
                <w:lang w:val="fr-CA"/>
              </w:rPr>
              <w:t xml:space="preserve">analyse de sensibilité </w:t>
            </w:r>
            <w:r w:rsidR="00C61760">
              <w:rPr>
                <w:lang w:val="fr-CA"/>
              </w:rPr>
              <w:t>effectuée par</w:t>
            </w:r>
            <w:r w:rsidRPr="008C2224">
              <w:rPr>
                <w:lang w:val="fr-CA"/>
              </w:rPr>
              <w:t xml:space="preserve"> la direction et </w:t>
            </w:r>
            <w:r w:rsidR="00C61760">
              <w:rPr>
                <w:lang w:val="fr-CA"/>
              </w:rPr>
              <w:t xml:space="preserve">pris en compte </w:t>
            </w:r>
            <w:r w:rsidR="00041A63">
              <w:rPr>
                <w:lang w:val="fr-CA"/>
              </w:rPr>
              <w:t>les</w:t>
            </w:r>
            <w:r w:rsidRPr="008C2224">
              <w:rPr>
                <w:lang w:val="fr-CA"/>
              </w:rPr>
              <w:t xml:space="preserve"> sensibilité</w:t>
            </w:r>
            <w:r w:rsidR="00041A63">
              <w:rPr>
                <w:lang w:val="fr-CA"/>
              </w:rPr>
              <w:t>s</w:t>
            </w:r>
            <w:r w:rsidRPr="008C2224">
              <w:rPr>
                <w:lang w:val="fr-CA"/>
              </w:rPr>
              <w:t xml:space="preserve"> </w:t>
            </w:r>
            <w:r w:rsidR="00041A63">
              <w:rPr>
                <w:lang w:val="fr-CA"/>
              </w:rPr>
              <w:t xml:space="preserve">supplémentaires </w:t>
            </w:r>
            <w:r w:rsidRPr="008C2224">
              <w:rPr>
                <w:lang w:val="fr-CA"/>
              </w:rPr>
              <w:t>réaliste</w:t>
            </w:r>
            <w:r w:rsidR="00041A63">
              <w:rPr>
                <w:lang w:val="fr-CA"/>
              </w:rPr>
              <w:t>s</w:t>
            </w:r>
            <w:r w:rsidRPr="008C2224">
              <w:rPr>
                <w:lang w:val="fr-CA"/>
              </w:rPr>
              <w:t xml:space="preserve"> </w:t>
            </w:r>
            <w:r w:rsidR="00F17683">
              <w:rPr>
                <w:lang w:val="fr-CA"/>
              </w:rPr>
              <w:t xml:space="preserve">aux </w:t>
            </w:r>
            <w:r w:rsidRPr="008C2224">
              <w:rPr>
                <w:lang w:val="fr-CA"/>
              </w:rPr>
              <w:t xml:space="preserve">hypothèses </w:t>
            </w:r>
            <w:r w:rsidR="00FF0444">
              <w:rPr>
                <w:lang w:val="fr-CA"/>
              </w:rPr>
              <w:t>importantes</w:t>
            </w:r>
            <w:r w:rsidR="00FF0444" w:rsidRPr="008C2224">
              <w:rPr>
                <w:lang w:val="fr-CA"/>
              </w:rPr>
              <w:t xml:space="preserve"> </w:t>
            </w:r>
            <w:r w:rsidRPr="008C2224">
              <w:rPr>
                <w:lang w:val="fr-CA"/>
              </w:rPr>
              <w:t xml:space="preserve">et </w:t>
            </w:r>
            <w:r w:rsidR="00F17683">
              <w:rPr>
                <w:lang w:val="fr-CA"/>
              </w:rPr>
              <w:t>aux</w:t>
            </w:r>
            <w:r w:rsidRPr="008C2224">
              <w:rPr>
                <w:lang w:val="fr-CA"/>
              </w:rPr>
              <w:t xml:space="preserve"> flux de trésorerie </w:t>
            </w:r>
            <w:r w:rsidRPr="00FF0444">
              <w:rPr>
                <w:lang w:val="fr-CA"/>
              </w:rPr>
              <w:t>sous-jacents.</w:t>
            </w:r>
          </w:p>
          <w:p w14:paraId="07765015" w14:textId="7E0E1B07" w:rsidR="00C82349" w:rsidRPr="009811F5" w:rsidRDefault="008F4947" w:rsidP="00FF0444">
            <w:pPr>
              <w:pStyle w:val="T3-TableBullet1instructions"/>
              <w:rPr>
                <w:lang w:val="fr-CA"/>
              </w:rPr>
            </w:pPr>
            <w:r w:rsidRPr="009811F5">
              <w:rPr>
                <w:lang w:val="fr-CA"/>
              </w:rPr>
              <w:t xml:space="preserve">Nous avons fait appel à des </w:t>
            </w:r>
            <w:r w:rsidR="00FF0444" w:rsidRPr="009811F5">
              <w:rPr>
                <w:lang w:val="fr-CA"/>
              </w:rPr>
              <w:t xml:space="preserve">experts </w:t>
            </w:r>
            <w:r w:rsidRPr="009811F5">
              <w:rPr>
                <w:lang w:val="fr-CA"/>
              </w:rPr>
              <w:t>de l</w:t>
            </w:r>
            <w:r w:rsidR="009811F5">
              <w:rPr>
                <w:lang w:val="fr-CA"/>
              </w:rPr>
              <w:t>’</w:t>
            </w:r>
            <w:r w:rsidRPr="009811F5">
              <w:rPr>
                <w:lang w:val="fr-CA"/>
              </w:rPr>
              <w:t xml:space="preserve">évaluation pour appuyer </w:t>
            </w:r>
            <w:r w:rsidR="00F17683" w:rsidRPr="009811F5">
              <w:rPr>
                <w:lang w:val="fr-CA"/>
              </w:rPr>
              <w:t xml:space="preserve">l’audit </w:t>
            </w:r>
            <w:r w:rsidRPr="009811F5">
              <w:rPr>
                <w:lang w:val="fr-CA"/>
              </w:rPr>
              <w:t>de ces soldes.</w:t>
            </w:r>
          </w:p>
          <w:p w14:paraId="60EAF8FD" w14:textId="135FF59C" w:rsidR="00FF0444" w:rsidRPr="00F0118B" w:rsidRDefault="00FF0444" w:rsidP="00FF0444">
            <w:pPr>
              <w:pStyle w:val="T3-TableBullet1instructions"/>
              <w:rPr>
                <w:lang w:val="fr-CA"/>
              </w:rPr>
            </w:pPr>
            <w:r w:rsidRPr="00F0118B">
              <w:rPr>
                <w:lang w:val="fr-CA"/>
              </w:rPr>
              <w:lastRenderedPageBreak/>
              <w:t>Nous avons évalué</w:t>
            </w:r>
            <w:r>
              <w:rPr>
                <w:lang w:val="fr-CA"/>
              </w:rPr>
              <w:t xml:space="preserve"> </w:t>
            </w:r>
            <w:r w:rsidR="001B582F">
              <w:rPr>
                <w:lang w:val="fr-CA"/>
              </w:rPr>
              <w:t xml:space="preserve">s’il existe </w:t>
            </w:r>
            <w:r>
              <w:rPr>
                <w:lang w:val="fr-CA"/>
              </w:rPr>
              <w:t xml:space="preserve">des indices d’un parti pris possible de la direction </w:t>
            </w:r>
            <w:r w:rsidR="001B582F">
              <w:rPr>
                <w:lang w:val="fr-CA"/>
              </w:rPr>
              <w:t>dans</w:t>
            </w:r>
            <w:r>
              <w:rPr>
                <w:lang w:val="fr-CA"/>
              </w:rPr>
              <w:t xml:space="preserve"> l’estimation et </w:t>
            </w:r>
            <w:r w:rsidR="001B582F">
              <w:rPr>
                <w:lang w:val="fr-CA"/>
              </w:rPr>
              <w:t>lors de l’examen d</w:t>
            </w:r>
            <w:r>
              <w:rPr>
                <w:lang w:val="fr-CA"/>
              </w:rPr>
              <w:t>es jugements</w:t>
            </w:r>
            <w:r w:rsidR="001B582F">
              <w:rPr>
                <w:lang w:val="fr-CA"/>
              </w:rPr>
              <w:t xml:space="preserve"> posés</w:t>
            </w:r>
            <w:r>
              <w:rPr>
                <w:lang w:val="fr-CA"/>
              </w:rPr>
              <w:t xml:space="preserve"> collectivement pour toutes les estimations.</w:t>
            </w:r>
          </w:p>
          <w:p w14:paraId="4E1B2E82" w14:textId="7E2FE256" w:rsidR="00FF0444" w:rsidRPr="008C2224" w:rsidRDefault="00144353" w:rsidP="00694225">
            <w:pPr>
              <w:pStyle w:val="T3-TableBullet1instructions"/>
              <w:rPr>
                <w:lang w:val="fr-CA"/>
              </w:rPr>
            </w:pPr>
            <w:r>
              <w:rPr>
                <w:lang w:val="fr-CA"/>
              </w:rPr>
              <w:t>Nous avons examiné si la direction a</w:t>
            </w:r>
            <w:r w:rsidR="001B582F">
              <w:rPr>
                <w:lang w:val="fr-CA"/>
              </w:rPr>
              <w:t xml:space="preserve"> bien</w:t>
            </w:r>
            <w:r>
              <w:rPr>
                <w:lang w:val="fr-CA"/>
              </w:rPr>
              <w:t xml:space="preserve"> compris l’incertitude </w:t>
            </w:r>
            <w:r w:rsidR="001B582F">
              <w:rPr>
                <w:lang w:val="fr-CA"/>
              </w:rPr>
              <w:t xml:space="preserve">d’estimation et </w:t>
            </w:r>
            <w:r w:rsidR="00694225">
              <w:rPr>
                <w:lang w:val="fr-CA"/>
              </w:rPr>
              <w:t>si elle y</w:t>
            </w:r>
            <w:r w:rsidR="001B582F">
              <w:rPr>
                <w:lang w:val="fr-CA"/>
              </w:rPr>
              <w:t xml:space="preserve"> a répondu de façon appropriée</w:t>
            </w:r>
            <w:r w:rsidR="002716F1">
              <w:rPr>
                <w:lang w:val="fr-CA"/>
              </w:rPr>
              <w:t>,</w:t>
            </w:r>
            <w:r w:rsidR="001B582F">
              <w:rPr>
                <w:lang w:val="fr-CA"/>
              </w:rPr>
              <w:t xml:space="preserve"> </w:t>
            </w:r>
            <w:r>
              <w:rPr>
                <w:lang w:val="fr-CA"/>
              </w:rPr>
              <w:t xml:space="preserve">et </w:t>
            </w:r>
            <w:r w:rsidR="002716F1">
              <w:rPr>
                <w:lang w:val="fr-CA"/>
              </w:rPr>
              <w:t xml:space="preserve">nous avons </w:t>
            </w:r>
            <w:r>
              <w:rPr>
                <w:lang w:val="fr-CA"/>
              </w:rPr>
              <w:t>évalué les informations connexes fournies dans les états financiers.</w:t>
            </w:r>
          </w:p>
        </w:tc>
      </w:tr>
      <w:tr w:rsidR="00C82349" w14:paraId="2946890A" w14:textId="77777777" w:rsidTr="00196715">
        <w:tc>
          <w:tcPr>
            <w:tcW w:w="9350" w:type="dxa"/>
          </w:tcPr>
          <w:p w14:paraId="79AAD1FB" w14:textId="2A683109" w:rsidR="00C82349" w:rsidRPr="00444D6A" w:rsidRDefault="008F4947" w:rsidP="00444D6A">
            <w:pPr>
              <w:pStyle w:val="T3-TableBullet1instructions"/>
              <w:keepNext/>
              <w:keepLines/>
              <w:numPr>
                <w:ilvl w:val="0"/>
                <w:numId w:val="0"/>
              </w:numPr>
              <w:rPr>
                <w:b/>
              </w:rPr>
            </w:pPr>
            <w:r w:rsidRPr="00444D6A">
              <w:rPr>
                <w:b/>
                <w:color w:val="auto"/>
              </w:rPr>
              <w:lastRenderedPageBreak/>
              <w:t>Nos conclusions</w:t>
            </w:r>
          </w:p>
        </w:tc>
      </w:tr>
      <w:tr w:rsidR="00C82349" w:rsidRPr="00E937B4" w14:paraId="404EB971" w14:textId="77777777" w:rsidTr="00196715">
        <w:tc>
          <w:tcPr>
            <w:tcW w:w="9350" w:type="dxa"/>
          </w:tcPr>
          <w:p w14:paraId="12040C0B" w14:textId="0E0AF4C2" w:rsidR="00C82349" w:rsidRPr="008C2224" w:rsidRDefault="008F4947" w:rsidP="00225C7D">
            <w:pPr>
              <w:pStyle w:val="T3-TableBullet1instructions"/>
              <w:rPr>
                <w:lang w:val="fr-CA"/>
              </w:rPr>
            </w:pPr>
            <w:r w:rsidRPr="00444D6A">
              <w:rPr>
                <w:color w:val="auto"/>
                <w:lang w:val="fr-CA"/>
              </w:rPr>
              <w:t>[</w:t>
            </w:r>
            <w:r w:rsidR="00F17683">
              <w:rPr>
                <w:lang w:val="fr-CA"/>
              </w:rPr>
              <w:t xml:space="preserve">En nous </w:t>
            </w:r>
            <w:r w:rsidR="00225C7D">
              <w:rPr>
                <w:lang w:val="fr-CA"/>
              </w:rPr>
              <w:t>basant</w:t>
            </w:r>
            <w:r w:rsidR="00F17683">
              <w:rPr>
                <w:lang w:val="fr-CA"/>
              </w:rPr>
              <w:t xml:space="preserve"> sur nos travaux </w:t>
            </w:r>
            <w:r w:rsidRPr="008C2224">
              <w:rPr>
                <w:lang w:val="fr-CA"/>
              </w:rPr>
              <w:t>d</w:t>
            </w:r>
            <w:r w:rsidR="009811F5">
              <w:rPr>
                <w:lang w:val="fr-CA"/>
              </w:rPr>
              <w:t>’</w:t>
            </w:r>
            <w:r w:rsidRPr="008C2224">
              <w:rPr>
                <w:lang w:val="fr-CA"/>
              </w:rPr>
              <w:t xml:space="preserve">audit, </w:t>
            </w:r>
            <w:r w:rsidR="00F17683" w:rsidRPr="00666980">
              <w:rPr>
                <w:lang w:val="fr-CA"/>
              </w:rPr>
              <w:t xml:space="preserve">nous n’avons aucun élément à </w:t>
            </w:r>
            <w:r w:rsidR="00F17683" w:rsidRPr="000B28B3">
              <w:rPr>
                <w:lang w:val="fr-CA"/>
              </w:rPr>
              <w:t xml:space="preserve">vous </w:t>
            </w:r>
            <w:r w:rsidR="00225C7D">
              <w:rPr>
                <w:lang w:val="fr-CA"/>
              </w:rPr>
              <w:t>communiquer</w:t>
            </w:r>
            <w:r w:rsidR="00F17683">
              <w:rPr>
                <w:lang w:val="fr-CA"/>
              </w:rPr>
              <w:t>.</w:t>
            </w:r>
            <w:r w:rsidRPr="00444D6A">
              <w:rPr>
                <w:color w:val="auto"/>
                <w:lang w:val="fr-CA"/>
              </w:rPr>
              <w:t>]</w:t>
            </w:r>
          </w:p>
        </w:tc>
      </w:tr>
    </w:tbl>
    <w:p w14:paraId="633F4CE8" w14:textId="0D15576C" w:rsidR="004D00F4" w:rsidRPr="008F4947" w:rsidRDefault="004D00F4" w:rsidP="004D00F4">
      <w:pPr>
        <w:spacing w:after="160" w:line="259" w:lineRule="auto"/>
        <w:rPr>
          <w:rFonts w:cs="Arial"/>
          <w:lang w:val="fr-CA"/>
        </w:rPr>
      </w:pPr>
      <w:r w:rsidRPr="008F4947">
        <w:rPr>
          <w:rFonts w:cs="Arial"/>
          <w:b/>
          <w:lang w:val="fr-CA"/>
        </w:rPr>
        <w:br w:type="page"/>
      </w:r>
    </w:p>
    <w:p w14:paraId="0E764669" w14:textId="756D92E1" w:rsidR="004D00F4" w:rsidRPr="00643955" w:rsidRDefault="00094151" w:rsidP="004D00F4">
      <w:pPr>
        <w:pStyle w:val="Heading1"/>
        <w:rPr>
          <w:lang w:val="fr-CA"/>
        </w:rPr>
      </w:pPr>
      <w:bookmarkStart w:id="4" w:name="_Toc102133492"/>
      <w:r>
        <w:rPr>
          <w:lang w:val="fr-CA"/>
        </w:rPr>
        <w:lastRenderedPageBreak/>
        <w:t>Directives supplémentaires </w:t>
      </w:r>
      <w:r w:rsidR="00162DE4" w:rsidRPr="00162DE4">
        <w:rPr>
          <w:lang w:val="fr-CA"/>
        </w:rPr>
        <w:t xml:space="preserve">A — Cadre pour la </w:t>
      </w:r>
      <w:bookmarkStart w:id="5" w:name="_GoBack"/>
      <w:bookmarkEnd w:id="5"/>
      <w:r w:rsidR="00162DE4" w:rsidRPr="00162DE4">
        <w:rPr>
          <w:lang w:val="fr-CA"/>
        </w:rPr>
        <w:t>communication des questions importantes</w:t>
      </w:r>
      <w:bookmarkEnd w:id="4"/>
    </w:p>
    <w:p w14:paraId="7FDF902B" w14:textId="68A6943D" w:rsidR="00B84BC5" w:rsidRPr="00094151" w:rsidRDefault="00B84BC5" w:rsidP="00094151">
      <w:pPr>
        <w:pStyle w:val="Para"/>
      </w:pPr>
      <w:r w:rsidRPr="00094151">
        <w:t>[</w:t>
      </w:r>
      <w:r w:rsidRPr="00094151">
        <w:rPr>
          <w:rStyle w:val="Blue"/>
        </w:rPr>
        <w:t>Normalement, nous commençons par les informations communiquées dans le Rapport au comité de vérification – Plan d’audit annuel et y ajoutons les résultats de nos procédures d’audit et nos constatations. Vous trouverez des exemples ci-dessous</w:t>
      </w:r>
      <w:r w:rsidRPr="00094151">
        <w:rPr>
          <w:color w:val="0000FF"/>
        </w:rPr>
        <w:t>.</w:t>
      </w:r>
      <w:r w:rsidRPr="00094151">
        <w:t>]</w:t>
      </w:r>
    </w:p>
    <w:p w14:paraId="3374222D" w14:textId="11456758" w:rsidR="00B84BC5" w:rsidRPr="00C22C37" w:rsidRDefault="00B84BC5" w:rsidP="00B84BC5">
      <w:pPr>
        <w:pStyle w:val="Heading4"/>
        <w:rPr>
          <w:lang w:val="fr-CA"/>
        </w:rPr>
      </w:pPr>
      <w:r w:rsidRPr="00C22C37">
        <w:rPr>
          <w:lang w:val="fr-CA"/>
        </w:rPr>
        <w:t>Pour les estimations comptables importantes</w:t>
      </w:r>
    </w:p>
    <w:p w14:paraId="40D4E187" w14:textId="22BCAD34" w:rsidR="00967432" w:rsidRPr="00540825" w:rsidRDefault="00444D6A" w:rsidP="00094151">
      <w:pPr>
        <w:pStyle w:val="Para"/>
        <w:rPr>
          <w:shd w:val="clear" w:color="auto" w:fill="FFFFFF"/>
        </w:rPr>
      </w:pPr>
      <w:bookmarkStart w:id="6" w:name="lt_pId352"/>
      <w:r>
        <w:rPr>
          <w:shd w:val="clear" w:color="auto" w:fill="FFFFFF"/>
        </w:rPr>
        <w:t>Selon le paragraphe 38 de la NCA </w:t>
      </w:r>
      <w:r w:rsidR="00967432" w:rsidRPr="00540825">
        <w:rPr>
          <w:shd w:val="clear" w:color="auto" w:fill="FFFFFF"/>
        </w:rPr>
        <w:t>54</w:t>
      </w:r>
      <w:r w:rsidR="00967432" w:rsidRPr="00915455">
        <w:rPr>
          <w:shd w:val="clear" w:color="auto" w:fill="FFFFFF"/>
        </w:rPr>
        <w:t>0, l’auditeur doit communiquer certaines questions au sujet des estimations comptables et se demander si les raisons qui sous-tendent l’évaluation des risques d’anomalies significatives sont liées ou non à l’incertitude d’estimation, ou aux incidences de la complexité, de la subjectivité ou d’autres facteurs de risque inhérent qui entrent en jeu dans l’établissement des estimations comptables et des informations y afférentes.</w:t>
      </w:r>
      <w:r w:rsidR="00967432" w:rsidRPr="00540825">
        <w:rPr>
          <w:shd w:val="clear" w:color="auto" w:fill="FFFFFF"/>
        </w:rPr>
        <w:t> </w:t>
      </w:r>
    </w:p>
    <w:p w14:paraId="509D4F10" w14:textId="5F0D5132" w:rsidR="00967432" w:rsidRPr="00540825" w:rsidRDefault="00967432" w:rsidP="00094151">
      <w:pPr>
        <w:pStyle w:val="Para"/>
        <w:rPr>
          <w:lang w:eastAsia="fr-CA"/>
        </w:rPr>
      </w:pPr>
      <w:r w:rsidRPr="00540825">
        <w:rPr>
          <w:lang w:eastAsia="fr-CA"/>
        </w:rPr>
        <w:t>Voici des questions que l</w:t>
      </w:r>
      <w:r w:rsidR="009B5763">
        <w:rPr>
          <w:lang w:eastAsia="fr-CA"/>
        </w:rPr>
        <w:t>’</w:t>
      </w:r>
      <w:r w:rsidRPr="00540825">
        <w:rPr>
          <w:lang w:eastAsia="fr-CA"/>
        </w:rPr>
        <w:t>auditeur peut envisager d</w:t>
      </w:r>
      <w:r w:rsidR="009B5763">
        <w:rPr>
          <w:lang w:eastAsia="fr-CA"/>
        </w:rPr>
        <w:t>’</w:t>
      </w:r>
      <w:r w:rsidRPr="00540825">
        <w:rPr>
          <w:lang w:eastAsia="fr-CA"/>
        </w:rPr>
        <w:t xml:space="preserve">inclure dans sa communication, aux responsables de la gouvernance, de son point de vue sur </w:t>
      </w:r>
      <w:r w:rsidR="0095544C">
        <w:rPr>
          <w:lang w:eastAsia="fr-CA"/>
        </w:rPr>
        <w:t>l</w:t>
      </w:r>
      <w:r w:rsidRPr="00540825">
        <w:rPr>
          <w:lang w:eastAsia="fr-CA"/>
        </w:rPr>
        <w:t>es aspects qualitatifs importants des pratiques comptables de l</w:t>
      </w:r>
      <w:r w:rsidR="009B5763">
        <w:rPr>
          <w:lang w:eastAsia="fr-CA"/>
        </w:rPr>
        <w:t>’</w:t>
      </w:r>
      <w:r w:rsidRPr="00540825">
        <w:rPr>
          <w:lang w:eastAsia="fr-CA"/>
        </w:rPr>
        <w:t>entité en ce qui concerne les estimations comptables e</w:t>
      </w:r>
      <w:r w:rsidR="00444D6A">
        <w:rPr>
          <w:lang w:eastAsia="fr-CA"/>
        </w:rPr>
        <w:t>t les informations y afférentes </w:t>
      </w:r>
      <w:r w:rsidRPr="00540825">
        <w:rPr>
          <w:lang w:eastAsia="fr-CA"/>
        </w:rPr>
        <w:t>:</w:t>
      </w:r>
    </w:p>
    <w:p w14:paraId="3DEF09BB" w14:textId="000B995F" w:rsidR="00967432" w:rsidRPr="00540825" w:rsidRDefault="00967432" w:rsidP="00E31F16">
      <w:pPr>
        <w:pStyle w:val="Alphalist"/>
      </w:pPr>
      <w:r w:rsidRPr="00540825">
        <w:t>la manière dont la direction identifie les opérations, les autres événements ou les situations pouvant nécessiter l</w:t>
      </w:r>
      <w:r w:rsidR="009B5763">
        <w:t>’</w:t>
      </w:r>
      <w:r w:rsidRPr="00540825">
        <w:t>établissement ou la révision d</w:t>
      </w:r>
      <w:r w:rsidR="009B5763">
        <w:t>’</w:t>
      </w:r>
      <w:r w:rsidRPr="00540825">
        <w:t>estimations comptables ou d</w:t>
      </w:r>
      <w:r w:rsidR="009B5763">
        <w:t>’</w:t>
      </w:r>
      <w:r w:rsidRPr="00540825">
        <w:t>informations y afférentes;</w:t>
      </w:r>
    </w:p>
    <w:p w14:paraId="16551A83" w14:textId="58078AD5" w:rsidR="00967432" w:rsidRPr="00540825" w:rsidRDefault="00967432" w:rsidP="00E31F16">
      <w:pPr>
        <w:pStyle w:val="Alphalist"/>
      </w:pPr>
      <w:r w:rsidRPr="00540825">
        <w:t>les risques d</w:t>
      </w:r>
      <w:r w:rsidR="009B5763">
        <w:t>’</w:t>
      </w:r>
      <w:r w:rsidRPr="00540825">
        <w:t>anomalies significatives;</w:t>
      </w:r>
    </w:p>
    <w:p w14:paraId="59E6C351" w14:textId="3465E57F" w:rsidR="00967432" w:rsidRPr="00540825" w:rsidRDefault="00967432" w:rsidP="00E31F16">
      <w:pPr>
        <w:pStyle w:val="Alphalist"/>
      </w:pPr>
      <w:r w:rsidRPr="00540825">
        <w:t>l</w:t>
      </w:r>
      <w:r w:rsidR="009B5763">
        <w:t>’</w:t>
      </w:r>
      <w:r w:rsidRPr="00540825">
        <w:t>importance relative des estimations comptables par rapport aux états financiers pris dans leur ensemble;</w:t>
      </w:r>
    </w:p>
    <w:p w14:paraId="04DFEF51" w14:textId="6A0B14D1" w:rsidR="00967432" w:rsidRPr="00540825" w:rsidRDefault="00967432" w:rsidP="00E31F16">
      <w:pPr>
        <w:pStyle w:val="Alphalist"/>
      </w:pPr>
      <w:r w:rsidRPr="00540825">
        <w:t>le degré (ou l</w:t>
      </w:r>
      <w:r w:rsidR="009B5763">
        <w:t>’</w:t>
      </w:r>
      <w:r w:rsidRPr="00540825">
        <w:t>absence) de compréhension manifestée par la direction à l</w:t>
      </w:r>
      <w:r w:rsidR="009B5763">
        <w:t>’</w:t>
      </w:r>
      <w:r w:rsidRPr="00540825">
        <w:t>égard de la nature et de la portée des estimations comptables ainsi que des risques qui leur sont associés;</w:t>
      </w:r>
    </w:p>
    <w:p w14:paraId="1DECB7B1" w14:textId="6A5B46D5" w:rsidR="00967432" w:rsidRPr="00540825" w:rsidRDefault="00967432" w:rsidP="00E31F16">
      <w:pPr>
        <w:pStyle w:val="Alphalist"/>
      </w:pPr>
      <w:r w:rsidRPr="00540825">
        <w:t>le fait que la direction ait appliqué ou non les compétences ou les connaissances spécialisées qui étaient appropriées ou qu</w:t>
      </w:r>
      <w:r w:rsidR="009B5763">
        <w:t>’</w:t>
      </w:r>
      <w:r w:rsidRPr="00540825">
        <w:t>elle ait retenu ou non les services d</w:t>
      </w:r>
      <w:r w:rsidR="009B5763">
        <w:t>’</w:t>
      </w:r>
      <w:r w:rsidRPr="00540825">
        <w:t>experts appropriés;</w:t>
      </w:r>
    </w:p>
    <w:p w14:paraId="1D4FBCCC" w14:textId="6EFE7FE0" w:rsidR="00967432" w:rsidRPr="00540825" w:rsidRDefault="00967432" w:rsidP="00E31F16">
      <w:pPr>
        <w:pStyle w:val="Alphalist"/>
      </w:pPr>
      <w:r w:rsidRPr="00540825">
        <w:t>le point de vue de l</w:t>
      </w:r>
      <w:r w:rsidR="009B5763">
        <w:t>’</w:t>
      </w:r>
      <w:r w:rsidRPr="00540825">
        <w:t>auditeur sur l</w:t>
      </w:r>
      <w:r w:rsidR="009B5763">
        <w:t>’</w:t>
      </w:r>
      <w:r w:rsidRPr="00540825">
        <w:t>écart entre son estimation ponctuelle ou son intervalle de confiance et l</w:t>
      </w:r>
      <w:r w:rsidR="009B5763">
        <w:t>’</w:t>
      </w:r>
      <w:r w:rsidRPr="00540825">
        <w:t>estimation ponctuelle de la direction;</w:t>
      </w:r>
    </w:p>
    <w:p w14:paraId="170A9A21" w14:textId="347CB94D" w:rsidR="00967432" w:rsidRPr="00540825" w:rsidRDefault="00967432" w:rsidP="00E31F16">
      <w:pPr>
        <w:pStyle w:val="Alphalist"/>
      </w:pPr>
      <w:r w:rsidRPr="00540825">
        <w:t>le point de vue de l</w:t>
      </w:r>
      <w:r w:rsidR="009B5763">
        <w:t>’</w:t>
      </w:r>
      <w:r w:rsidRPr="00540825">
        <w:t>auditeur sur le caractère approprié du choix des méthodes comptables liées aux estimations comptables et de la présentation des estimations comptables dans les états financiers;</w:t>
      </w:r>
    </w:p>
    <w:p w14:paraId="0CC7AA6D" w14:textId="2FDD7B71" w:rsidR="00967432" w:rsidRPr="00540825" w:rsidRDefault="00967432" w:rsidP="00770330">
      <w:pPr>
        <w:pStyle w:val="Alphalist"/>
      </w:pPr>
      <w:r w:rsidRPr="00540825">
        <w:t>les indices d</w:t>
      </w:r>
      <w:r w:rsidR="009B5763">
        <w:t>’</w:t>
      </w:r>
      <w:r w:rsidRPr="00540825">
        <w:t>un parti pris possible de la direction;</w:t>
      </w:r>
    </w:p>
    <w:p w14:paraId="62E1C12E" w14:textId="0B78E82F" w:rsidR="00967432" w:rsidRPr="00540825" w:rsidRDefault="00967432" w:rsidP="00770330">
      <w:pPr>
        <w:pStyle w:val="Alphalist"/>
      </w:pPr>
      <w:r w:rsidRPr="00540825">
        <w:t>le fait qu</w:t>
      </w:r>
      <w:r w:rsidR="009B5763">
        <w:t>’</w:t>
      </w:r>
      <w:r w:rsidRPr="00540825">
        <w:t>il y ait ou non, ou qu</w:t>
      </w:r>
      <w:r w:rsidR="009B5763">
        <w:t>’</w:t>
      </w:r>
      <w:r w:rsidRPr="00540825">
        <w:t>il aurait dû y avoir ou non, un changement dans les méthodes d</w:t>
      </w:r>
      <w:r w:rsidR="009B5763">
        <w:t>’</w:t>
      </w:r>
      <w:r w:rsidRPr="00540825">
        <w:t>établissement des estimations comptables par rapport à la période précédente;</w:t>
      </w:r>
    </w:p>
    <w:p w14:paraId="09BCFAA6" w14:textId="3A84BA3E" w:rsidR="00967432" w:rsidRPr="00540825" w:rsidRDefault="00967432" w:rsidP="00770330">
      <w:pPr>
        <w:pStyle w:val="Alphalist"/>
      </w:pPr>
      <w:r w:rsidRPr="00540825">
        <w:t>lorsqu</w:t>
      </w:r>
      <w:r w:rsidR="009B5763">
        <w:t>’</w:t>
      </w:r>
      <w:r w:rsidRPr="00540825">
        <w:t>il y a eu un changement dans les méthodes d</w:t>
      </w:r>
      <w:r w:rsidR="009B5763">
        <w:t>’</w:t>
      </w:r>
      <w:r w:rsidRPr="00540825">
        <w:t>établissement des estimations comptables par rapport à la période précédente, les raisons sous-tendant ce changement, de même que le dénouement des estimations comptables incluses dans les états financiers des périodes précédentes;</w:t>
      </w:r>
    </w:p>
    <w:p w14:paraId="31E86C3A" w14:textId="03677E7E" w:rsidR="00967432" w:rsidRPr="00540825" w:rsidRDefault="00967432" w:rsidP="00770330">
      <w:pPr>
        <w:pStyle w:val="Alphalist"/>
      </w:pPr>
      <w:r w:rsidRPr="00540825">
        <w:t>le fait que les méthodes employées par la direction aux fins de l</w:t>
      </w:r>
      <w:r w:rsidR="009B5763">
        <w:t>’</w:t>
      </w:r>
      <w:r w:rsidRPr="00540825">
        <w:t>établissement des estimations comptables, notamment lorsque la direction a utilisé un modèle, sont appropriées ou non au regard des objectifs d</w:t>
      </w:r>
      <w:r w:rsidR="009B5763">
        <w:t>’</w:t>
      </w:r>
      <w:r w:rsidRPr="00540825">
        <w:t>évaluation, de la nature des éléments des états financiers pour lesquels les estimations sont établies – ainsi que des situations et des circonstances liées à ces éléments –, et des autres exigences du référentiel d</w:t>
      </w:r>
      <w:r w:rsidR="009B5763">
        <w:t>’</w:t>
      </w:r>
      <w:r w:rsidRPr="00540825">
        <w:t>information financière applicable;</w:t>
      </w:r>
    </w:p>
    <w:p w14:paraId="3C8CB035" w14:textId="5EEC3EEF" w:rsidR="00967432" w:rsidRPr="00540825" w:rsidRDefault="00967432" w:rsidP="00770330">
      <w:pPr>
        <w:pStyle w:val="Alphalist"/>
      </w:pPr>
      <w:r w:rsidRPr="00540825">
        <w:t>la nature et les conséquences des hypothèses importantes utilisées aux fins de l</w:t>
      </w:r>
      <w:r w:rsidR="009B5763">
        <w:t>’</w:t>
      </w:r>
      <w:r w:rsidRPr="00540825">
        <w:t>établissement des estimations comptables et le degré de subjectivité qu</w:t>
      </w:r>
      <w:r w:rsidR="009B5763">
        <w:t>’</w:t>
      </w:r>
      <w:r w:rsidRPr="00540825">
        <w:t>implique l</w:t>
      </w:r>
      <w:r w:rsidR="009B5763">
        <w:t>’</w:t>
      </w:r>
      <w:r w:rsidRPr="00540825">
        <w:t>élaboration des hypothèses;</w:t>
      </w:r>
    </w:p>
    <w:p w14:paraId="7C50B180" w14:textId="4C9BEF5F" w:rsidR="00967432" w:rsidRPr="00540825" w:rsidRDefault="00967432" w:rsidP="00770330">
      <w:pPr>
        <w:pStyle w:val="Alphalist"/>
      </w:pPr>
      <w:r w:rsidRPr="00540825">
        <w:t>la cohérence, ou le manque de cohérence, des hypothèses importantes entre elles et avec les hypothèses utilisées aux fins de l</w:t>
      </w:r>
      <w:r w:rsidR="009B5763">
        <w:t>’</w:t>
      </w:r>
      <w:r w:rsidRPr="00540825">
        <w:t>établissement des autres estimations comptables ou dans les autres secteurs d</w:t>
      </w:r>
      <w:r w:rsidR="009B5763">
        <w:t>’</w:t>
      </w:r>
      <w:r w:rsidRPr="00540825">
        <w:t>activité de l</w:t>
      </w:r>
      <w:r w:rsidR="009B5763">
        <w:t>’</w:t>
      </w:r>
      <w:r w:rsidRPr="00540825">
        <w:t>entité;</w:t>
      </w:r>
    </w:p>
    <w:p w14:paraId="3EB669F2" w14:textId="104AB10B" w:rsidR="00967432" w:rsidRPr="00540825" w:rsidRDefault="00967432" w:rsidP="00770330">
      <w:pPr>
        <w:pStyle w:val="Alphalist"/>
      </w:pPr>
      <w:r w:rsidRPr="00540825">
        <w:t>le fait que la direction ait ou non l</w:t>
      </w:r>
      <w:r w:rsidR="009B5763">
        <w:t>’</w:t>
      </w:r>
      <w:r w:rsidRPr="00540825">
        <w:t>intention de mener certaines actions, et la capacité de le faire, lorsque cela est pertinent pour évaluer le caractère approprié des hypothèses importantes ou la conformité avec le référentiel d</w:t>
      </w:r>
      <w:r w:rsidR="009B5763">
        <w:t>’</w:t>
      </w:r>
      <w:r w:rsidRPr="00540825">
        <w:t>information financière applicable;</w:t>
      </w:r>
    </w:p>
    <w:p w14:paraId="770B38DC" w14:textId="376474D1" w:rsidR="00967432" w:rsidRPr="00540825" w:rsidRDefault="00967432" w:rsidP="00770330">
      <w:pPr>
        <w:pStyle w:val="Alphalist"/>
      </w:pPr>
      <w:r w:rsidRPr="00540825">
        <w:t>la manière dont la direction a tenu compte d</w:t>
      </w:r>
      <w:r w:rsidR="009B5763">
        <w:t>’</w:t>
      </w:r>
      <w:r w:rsidRPr="00540825">
        <w:t>autres hypothèses ou dénouements possibles, et les raisons pour lesquelles elle ne les a pas retenus, ou la façon dont elle a répondu autrement à l</w:t>
      </w:r>
      <w:r w:rsidR="009B5763">
        <w:t>’</w:t>
      </w:r>
      <w:r w:rsidRPr="00540825">
        <w:t>incertitude d</w:t>
      </w:r>
      <w:r w:rsidR="009B5763">
        <w:t>’</w:t>
      </w:r>
      <w:r w:rsidRPr="00540825">
        <w:t>estimation lors de l</w:t>
      </w:r>
      <w:r w:rsidR="009B5763">
        <w:t>’</w:t>
      </w:r>
      <w:r w:rsidRPr="00540825">
        <w:t>établissement de l</w:t>
      </w:r>
      <w:r w:rsidR="009B5763">
        <w:t>’</w:t>
      </w:r>
      <w:r w:rsidRPr="00540825">
        <w:t>estimation comptable;</w:t>
      </w:r>
    </w:p>
    <w:p w14:paraId="049148DC" w14:textId="39CD9E63" w:rsidR="00967432" w:rsidRPr="00540825" w:rsidRDefault="00967432" w:rsidP="00770330">
      <w:pPr>
        <w:pStyle w:val="Alphalist"/>
      </w:pPr>
      <w:r w:rsidRPr="00540825">
        <w:t>le fait que les données et les hypothèses importantes utilisées par la direction aux fins de l</w:t>
      </w:r>
      <w:r w:rsidR="009B5763">
        <w:t>’</w:t>
      </w:r>
      <w:r w:rsidRPr="00540825">
        <w:t>établissement des estimations comptables soient appropriées ou non au regard du référentiel d</w:t>
      </w:r>
      <w:r w:rsidR="009B5763">
        <w:t>’</w:t>
      </w:r>
      <w:r w:rsidRPr="00540825">
        <w:t>information financière applicable;</w:t>
      </w:r>
    </w:p>
    <w:p w14:paraId="54A4D9FE" w14:textId="2259B0DD" w:rsidR="00967432" w:rsidRPr="00540825" w:rsidRDefault="00967432" w:rsidP="00770330">
      <w:pPr>
        <w:pStyle w:val="Alphalist"/>
      </w:pPr>
      <w:r w:rsidRPr="00540825">
        <w:t>la pertinence et la fiabilité des informations provenant d</w:t>
      </w:r>
      <w:r w:rsidR="009B5763">
        <w:t>’</w:t>
      </w:r>
      <w:r w:rsidRPr="00540825">
        <w:t>une source d</w:t>
      </w:r>
      <w:r w:rsidR="009B5763">
        <w:t>’</w:t>
      </w:r>
      <w:r w:rsidRPr="00540825">
        <w:t>informations externe;</w:t>
      </w:r>
    </w:p>
    <w:p w14:paraId="534BB658" w14:textId="4C90BB3F" w:rsidR="00967432" w:rsidRPr="00540825" w:rsidRDefault="00967432" w:rsidP="00770330">
      <w:pPr>
        <w:pStyle w:val="Alphalist"/>
      </w:pPr>
      <w:r w:rsidRPr="00540825">
        <w:t>les difficultés importantes liées à l</w:t>
      </w:r>
      <w:r w:rsidR="009B5763">
        <w:t>’</w:t>
      </w:r>
      <w:r w:rsidRPr="00540825">
        <w:t>obtention d</w:t>
      </w:r>
      <w:r w:rsidR="009B5763">
        <w:t>’</w:t>
      </w:r>
      <w:r w:rsidRPr="00540825">
        <w:t>éléments probants suffisants et appropriés quant aux données provenant d</w:t>
      </w:r>
      <w:r w:rsidR="009B5763">
        <w:t>’</w:t>
      </w:r>
      <w:r w:rsidRPr="00540825">
        <w:t>une source d</w:t>
      </w:r>
      <w:r w:rsidR="009B5763">
        <w:t>’</w:t>
      </w:r>
      <w:r w:rsidRPr="00540825">
        <w:t>informations externe ou quant aux évaluations effectuées par la direction ou par un expert choisi par celle-ci;</w:t>
      </w:r>
    </w:p>
    <w:p w14:paraId="1A9F3C57" w14:textId="676C4A22" w:rsidR="00967432" w:rsidRPr="00540825" w:rsidRDefault="00967432" w:rsidP="00770330">
      <w:pPr>
        <w:pStyle w:val="Alphalist"/>
      </w:pPr>
      <w:r w:rsidRPr="00540825">
        <w:t>les différences importantes entre les jugements posés respectivement par l</w:t>
      </w:r>
      <w:r w:rsidR="009B5763">
        <w:t>’</w:t>
      </w:r>
      <w:r w:rsidRPr="00540825">
        <w:t>auditeur et par la direction ou un expert choisi par celle-ci au sujet des évaluations;</w:t>
      </w:r>
    </w:p>
    <w:p w14:paraId="69DA9E6F" w14:textId="7CDC1A94" w:rsidR="00967432" w:rsidRPr="00540825" w:rsidRDefault="00967432" w:rsidP="00770330">
      <w:pPr>
        <w:pStyle w:val="Alphalist"/>
      </w:pPr>
      <w:r w:rsidRPr="00540825">
        <w:t>les incidences potentielles, sur les états financiers de l</w:t>
      </w:r>
      <w:r w:rsidR="009B5763">
        <w:t>’</w:t>
      </w:r>
      <w:r w:rsidRPr="00540825">
        <w:t>entité, des risques et expositions significatifs devant faire l</w:t>
      </w:r>
      <w:r w:rsidR="009B5763">
        <w:t>’</w:t>
      </w:r>
      <w:r w:rsidRPr="00540825">
        <w:t>objet d</w:t>
      </w:r>
      <w:r w:rsidR="009B5763">
        <w:t>’</w:t>
      </w:r>
      <w:r w:rsidRPr="00540825">
        <w:t>informations dans les états financiers, y compris l</w:t>
      </w:r>
      <w:r w:rsidR="009B5763">
        <w:t>’</w:t>
      </w:r>
      <w:r w:rsidRPr="00540825">
        <w:t>incertitude d</w:t>
      </w:r>
      <w:r w:rsidR="009B5763">
        <w:t>’</w:t>
      </w:r>
      <w:r w:rsidRPr="00540825">
        <w:t>estimation associée aux estimations comptables;</w:t>
      </w:r>
    </w:p>
    <w:p w14:paraId="02FCF772" w14:textId="1C568E1A" w:rsidR="00967432" w:rsidRPr="00540825" w:rsidRDefault="00967432" w:rsidP="00770330">
      <w:pPr>
        <w:pStyle w:val="Alphalist"/>
      </w:pPr>
      <w:bookmarkStart w:id="7" w:name="para_757"/>
      <w:bookmarkEnd w:id="7"/>
      <w:r w:rsidRPr="00540825">
        <w:t>le caractère raisonnable des informations fournies sur l</w:t>
      </w:r>
      <w:r w:rsidR="009B5763">
        <w:t>’</w:t>
      </w:r>
      <w:r w:rsidRPr="00540825">
        <w:t>incertitude d</w:t>
      </w:r>
      <w:r w:rsidR="009B5763">
        <w:t>’</w:t>
      </w:r>
      <w:r w:rsidRPr="00540825">
        <w:t xml:space="preserve">estimation dans les états financiers; </w:t>
      </w:r>
    </w:p>
    <w:p w14:paraId="3DAD9234" w14:textId="4690BAD4" w:rsidR="00967432" w:rsidRPr="00540825" w:rsidRDefault="00967432" w:rsidP="00770330">
      <w:pPr>
        <w:pStyle w:val="Alphalist"/>
      </w:pPr>
      <w:bookmarkStart w:id="8" w:name="para_758"/>
      <w:bookmarkEnd w:id="8"/>
      <w:r w:rsidRPr="00540825">
        <w:t>le fait que les décisions de la direction concernant la comptabilisation, l</w:t>
      </w:r>
      <w:r w:rsidR="009B5763">
        <w:t>’</w:t>
      </w:r>
      <w:r w:rsidRPr="00540825">
        <w:t>évaluation et la présentation des estimations comptables – ainsi que la fourniture d</w:t>
      </w:r>
      <w:r w:rsidR="009B5763">
        <w:t>’</w:t>
      </w:r>
      <w:r w:rsidRPr="00540825">
        <w:t>informations y afférentes – dans les états financiers soient conformes ou non au référentiel d</w:t>
      </w:r>
      <w:r w:rsidR="009B5763">
        <w:t>’</w:t>
      </w:r>
      <w:r w:rsidRPr="00540825">
        <w:t>information financière applicable.</w:t>
      </w:r>
    </w:p>
    <w:p w14:paraId="4BABB469" w14:textId="3A2DDDDA" w:rsidR="00B84BC5" w:rsidRPr="00C22C37" w:rsidRDefault="00B84BC5" w:rsidP="00B84BC5">
      <w:pPr>
        <w:pStyle w:val="Para"/>
        <w:keepNext/>
        <w:keepLines/>
      </w:pPr>
      <w:bookmarkStart w:id="9" w:name="para_734"/>
      <w:bookmarkStart w:id="10" w:name="para_735"/>
      <w:bookmarkStart w:id="11" w:name="para_736"/>
      <w:bookmarkStart w:id="12" w:name="para_737"/>
      <w:bookmarkStart w:id="13" w:name="para_738"/>
      <w:bookmarkStart w:id="14" w:name="para_739"/>
      <w:bookmarkStart w:id="15" w:name="para_740"/>
      <w:bookmarkStart w:id="16" w:name="para_741"/>
      <w:bookmarkStart w:id="17" w:name="para_742"/>
      <w:bookmarkStart w:id="18" w:name="para_743"/>
      <w:bookmarkStart w:id="19" w:name="para_744"/>
      <w:bookmarkStart w:id="20" w:name="para_745"/>
      <w:bookmarkStart w:id="21" w:name="para_746"/>
      <w:bookmarkStart w:id="22" w:name="para_747"/>
      <w:bookmarkStart w:id="23" w:name="para_748"/>
      <w:bookmarkStart w:id="24" w:name="para_749"/>
      <w:bookmarkStart w:id="25" w:name="para_750"/>
      <w:bookmarkStart w:id="26" w:name="para_751"/>
      <w:bookmarkStart w:id="27" w:name="para_752"/>
      <w:bookmarkStart w:id="28" w:name="para_753"/>
      <w:bookmarkStart w:id="29" w:name="para_754"/>
      <w:bookmarkStart w:id="30" w:name="para_755"/>
      <w:bookmarkStart w:id="31" w:name="para_756"/>
      <w:bookmarkStart w:id="32" w:name="lt_pId36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6"/>
      <w:r w:rsidRPr="00C22C37">
        <w:t xml:space="preserve">Nous présentons le point de vue </w:t>
      </w:r>
      <w:r w:rsidR="00C22C37" w:rsidRPr="00C22C37">
        <w:t>/</w:t>
      </w:r>
      <w:r w:rsidRPr="00C22C37">
        <w:t xml:space="preserve"> les constatations du Bureau du vérificateur général du Canada (BVG) sur </w:t>
      </w:r>
      <w:r w:rsidR="00C22C37">
        <w:t>la</w:t>
      </w:r>
      <w:r w:rsidRPr="00C22C37">
        <w:t xml:space="preserve"> question :</w:t>
      </w:r>
      <w:bookmarkEnd w:id="32"/>
    </w:p>
    <w:p w14:paraId="1535060D" w14:textId="531BC75B" w:rsidR="00B84BC5" w:rsidRPr="00C22C37" w:rsidRDefault="00B84BC5" w:rsidP="00B84BC5">
      <w:pPr>
        <w:pStyle w:val="ParaBullet"/>
      </w:pPr>
      <w:bookmarkStart w:id="33" w:name="lt_pId365"/>
      <w:r w:rsidRPr="00C22C37">
        <w:t xml:space="preserve">décrire les procédures d’audit exécutées, y compris le recours à des </w:t>
      </w:r>
      <w:r w:rsidR="00C22C37">
        <w:t>experts</w:t>
      </w:r>
      <w:r w:rsidRPr="00C22C37">
        <w:t>;</w:t>
      </w:r>
      <w:bookmarkEnd w:id="33"/>
    </w:p>
    <w:p w14:paraId="2E35D566" w14:textId="77777777" w:rsidR="00B84BC5" w:rsidRPr="00C22C37" w:rsidRDefault="00B84BC5" w:rsidP="00B84BC5">
      <w:pPr>
        <w:pStyle w:val="ParaBullet"/>
      </w:pPr>
      <w:bookmarkStart w:id="34" w:name="lt_pId366"/>
      <w:r w:rsidRPr="00C22C37">
        <w:t>donner plus de détails si les procédures d’audit diffèrent de la stratégie d’audit prévue et communiquée dans le plan d’audit;</w:t>
      </w:r>
      <w:bookmarkEnd w:id="34"/>
    </w:p>
    <w:p w14:paraId="62487821" w14:textId="77777777" w:rsidR="00B84BC5" w:rsidRPr="00C22C37" w:rsidRDefault="00B84BC5" w:rsidP="00B84BC5">
      <w:pPr>
        <w:pStyle w:val="ParaBullet"/>
      </w:pPr>
      <w:bookmarkStart w:id="35" w:name="lt_pId367"/>
      <w:r w:rsidRPr="00C22C37">
        <w:t>exprimer une conclusion, à savoir si les estimations comptables sont raisonnables</w:t>
      </w:r>
      <w:bookmarkEnd w:id="35"/>
      <w:r w:rsidRPr="00C22C37">
        <w:t>.</w:t>
      </w:r>
    </w:p>
    <w:p w14:paraId="11356E2C" w14:textId="4495C598" w:rsidR="00B84BC5" w:rsidRPr="00C22C37" w:rsidRDefault="00B84BC5" w:rsidP="00B84BC5">
      <w:pPr>
        <w:pStyle w:val="Heading4"/>
        <w:rPr>
          <w:lang w:val="fr-CA"/>
        </w:rPr>
      </w:pPr>
      <w:bookmarkStart w:id="36" w:name="lt_pId368"/>
      <w:r w:rsidRPr="00C22C37">
        <w:rPr>
          <w:lang w:val="fr-CA"/>
        </w:rPr>
        <w:t>Pour les méthodes comptables</w:t>
      </w:r>
      <w:bookmarkEnd w:id="36"/>
    </w:p>
    <w:p w14:paraId="49D03BD7" w14:textId="1AB3DA63" w:rsidR="00B84BC5" w:rsidRPr="00C22C37" w:rsidRDefault="00B84BC5" w:rsidP="00B84BC5">
      <w:pPr>
        <w:pStyle w:val="Para"/>
        <w:keepNext/>
        <w:keepLines/>
      </w:pPr>
      <w:bookmarkStart w:id="37" w:name="lt_pId369"/>
      <w:r w:rsidRPr="00C22C37">
        <w:t>Nous présentons le contexte et/ou la description de</w:t>
      </w:r>
      <w:r w:rsidR="00820879">
        <w:t>s</w:t>
      </w:r>
      <w:r w:rsidRPr="00C22C37">
        <w:t xml:space="preserve"> risque</w:t>
      </w:r>
      <w:r w:rsidR="00820879">
        <w:t>s</w:t>
      </w:r>
      <w:r w:rsidRPr="00C22C37">
        <w:t xml:space="preserve"> et analysons le processus utilisé par la direction pour :</w:t>
      </w:r>
      <w:bookmarkEnd w:id="37"/>
    </w:p>
    <w:p w14:paraId="5494873D" w14:textId="77777777" w:rsidR="00B84BC5" w:rsidRPr="00C22C37" w:rsidRDefault="00B84BC5" w:rsidP="00B84BC5">
      <w:pPr>
        <w:pStyle w:val="ParaBullet"/>
      </w:pPr>
      <w:bookmarkStart w:id="38" w:name="lt_pId370"/>
      <w:r w:rsidRPr="00C22C37">
        <w:t>les aspects qualitatifs des méthodes comptables essentielles;</w:t>
      </w:r>
      <w:bookmarkEnd w:id="38"/>
    </w:p>
    <w:p w14:paraId="61150AB9" w14:textId="77777777" w:rsidR="00B84BC5" w:rsidRPr="00C22C37" w:rsidRDefault="00B84BC5" w:rsidP="00B84BC5">
      <w:pPr>
        <w:pStyle w:val="ParaBullet"/>
      </w:pPr>
      <w:bookmarkStart w:id="39" w:name="lt_pId371"/>
      <w:r w:rsidRPr="00C22C37">
        <w:t>les méthodes comptables importantes choisies initialement et les changements de méthodes, y compris l’adoption de nouvelles prises de position comptables (vous pouvez faire état de l’incidence du moment de l’adoption d’un changement de méthode comptable et du mode d’adoption d’un tel changement sur les bénéfices actuels et futurs de l’entité, et du moment où un changement de méthode comptable devrait être adopté à la suite des nouvelles prises de position comptables prévues);</w:t>
      </w:r>
      <w:bookmarkEnd w:id="39"/>
    </w:p>
    <w:p w14:paraId="7F4933B2" w14:textId="77777777" w:rsidR="00B84BC5" w:rsidRPr="00C22C37" w:rsidRDefault="00B84BC5" w:rsidP="00B84BC5">
      <w:pPr>
        <w:pStyle w:val="ParaBullet"/>
      </w:pPr>
      <w:bookmarkStart w:id="40" w:name="lt_pId372"/>
      <w:r w:rsidRPr="00C22C37">
        <w:t>les méthodes appliquées pour comptabiliser des opérations inhabituelles importantes.</w:t>
      </w:r>
      <w:bookmarkEnd w:id="40"/>
    </w:p>
    <w:p w14:paraId="3651215C" w14:textId="77777777" w:rsidR="00B84BC5" w:rsidRPr="00C22C37" w:rsidRDefault="00B84BC5" w:rsidP="00B84BC5">
      <w:pPr>
        <w:pStyle w:val="Para"/>
        <w:keepNext/>
        <w:keepLines/>
      </w:pPr>
      <w:bookmarkStart w:id="41" w:name="lt_pId373"/>
      <w:r w:rsidRPr="00C22C37">
        <w:t>Nous analysons aussi :</w:t>
      </w:r>
      <w:bookmarkEnd w:id="41"/>
    </w:p>
    <w:p w14:paraId="61799D43" w14:textId="77777777" w:rsidR="00B84BC5" w:rsidRPr="00C22C37" w:rsidRDefault="00B84BC5" w:rsidP="00B84BC5">
      <w:pPr>
        <w:pStyle w:val="ParaBullet"/>
      </w:pPr>
      <w:bookmarkStart w:id="42" w:name="lt_pId374"/>
      <w:r w:rsidRPr="00C22C37">
        <w:t>Le caractère approprié des méthodes comptables par rapport à la situation particulière de l’entité, compte tenu de la nécessité de trouver un équilibre entre les coûts de l’information financière et les avantages qu’elle est censée procurer aux utilisateurs des états financiers de l’entité (lorsqu’il est possible de choisir entre plusieurs méthodes comptables acceptables, la communication peut inclure l’identification des éléments des états financiers qui sont concernés par le choix des méthodes comptables importantes et fournir des informations sur les méthodes comptables suivies par des entités similaires)</w:t>
      </w:r>
      <w:bookmarkEnd w:id="42"/>
      <w:r w:rsidRPr="00C22C37">
        <w:t>.</w:t>
      </w:r>
    </w:p>
    <w:p w14:paraId="11930130" w14:textId="5ECD1FE7" w:rsidR="00B84BC5" w:rsidRPr="00C22C37" w:rsidRDefault="00B84BC5" w:rsidP="00B84BC5">
      <w:pPr>
        <w:pStyle w:val="ParaBullet"/>
      </w:pPr>
      <w:bookmarkStart w:id="43" w:name="lt_pId375"/>
      <w:r w:rsidRPr="00C22C37">
        <w:t>L’incidence des méthodes comptables importantes appliquées dans des domaines controversés ou nouveaux ou dans des domaines propres au secteur d’activités, notamment en l’absence de règles faisant autorité ou de consensus.</w:t>
      </w:r>
      <w:bookmarkEnd w:id="43"/>
    </w:p>
    <w:p w14:paraId="4FA14CDA" w14:textId="77777777" w:rsidR="00B84BC5" w:rsidRPr="00C22C37" w:rsidRDefault="00B84BC5" w:rsidP="00B84BC5">
      <w:pPr>
        <w:pStyle w:val="ParaBullet"/>
      </w:pPr>
      <w:bookmarkStart w:id="44" w:name="lt_pId376"/>
      <w:r w:rsidRPr="00C22C37">
        <w:t>La relation entre le moment des opérations et la période au cours de laquelle elles sont comptabilisées.</w:t>
      </w:r>
      <w:bookmarkEnd w:id="44"/>
    </w:p>
    <w:p w14:paraId="7A0E2CCB" w14:textId="1409B1EC" w:rsidR="00B84BC5" w:rsidRPr="00C22C37" w:rsidRDefault="00B84BC5" w:rsidP="00B84BC5">
      <w:pPr>
        <w:pStyle w:val="ParaBullet"/>
      </w:pPr>
      <w:bookmarkStart w:id="45" w:name="lt_pId377"/>
      <w:r w:rsidRPr="00C22C37">
        <w:t>Les raisons pour lesquelles nous jugeons qu’une pratique comptable importante, qui est par ailleurs acceptable selon le référentiel d’information financière applicable, n’est pas la plus approprié</w:t>
      </w:r>
      <w:r w:rsidR="00B22ED1">
        <w:t>e</w:t>
      </w:r>
      <w:r w:rsidRPr="00C22C37">
        <w:t xml:space="preserve"> aux circonstances particulières de l’entité</w:t>
      </w:r>
      <w:bookmarkEnd w:id="45"/>
      <w:r w:rsidRPr="00C22C37">
        <w:t>.</w:t>
      </w:r>
    </w:p>
    <w:p w14:paraId="0CD973A4" w14:textId="3DB0A244" w:rsidR="00B84BC5" w:rsidRPr="00C22C37" w:rsidRDefault="00B84BC5" w:rsidP="00B84BC5">
      <w:pPr>
        <w:pStyle w:val="Para"/>
        <w:keepNext/>
        <w:keepLines/>
      </w:pPr>
      <w:bookmarkStart w:id="46" w:name="lt_pId378"/>
      <w:r w:rsidRPr="00C22C37">
        <w:t xml:space="preserve">Nous présentons le point de vue </w:t>
      </w:r>
      <w:r w:rsidR="00820879" w:rsidRPr="0056251A">
        <w:t>/</w:t>
      </w:r>
      <w:r w:rsidRPr="00C22C37">
        <w:t xml:space="preserve"> les constatations du BVG sur la question :</w:t>
      </w:r>
      <w:bookmarkEnd w:id="46"/>
    </w:p>
    <w:p w14:paraId="0D3612DA" w14:textId="782379F6" w:rsidR="00B84BC5" w:rsidRPr="00C22C37" w:rsidRDefault="00B84BC5" w:rsidP="00B84BC5">
      <w:pPr>
        <w:pStyle w:val="ParaBullet"/>
      </w:pPr>
      <w:bookmarkStart w:id="47" w:name="lt_pId379"/>
      <w:r w:rsidRPr="00C22C37">
        <w:t xml:space="preserve">décrire les procédures d’audit exécutées, y compris le recours à des </w:t>
      </w:r>
      <w:r w:rsidR="0056251A">
        <w:t>experts</w:t>
      </w:r>
      <w:r w:rsidRPr="00C22C37">
        <w:t>;</w:t>
      </w:r>
      <w:bookmarkEnd w:id="47"/>
    </w:p>
    <w:p w14:paraId="6E7DF87A" w14:textId="77777777" w:rsidR="00B84BC5" w:rsidRPr="00C22C37" w:rsidRDefault="00B84BC5" w:rsidP="00B84BC5">
      <w:pPr>
        <w:pStyle w:val="ParaBullet"/>
      </w:pPr>
      <w:bookmarkStart w:id="48" w:name="lt_pId380"/>
      <w:r w:rsidRPr="00C22C37">
        <w:t>donner plus de détails si les procédures d’audit diffèrent de la stratégie d’audit prévue et communiquée dans le plan d’audit;</w:t>
      </w:r>
      <w:bookmarkEnd w:id="48"/>
    </w:p>
    <w:p w14:paraId="71B264DE" w14:textId="62D47DF5" w:rsidR="00B84BC5" w:rsidRPr="00C22C37" w:rsidRDefault="00B84BC5" w:rsidP="00B84BC5">
      <w:pPr>
        <w:pStyle w:val="ParaBullet"/>
      </w:pPr>
      <w:bookmarkStart w:id="49" w:name="lt_pId381"/>
      <w:r w:rsidRPr="00C22C37">
        <w:t>exprimer une conclusion, à savoir si les méthodes comptables sont appropriées.</w:t>
      </w:r>
      <w:bookmarkEnd w:id="49"/>
    </w:p>
    <w:p w14:paraId="63D47EEC" w14:textId="77777777" w:rsidR="00B84BC5" w:rsidRPr="0056251A" w:rsidRDefault="00B84BC5" w:rsidP="00B84BC5">
      <w:pPr>
        <w:pStyle w:val="Heading4"/>
        <w:rPr>
          <w:lang w:val="fr-CA"/>
        </w:rPr>
      </w:pPr>
      <w:bookmarkStart w:id="50" w:name="lt_pId382"/>
      <w:r w:rsidRPr="0056251A">
        <w:rPr>
          <w:lang w:val="fr-CA"/>
        </w:rPr>
        <w:t>Pour les informations fournies dans les états financiers</w:t>
      </w:r>
      <w:bookmarkEnd w:id="50"/>
    </w:p>
    <w:p w14:paraId="6A1621B0" w14:textId="77777777" w:rsidR="00B84BC5" w:rsidRPr="0056251A" w:rsidRDefault="00B84BC5" w:rsidP="00B84BC5">
      <w:pPr>
        <w:pStyle w:val="Para"/>
        <w:keepNext/>
        <w:keepLines/>
      </w:pPr>
      <w:bookmarkStart w:id="51" w:name="lt_pId383"/>
      <w:r w:rsidRPr="0056251A">
        <w:t>Nous présentons le contexte et/ou la description des risques et analysons le processus utilisé par la direction au sujet :</w:t>
      </w:r>
      <w:bookmarkEnd w:id="51"/>
    </w:p>
    <w:p w14:paraId="6E1743BD" w14:textId="77777777" w:rsidR="00B84BC5" w:rsidRPr="0056251A" w:rsidRDefault="00B84BC5" w:rsidP="00B84BC5">
      <w:pPr>
        <w:pStyle w:val="ParaBullet"/>
      </w:pPr>
      <w:bookmarkStart w:id="52" w:name="lt_pId384"/>
      <w:r w:rsidRPr="0056251A">
        <w:t>des informations à fournir dans les états financiers qui sont particulièrement sensibles (par exemple les informations relatives à la comptabilisation des produits, à la rémunération, à la continuité de l’exploitation, aux événements postérieurs à la date de clôture et aux éventualités).</w:t>
      </w:r>
      <w:bookmarkEnd w:id="52"/>
    </w:p>
    <w:p w14:paraId="0D8E8B98" w14:textId="77777777" w:rsidR="00B84BC5" w:rsidRPr="0056251A" w:rsidRDefault="00B84BC5" w:rsidP="00B84BC5">
      <w:pPr>
        <w:pStyle w:val="Para"/>
        <w:keepNext/>
        <w:keepLines/>
      </w:pPr>
      <w:bookmarkStart w:id="53" w:name="lt_pId385"/>
      <w:r w:rsidRPr="0056251A">
        <w:t>Nous analysons aussi :</w:t>
      </w:r>
      <w:bookmarkEnd w:id="53"/>
    </w:p>
    <w:p w14:paraId="308E0948" w14:textId="77777777" w:rsidR="00B84BC5" w:rsidRPr="0056251A" w:rsidRDefault="00B84BC5" w:rsidP="00B84BC5">
      <w:pPr>
        <w:pStyle w:val="ParaBullet"/>
      </w:pPr>
      <w:bookmarkStart w:id="54" w:name="lt_pId386"/>
      <w:r w:rsidRPr="0056251A">
        <w:t>les problèmes suscités et les jugements connexes posés lors de la préparation d’informations à fournir dans les états financiers qui sont particulièrement sensibles</w:t>
      </w:r>
      <w:bookmarkEnd w:id="54"/>
      <w:r w:rsidRPr="0056251A">
        <w:t>;</w:t>
      </w:r>
    </w:p>
    <w:p w14:paraId="5406D86F" w14:textId="77777777" w:rsidR="00B84BC5" w:rsidRPr="0056251A" w:rsidRDefault="00B84BC5" w:rsidP="00B84BC5">
      <w:pPr>
        <w:pStyle w:val="ParaBullet"/>
      </w:pPr>
      <w:bookmarkStart w:id="55" w:name="lt_pId387"/>
      <w:r w:rsidRPr="0056251A">
        <w:t>la neutralité, la cohérence et la clarté de l’ensemble des informations fournies dans les états financiers.</w:t>
      </w:r>
      <w:bookmarkEnd w:id="55"/>
    </w:p>
    <w:p w14:paraId="25AA0CE4" w14:textId="57654D94" w:rsidR="00B84BC5" w:rsidRPr="0056251A" w:rsidRDefault="00B84BC5" w:rsidP="00B84BC5">
      <w:pPr>
        <w:pStyle w:val="Para"/>
        <w:keepNext/>
        <w:keepLines/>
      </w:pPr>
      <w:bookmarkStart w:id="56" w:name="lt_pId388"/>
      <w:r w:rsidRPr="0056251A">
        <w:t xml:space="preserve">Nous présentons le point de vue </w:t>
      </w:r>
      <w:r w:rsidR="0056251A" w:rsidRPr="0056251A">
        <w:t>/</w:t>
      </w:r>
      <w:r w:rsidRPr="0056251A">
        <w:t xml:space="preserve"> les constatations du BVG sur la question, en :</w:t>
      </w:r>
      <w:bookmarkEnd w:id="56"/>
    </w:p>
    <w:p w14:paraId="07BD5642" w14:textId="150D1C44" w:rsidR="00B84BC5" w:rsidRPr="00860D57" w:rsidRDefault="00B84BC5" w:rsidP="00B84BC5">
      <w:pPr>
        <w:pStyle w:val="ParaBullet"/>
      </w:pPr>
      <w:bookmarkStart w:id="57" w:name="lt_pId389"/>
      <w:r w:rsidRPr="00860D57">
        <w:t xml:space="preserve">décrivant les procédures d’audit exécutées, y compris le recours à des </w:t>
      </w:r>
      <w:r w:rsidR="00216077" w:rsidRPr="00860D57">
        <w:t>experts</w:t>
      </w:r>
      <w:r w:rsidRPr="00860D57">
        <w:t>;</w:t>
      </w:r>
      <w:bookmarkEnd w:id="57"/>
    </w:p>
    <w:p w14:paraId="05A2C3C6" w14:textId="2E1DE09A" w:rsidR="00B84BC5" w:rsidRPr="00860D57" w:rsidRDefault="00B84BC5" w:rsidP="00B84BC5">
      <w:pPr>
        <w:pStyle w:val="ParaBullet"/>
      </w:pPr>
      <w:bookmarkStart w:id="58" w:name="lt_pId390"/>
      <w:r w:rsidRPr="00860D57">
        <w:t>donnant plus de détails si les procédures d’audit diffèrent de la stratégie d’audit prévue et communiquée dans le plan d’audit;</w:t>
      </w:r>
      <w:bookmarkEnd w:id="58"/>
    </w:p>
    <w:p w14:paraId="503D3355" w14:textId="77777777" w:rsidR="00B84BC5" w:rsidRPr="00860D57" w:rsidRDefault="00B84BC5" w:rsidP="00B84BC5">
      <w:pPr>
        <w:pStyle w:val="ParaBullet"/>
      </w:pPr>
      <w:bookmarkStart w:id="59" w:name="lt_pId391"/>
      <w:r w:rsidRPr="00860D57">
        <w:t>exprimant une conclusion, à savoir si les informations fournies dans les états financiers sont adéquates.</w:t>
      </w:r>
      <w:bookmarkEnd w:id="59"/>
    </w:p>
    <w:p w14:paraId="56E72AC1" w14:textId="77777777" w:rsidR="00B84BC5" w:rsidRPr="00860D57" w:rsidRDefault="00B84BC5" w:rsidP="00B84BC5">
      <w:pPr>
        <w:pStyle w:val="Heading4"/>
        <w:rPr>
          <w:lang w:val="fr-CA"/>
        </w:rPr>
      </w:pPr>
      <w:bookmarkStart w:id="60" w:name="lt_pId392"/>
      <w:r w:rsidRPr="00860D57">
        <w:rPr>
          <w:lang w:val="fr-CA"/>
        </w:rPr>
        <w:t>Pour les questions connexes</w:t>
      </w:r>
      <w:bookmarkEnd w:id="60"/>
    </w:p>
    <w:p w14:paraId="7D601702" w14:textId="5CDDAEEF" w:rsidR="00B84BC5" w:rsidRPr="00860D57" w:rsidRDefault="00B84BC5" w:rsidP="00B84BC5">
      <w:pPr>
        <w:pStyle w:val="Para"/>
        <w:keepNext/>
        <w:keepLines/>
      </w:pPr>
      <w:bookmarkStart w:id="61" w:name="lt_pId393"/>
      <w:r w:rsidRPr="00860D57">
        <w:t>Nous présentons le contexte et/ou la description d</w:t>
      </w:r>
      <w:r w:rsidR="00860D57">
        <w:t>es</w:t>
      </w:r>
      <w:r w:rsidRPr="00860D57">
        <w:t xml:space="preserve"> risque</w:t>
      </w:r>
      <w:r w:rsidR="00860D57">
        <w:t>s</w:t>
      </w:r>
      <w:r w:rsidRPr="00860D57">
        <w:t xml:space="preserve"> et nous analysons :</w:t>
      </w:r>
      <w:bookmarkEnd w:id="61"/>
    </w:p>
    <w:p w14:paraId="6A5FB351" w14:textId="77777777" w:rsidR="00B84BC5" w:rsidRPr="00860D57" w:rsidRDefault="00B84BC5" w:rsidP="00B84BC5">
      <w:pPr>
        <w:pStyle w:val="ParaBullet"/>
      </w:pPr>
      <w:r w:rsidRPr="00860D57">
        <w:t>l’incidence possible sur les états financiers des risques importants, des risques auxquels l’organisation est exposée et des incertitudes significatives, notamment les procès en cours, qui sont mentionnés dans les états financiers;</w:t>
      </w:r>
    </w:p>
    <w:p w14:paraId="746F138C" w14:textId="77777777" w:rsidR="00B84BC5" w:rsidRPr="00860D57" w:rsidRDefault="00B84BC5" w:rsidP="00B84BC5">
      <w:pPr>
        <w:pStyle w:val="ParaBullet"/>
      </w:pPr>
      <w:r w:rsidRPr="00860D57">
        <w:t>la mesure dans laquelle des opérations inhabituelles, y compris des montants non récurrents comptabilisés au cours de la période, se répercutent sur les états financiers, et la mesure dans laquelle ces opérations y sont présentées séparément;</w:t>
      </w:r>
    </w:p>
    <w:p w14:paraId="644DDBFE" w14:textId="77777777" w:rsidR="00B84BC5" w:rsidRPr="00860D57" w:rsidRDefault="00B84BC5" w:rsidP="00B84BC5">
      <w:pPr>
        <w:pStyle w:val="ParaBullet"/>
      </w:pPr>
      <w:r w:rsidRPr="00860D57">
        <w:t>la correction sélective d’anomalies (par exemple correction des anomalies dans les cas où cela a pour effet d’augmenter le résultat présenté, alors que les anomalies dont la correction réduirait le résultat ne sont pas corrigées).</w:t>
      </w:r>
    </w:p>
    <w:p w14:paraId="19FD7C1D" w14:textId="77777777" w:rsidR="00B84BC5" w:rsidRPr="00860D57" w:rsidRDefault="00B84BC5" w:rsidP="00B84BC5">
      <w:pPr>
        <w:rPr>
          <w:lang w:val="fr-CA"/>
        </w:rPr>
      </w:pPr>
      <w:bookmarkStart w:id="62" w:name="_Supplemental_guidance_B"/>
      <w:bookmarkStart w:id="63" w:name="_Supplemental_Guidance_B—Exceptions"/>
      <w:bookmarkEnd w:id="62"/>
      <w:bookmarkEnd w:id="63"/>
      <w:r w:rsidRPr="00860D57">
        <w:rPr>
          <w:lang w:val="fr-CA"/>
        </w:rPr>
        <w:br w:type="page"/>
      </w:r>
    </w:p>
    <w:p w14:paraId="44E85B4B" w14:textId="4E3837C3" w:rsidR="004D00F4" w:rsidRPr="009D2A0A" w:rsidRDefault="00757ED2" w:rsidP="004D00F4">
      <w:pPr>
        <w:pStyle w:val="Heading1"/>
        <w:rPr>
          <w:lang w:val="fr-CA"/>
        </w:rPr>
      </w:pPr>
      <w:bookmarkStart w:id="64" w:name="_Toc102133493"/>
      <w:r>
        <w:rPr>
          <w:lang w:val="fr-CA"/>
        </w:rPr>
        <w:t>Directives supplémentaires </w:t>
      </w:r>
      <w:r w:rsidR="00B84BC5" w:rsidRPr="00860D57">
        <w:rPr>
          <w:lang w:val="fr-CA"/>
        </w:rPr>
        <w:t xml:space="preserve">B — Modifications apportées au rapport type de l’auditeur </w:t>
      </w:r>
      <w:r w:rsidR="009D2A0A">
        <w:rPr>
          <w:lang w:val="fr-CA"/>
        </w:rPr>
        <w:t xml:space="preserve">et aux </w:t>
      </w:r>
      <w:r w:rsidR="009D2A0A" w:rsidRPr="009D2A0A">
        <w:rPr>
          <w:lang w:val="fr-CA"/>
        </w:rPr>
        <w:t>questions clés de l</w:t>
      </w:r>
      <w:r w:rsidR="009B5763">
        <w:rPr>
          <w:lang w:val="fr-CA"/>
        </w:rPr>
        <w:t>’</w:t>
      </w:r>
      <w:r w:rsidR="009D2A0A" w:rsidRPr="009D2A0A">
        <w:rPr>
          <w:lang w:val="fr-CA"/>
        </w:rPr>
        <w:t>audit</w:t>
      </w:r>
      <w:bookmarkEnd w:id="64"/>
    </w:p>
    <w:p w14:paraId="471F4DA6" w14:textId="474C8753" w:rsidR="00B84BC5" w:rsidRPr="00860D57" w:rsidRDefault="00B84BC5" w:rsidP="00B84BC5">
      <w:pPr>
        <w:pStyle w:val="instructionspara"/>
        <w:rPr>
          <w:sz w:val="28"/>
        </w:rPr>
      </w:pPr>
      <w:r w:rsidRPr="00860D57">
        <w:rPr>
          <w:sz w:val="28"/>
        </w:rPr>
        <w:t>[</w:t>
      </w:r>
      <w:r w:rsidR="00D86140" w:rsidRPr="00757ED2">
        <w:rPr>
          <w:bCs/>
          <w:color w:val="0000FF"/>
          <w:szCs w:val="28"/>
        </w:rPr>
        <w:t>A</w:t>
      </w:r>
      <w:r w:rsidRPr="00757ED2">
        <w:rPr>
          <w:bCs/>
          <w:color w:val="0000FF"/>
          <w:szCs w:val="28"/>
        </w:rPr>
        <w:t>jouter le texte ci</w:t>
      </w:r>
      <w:r w:rsidRPr="00757ED2">
        <w:rPr>
          <w:bCs/>
          <w:color w:val="0000FF"/>
          <w:szCs w:val="28"/>
        </w:rPr>
        <w:noBreakHyphen/>
        <w:t>dessous lorsque le libellé s’applique aux circonstances de l’audit.</w:t>
      </w:r>
      <w:r w:rsidRPr="00860D57">
        <w:rPr>
          <w:sz w:val="28"/>
        </w:rPr>
        <w:t>]</w:t>
      </w:r>
    </w:p>
    <w:p w14:paraId="3E04B38C" w14:textId="77777777" w:rsidR="00B84BC5" w:rsidRPr="00860D57" w:rsidRDefault="00B84BC5" w:rsidP="00B84BC5">
      <w:pPr>
        <w:pStyle w:val="Heading4"/>
        <w:rPr>
          <w:lang w:val="fr-CA"/>
        </w:rPr>
      </w:pPr>
      <w:r w:rsidRPr="00860D57">
        <w:rPr>
          <w:lang w:val="fr-CA"/>
        </w:rPr>
        <w:t>Paragraphe d’observations [</w:t>
      </w:r>
      <w:r w:rsidRPr="00757ED2">
        <w:rPr>
          <w:color w:val="0000FF"/>
          <w:lang w:val="fr-CA"/>
        </w:rPr>
        <w:t>s’il y a lieu</w:t>
      </w:r>
      <w:r w:rsidRPr="00860D57">
        <w:rPr>
          <w:lang w:val="fr-CA"/>
        </w:rPr>
        <w:t>]</w:t>
      </w:r>
    </w:p>
    <w:p w14:paraId="5568C7B1" w14:textId="77777777" w:rsidR="00B84BC5" w:rsidRPr="00860D57" w:rsidRDefault="00B84BC5" w:rsidP="00B84BC5">
      <w:pPr>
        <w:pStyle w:val="Para"/>
      </w:pPr>
      <w:bookmarkStart w:id="65" w:name="lt_pId407"/>
      <w:r w:rsidRPr="00860D57">
        <w:t>L’auditeur peut ajouter un « paragraphe d’observations » dans son rapport d’audit indépendant après le paragraphe d’opinion, lorsqu’il considère qu’un point, même s’il fait l’objet d’une présentation ou d’informations appropriées dans les états financiers, revêt une telle importance à ses yeux qu’il est fondamental à la compréhension des états financiers.</w:t>
      </w:r>
      <w:bookmarkEnd w:id="65"/>
    </w:p>
    <w:p w14:paraId="2FC1B63B" w14:textId="4660C10D" w:rsidR="00B84BC5" w:rsidRPr="00666980" w:rsidRDefault="00B84BC5" w:rsidP="00B84BC5">
      <w:pPr>
        <w:pStyle w:val="Para"/>
      </w:pPr>
      <w:r w:rsidRPr="00666980">
        <w:t xml:space="preserve">Sans pour autant modifier notre opinion sur les états financiers, nous avons jugé nécessaire d’ajouter un paragraphe d’observations pour attirer l’attention des </w:t>
      </w:r>
      <w:r w:rsidR="006E3F26" w:rsidRPr="00666980">
        <w:t>utilisateurs</w:t>
      </w:r>
      <w:r w:rsidRPr="00666980">
        <w:t xml:space="preserve"> sur [</w:t>
      </w:r>
      <w:r w:rsidRPr="00757ED2">
        <w:rPr>
          <w:rFonts w:cs="Times New Roman"/>
          <w:bCs/>
          <w:color w:val="0000FF"/>
          <w:szCs w:val="28"/>
        </w:rPr>
        <w:t>indiquer l’observation</w:t>
      </w:r>
      <w:r w:rsidRPr="00666980">
        <w:t xml:space="preserve">]. </w:t>
      </w:r>
      <w:bookmarkStart w:id="66" w:name="lt_pId409"/>
      <w:r w:rsidRPr="00666980">
        <w:t>Veuillez consulter l’ébauche du rapport d</w:t>
      </w:r>
      <w:r w:rsidR="006E3F26" w:rsidRPr="00666980">
        <w:t>e l</w:t>
      </w:r>
      <w:r w:rsidRPr="00666980">
        <w:t>’audit</w:t>
      </w:r>
      <w:r w:rsidR="006E3F26" w:rsidRPr="00666980">
        <w:t>eur</w:t>
      </w:r>
      <w:r w:rsidRPr="00666980">
        <w:t xml:space="preserve"> indépendant à l’annexe A pour y trouver le libellé proposé du paragraphe d’observations.</w:t>
      </w:r>
      <w:bookmarkEnd w:id="66"/>
    </w:p>
    <w:p w14:paraId="3578C29C" w14:textId="77777777" w:rsidR="00B84BC5" w:rsidRPr="00860D57" w:rsidRDefault="00B84BC5" w:rsidP="00B84BC5">
      <w:pPr>
        <w:pStyle w:val="Heading4"/>
        <w:rPr>
          <w:lang w:val="fr-CA"/>
        </w:rPr>
      </w:pPr>
      <w:r w:rsidRPr="00860D57">
        <w:rPr>
          <w:lang w:val="fr-CA"/>
        </w:rPr>
        <w:t>Paragraphe sur d’autres points [</w:t>
      </w:r>
      <w:r w:rsidRPr="00757ED2">
        <w:rPr>
          <w:color w:val="0000FF"/>
          <w:lang w:val="fr-CA"/>
        </w:rPr>
        <w:t>s’il y a lieu</w:t>
      </w:r>
      <w:r w:rsidRPr="00860D57">
        <w:rPr>
          <w:lang w:val="fr-CA"/>
        </w:rPr>
        <w:t>]</w:t>
      </w:r>
    </w:p>
    <w:p w14:paraId="74CEB7F4" w14:textId="775CC502" w:rsidR="00B84BC5" w:rsidRPr="00ED3703" w:rsidRDefault="00B84BC5" w:rsidP="00B84BC5">
      <w:pPr>
        <w:pStyle w:val="Para"/>
      </w:pPr>
      <w:r w:rsidRPr="00ED3703">
        <w:t xml:space="preserve">Le paragraphe sur d’autres points dans le rapport de l’auditeur indépendant fait mention d’un ou de plusieurs points autres que ceux </w:t>
      </w:r>
      <w:r w:rsidR="00B22ED1">
        <w:t xml:space="preserve">qui sont </w:t>
      </w:r>
      <w:r w:rsidRPr="00ED3703">
        <w:t>présentés ou</w:t>
      </w:r>
      <w:r w:rsidR="00B22ED1">
        <w:t xml:space="preserve"> qui</w:t>
      </w:r>
      <w:r w:rsidRPr="00ED3703">
        <w:t xml:space="preserve"> f</w:t>
      </w:r>
      <w:r w:rsidR="00B22ED1">
        <w:t>ont</w:t>
      </w:r>
      <w:r w:rsidRPr="00ED3703">
        <w:t xml:space="preserve"> l’objet d’informations dans les états financiers, qui, selon le jugement de l’auditeur, sont pertinents pour la compréhension, par les utilisateurs, de l’audit, des responsabilités de l’auditeur ou du rapport de celui-ci.</w:t>
      </w:r>
    </w:p>
    <w:p w14:paraId="46FDCB45" w14:textId="27318447" w:rsidR="00757ED2" w:rsidRDefault="00B84BC5" w:rsidP="00B84BC5">
      <w:pPr>
        <w:pStyle w:val="Para"/>
        <w:tabs>
          <w:tab w:val="left" w:pos="3564"/>
        </w:tabs>
      </w:pPr>
      <w:r w:rsidRPr="00860D57">
        <w:t>Sans pour autant modifier notre opinion sur les états financiers, nous avons ajouté un paragraphe sur d’autres points au sujet de [</w:t>
      </w:r>
      <w:r w:rsidRPr="00757ED2">
        <w:rPr>
          <w:color w:val="0000FF"/>
        </w:rPr>
        <w:t>indiquer le point</w:t>
      </w:r>
      <w:r w:rsidRPr="00860D57">
        <w:t>]. Veuillez consulter l’ébauche du rapport d</w:t>
      </w:r>
      <w:r w:rsidR="00CD1FDE">
        <w:t>e l</w:t>
      </w:r>
      <w:r w:rsidRPr="00860D57">
        <w:t>’audit</w:t>
      </w:r>
      <w:r w:rsidR="00CD1FDE">
        <w:t>eur</w:t>
      </w:r>
      <w:r w:rsidRPr="00860D57">
        <w:t xml:space="preserve"> indépendant à l’annexe A pour y trouver le libellé proposé du </w:t>
      </w:r>
      <w:r w:rsidR="00757ED2">
        <w:t>paragraphe sur d’autres points.</w:t>
      </w:r>
    </w:p>
    <w:p w14:paraId="7030254D" w14:textId="60AD8F4F" w:rsidR="009D2A0A" w:rsidRDefault="009D2A0A" w:rsidP="00B84BC5">
      <w:pPr>
        <w:pStyle w:val="Para"/>
        <w:tabs>
          <w:tab w:val="left" w:pos="3564"/>
        </w:tabs>
      </w:pPr>
      <w:r w:rsidRPr="00444D6A">
        <w:rPr>
          <w:b/>
        </w:rPr>
        <w:t>Questions clés de l’audit</w:t>
      </w:r>
      <w:r>
        <w:t xml:space="preserve"> </w:t>
      </w:r>
      <w:r w:rsidRPr="00444D6A">
        <w:rPr>
          <w:b/>
        </w:rPr>
        <w:t>[</w:t>
      </w:r>
      <w:r w:rsidRPr="00444D6A">
        <w:rPr>
          <w:b/>
          <w:color w:val="0000FF"/>
        </w:rPr>
        <w:t>s’il y a lieu</w:t>
      </w:r>
      <w:r w:rsidRPr="00444D6A">
        <w:rPr>
          <w:b/>
        </w:rPr>
        <w:t>]</w:t>
      </w:r>
    </w:p>
    <w:p w14:paraId="0020B677" w14:textId="77777777" w:rsidR="009D2A0A" w:rsidRDefault="009D2A0A">
      <w:pPr>
        <w:spacing w:after="160" w:line="259" w:lineRule="auto"/>
        <w:rPr>
          <w:lang w:val="fr-CA"/>
        </w:rPr>
      </w:pPr>
      <w:r>
        <w:rPr>
          <w:lang w:val="fr-CA"/>
        </w:rPr>
        <w:t>L’ébauche du rapport de l’auditeur qui figure à l’annexe A comprend les questions clés de l’audit suivantes :</w:t>
      </w:r>
    </w:p>
    <w:p w14:paraId="3177F6FB" w14:textId="3E82C3C7" w:rsidR="009D2A0A" w:rsidRPr="00444D6A" w:rsidRDefault="009D2A0A" w:rsidP="00444D6A">
      <w:pPr>
        <w:pStyle w:val="ParaBullet"/>
      </w:pPr>
      <w:r w:rsidRPr="008D21D0">
        <w:t>[</w:t>
      </w:r>
      <w:r w:rsidRPr="00444D6A">
        <w:rPr>
          <w:color w:val="0000FF"/>
        </w:rPr>
        <w:t>Ajouter la l</w:t>
      </w:r>
      <w:r w:rsidRPr="005541B3">
        <w:rPr>
          <w:color w:val="0000FF"/>
        </w:rPr>
        <w:t>iste des questions clés de l’audit</w:t>
      </w:r>
      <w:r w:rsidRPr="00CD5B58">
        <w:t>].</w:t>
      </w:r>
    </w:p>
    <w:p w14:paraId="4F0592BD" w14:textId="77777777" w:rsidR="009D2A0A" w:rsidRDefault="009D2A0A">
      <w:pPr>
        <w:spacing w:after="160" w:line="259" w:lineRule="auto"/>
        <w:rPr>
          <w:b/>
          <w:lang w:val="fr-CA"/>
        </w:rPr>
      </w:pPr>
      <w:r w:rsidRPr="00444D6A">
        <w:rPr>
          <w:b/>
          <w:color w:val="000000"/>
          <w:lang w:val="fr-CA"/>
        </w:rPr>
        <w:t>Non-conformité aux autorisations</w:t>
      </w:r>
      <w:r>
        <w:rPr>
          <w:b/>
          <w:lang w:val="fr-CA"/>
        </w:rPr>
        <w:t xml:space="preserve"> </w:t>
      </w:r>
      <w:r w:rsidRPr="00C262CE">
        <w:rPr>
          <w:b/>
          <w:lang w:val="fr-CA"/>
        </w:rPr>
        <w:t>[</w:t>
      </w:r>
      <w:r w:rsidRPr="00C262CE">
        <w:rPr>
          <w:b/>
          <w:color w:val="0000FF"/>
          <w:lang w:val="fr-CA"/>
        </w:rPr>
        <w:t>s’il y a lieu</w:t>
      </w:r>
      <w:r w:rsidRPr="00C262CE">
        <w:rPr>
          <w:b/>
          <w:lang w:val="fr-CA"/>
        </w:rPr>
        <w:t>]</w:t>
      </w:r>
    </w:p>
    <w:p w14:paraId="25069871" w14:textId="77777777" w:rsidR="008D21D0" w:rsidRDefault="008D21D0">
      <w:pPr>
        <w:spacing w:after="160" w:line="259" w:lineRule="auto"/>
        <w:rPr>
          <w:lang w:val="fr-CA"/>
        </w:rPr>
      </w:pPr>
      <w:r w:rsidRPr="008C2224">
        <w:rPr>
          <w:lang w:val="fr-CA"/>
        </w:rPr>
        <w:t>[</w:t>
      </w:r>
      <w:r w:rsidRPr="00444D6A">
        <w:rPr>
          <w:rFonts w:cs="Arial"/>
          <w:color w:val="0000FF"/>
          <w:lang w:val="fr-CA"/>
        </w:rPr>
        <w:t>Si des cas de non-conformité aux autorisations ont été observés</w:t>
      </w:r>
      <w:r w:rsidRPr="008C2224">
        <w:rPr>
          <w:lang w:val="fr-CA"/>
        </w:rPr>
        <w:t>]</w:t>
      </w:r>
    </w:p>
    <w:p w14:paraId="31AC632C" w14:textId="7D70BE5D" w:rsidR="00757ED2" w:rsidRPr="00444D6A" w:rsidRDefault="008D21D0">
      <w:pPr>
        <w:spacing w:after="160" w:line="259" w:lineRule="auto"/>
        <w:rPr>
          <w:rFonts w:cs="Arial"/>
          <w:b/>
          <w:lang w:val="fr-CA"/>
        </w:rPr>
      </w:pPr>
      <w:r w:rsidRPr="008C2224">
        <w:rPr>
          <w:color w:val="000000"/>
          <w:lang w:val="fr-CA"/>
        </w:rPr>
        <w:t>Sans pour autant modifier notre opinion</w:t>
      </w:r>
      <w:r>
        <w:rPr>
          <w:lang w:val="fr-CA"/>
        </w:rPr>
        <w:t xml:space="preserve"> à l’égard des états financiers, nous signalerons le cas de non-conformité </w:t>
      </w:r>
      <w:r w:rsidRPr="00C262CE">
        <w:rPr>
          <w:color w:val="000000"/>
          <w:lang w:val="fr-CA"/>
        </w:rPr>
        <w:t>ci-après</w:t>
      </w:r>
      <w:r>
        <w:rPr>
          <w:lang w:val="fr-CA"/>
        </w:rPr>
        <w:t xml:space="preserve"> </w:t>
      </w:r>
      <w:r w:rsidRPr="00C262CE">
        <w:rPr>
          <w:lang w:val="fr-CA"/>
        </w:rPr>
        <w:t>[</w:t>
      </w:r>
      <w:r w:rsidRPr="00444D6A">
        <w:rPr>
          <w:rFonts w:cs="Arial"/>
          <w:color w:val="0000FF"/>
          <w:lang w:val="fr-CA"/>
        </w:rPr>
        <w:t>ou l’autre question législative ci-après</w:t>
      </w:r>
      <w:r w:rsidRPr="00C262CE">
        <w:rPr>
          <w:lang w:val="fr-CA"/>
        </w:rPr>
        <w:t>]</w:t>
      </w:r>
      <w:r>
        <w:rPr>
          <w:lang w:val="fr-CA"/>
        </w:rPr>
        <w:t xml:space="preserve">. </w:t>
      </w:r>
      <w:r w:rsidRPr="008C2224">
        <w:rPr>
          <w:lang w:val="fr-CA"/>
        </w:rPr>
        <w:t>[</w:t>
      </w:r>
      <w:r w:rsidRPr="00444D6A">
        <w:rPr>
          <w:rFonts w:cs="Arial"/>
          <w:color w:val="0000FF"/>
          <w:lang w:val="fr-CA"/>
        </w:rPr>
        <w:t>Décrire brièvement le cas de non-conformité ou toute autre question législative à signaler</w:t>
      </w:r>
      <w:r w:rsidR="00B22ED1">
        <w:rPr>
          <w:rFonts w:cs="Arial"/>
          <w:color w:val="0000FF"/>
          <w:lang w:val="fr-CA"/>
        </w:rPr>
        <w:t>.</w:t>
      </w:r>
      <w:r w:rsidRPr="008C2224">
        <w:rPr>
          <w:color w:val="000000"/>
          <w:lang w:val="fr-CA"/>
        </w:rPr>
        <w:t>]</w:t>
      </w:r>
      <w:r w:rsidR="00757ED2" w:rsidRPr="00444D6A">
        <w:rPr>
          <w:b/>
          <w:lang w:val="fr-CA"/>
        </w:rPr>
        <w:br w:type="page"/>
      </w:r>
    </w:p>
    <w:p w14:paraId="116BFF0B" w14:textId="74E68A2B" w:rsidR="004D00F4" w:rsidRPr="00DD0CF7" w:rsidRDefault="00757ED2" w:rsidP="004D00F4">
      <w:pPr>
        <w:pStyle w:val="Heading1"/>
        <w:rPr>
          <w:lang w:val="fr-CA"/>
        </w:rPr>
      </w:pPr>
      <w:bookmarkStart w:id="67" w:name="_Toc102133494"/>
      <w:r>
        <w:rPr>
          <w:lang w:val="fr-CA"/>
        </w:rPr>
        <w:t>Directives supplémentaires </w:t>
      </w:r>
      <w:r w:rsidR="00B84BC5" w:rsidRPr="00DD0CF7">
        <w:rPr>
          <w:lang w:val="fr-CA"/>
        </w:rPr>
        <w:t>C — Autres questions importantes apparues au cours de l’audit</w:t>
      </w:r>
      <w:bookmarkEnd w:id="67"/>
    </w:p>
    <w:p w14:paraId="2416EED0" w14:textId="031B6886" w:rsidR="00B84BC5" w:rsidRPr="00757ED2" w:rsidRDefault="00B84BC5" w:rsidP="00B84BC5">
      <w:pPr>
        <w:pStyle w:val="instructionspara"/>
      </w:pPr>
      <w:r w:rsidRPr="00DD0CF7">
        <w:t>[</w:t>
      </w:r>
      <w:r w:rsidRPr="00757ED2">
        <w:rPr>
          <w:rStyle w:val="Blue"/>
        </w:rPr>
        <w:t>Discuter de toute « autre question importante » apparue au cours de l’audit qui intéresse directement le Comité d</w:t>
      </w:r>
      <w:r w:rsidR="00B51A67" w:rsidRPr="00757ED2">
        <w:rPr>
          <w:rStyle w:val="Blue"/>
        </w:rPr>
        <w:t>e vérification</w:t>
      </w:r>
      <w:r w:rsidRPr="00757ED2">
        <w:rPr>
          <w:rStyle w:val="Blue"/>
        </w:rPr>
        <w:t>.</w:t>
      </w:r>
    </w:p>
    <w:p w14:paraId="1ED4758F" w14:textId="77777777" w:rsidR="00B84BC5" w:rsidRPr="00757ED2" w:rsidRDefault="00B84BC5" w:rsidP="00B84BC5">
      <w:pPr>
        <w:pStyle w:val="instructionspara"/>
        <w:keepNext/>
        <w:keepLines/>
      </w:pPr>
      <w:r w:rsidRPr="00757ED2">
        <w:rPr>
          <w:rStyle w:val="Blue"/>
        </w:rPr>
        <w:t>Les questions qui peuvent être abordées sont notamment les suivantes :</w:t>
      </w:r>
    </w:p>
    <w:p w14:paraId="57AEBA2D" w14:textId="77777777" w:rsidR="00B84BC5" w:rsidRPr="00757ED2" w:rsidRDefault="00B84BC5" w:rsidP="00B84BC5">
      <w:pPr>
        <w:pStyle w:val="ParaBullet"/>
      </w:pPr>
      <w:r w:rsidRPr="00757ED2">
        <w:rPr>
          <w:rStyle w:val="Blue"/>
        </w:rPr>
        <w:t>les éléments de la conjoncture économique ayant une incidence sur l’entité, ainsi que les plans d’activités et stratégies de l’entité pouvant influer sur les risques d’anomalies significatives;</w:t>
      </w:r>
    </w:p>
    <w:p w14:paraId="65293845" w14:textId="77777777" w:rsidR="00B84BC5" w:rsidRPr="00757ED2" w:rsidRDefault="00B84BC5" w:rsidP="00B84BC5">
      <w:pPr>
        <w:pStyle w:val="ParaBullet"/>
      </w:pPr>
      <w:r w:rsidRPr="00757ED2">
        <w:rPr>
          <w:rStyle w:val="Blue"/>
        </w:rPr>
        <w:t>les préoccupations suscitées par des consultations de la direction auprès d’autres comptables sur des questions de comptabilité ou d’audit;</w:t>
      </w:r>
    </w:p>
    <w:p w14:paraId="7960ACCB" w14:textId="77777777" w:rsidR="00B84BC5" w:rsidRPr="00757ED2" w:rsidRDefault="00B84BC5" w:rsidP="00B84BC5">
      <w:pPr>
        <w:pStyle w:val="ParaBullet"/>
      </w:pPr>
      <w:r w:rsidRPr="00757ED2">
        <w:rPr>
          <w:rStyle w:val="Blue"/>
        </w:rPr>
        <w:t>les discussions ou la correspondance portant sur les questions liées aux pratiques comptables et à l’application des normes d’audit soulevées à l’occasion de la nomination initiale de l’auditeur ou de la reconduction de sa mission;</w:t>
      </w:r>
    </w:p>
    <w:p w14:paraId="0CD1E002" w14:textId="77777777" w:rsidR="00B84BC5" w:rsidRPr="00DD0CF7" w:rsidRDefault="00B84BC5" w:rsidP="00B84BC5">
      <w:pPr>
        <w:pStyle w:val="ParaBullet"/>
      </w:pPr>
      <w:r w:rsidRPr="00757ED2">
        <w:rPr>
          <w:color w:val="0000FF"/>
        </w:rPr>
        <w:t>les anomalies significatives concernant des faits ou les incohérences significatives relevées dans les informations accompagnant les états financiers audités, qui ont été corrigées.</w:t>
      </w:r>
      <w:r w:rsidRPr="00DD0CF7">
        <w:t>]</w:t>
      </w:r>
    </w:p>
    <w:p w14:paraId="6A8B74BB" w14:textId="1E8FA9DF" w:rsidR="00B84BC5" w:rsidRPr="00DD0CF7" w:rsidRDefault="00B84BC5" w:rsidP="00B84BC5">
      <w:pPr>
        <w:pStyle w:val="Para"/>
      </w:pPr>
      <w:r w:rsidRPr="00DD0CF7">
        <w:t>Nous avons relevé la[</w:t>
      </w:r>
      <w:r w:rsidRPr="00DD0CF7">
        <w:rPr>
          <w:color w:val="0000FF"/>
        </w:rPr>
        <w:t>les</w:t>
      </w:r>
      <w:r w:rsidRPr="00DD0CF7">
        <w:t>] question[</w:t>
      </w:r>
      <w:r w:rsidRPr="00DD0CF7">
        <w:rPr>
          <w:color w:val="0000FF"/>
        </w:rPr>
        <w:t>s</w:t>
      </w:r>
      <w:r w:rsidRPr="00DD0CF7">
        <w:t>] suivante[</w:t>
      </w:r>
      <w:r w:rsidRPr="00DD0CF7">
        <w:rPr>
          <w:color w:val="0000FF"/>
        </w:rPr>
        <w:t>s</w:t>
      </w:r>
      <w:r w:rsidRPr="00DD0CF7">
        <w:t>] qui, à notre avis, revêt[</w:t>
      </w:r>
      <w:r w:rsidRPr="00DD0CF7">
        <w:rPr>
          <w:color w:val="0000FF"/>
        </w:rPr>
        <w:t>ent</w:t>
      </w:r>
      <w:r w:rsidRPr="00DD0CF7">
        <w:t>] de l’importance pour la surveillance du processus d’information financière par le Comité d</w:t>
      </w:r>
      <w:r w:rsidR="00B51A67">
        <w:t>e vérification</w:t>
      </w:r>
      <w:r w:rsidRPr="00DD0CF7">
        <w:t xml:space="preserve"> et en avons discuté avec la direction :</w:t>
      </w:r>
    </w:p>
    <w:p w14:paraId="030A1922" w14:textId="77777777" w:rsidR="00B84BC5" w:rsidRPr="00DD0CF7" w:rsidRDefault="00B84BC5" w:rsidP="00B84BC5">
      <w:pPr>
        <w:pStyle w:val="Heading4"/>
        <w:rPr>
          <w:lang w:val="fr-CA"/>
        </w:rPr>
      </w:pPr>
      <w:r w:rsidRPr="00DD0CF7">
        <w:rPr>
          <w:lang w:val="fr-CA"/>
        </w:rPr>
        <w:t>Non-conformité aux lois et règlements [</w:t>
      </w:r>
      <w:r w:rsidRPr="00757ED2">
        <w:rPr>
          <w:color w:val="0000FF"/>
          <w:lang w:val="fr-CA"/>
        </w:rPr>
        <w:t>s’il y a lieu</w:t>
      </w:r>
      <w:r w:rsidRPr="00DD0CF7">
        <w:rPr>
          <w:lang w:val="fr-CA"/>
        </w:rPr>
        <w:t>]</w:t>
      </w:r>
    </w:p>
    <w:p w14:paraId="3572CFBF" w14:textId="77777777" w:rsidR="00B84BC5" w:rsidRPr="00DD0CF7" w:rsidRDefault="00B84BC5" w:rsidP="00B84BC5">
      <w:pPr>
        <w:pStyle w:val="instructionspara"/>
      </w:pPr>
      <w:r w:rsidRPr="00DD0CF7">
        <w:t>[</w:t>
      </w:r>
      <w:r w:rsidRPr="00444D6A">
        <w:rPr>
          <w:i/>
          <w:color w:val="0000FF"/>
        </w:rPr>
        <w:t>S’il y a lieu, communiquer les questions de non-conformité aux lois et aux règlements dont vous avez pris connaissance au cours de l’audit, sauf s’il s’agit de cas manifestement sans conséquence.</w:t>
      </w:r>
      <w:r w:rsidRPr="00DD0CF7">
        <w:t>]</w:t>
      </w:r>
    </w:p>
    <w:p w14:paraId="1098942E" w14:textId="77777777" w:rsidR="00B84BC5" w:rsidRPr="00DD0CF7" w:rsidRDefault="00B84BC5" w:rsidP="00B84BC5">
      <w:pPr>
        <w:pStyle w:val="Heading4"/>
        <w:rPr>
          <w:lang w:val="fr-CA"/>
        </w:rPr>
      </w:pPr>
      <w:r w:rsidRPr="00DD0CF7">
        <w:rPr>
          <w:lang w:val="fr-CA"/>
        </w:rPr>
        <w:t>Opérations entre parties liées [</w:t>
      </w:r>
      <w:r w:rsidRPr="00757ED2">
        <w:rPr>
          <w:color w:val="0000FF"/>
          <w:lang w:val="fr-CA"/>
        </w:rPr>
        <w:t>s’il y a lieu</w:t>
      </w:r>
      <w:r w:rsidRPr="00DD0CF7">
        <w:rPr>
          <w:lang w:val="fr-CA"/>
        </w:rPr>
        <w:t>]</w:t>
      </w:r>
    </w:p>
    <w:p w14:paraId="48795F42" w14:textId="77777777" w:rsidR="00B84BC5" w:rsidRPr="00DD0CF7" w:rsidRDefault="00B84BC5" w:rsidP="00B84BC5">
      <w:pPr>
        <w:pStyle w:val="Para"/>
        <w:keepNext/>
        <w:keepLines/>
      </w:pPr>
      <w:bookmarkStart w:id="68" w:name="lt_pId426"/>
      <w:r w:rsidRPr="00DD0CF7">
        <w:t>Au cours de l’audit, nous avons identifié les questions importantes suivantes en ce qui a trait aux parties liées de l’entité :</w:t>
      </w:r>
      <w:bookmarkEnd w:id="68"/>
    </w:p>
    <w:p w14:paraId="734849CE" w14:textId="77777777" w:rsidR="00B84BC5" w:rsidRPr="00757ED2" w:rsidRDefault="00B84BC5" w:rsidP="00B84BC5">
      <w:pPr>
        <w:pStyle w:val="instructionspara"/>
        <w:keepNext/>
        <w:keepLines/>
      </w:pPr>
      <w:r w:rsidRPr="00DD0CF7">
        <w:t>[</w:t>
      </w:r>
      <w:r w:rsidRPr="00757ED2">
        <w:rPr>
          <w:rStyle w:val="Blue"/>
        </w:rPr>
        <w:t>Voici des exemples de questions importantes ayant trait aux parties liées :</w:t>
      </w:r>
    </w:p>
    <w:p w14:paraId="37445414" w14:textId="4D56B541" w:rsidR="00B84BC5" w:rsidRPr="00757ED2" w:rsidRDefault="00B84BC5" w:rsidP="00B84BC5">
      <w:pPr>
        <w:pStyle w:val="ParaBullet"/>
      </w:pPr>
      <w:r w:rsidRPr="00757ED2">
        <w:rPr>
          <w:noProof/>
          <w:color w:val="0000FF"/>
          <w:lang w:eastAsia="en-CA"/>
        </w:rPr>
        <w:t>le fait que la direction n’ait pas communiqué (volontairement ou non) à l’auditeur l’existence de parties liées ou d’opérations importantes avec des parties liées;</w:t>
      </w:r>
    </w:p>
    <w:p w14:paraId="535A6100" w14:textId="77777777" w:rsidR="00B84BC5" w:rsidRPr="00757ED2" w:rsidRDefault="00B84BC5" w:rsidP="00B84BC5">
      <w:pPr>
        <w:pStyle w:val="ParaBullet"/>
      </w:pPr>
      <w:r w:rsidRPr="00757ED2">
        <w:rPr>
          <w:color w:val="0000FF"/>
        </w:rPr>
        <w:t>l’identification d’opérations importantes avec des parties liées qui n’ont pas été dûment autorisées et approuvées, ce qui peut laisser soupçonner une fraude;</w:t>
      </w:r>
    </w:p>
    <w:p w14:paraId="4D481FC1" w14:textId="77777777" w:rsidR="00B84BC5" w:rsidRPr="00757ED2" w:rsidRDefault="00B84BC5" w:rsidP="00B84BC5">
      <w:pPr>
        <w:pStyle w:val="ParaBullet"/>
      </w:pPr>
      <w:r w:rsidRPr="00757ED2">
        <w:rPr>
          <w:color w:val="0000FF"/>
        </w:rPr>
        <w:t>un désaccord avec la direction sur la question du traitement comptable et de la communication des opérations importantes avec des parties liées conformément au référentiel d’information financière applicable;</w:t>
      </w:r>
    </w:p>
    <w:p w14:paraId="62F71863" w14:textId="77777777" w:rsidR="00B84BC5" w:rsidRPr="00757ED2" w:rsidRDefault="00B84BC5" w:rsidP="00B84BC5">
      <w:pPr>
        <w:pStyle w:val="ParaBullet"/>
      </w:pPr>
      <w:r w:rsidRPr="00757ED2">
        <w:rPr>
          <w:color w:val="0000FF"/>
        </w:rPr>
        <w:t>la non-conformité aux textes légaux ou réglementaires applicables interdisant ou encadrant de façon restrictive certains types spécifiques d’opérations avec des parties liées;</w:t>
      </w:r>
    </w:p>
    <w:p w14:paraId="3C6F6FAC" w14:textId="77777777" w:rsidR="00B84BC5" w:rsidRPr="00DD0CF7" w:rsidRDefault="00B84BC5" w:rsidP="00B84BC5">
      <w:pPr>
        <w:pStyle w:val="ParaBullet"/>
      </w:pPr>
      <w:r w:rsidRPr="00757ED2">
        <w:rPr>
          <w:color w:val="0000FF"/>
        </w:rPr>
        <w:t>les difficultés à identifier la partie qui contrôle en dernier ressort l’entité.</w:t>
      </w:r>
      <w:r w:rsidRPr="00DD0CF7">
        <w:t>]</w:t>
      </w:r>
    </w:p>
    <w:p w14:paraId="1A1BEDEE" w14:textId="77777777" w:rsidR="00B84BC5" w:rsidRPr="00DD0CF7" w:rsidRDefault="00B84BC5" w:rsidP="00B84BC5">
      <w:pPr>
        <w:pStyle w:val="Heading4"/>
        <w:rPr>
          <w:lang w:val="fr-CA"/>
        </w:rPr>
      </w:pPr>
      <w:r w:rsidRPr="00DD0CF7">
        <w:rPr>
          <w:lang w:val="fr-CA"/>
        </w:rPr>
        <w:t>Continuité de l’exploitation — doute important [</w:t>
      </w:r>
      <w:r w:rsidRPr="00757ED2">
        <w:rPr>
          <w:color w:val="0000FF"/>
          <w:lang w:val="fr-CA"/>
        </w:rPr>
        <w:t>s’il y a lieu</w:t>
      </w:r>
      <w:r w:rsidRPr="00DD0CF7">
        <w:rPr>
          <w:lang w:val="fr-CA"/>
        </w:rPr>
        <w:t>]</w:t>
      </w:r>
    </w:p>
    <w:p w14:paraId="3C839223" w14:textId="77777777" w:rsidR="00B84BC5" w:rsidRPr="00DD0CF7" w:rsidRDefault="00B84BC5" w:rsidP="00B84BC5">
      <w:pPr>
        <w:pStyle w:val="Para"/>
      </w:pPr>
      <w:r w:rsidRPr="00DD0CF7">
        <w:t>Au cours de l’audit, nous avons relevé les situations ou les événements suivants qui sont susceptibles de jeter un doute important sur la capacité de l’entité à poursuivre son exploitation :</w:t>
      </w:r>
    </w:p>
    <w:p w14:paraId="1E8A17EB" w14:textId="77777777" w:rsidR="00B84BC5" w:rsidRPr="00757ED2" w:rsidRDefault="00B84BC5" w:rsidP="00B84BC5">
      <w:pPr>
        <w:pStyle w:val="instructionspara"/>
      </w:pPr>
      <w:r w:rsidRPr="00DD0CF7">
        <w:t>[</w:t>
      </w:r>
      <w:r w:rsidRPr="00757ED2">
        <w:rPr>
          <w:rStyle w:val="Blue"/>
        </w:rPr>
        <w:t>Décrire les événements et préciser :</w:t>
      </w:r>
    </w:p>
    <w:p w14:paraId="32C445A0" w14:textId="77777777" w:rsidR="00B84BC5" w:rsidRPr="00757ED2" w:rsidRDefault="00B84BC5" w:rsidP="00B84BC5">
      <w:pPr>
        <w:pStyle w:val="ParaBullet"/>
      </w:pPr>
      <w:r w:rsidRPr="00757ED2">
        <w:rPr>
          <w:color w:val="0000FF"/>
        </w:rPr>
        <w:t>si les événements ou situations comportent une incertitude significative;</w:t>
      </w:r>
    </w:p>
    <w:p w14:paraId="2EAFC7E5" w14:textId="77777777" w:rsidR="00B84BC5" w:rsidRPr="00757ED2" w:rsidRDefault="00B84BC5" w:rsidP="00B84BC5">
      <w:pPr>
        <w:pStyle w:val="ParaBullet"/>
      </w:pPr>
      <w:r w:rsidRPr="00757ED2">
        <w:rPr>
          <w:color w:val="0000FF"/>
        </w:rPr>
        <w:t>si l’application de l’hypothèse de la continuité de l’exploitation dans la préparation des états financiers est appropriée;</w:t>
      </w:r>
    </w:p>
    <w:p w14:paraId="28945B95" w14:textId="77777777" w:rsidR="00B84BC5" w:rsidRPr="00757ED2" w:rsidRDefault="00B84BC5" w:rsidP="00B84BC5">
      <w:pPr>
        <w:pStyle w:val="ParaBullet"/>
      </w:pPr>
      <w:r w:rsidRPr="00757ED2">
        <w:rPr>
          <w:color w:val="0000FF"/>
        </w:rPr>
        <w:t>les informations afférentes fournies dans les états financiers sont adéquates;</w:t>
      </w:r>
    </w:p>
    <w:p w14:paraId="5E8A303B" w14:textId="77777777" w:rsidR="00B84BC5" w:rsidRPr="00B51A67" w:rsidRDefault="00B84BC5" w:rsidP="00B84BC5">
      <w:pPr>
        <w:pStyle w:val="ParaBullet"/>
        <w:rPr>
          <w:i/>
          <w:color w:val="0000FF"/>
        </w:rPr>
      </w:pPr>
      <w:r w:rsidRPr="00757ED2">
        <w:rPr>
          <w:color w:val="0000FF"/>
        </w:rPr>
        <w:t>s’il y a lieu, les conséquences sur le rapport de l’auditeur.</w:t>
      </w:r>
      <w:r w:rsidRPr="00B51A67">
        <w:t>]</w:t>
      </w:r>
    </w:p>
    <w:p w14:paraId="76691DBF" w14:textId="77777777" w:rsidR="00B84BC5" w:rsidRPr="00DD0CF7" w:rsidRDefault="00B84BC5" w:rsidP="00B84BC5">
      <w:pPr>
        <w:pStyle w:val="Heading4"/>
        <w:rPr>
          <w:lang w:val="fr-CA"/>
        </w:rPr>
      </w:pPr>
      <w:r w:rsidRPr="00DD0CF7">
        <w:rPr>
          <w:lang w:val="fr-CA"/>
        </w:rPr>
        <w:t>Travaux de l’auditeur (des auditeurs) de la composante [</w:t>
      </w:r>
      <w:r w:rsidRPr="00757ED2">
        <w:rPr>
          <w:color w:val="0000FF"/>
          <w:lang w:val="fr-CA"/>
        </w:rPr>
        <w:t>s’il y a lieu</w:t>
      </w:r>
      <w:r w:rsidRPr="00DD0CF7">
        <w:rPr>
          <w:lang w:val="fr-CA"/>
        </w:rPr>
        <w:t>]</w:t>
      </w:r>
    </w:p>
    <w:p w14:paraId="39A7322E" w14:textId="77777777" w:rsidR="00B84BC5" w:rsidRPr="00757ED2" w:rsidRDefault="00B84BC5" w:rsidP="00B84BC5">
      <w:pPr>
        <w:pStyle w:val="ParaBullet"/>
        <w:rPr>
          <w:rFonts w:cs="Times New Roman"/>
          <w:color w:val="0000FF"/>
        </w:rPr>
      </w:pPr>
      <w:r w:rsidRPr="00DD0CF7">
        <w:t>[</w:t>
      </w:r>
      <w:r w:rsidRPr="00757ED2">
        <w:rPr>
          <w:color w:val="0000FF"/>
        </w:rPr>
        <w:t>Communiquer les cas où l’évaluation des travaux de l’auditeur d’une composante par l’équipe affectée à l’audit du groupe amène celle-ci à douter de la qualité de ces travaux.</w:t>
      </w:r>
    </w:p>
    <w:p w14:paraId="5E3CEA0C" w14:textId="7EA564C2" w:rsidR="00B84BC5" w:rsidRPr="00757ED2" w:rsidRDefault="00B84BC5" w:rsidP="00B84BC5">
      <w:pPr>
        <w:pStyle w:val="ParaBullet"/>
        <w:rPr>
          <w:rFonts w:cs="Times New Roman"/>
          <w:color w:val="0000FF"/>
        </w:rPr>
      </w:pPr>
      <w:r w:rsidRPr="00757ED2">
        <w:rPr>
          <w:noProof/>
          <w:color w:val="0000FF"/>
          <w:lang w:eastAsia="en-CA"/>
        </w:rPr>
        <w:t>Communiquer toute limitation de l’étendue de l’audit du groupe, par exemple lorsqu’une restriction de l’accès à l’information est imposée à l’équipe affectée à l’audit du groupe.</w:t>
      </w:r>
    </w:p>
    <w:p w14:paraId="00125112" w14:textId="4D160D3D" w:rsidR="00DA3449" w:rsidRPr="00DA3449" w:rsidRDefault="00B84BC5" w:rsidP="00DA3449">
      <w:pPr>
        <w:pStyle w:val="ParaBullet"/>
        <w:rPr>
          <w:rFonts w:cs="Times New Roman"/>
        </w:rPr>
      </w:pPr>
      <w:r w:rsidRPr="00757ED2">
        <w:rPr>
          <w:color w:val="0000FF"/>
        </w:rPr>
        <w:t>Communiquer toute fraude avérée ou suspectée impliquant la direction du groupe, la direction des composantes, les employés qui jouent un rôle important dans les contrôles à l’échelle du groupe ou autres si la fraude a causé une anomalie significative dans les états financiers du groupe.</w:t>
      </w:r>
      <w:r w:rsidRPr="00DD0CF7">
        <w:t>]</w:t>
      </w:r>
    </w:p>
    <w:sectPr w:rsidR="00DA3449" w:rsidRPr="00DA3449" w:rsidSect="00196715">
      <w:footerReference w:type="default" r:id="rId15"/>
      <w:type w:val="oddPag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F39A6" w14:textId="77777777" w:rsidR="00196715" w:rsidRDefault="00196715">
      <w:r>
        <w:separator/>
      </w:r>
    </w:p>
  </w:endnote>
  <w:endnote w:type="continuationSeparator" w:id="0">
    <w:p w14:paraId="12CBC0AC" w14:textId="77777777" w:rsidR="00196715" w:rsidRDefault="0019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923D" w14:textId="77777777" w:rsidR="00196715" w:rsidRPr="00821148" w:rsidRDefault="00196715" w:rsidP="00196715">
    <w:pPr>
      <w:jc w:val="right"/>
      <w:rPr>
        <w:sz w:val="20"/>
      </w:rPr>
    </w:pPr>
    <w:r w:rsidRPr="00821148">
      <w:rPr>
        <w:sz w:val="20"/>
      </w:rPr>
      <w:fldChar w:fldCharType="begin"/>
    </w:r>
    <w:r w:rsidRPr="00821148">
      <w:rPr>
        <w:sz w:val="20"/>
      </w:rPr>
      <w:instrText xml:space="preserve"> PAGE   \* MERGEFORMAT </w:instrText>
    </w:r>
    <w:r w:rsidRPr="00821148">
      <w:rPr>
        <w:sz w:val="20"/>
      </w:rPr>
      <w:fldChar w:fldCharType="separate"/>
    </w:r>
    <w:r>
      <w:rPr>
        <w:noProof/>
        <w:sz w:val="20"/>
      </w:rPr>
      <w:t>4</w:t>
    </w:r>
    <w:r w:rsidRPr="00821148">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F54C" w14:textId="77777777" w:rsidR="00196715" w:rsidRDefault="00196715" w:rsidP="00196715">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95F3C" w14:textId="77777777" w:rsidR="00196715" w:rsidRDefault="0019671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FBA0D" w14:textId="77777777" w:rsidR="00196715" w:rsidRDefault="00196715" w:rsidP="00196715">
    <w:pPr>
      <w:jc w:val="right"/>
    </w:pPr>
    <w:r>
      <w:fldChar w:fldCharType="begin"/>
    </w:r>
    <w:r>
      <w:instrText xml:space="preserve"> PAGE   \* MERGEFORMAT </w:instrText>
    </w:r>
    <w:r>
      <w:fldChar w:fldCharType="separate"/>
    </w:r>
    <w:r>
      <w:rPr>
        <w:noProof/>
      </w:rPr>
      <w:t>iii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4EE93" w14:textId="77777777" w:rsidR="00196715" w:rsidRDefault="00196715" w:rsidP="00196715">
    <w:pPr>
      <w:jc w:val="right"/>
    </w:pPr>
    <w:r>
      <w:fldChar w:fldCharType="begin"/>
    </w:r>
    <w:r>
      <w:instrText xml:space="preserve"> PAGE   \* MERGEFORMAT </w:instrText>
    </w:r>
    <w:r>
      <w:fldChar w:fldCharType="separate"/>
    </w:r>
    <w:r w:rsidR="00E937B4">
      <w:rPr>
        <w:noProof/>
      </w:rPr>
      <w:t>15</w:t>
    </w:r>
    <w:r>
      <w:rPr>
        <w:noProof/>
      </w:rPr>
      <w:fldChar w:fldCharType="end"/>
    </w:r>
  </w:p>
  <w:p w14:paraId="25014AE1" w14:textId="77777777" w:rsidR="00196715" w:rsidRDefault="00196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3BA0D" w14:textId="77777777" w:rsidR="00196715" w:rsidRDefault="00196715">
      <w:r>
        <w:separator/>
      </w:r>
    </w:p>
  </w:footnote>
  <w:footnote w:type="continuationSeparator" w:id="0">
    <w:p w14:paraId="1F6E1D0F" w14:textId="77777777" w:rsidR="00196715" w:rsidRDefault="00196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A355F" w14:textId="77777777" w:rsidR="00196715" w:rsidRDefault="00E937B4" w:rsidP="00F5295E">
    <w:pPr>
      <w:pStyle w:val="Header"/>
      <w:jc w:val="right"/>
    </w:pPr>
    <w:sdt>
      <w:sdtPr>
        <w:rPr>
          <w:rFonts w:cs="Arial"/>
          <w:b/>
          <w:lang w:val="fr-CA"/>
        </w:rPr>
        <w:alias w:val="Security Label"/>
        <w:tag w:val="OAG-BVG-Classification"/>
        <w:id w:val="1651942762"/>
        <w:placeholder>
          <w:docPart w:val="B95D3292D7BC4AAD9875AF906FA66EFD"/>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196715">
          <w:rPr>
            <w:rFonts w:cs="Arial"/>
            <w:b/>
            <w:lang w:val="fr-CA"/>
          </w:rPr>
          <w:t>PROTÉGÉ A (lorsque rempli)</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40006" w14:textId="77777777" w:rsidR="00196715" w:rsidRDefault="00E937B4" w:rsidP="00F5295E">
    <w:pPr>
      <w:pStyle w:val="Header"/>
      <w:jc w:val="right"/>
    </w:pPr>
    <w:sdt>
      <w:sdtPr>
        <w:rPr>
          <w:rFonts w:cs="Arial"/>
          <w:b/>
          <w:lang w:val="fr-CA"/>
        </w:rPr>
        <w:alias w:val="Security Label"/>
        <w:tag w:val="OAG-BVG-Classification"/>
        <w:id w:val="1732655592"/>
        <w:placeholder>
          <w:docPart w:val="F21917C3545A4FFB810A30863FB02FE0"/>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196715">
          <w:rPr>
            <w:rFonts w:cs="Arial"/>
            <w:b/>
            <w:lang w:val="fr-CA"/>
          </w:rPr>
          <w:t>PROTÉGÉ A (lorsque rempli)</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52FE7" w14:textId="77777777" w:rsidR="00196715" w:rsidRPr="00F5295E" w:rsidRDefault="00196715" w:rsidP="00F52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0A5F"/>
    <w:multiLevelType w:val="hybridMultilevel"/>
    <w:tmpl w:val="F9666D4E"/>
    <w:lvl w:ilvl="0" w:tplc="CF0470F0">
      <w:start w:val="1"/>
      <w:numFmt w:val="bullet"/>
      <w:pStyle w:val="T4-TableBullet2"/>
      <w:lvlText w:val="}"/>
      <w:lvlJc w:val="left"/>
      <w:pPr>
        <w:tabs>
          <w:tab w:val="num" w:pos="360"/>
        </w:tabs>
        <w:ind w:left="360" w:hanging="360"/>
      </w:pPr>
      <w:rPr>
        <w:rFonts w:ascii="Wingdings 3" w:hAnsi="Wingdings 3" w:hint="default"/>
        <w:color w:val="018B8F"/>
        <w:sz w:val="20"/>
        <w:szCs w:val="20"/>
      </w:rPr>
    </w:lvl>
    <w:lvl w:ilvl="1" w:tplc="82682D2E">
      <w:start w:val="1"/>
      <w:numFmt w:val="bullet"/>
      <w:lvlText w:val="o"/>
      <w:lvlJc w:val="left"/>
      <w:pPr>
        <w:tabs>
          <w:tab w:val="num" w:pos="1080"/>
        </w:tabs>
        <w:ind w:left="1080" w:hanging="360"/>
      </w:pPr>
      <w:rPr>
        <w:rFonts w:ascii="Courier New" w:hAnsi="Courier New" w:cs="Courier New" w:hint="default"/>
      </w:rPr>
    </w:lvl>
    <w:lvl w:ilvl="2" w:tplc="9FAE7EF6" w:tentative="1">
      <w:start w:val="1"/>
      <w:numFmt w:val="bullet"/>
      <w:lvlText w:val=""/>
      <w:lvlJc w:val="left"/>
      <w:pPr>
        <w:tabs>
          <w:tab w:val="num" w:pos="1800"/>
        </w:tabs>
        <w:ind w:left="1800" w:hanging="360"/>
      </w:pPr>
      <w:rPr>
        <w:rFonts w:ascii="Wingdings" w:hAnsi="Wingdings" w:hint="default"/>
      </w:rPr>
    </w:lvl>
    <w:lvl w:ilvl="3" w:tplc="3EBC204A" w:tentative="1">
      <w:start w:val="1"/>
      <w:numFmt w:val="bullet"/>
      <w:lvlText w:val=""/>
      <w:lvlJc w:val="left"/>
      <w:pPr>
        <w:tabs>
          <w:tab w:val="num" w:pos="2520"/>
        </w:tabs>
        <w:ind w:left="2520" w:hanging="360"/>
      </w:pPr>
      <w:rPr>
        <w:rFonts w:ascii="Symbol" w:hAnsi="Symbol" w:hint="default"/>
      </w:rPr>
    </w:lvl>
    <w:lvl w:ilvl="4" w:tplc="13ACEB06" w:tentative="1">
      <w:start w:val="1"/>
      <w:numFmt w:val="bullet"/>
      <w:lvlText w:val="o"/>
      <w:lvlJc w:val="left"/>
      <w:pPr>
        <w:tabs>
          <w:tab w:val="num" w:pos="3240"/>
        </w:tabs>
        <w:ind w:left="3240" w:hanging="360"/>
      </w:pPr>
      <w:rPr>
        <w:rFonts w:ascii="Courier New" w:hAnsi="Courier New" w:cs="Courier New" w:hint="default"/>
      </w:rPr>
    </w:lvl>
    <w:lvl w:ilvl="5" w:tplc="F376A988" w:tentative="1">
      <w:start w:val="1"/>
      <w:numFmt w:val="bullet"/>
      <w:lvlText w:val=""/>
      <w:lvlJc w:val="left"/>
      <w:pPr>
        <w:tabs>
          <w:tab w:val="num" w:pos="3960"/>
        </w:tabs>
        <w:ind w:left="3960" w:hanging="360"/>
      </w:pPr>
      <w:rPr>
        <w:rFonts w:ascii="Wingdings" w:hAnsi="Wingdings" w:hint="default"/>
      </w:rPr>
    </w:lvl>
    <w:lvl w:ilvl="6" w:tplc="3A147020" w:tentative="1">
      <w:start w:val="1"/>
      <w:numFmt w:val="bullet"/>
      <w:lvlText w:val=""/>
      <w:lvlJc w:val="left"/>
      <w:pPr>
        <w:tabs>
          <w:tab w:val="num" w:pos="4680"/>
        </w:tabs>
        <w:ind w:left="4680" w:hanging="360"/>
      </w:pPr>
      <w:rPr>
        <w:rFonts w:ascii="Symbol" w:hAnsi="Symbol" w:hint="default"/>
      </w:rPr>
    </w:lvl>
    <w:lvl w:ilvl="7" w:tplc="082CF194" w:tentative="1">
      <w:start w:val="1"/>
      <w:numFmt w:val="bullet"/>
      <w:lvlText w:val="o"/>
      <w:lvlJc w:val="left"/>
      <w:pPr>
        <w:tabs>
          <w:tab w:val="num" w:pos="5400"/>
        </w:tabs>
        <w:ind w:left="5400" w:hanging="360"/>
      </w:pPr>
      <w:rPr>
        <w:rFonts w:ascii="Courier New" w:hAnsi="Courier New" w:cs="Courier New" w:hint="default"/>
      </w:rPr>
    </w:lvl>
    <w:lvl w:ilvl="8" w:tplc="8192563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8F3377"/>
    <w:multiLevelType w:val="hybridMultilevel"/>
    <w:tmpl w:val="1F960694"/>
    <w:lvl w:ilvl="0" w:tplc="CBD094F0">
      <w:start w:val="1"/>
      <w:numFmt w:val="bullet"/>
      <w:pStyle w:val="T3-TableBullet1instructions"/>
      <w:lvlText w:val="}"/>
      <w:lvlJc w:val="left"/>
      <w:pPr>
        <w:ind w:left="360" w:hanging="360"/>
      </w:pPr>
      <w:rPr>
        <w:rFonts w:ascii="Wingdings 3" w:hAnsi="Wingdings 3" w:hint="default"/>
        <w:color w:val="018B8F"/>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ADF5C0D"/>
    <w:multiLevelType w:val="hybridMultilevel"/>
    <w:tmpl w:val="3DEC1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222D13"/>
    <w:multiLevelType w:val="hybridMultilevel"/>
    <w:tmpl w:val="2D5EF9E4"/>
    <w:lvl w:ilvl="0" w:tplc="47B42A12">
      <w:start w:val="1"/>
      <w:numFmt w:val="decimal"/>
      <w:pStyle w:val="ParaList1"/>
      <w:lvlText w:val="%1."/>
      <w:lvlJc w:val="left"/>
      <w:pPr>
        <w:tabs>
          <w:tab w:val="num" w:pos="0"/>
        </w:tabs>
        <w:ind w:left="360" w:hanging="360"/>
      </w:pPr>
      <w:rPr>
        <w:rFonts w:ascii="Arial" w:hAnsi="Arial" w:cs="Arial" w:hint="default"/>
        <w:b w:val="0"/>
        <w:i w:val="0"/>
        <w:color w:val="000000"/>
        <w:sz w:val="22"/>
        <w:szCs w:val="22"/>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4" w15:restartNumberingAfterBreak="0">
    <w:nsid w:val="392B600B"/>
    <w:multiLevelType w:val="hybridMultilevel"/>
    <w:tmpl w:val="94808A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5544112"/>
    <w:multiLevelType w:val="hybridMultilevel"/>
    <w:tmpl w:val="F6104768"/>
    <w:lvl w:ilvl="0" w:tplc="76B6B9F8">
      <w:start w:val="1"/>
      <w:numFmt w:val="bullet"/>
      <w:pStyle w:val="ParaBullet"/>
      <w:lvlText w:val="}"/>
      <w:lvlJc w:val="left"/>
      <w:pPr>
        <w:ind w:left="360" w:hanging="360"/>
      </w:pPr>
      <w:rPr>
        <w:rFonts w:ascii="Wingdings 3" w:hAnsi="Wingdings 3" w:hint="default"/>
        <w:color w:val="018B8F"/>
      </w:rPr>
    </w:lvl>
    <w:lvl w:ilvl="1" w:tplc="10090019">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5E7606"/>
    <w:multiLevelType w:val="hybridMultilevel"/>
    <w:tmpl w:val="3B8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52A4C"/>
    <w:multiLevelType w:val="hybridMultilevel"/>
    <w:tmpl w:val="B5B453D8"/>
    <w:lvl w:ilvl="0" w:tplc="167E5F86">
      <w:start w:val="1"/>
      <w:numFmt w:val="lowerLetter"/>
      <w:pStyle w:val="Alphalist"/>
      <w:lvlText w:val="%1)"/>
      <w:lvlJc w:val="left"/>
      <w:pPr>
        <w:ind w:left="795" w:hanging="43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1"/>
  </w:num>
  <w:num w:numId="6">
    <w:abstractNumId w:val="5"/>
  </w:num>
  <w:num w:numId="7">
    <w:abstractNumId w:val="1"/>
  </w:num>
  <w:num w:numId="8">
    <w:abstractNumId w:val="4"/>
  </w:num>
  <w:num w:numId="9">
    <w:abstractNumId w:val="7"/>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F4"/>
    <w:rsid w:val="000147F0"/>
    <w:rsid w:val="00041A63"/>
    <w:rsid w:val="00057918"/>
    <w:rsid w:val="00063EAB"/>
    <w:rsid w:val="000728FE"/>
    <w:rsid w:val="00075276"/>
    <w:rsid w:val="00077B1B"/>
    <w:rsid w:val="000844F2"/>
    <w:rsid w:val="00086ADF"/>
    <w:rsid w:val="00094151"/>
    <w:rsid w:val="000A19C2"/>
    <w:rsid w:val="000B28B3"/>
    <w:rsid w:val="000C0632"/>
    <w:rsid w:val="000C4FB8"/>
    <w:rsid w:val="000D73E4"/>
    <w:rsid w:val="000E27D0"/>
    <w:rsid w:val="000E3F33"/>
    <w:rsid w:val="00107BBB"/>
    <w:rsid w:val="00117A16"/>
    <w:rsid w:val="00144353"/>
    <w:rsid w:val="00162DE4"/>
    <w:rsid w:val="00196715"/>
    <w:rsid w:val="001B582F"/>
    <w:rsid w:val="001C2793"/>
    <w:rsid w:val="001C5996"/>
    <w:rsid w:val="001D69F3"/>
    <w:rsid w:val="00216077"/>
    <w:rsid w:val="0022029E"/>
    <w:rsid w:val="00222C77"/>
    <w:rsid w:val="00225C7D"/>
    <w:rsid w:val="002457CE"/>
    <w:rsid w:val="002716F1"/>
    <w:rsid w:val="002728F6"/>
    <w:rsid w:val="002842C1"/>
    <w:rsid w:val="00292EEA"/>
    <w:rsid w:val="00294261"/>
    <w:rsid w:val="002E0AA0"/>
    <w:rsid w:val="002E7967"/>
    <w:rsid w:val="002F775C"/>
    <w:rsid w:val="003176B6"/>
    <w:rsid w:val="00341551"/>
    <w:rsid w:val="00356E8C"/>
    <w:rsid w:val="003D2369"/>
    <w:rsid w:val="003E3168"/>
    <w:rsid w:val="00401DCA"/>
    <w:rsid w:val="00441D9A"/>
    <w:rsid w:val="00444D6A"/>
    <w:rsid w:val="004B1581"/>
    <w:rsid w:val="004D00F4"/>
    <w:rsid w:val="004D030F"/>
    <w:rsid w:val="004E5A5D"/>
    <w:rsid w:val="005541B3"/>
    <w:rsid w:val="0056251A"/>
    <w:rsid w:val="00563E76"/>
    <w:rsid w:val="005866FA"/>
    <w:rsid w:val="005A66B9"/>
    <w:rsid w:val="005B491E"/>
    <w:rsid w:val="005C4E84"/>
    <w:rsid w:val="005C5420"/>
    <w:rsid w:val="005F242E"/>
    <w:rsid w:val="00601FE0"/>
    <w:rsid w:val="00635DD4"/>
    <w:rsid w:val="00641D8E"/>
    <w:rsid w:val="00643955"/>
    <w:rsid w:val="00666980"/>
    <w:rsid w:val="00685806"/>
    <w:rsid w:val="00687BDC"/>
    <w:rsid w:val="00687C28"/>
    <w:rsid w:val="00694225"/>
    <w:rsid w:val="006B3760"/>
    <w:rsid w:val="006E3F26"/>
    <w:rsid w:val="006F2731"/>
    <w:rsid w:val="006F2AB3"/>
    <w:rsid w:val="007000CD"/>
    <w:rsid w:val="007242D9"/>
    <w:rsid w:val="00743543"/>
    <w:rsid w:val="007510DF"/>
    <w:rsid w:val="007514CC"/>
    <w:rsid w:val="00757ED2"/>
    <w:rsid w:val="00767836"/>
    <w:rsid w:val="00770330"/>
    <w:rsid w:val="00784BE3"/>
    <w:rsid w:val="00786D8C"/>
    <w:rsid w:val="007A5114"/>
    <w:rsid w:val="007F02E3"/>
    <w:rsid w:val="007F2D12"/>
    <w:rsid w:val="007F3B62"/>
    <w:rsid w:val="00811D18"/>
    <w:rsid w:val="00820879"/>
    <w:rsid w:val="00826854"/>
    <w:rsid w:val="00846467"/>
    <w:rsid w:val="00855F0B"/>
    <w:rsid w:val="00860D57"/>
    <w:rsid w:val="00870922"/>
    <w:rsid w:val="00872077"/>
    <w:rsid w:val="008A2B5E"/>
    <w:rsid w:val="008B5C11"/>
    <w:rsid w:val="008C2224"/>
    <w:rsid w:val="008C474F"/>
    <w:rsid w:val="008D13E1"/>
    <w:rsid w:val="008D21D0"/>
    <w:rsid w:val="008F4775"/>
    <w:rsid w:val="008F4947"/>
    <w:rsid w:val="0091248B"/>
    <w:rsid w:val="009247AF"/>
    <w:rsid w:val="009477E5"/>
    <w:rsid w:val="00954956"/>
    <w:rsid w:val="0095544C"/>
    <w:rsid w:val="00967432"/>
    <w:rsid w:val="00970389"/>
    <w:rsid w:val="0097052C"/>
    <w:rsid w:val="009811F5"/>
    <w:rsid w:val="00996C59"/>
    <w:rsid w:val="009B5763"/>
    <w:rsid w:val="009C63D4"/>
    <w:rsid w:val="009D2523"/>
    <w:rsid w:val="009D2A0A"/>
    <w:rsid w:val="009D6639"/>
    <w:rsid w:val="009E619F"/>
    <w:rsid w:val="009F0392"/>
    <w:rsid w:val="009F5C8B"/>
    <w:rsid w:val="00A046B7"/>
    <w:rsid w:val="00A058D3"/>
    <w:rsid w:val="00A11464"/>
    <w:rsid w:val="00A20772"/>
    <w:rsid w:val="00A21D59"/>
    <w:rsid w:val="00A2429E"/>
    <w:rsid w:val="00A30208"/>
    <w:rsid w:val="00A438E1"/>
    <w:rsid w:val="00A4575D"/>
    <w:rsid w:val="00A54D79"/>
    <w:rsid w:val="00A618DD"/>
    <w:rsid w:val="00AA3930"/>
    <w:rsid w:val="00AD2664"/>
    <w:rsid w:val="00AF2202"/>
    <w:rsid w:val="00AF4487"/>
    <w:rsid w:val="00B22ED1"/>
    <w:rsid w:val="00B41244"/>
    <w:rsid w:val="00B51A67"/>
    <w:rsid w:val="00B82A50"/>
    <w:rsid w:val="00B84BC5"/>
    <w:rsid w:val="00B917DA"/>
    <w:rsid w:val="00B924DB"/>
    <w:rsid w:val="00BC0B4F"/>
    <w:rsid w:val="00BC3C6F"/>
    <w:rsid w:val="00BC64A2"/>
    <w:rsid w:val="00BC797C"/>
    <w:rsid w:val="00BC7F26"/>
    <w:rsid w:val="00BE4135"/>
    <w:rsid w:val="00BE6FD5"/>
    <w:rsid w:val="00C22C37"/>
    <w:rsid w:val="00C33AE3"/>
    <w:rsid w:val="00C56D9F"/>
    <w:rsid w:val="00C61760"/>
    <w:rsid w:val="00C6628F"/>
    <w:rsid w:val="00C82349"/>
    <w:rsid w:val="00C96398"/>
    <w:rsid w:val="00CC092F"/>
    <w:rsid w:val="00CD1FDE"/>
    <w:rsid w:val="00CD2D55"/>
    <w:rsid w:val="00CE0941"/>
    <w:rsid w:val="00D15395"/>
    <w:rsid w:val="00D2215E"/>
    <w:rsid w:val="00D33436"/>
    <w:rsid w:val="00D62342"/>
    <w:rsid w:val="00D81B6A"/>
    <w:rsid w:val="00D86140"/>
    <w:rsid w:val="00D904F4"/>
    <w:rsid w:val="00DA3449"/>
    <w:rsid w:val="00DC2CB1"/>
    <w:rsid w:val="00DD0CF7"/>
    <w:rsid w:val="00DF0575"/>
    <w:rsid w:val="00E1144B"/>
    <w:rsid w:val="00E240E8"/>
    <w:rsid w:val="00E306C0"/>
    <w:rsid w:val="00E31F16"/>
    <w:rsid w:val="00E6134D"/>
    <w:rsid w:val="00E82C1C"/>
    <w:rsid w:val="00E86912"/>
    <w:rsid w:val="00E937B4"/>
    <w:rsid w:val="00EC033D"/>
    <w:rsid w:val="00EC264A"/>
    <w:rsid w:val="00ED3703"/>
    <w:rsid w:val="00ED5562"/>
    <w:rsid w:val="00ED6437"/>
    <w:rsid w:val="00EF0F25"/>
    <w:rsid w:val="00EF2A64"/>
    <w:rsid w:val="00EF764B"/>
    <w:rsid w:val="00EF7B87"/>
    <w:rsid w:val="00F0118B"/>
    <w:rsid w:val="00F17683"/>
    <w:rsid w:val="00F22D79"/>
    <w:rsid w:val="00F35B0A"/>
    <w:rsid w:val="00F36A08"/>
    <w:rsid w:val="00F50F04"/>
    <w:rsid w:val="00F5295E"/>
    <w:rsid w:val="00F64807"/>
    <w:rsid w:val="00F833F0"/>
    <w:rsid w:val="00FD5D9D"/>
    <w:rsid w:val="00FF04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B6D3"/>
  <w15:chartTrackingRefBased/>
  <w15:docId w15:val="{8DFF2F75-FDC7-42BE-8538-E5687406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qFormat/>
    <w:rsid w:val="00DA3449"/>
    <w:pPr>
      <w:spacing w:after="0" w:line="240" w:lineRule="auto"/>
    </w:pPr>
    <w:rPr>
      <w:rFonts w:ascii="Arial" w:eastAsia="Times New Roman" w:hAnsi="Arial" w:cs="Times New Roman"/>
    </w:rPr>
  </w:style>
  <w:style w:type="paragraph" w:styleId="Heading1">
    <w:name w:val="heading 1"/>
    <w:next w:val="Heading2"/>
    <w:link w:val="Heading1Char"/>
    <w:qFormat/>
    <w:rsid w:val="00094151"/>
    <w:pPr>
      <w:keepNext/>
      <w:spacing w:after="360" w:line="240" w:lineRule="auto"/>
      <w:outlineLvl w:val="0"/>
    </w:pPr>
    <w:rPr>
      <w:rFonts w:ascii="Arial Narrow" w:eastAsia="Times New Roman" w:hAnsi="Arial Narrow" w:cs="Times New Roman"/>
      <w:b/>
      <w:color w:val="018B8F"/>
      <w:sz w:val="44"/>
      <w:szCs w:val="30"/>
    </w:rPr>
  </w:style>
  <w:style w:type="paragraph" w:styleId="Heading2">
    <w:name w:val="heading 2"/>
    <w:next w:val="Para"/>
    <w:link w:val="Heading2Char"/>
    <w:qFormat/>
    <w:rsid w:val="004D00F4"/>
    <w:pPr>
      <w:keepNext/>
      <w:spacing w:before="360" w:after="240" w:line="240" w:lineRule="auto"/>
      <w:outlineLvl w:val="1"/>
    </w:pPr>
    <w:rPr>
      <w:rFonts w:ascii="Arial" w:eastAsia="Times New Roman" w:hAnsi="Arial" w:cs="Times New Roman"/>
      <w:color w:val="64A4A8"/>
      <w:sz w:val="32"/>
    </w:rPr>
  </w:style>
  <w:style w:type="paragraph" w:styleId="Heading4">
    <w:name w:val="heading 4"/>
    <w:basedOn w:val="Normal"/>
    <w:next w:val="Normal"/>
    <w:link w:val="Heading4Char"/>
    <w:semiHidden/>
    <w:qFormat/>
    <w:rsid w:val="004D00F4"/>
    <w:pPr>
      <w:keepNext/>
      <w:keepLines/>
      <w:spacing w:before="120" w:after="240"/>
      <w:outlineLvl w:val="3"/>
    </w:pPr>
    <w:rPr>
      <w:rFonts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151"/>
    <w:rPr>
      <w:rFonts w:ascii="Arial Narrow" w:eastAsia="Times New Roman" w:hAnsi="Arial Narrow" w:cs="Times New Roman"/>
      <w:b/>
      <w:color w:val="018B8F"/>
      <w:sz w:val="44"/>
      <w:szCs w:val="30"/>
    </w:rPr>
  </w:style>
  <w:style w:type="character" w:customStyle="1" w:styleId="Heading2Char">
    <w:name w:val="Heading 2 Char"/>
    <w:basedOn w:val="DefaultParagraphFont"/>
    <w:link w:val="Heading2"/>
    <w:rsid w:val="004D00F4"/>
    <w:rPr>
      <w:rFonts w:ascii="Arial" w:eastAsia="Times New Roman" w:hAnsi="Arial" w:cs="Times New Roman"/>
      <w:color w:val="64A4A8"/>
      <w:sz w:val="32"/>
    </w:rPr>
  </w:style>
  <w:style w:type="character" w:customStyle="1" w:styleId="Heading4Char">
    <w:name w:val="Heading 4 Char"/>
    <w:basedOn w:val="DefaultParagraphFont"/>
    <w:link w:val="Heading4"/>
    <w:semiHidden/>
    <w:rsid w:val="00DA3449"/>
    <w:rPr>
      <w:rFonts w:ascii="Arial" w:eastAsia="Times New Roman" w:hAnsi="Arial" w:cs="Arial"/>
      <w:b/>
      <w:szCs w:val="28"/>
    </w:rPr>
  </w:style>
  <w:style w:type="paragraph" w:customStyle="1" w:styleId="Para">
    <w:name w:val="Para"/>
    <w:basedOn w:val="Normal"/>
    <w:link w:val="ParaChar"/>
    <w:qFormat/>
    <w:rsid w:val="00094151"/>
    <w:pPr>
      <w:spacing w:before="240" w:after="240" w:line="300" w:lineRule="exact"/>
    </w:pPr>
    <w:rPr>
      <w:rFonts w:cs="Arial"/>
      <w:lang w:val="fr-CA"/>
    </w:rPr>
  </w:style>
  <w:style w:type="character" w:customStyle="1" w:styleId="ParaChar">
    <w:name w:val="Para Char"/>
    <w:link w:val="Para"/>
    <w:rsid w:val="00094151"/>
    <w:rPr>
      <w:rFonts w:ascii="Arial" w:eastAsia="Times New Roman" w:hAnsi="Arial" w:cs="Arial"/>
      <w:lang w:val="fr-CA"/>
    </w:rPr>
  </w:style>
  <w:style w:type="paragraph" w:customStyle="1" w:styleId="T3-TableBullet1instructions">
    <w:name w:val="T3-Table_Bullet_1_instructions"/>
    <w:basedOn w:val="Normal"/>
    <w:qFormat/>
    <w:rsid w:val="008F4775"/>
    <w:pPr>
      <w:numPr>
        <w:numId w:val="1"/>
      </w:numPr>
      <w:spacing w:before="120" w:after="120" w:line="240" w:lineRule="exact"/>
    </w:pPr>
    <w:rPr>
      <w:color w:val="0000FF"/>
      <w:sz w:val="20"/>
      <w:szCs w:val="18"/>
      <w:lang w:val="en-US"/>
    </w:rPr>
  </w:style>
  <w:style w:type="paragraph" w:customStyle="1" w:styleId="ParaList1">
    <w:name w:val="Para_List_1"/>
    <w:basedOn w:val="Para"/>
    <w:link w:val="ParaList1Char"/>
    <w:qFormat/>
    <w:rsid w:val="004D00F4"/>
    <w:pPr>
      <w:numPr>
        <w:numId w:val="2"/>
      </w:numPr>
    </w:pPr>
  </w:style>
  <w:style w:type="character" w:customStyle="1" w:styleId="ParaList1Char">
    <w:name w:val="Para_List_1 Char"/>
    <w:link w:val="ParaList1"/>
    <w:rsid w:val="004D00F4"/>
    <w:rPr>
      <w:rFonts w:ascii="Arial" w:eastAsia="Times New Roman" w:hAnsi="Arial" w:cs="Arial"/>
    </w:rPr>
  </w:style>
  <w:style w:type="paragraph" w:customStyle="1" w:styleId="T4-TableBullet2">
    <w:name w:val="T4-Table_Bullet_2"/>
    <w:basedOn w:val="Normal"/>
    <w:uiPriority w:val="2"/>
    <w:rsid w:val="004D00F4"/>
    <w:pPr>
      <w:numPr>
        <w:numId w:val="3"/>
      </w:numPr>
      <w:tabs>
        <w:tab w:val="clear" w:pos="360"/>
        <w:tab w:val="num" w:pos="786"/>
      </w:tabs>
      <w:spacing w:before="120" w:after="120" w:line="240" w:lineRule="exact"/>
      <w:ind w:left="786" w:hanging="450"/>
    </w:pPr>
    <w:rPr>
      <w:sz w:val="20"/>
      <w:szCs w:val="18"/>
      <w:lang w:val="en-US"/>
    </w:rPr>
  </w:style>
  <w:style w:type="paragraph" w:styleId="Title">
    <w:name w:val="Title"/>
    <w:basedOn w:val="Normal"/>
    <w:next w:val="Normal"/>
    <w:link w:val="TitleChar"/>
    <w:uiPriority w:val="10"/>
    <w:qFormat/>
    <w:rsid w:val="00356E8C"/>
    <w:pPr>
      <w:spacing w:after="360"/>
      <w:contextualSpacing/>
    </w:pPr>
    <w:rPr>
      <w:rFonts w:ascii="Arial Narrow" w:eastAsiaTheme="majorEastAsia" w:hAnsi="Arial Narrow" w:cstheme="majorBidi"/>
      <w:color w:val="018B8F"/>
      <w:spacing w:val="-10"/>
      <w:kern w:val="28"/>
      <w:sz w:val="56"/>
      <w:szCs w:val="56"/>
    </w:rPr>
  </w:style>
  <w:style w:type="character" w:customStyle="1" w:styleId="TitleChar">
    <w:name w:val="Title Char"/>
    <w:basedOn w:val="DefaultParagraphFont"/>
    <w:link w:val="Title"/>
    <w:uiPriority w:val="10"/>
    <w:rsid w:val="00356E8C"/>
    <w:rPr>
      <w:rFonts w:ascii="Arial Narrow" w:eastAsiaTheme="majorEastAsia" w:hAnsi="Arial Narrow" w:cstheme="majorBidi"/>
      <w:color w:val="018B8F"/>
      <w:spacing w:val="-10"/>
      <w:kern w:val="28"/>
      <w:sz w:val="56"/>
      <w:szCs w:val="56"/>
    </w:rPr>
  </w:style>
  <w:style w:type="paragraph" w:customStyle="1" w:styleId="T2-TableText">
    <w:name w:val="T2-Table_Text"/>
    <w:uiPriority w:val="2"/>
    <w:rsid w:val="004D00F4"/>
    <w:pPr>
      <w:spacing w:before="120" w:after="120" w:line="240" w:lineRule="exact"/>
    </w:pPr>
    <w:rPr>
      <w:rFonts w:ascii="Arial" w:eastAsia="Times New Roman" w:hAnsi="Arial" w:cs="Times New Roman"/>
      <w:sz w:val="20"/>
      <w:szCs w:val="18"/>
    </w:rPr>
  </w:style>
  <w:style w:type="paragraph" w:styleId="TOCHeading">
    <w:name w:val="TOC Heading"/>
    <w:basedOn w:val="Heading1"/>
    <w:next w:val="Normal"/>
    <w:uiPriority w:val="39"/>
    <w:unhideWhenUsed/>
    <w:qFormat/>
    <w:rsid w:val="00094151"/>
    <w:pPr>
      <w:keepLines/>
      <w:spacing w:before="240" w:after="0" w:line="259" w:lineRule="auto"/>
      <w:outlineLvl w:val="9"/>
    </w:pPr>
  </w:style>
  <w:style w:type="paragraph" w:styleId="TOC1">
    <w:name w:val="toc 1"/>
    <w:basedOn w:val="Normal"/>
    <w:next w:val="Normal"/>
    <w:autoRedefine/>
    <w:uiPriority w:val="39"/>
    <w:unhideWhenUsed/>
    <w:rsid w:val="000E27D0"/>
    <w:pPr>
      <w:tabs>
        <w:tab w:val="right" w:leader="dot" w:pos="9350"/>
      </w:tabs>
      <w:spacing w:after="240"/>
    </w:pPr>
    <w:rPr>
      <w:b/>
    </w:rPr>
  </w:style>
  <w:style w:type="paragraph" w:styleId="TOC2">
    <w:name w:val="toc 2"/>
    <w:basedOn w:val="Normal"/>
    <w:next w:val="Normal"/>
    <w:autoRedefine/>
    <w:uiPriority w:val="39"/>
    <w:unhideWhenUsed/>
    <w:rsid w:val="004D00F4"/>
    <w:pPr>
      <w:spacing w:after="120"/>
      <w:ind w:left="216"/>
    </w:pPr>
  </w:style>
  <w:style w:type="paragraph" w:customStyle="1" w:styleId="ParaBullet2">
    <w:name w:val="Para_Bullet_2"/>
    <w:basedOn w:val="T4-TableBullet2"/>
    <w:qFormat/>
    <w:rsid w:val="004D00F4"/>
    <w:pPr>
      <w:spacing w:after="240"/>
      <w:ind w:left="777" w:hanging="446"/>
    </w:pPr>
    <w:rPr>
      <w:sz w:val="22"/>
    </w:rPr>
  </w:style>
  <w:style w:type="character" w:styleId="Hyperlink">
    <w:name w:val="Hyperlink"/>
    <w:basedOn w:val="DefaultParagraphFont"/>
    <w:uiPriority w:val="99"/>
    <w:unhideWhenUsed/>
    <w:rsid w:val="001C2793"/>
    <w:rPr>
      <w:color w:val="0563C1" w:themeColor="hyperlink"/>
      <w:u w:val="single"/>
    </w:rPr>
  </w:style>
  <w:style w:type="paragraph" w:styleId="Header">
    <w:name w:val="header"/>
    <w:basedOn w:val="Normal"/>
    <w:link w:val="HeaderChar"/>
    <w:uiPriority w:val="99"/>
    <w:unhideWhenUsed/>
    <w:rsid w:val="00F5295E"/>
    <w:pPr>
      <w:tabs>
        <w:tab w:val="center" w:pos="4680"/>
        <w:tab w:val="right" w:pos="9360"/>
      </w:tabs>
    </w:pPr>
  </w:style>
  <w:style w:type="character" w:customStyle="1" w:styleId="HeaderChar">
    <w:name w:val="Header Char"/>
    <w:basedOn w:val="DefaultParagraphFont"/>
    <w:link w:val="Header"/>
    <w:uiPriority w:val="99"/>
    <w:rsid w:val="00F5295E"/>
    <w:rPr>
      <w:rFonts w:ascii="Arial" w:eastAsia="Times New Roman" w:hAnsi="Arial" w:cs="Times New Roman"/>
    </w:rPr>
  </w:style>
  <w:style w:type="paragraph" w:styleId="Footer">
    <w:name w:val="footer"/>
    <w:basedOn w:val="Normal"/>
    <w:link w:val="FooterChar"/>
    <w:uiPriority w:val="99"/>
    <w:unhideWhenUsed/>
    <w:rsid w:val="00F5295E"/>
    <w:pPr>
      <w:tabs>
        <w:tab w:val="center" w:pos="4680"/>
        <w:tab w:val="right" w:pos="9360"/>
      </w:tabs>
    </w:pPr>
  </w:style>
  <w:style w:type="character" w:customStyle="1" w:styleId="FooterChar">
    <w:name w:val="Footer Char"/>
    <w:basedOn w:val="DefaultParagraphFont"/>
    <w:link w:val="Footer"/>
    <w:uiPriority w:val="99"/>
    <w:rsid w:val="00F5295E"/>
    <w:rPr>
      <w:rFonts w:ascii="Arial" w:eastAsia="Times New Roman" w:hAnsi="Arial" w:cs="Times New Roman"/>
    </w:rPr>
  </w:style>
  <w:style w:type="paragraph" w:styleId="BalloonText">
    <w:name w:val="Balloon Text"/>
    <w:basedOn w:val="Normal"/>
    <w:link w:val="BalloonTextChar"/>
    <w:uiPriority w:val="99"/>
    <w:semiHidden/>
    <w:unhideWhenUsed/>
    <w:rsid w:val="00EC0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33D"/>
    <w:rPr>
      <w:rFonts w:ascii="Segoe UI" w:eastAsia="Times New Roman" w:hAnsi="Segoe UI" w:cs="Segoe UI"/>
      <w:sz w:val="18"/>
      <w:szCs w:val="18"/>
    </w:rPr>
  </w:style>
  <w:style w:type="paragraph" w:customStyle="1" w:styleId="T1-TableHeading">
    <w:name w:val="T1-Table_Heading"/>
    <w:basedOn w:val="T3-TableBullet1instructions"/>
    <w:qFormat/>
    <w:rsid w:val="00B41244"/>
    <w:pPr>
      <w:keepNext/>
      <w:keepLines/>
      <w:numPr>
        <w:numId w:val="0"/>
      </w:numPr>
    </w:pPr>
    <w:rPr>
      <w:b/>
      <w:color w:val="auto"/>
      <w:lang w:val="fr-CA"/>
    </w:rPr>
  </w:style>
  <w:style w:type="paragraph" w:styleId="CommentText">
    <w:name w:val="annotation text"/>
    <w:basedOn w:val="Normal"/>
    <w:link w:val="CommentTextChar"/>
    <w:uiPriority w:val="99"/>
    <w:semiHidden/>
    <w:unhideWhenUsed/>
    <w:rsid w:val="00C56D9F"/>
    <w:rPr>
      <w:sz w:val="20"/>
      <w:szCs w:val="20"/>
    </w:rPr>
  </w:style>
  <w:style w:type="character" w:customStyle="1" w:styleId="CommentTextChar">
    <w:name w:val="Comment Text Char"/>
    <w:basedOn w:val="DefaultParagraphFont"/>
    <w:link w:val="CommentText"/>
    <w:uiPriority w:val="99"/>
    <w:semiHidden/>
    <w:rsid w:val="00C56D9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56D9F"/>
    <w:rPr>
      <w:b/>
      <w:bCs/>
    </w:rPr>
  </w:style>
  <w:style w:type="character" w:customStyle="1" w:styleId="CommentSubjectChar">
    <w:name w:val="Comment Subject Char"/>
    <w:basedOn w:val="CommentTextChar"/>
    <w:link w:val="CommentSubject"/>
    <w:uiPriority w:val="99"/>
    <w:semiHidden/>
    <w:rsid w:val="00C56D9F"/>
    <w:rPr>
      <w:rFonts w:ascii="Arial" w:eastAsia="Times New Roman" w:hAnsi="Arial" w:cs="Times New Roman"/>
      <w:b/>
      <w:bCs/>
      <w:sz w:val="20"/>
      <w:szCs w:val="20"/>
    </w:rPr>
  </w:style>
  <w:style w:type="paragraph" w:customStyle="1" w:styleId="instructionspara">
    <w:name w:val="instructions_para"/>
    <w:basedOn w:val="Para"/>
    <w:rsid w:val="00B84BC5"/>
  </w:style>
  <w:style w:type="character" w:customStyle="1" w:styleId="Blue">
    <w:name w:val="Blue"/>
    <w:uiPriority w:val="1"/>
    <w:semiHidden/>
    <w:qFormat/>
    <w:rsid w:val="00B84BC5"/>
    <w:rPr>
      <w:color w:val="0000FF"/>
    </w:rPr>
  </w:style>
  <w:style w:type="paragraph" w:customStyle="1" w:styleId="ParaBullet">
    <w:name w:val="Para_Bullet"/>
    <w:basedOn w:val="Para"/>
    <w:link w:val="ParaBulletChar"/>
    <w:qFormat/>
    <w:rsid w:val="00B84BC5"/>
    <w:pPr>
      <w:numPr>
        <w:numId w:val="6"/>
      </w:numPr>
    </w:pPr>
  </w:style>
  <w:style w:type="character" w:customStyle="1" w:styleId="ParaBulletChar">
    <w:name w:val="Para_Bullet Char"/>
    <w:link w:val="ParaBullet"/>
    <w:rsid w:val="00B84BC5"/>
    <w:rPr>
      <w:rFonts w:ascii="Arial" w:eastAsia="Times New Roman" w:hAnsi="Arial" w:cs="Arial"/>
    </w:rPr>
  </w:style>
  <w:style w:type="paragraph" w:customStyle="1" w:styleId="Alphalist">
    <w:name w:val="Alpha_list"/>
    <w:basedOn w:val="Para"/>
    <w:uiPriority w:val="1"/>
    <w:qFormat/>
    <w:rsid w:val="00770330"/>
    <w:pPr>
      <w:numPr>
        <w:numId w:val="9"/>
      </w:numPr>
      <w:spacing w:before="0" w:after="120" w:line="240" w:lineRule="auto"/>
      <w:ind w:left="792" w:hanging="432"/>
    </w:pPr>
    <w:rPr>
      <w:lang w:eastAsia="fr-CA"/>
    </w:rPr>
  </w:style>
  <w:style w:type="character" w:styleId="CommentReference">
    <w:name w:val="annotation reference"/>
    <w:basedOn w:val="DefaultParagraphFont"/>
    <w:uiPriority w:val="99"/>
    <w:semiHidden/>
    <w:unhideWhenUsed/>
    <w:rsid w:val="009D2A0A"/>
    <w:rPr>
      <w:sz w:val="16"/>
      <w:szCs w:val="16"/>
    </w:rPr>
  </w:style>
  <w:style w:type="paragraph" w:styleId="Revision">
    <w:name w:val="Revision"/>
    <w:hidden/>
    <w:uiPriority w:val="99"/>
    <w:semiHidden/>
    <w:rsid w:val="009D2A0A"/>
    <w:pPr>
      <w:spacing w:after="0" w:line="240" w:lineRule="auto"/>
    </w:pPr>
    <w:rPr>
      <w:rFonts w:ascii="Arial" w:eastAsia="Times New Roman" w:hAnsi="Arial" w:cs="Times New Roman"/>
    </w:rPr>
  </w:style>
  <w:style w:type="character" w:styleId="FollowedHyperlink">
    <w:name w:val="FollowedHyperlink"/>
    <w:basedOn w:val="DefaultParagraphFont"/>
    <w:uiPriority w:val="99"/>
    <w:semiHidden/>
    <w:unhideWhenUsed/>
    <w:rsid w:val="000E27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097867">
      <w:bodyDiv w:val="1"/>
      <w:marLeft w:val="0"/>
      <w:marRight w:val="0"/>
      <w:marTop w:val="0"/>
      <w:marBottom w:val="0"/>
      <w:divBdr>
        <w:top w:val="none" w:sz="0" w:space="0" w:color="auto"/>
        <w:left w:val="none" w:sz="0" w:space="0" w:color="auto"/>
        <w:bottom w:val="none" w:sz="0" w:space="0" w:color="auto"/>
        <w:right w:val="none" w:sz="0" w:space="0" w:color="auto"/>
      </w:divBdr>
      <w:divsChild>
        <w:div w:id="1073894289">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msprd.oag-bvg.gc.ca/intranet/verification-financiere/modeles/BVG-RCV_resultats_15272F.docx" TargetMode="Externa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5D3292D7BC4AAD9875AF906FA66EFD"/>
        <w:category>
          <w:name w:val="General"/>
          <w:gallery w:val="placeholder"/>
        </w:category>
        <w:types>
          <w:type w:val="bbPlcHdr"/>
        </w:types>
        <w:behaviors>
          <w:behavior w:val="content"/>
        </w:behaviors>
        <w:guid w:val="{2A12E4D3-1594-4782-9F5F-89D2C4ACCBC9}"/>
      </w:docPartPr>
      <w:docPartBody>
        <w:p w:rsidR="00E0687A" w:rsidRDefault="00F56CD5" w:rsidP="00F56CD5">
          <w:pPr>
            <w:pStyle w:val="B95D3292D7BC4AAD9875AF906FA66EFD"/>
          </w:pPr>
          <w:r w:rsidRPr="00790F45">
            <w:rPr>
              <w:rStyle w:val="PlaceholderText"/>
            </w:rPr>
            <w:t>Choose an item.</w:t>
          </w:r>
        </w:p>
      </w:docPartBody>
    </w:docPart>
    <w:docPart>
      <w:docPartPr>
        <w:name w:val="F21917C3545A4FFB810A30863FB02FE0"/>
        <w:category>
          <w:name w:val="General"/>
          <w:gallery w:val="placeholder"/>
        </w:category>
        <w:types>
          <w:type w:val="bbPlcHdr"/>
        </w:types>
        <w:behaviors>
          <w:behavior w:val="content"/>
        </w:behaviors>
        <w:guid w:val="{180F1108-B4AC-43F9-9609-07B911F66902}"/>
      </w:docPartPr>
      <w:docPartBody>
        <w:p w:rsidR="00E0687A" w:rsidRDefault="00F56CD5" w:rsidP="00F56CD5">
          <w:pPr>
            <w:pStyle w:val="F21917C3545A4FFB810A30863FB02FE0"/>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D5"/>
    <w:rsid w:val="000504CA"/>
    <w:rsid w:val="00E0687A"/>
    <w:rsid w:val="00F56C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CD5"/>
    <w:rPr>
      <w:color w:val="808080"/>
    </w:rPr>
  </w:style>
  <w:style w:type="paragraph" w:customStyle="1" w:styleId="7B62C1A7241D4176AECE89DEBB3DA118">
    <w:name w:val="7B62C1A7241D4176AECE89DEBB3DA118"/>
    <w:rsid w:val="00F56CD5"/>
  </w:style>
  <w:style w:type="paragraph" w:customStyle="1" w:styleId="B95D3292D7BC4AAD9875AF906FA66EFD">
    <w:name w:val="B95D3292D7BC4AAD9875AF906FA66EFD"/>
    <w:rsid w:val="00F56CD5"/>
  </w:style>
  <w:style w:type="paragraph" w:customStyle="1" w:styleId="F21917C3545A4FFB810A30863FB02FE0">
    <w:name w:val="F21917C3545A4FFB810A30863FB02FE0"/>
    <w:rsid w:val="00F56CD5"/>
  </w:style>
  <w:style w:type="paragraph" w:customStyle="1" w:styleId="7BC5B267DF6947E8887F25580A3B9D21">
    <w:name w:val="7BC5B267DF6947E8887F25580A3B9D21"/>
    <w:rsid w:val="00F56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3729</Words>
  <Characters>21256</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OAG-BVG</Company>
  <LinksUpToDate>false</LinksUpToDate>
  <CharactersWithSpaces>24936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Julie</dc:creator>
  <cp:keywords/>
  <dc:description/>
  <cp:lastModifiedBy>Gauthier, Julie</cp:lastModifiedBy>
  <cp:revision>6</cp:revision>
  <dcterms:created xsi:type="dcterms:W3CDTF">2023-01-30T20:07:00Z</dcterms:created>
  <dcterms:modified xsi:type="dcterms:W3CDTF">2023-02-07T19:52:00Z</dcterms:modified>
</cp:coreProperties>
</file>