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CellMar>
          <w:left w:w="115" w:type="dxa"/>
          <w:right w:w="115" w:type="dxa"/>
        </w:tblCellMar>
        <w:tblLook w:val="04A0" w:firstRow="1" w:lastRow="0" w:firstColumn="1" w:lastColumn="0" w:noHBand="0" w:noVBand="1"/>
      </w:tblPr>
      <w:tblGrid>
        <w:gridCol w:w="4705"/>
        <w:gridCol w:w="4645"/>
      </w:tblGrid>
      <w:tr w:rsidR="00FD6C97" w:rsidRPr="00944BC2" w14:paraId="3E01D564" w14:textId="77777777" w:rsidTr="00944BC2">
        <w:tc>
          <w:tcPr>
            <w:tcW w:w="10491" w:type="dxa"/>
            <w:gridSpan w:val="2"/>
            <w:shd w:val="clear" w:color="auto" w:fill="334F74"/>
          </w:tcPr>
          <w:p w14:paraId="16F48793" w14:textId="77777777" w:rsidR="00FD6C97" w:rsidRPr="00C22F6A" w:rsidRDefault="008832F1" w:rsidP="00086BE7">
            <w:pPr>
              <w:spacing w:before="120" w:after="120"/>
              <w:rPr>
                <w:sz w:val="28"/>
                <w:szCs w:val="28"/>
                <w:lang w:val="fr-CA"/>
              </w:rPr>
            </w:pPr>
            <w:r w:rsidRPr="00944BC2">
              <w:rPr>
                <w:b/>
                <w:color w:val="FFFFFF" w:themeColor="background1"/>
                <w:sz w:val="26"/>
                <w:szCs w:val="26"/>
                <w:lang w:val="fr-CA"/>
              </w:rPr>
              <w:t>Consign</w:t>
            </w:r>
            <w:r w:rsidR="009F7908" w:rsidRPr="00944BC2">
              <w:rPr>
                <w:b/>
                <w:color w:val="FFFFFF" w:themeColor="background1"/>
                <w:sz w:val="26"/>
                <w:szCs w:val="26"/>
                <w:lang w:val="fr-CA"/>
              </w:rPr>
              <w:t>ation de</w:t>
            </w:r>
            <w:r w:rsidRPr="00944BC2">
              <w:rPr>
                <w:b/>
                <w:color w:val="FFFFFF" w:themeColor="background1"/>
                <w:sz w:val="26"/>
                <w:szCs w:val="26"/>
                <w:lang w:val="fr-CA"/>
              </w:rPr>
              <w:t xml:space="preserve"> la nature de la divergence d’opinions</w:t>
            </w:r>
          </w:p>
        </w:tc>
      </w:tr>
      <w:tr w:rsidR="00F0113C" w:rsidRPr="00944BC2" w14:paraId="3DF5BAF8" w14:textId="77777777" w:rsidTr="00086BE7">
        <w:tc>
          <w:tcPr>
            <w:tcW w:w="5279" w:type="dxa"/>
          </w:tcPr>
          <w:p w14:paraId="67641FA3" w14:textId="77777777" w:rsidR="00772F71" w:rsidRPr="00C22F6A" w:rsidRDefault="008832F1" w:rsidP="00086BE7">
            <w:pPr>
              <w:spacing w:before="120" w:after="120"/>
              <w:rPr>
                <w:lang w:val="fr-CA"/>
              </w:rPr>
            </w:pPr>
            <w:r w:rsidRPr="00C22F6A">
              <w:rPr>
                <w:rFonts w:cs="Arial"/>
                <w:lang w:val="fr-CA"/>
              </w:rPr>
              <w:t>Décrire la question et la nature de la divergence d’opinions</w:t>
            </w:r>
            <w:r w:rsidR="00F0113C" w:rsidRPr="00C22F6A">
              <w:rPr>
                <w:rFonts w:cs="Arial"/>
                <w:lang w:val="fr-CA"/>
              </w:rPr>
              <w:t xml:space="preserve"> </w:t>
            </w:r>
          </w:p>
        </w:tc>
        <w:tc>
          <w:tcPr>
            <w:tcW w:w="5212" w:type="dxa"/>
          </w:tcPr>
          <w:p w14:paraId="071EA6E8" w14:textId="77777777" w:rsidR="00F0113C" w:rsidRPr="00C22F6A" w:rsidRDefault="00F0113C" w:rsidP="00086BE7">
            <w:pPr>
              <w:spacing w:before="120" w:after="120"/>
              <w:rPr>
                <w:lang w:val="fr-CA"/>
              </w:rPr>
            </w:pPr>
          </w:p>
        </w:tc>
      </w:tr>
      <w:tr w:rsidR="00F0113C" w:rsidRPr="00944BC2" w14:paraId="4A728B31" w14:textId="77777777" w:rsidTr="00086BE7">
        <w:tc>
          <w:tcPr>
            <w:tcW w:w="5279" w:type="dxa"/>
            <w:vMerge w:val="restart"/>
          </w:tcPr>
          <w:p w14:paraId="171287C6" w14:textId="77777777" w:rsidR="00F0113C" w:rsidRPr="00C22F6A" w:rsidRDefault="00022B8D" w:rsidP="00086BE7">
            <w:pPr>
              <w:spacing w:before="120" w:after="120"/>
              <w:rPr>
                <w:lang w:val="fr-CA"/>
              </w:rPr>
            </w:pPr>
            <w:r w:rsidRPr="00C22F6A">
              <w:rPr>
                <w:rFonts w:cs="Arial"/>
                <w:lang w:val="fr-CA"/>
              </w:rPr>
              <w:t xml:space="preserve">Consigner les autres positions </w:t>
            </w:r>
            <w:r w:rsidR="00BA69CF" w:rsidRPr="00C22F6A">
              <w:rPr>
                <w:rFonts w:cs="Arial"/>
                <w:lang w:val="fr-CA"/>
              </w:rPr>
              <w:t>envisagées</w:t>
            </w:r>
            <w:r w:rsidRPr="00C22F6A">
              <w:rPr>
                <w:rFonts w:cs="Arial"/>
                <w:lang w:val="fr-CA"/>
              </w:rPr>
              <w:t xml:space="preserve"> ainsi que </w:t>
            </w:r>
            <w:r w:rsidR="00BA69CF" w:rsidRPr="00C22F6A">
              <w:rPr>
                <w:rFonts w:cs="Arial"/>
                <w:lang w:val="fr-CA"/>
              </w:rPr>
              <w:t>les raisons à l’appui</w:t>
            </w:r>
          </w:p>
        </w:tc>
        <w:tc>
          <w:tcPr>
            <w:tcW w:w="5212" w:type="dxa"/>
            <w:tcBorders>
              <w:bottom w:val="single" w:sz="4" w:space="0" w:color="auto"/>
            </w:tcBorders>
          </w:tcPr>
          <w:p w14:paraId="3CEF7BF0" w14:textId="77777777" w:rsidR="00F0113C" w:rsidRPr="00D65935" w:rsidRDefault="00F0113C" w:rsidP="00086BE7">
            <w:pPr>
              <w:spacing w:before="120" w:after="120"/>
              <w:rPr>
                <w:lang w:val="fr-CA"/>
              </w:rPr>
            </w:pPr>
          </w:p>
        </w:tc>
      </w:tr>
      <w:tr w:rsidR="00F0113C" w:rsidRPr="00944BC2" w14:paraId="039EE1F4" w14:textId="77777777" w:rsidTr="00086BE7">
        <w:tc>
          <w:tcPr>
            <w:tcW w:w="5279" w:type="dxa"/>
            <w:vMerge/>
            <w:tcBorders>
              <w:bottom w:val="single" w:sz="4" w:space="0" w:color="auto"/>
            </w:tcBorders>
          </w:tcPr>
          <w:p w14:paraId="2752AAF2" w14:textId="77777777" w:rsidR="00F0113C" w:rsidRPr="00C22F6A" w:rsidRDefault="00F0113C" w:rsidP="00086BE7">
            <w:pPr>
              <w:spacing w:before="120" w:after="120"/>
              <w:rPr>
                <w:rFonts w:cs="Arial"/>
                <w:lang w:val="fr-CA"/>
              </w:rPr>
            </w:pPr>
          </w:p>
        </w:tc>
        <w:tc>
          <w:tcPr>
            <w:tcW w:w="5212" w:type="dxa"/>
            <w:tcBorders>
              <w:bottom w:val="single" w:sz="4" w:space="0" w:color="auto"/>
            </w:tcBorders>
          </w:tcPr>
          <w:p w14:paraId="2974DF15" w14:textId="77777777" w:rsidR="00F0113C" w:rsidRPr="00D65935" w:rsidRDefault="00F0113C" w:rsidP="00086BE7">
            <w:pPr>
              <w:spacing w:before="120" w:after="120"/>
              <w:rPr>
                <w:lang w:val="fr-CA"/>
              </w:rPr>
            </w:pPr>
          </w:p>
        </w:tc>
      </w:tr>
    </w:tbl>
    <w:p w14:paraId="014EFF66" w14:textId="77777777" w:rsidR="007943D7" w:rsidRPr="00C22F6A" w:rsidRDefault="007943D7">
      <w:pPr>
        <w:rPr>
          <w:lang w:val="fr-CA"/>
        </w:rPr>
      </w:pPr>
    </w:p>
    <w:tbl>
      <w:tblPr>
        <w:tblStyle w:val="TableGrid"/>
        <w:tblW w:w="5000" w:type="pct"/>
        <w:tblLayout w:type="fixed"/>
        <w:tblCellMar>
          <w:left w:w="115" w:type="dxa"/>
          <w:right w:w="115" w:type="dxa"/>
        </w:tblCellMar>
        <w:tblLook w:val="04A0" w:firstRow="1" w:lastRow="0" w:firstColumn="1" w:lastColumn="0" w:noHBand="0" w:noVBand="1"/>
      </w:tblPr>
      <w:tblGrid>
        <w:gridCol w:w="567"/>
        <w:gridCol w:w="4203"/>
        <w:gridCol w:w="4580"/>
      </w:tblGrid>
      <w:tr w:rsidR="00FD6C97" w:rsidRPr="00944BC2" w14:paraId="33BE0FF2" w14:textId="77777777" w:rsidTr="00944BC2">
        <w:tc>
          <w:tcPr>
            <w:tcW w:w="10491" w:type="dxa"/>
            <w:gridSpan w:val="3"/>
            <w:shd w:val="clear" w:color="auto" w:fill="334F74"/>
          </w:tcPr>
          <w:p w14:paraId="4EA8908B" w14:textId="77777777" w:rsidR="00FD6C97" w:rsidRPr="00C22F6A" w:rsidRDefault="00022B8D" w:rsidP="00086BE7">
            <w:pPr>
              <w:keepNext/>
              <w:keepLines/>
              <w:spacing w:before="120" w:after="120"/>
              <w:rPr>
                <w:lang w:val="fr-CA"/>
              </w:rPr>
            </w:pPr>
            <w:r w:rsidRPr="00944BC2">
              <w:rPr>
                <w:rFonts w:cs="Arial"/>
                <w:b/>
                <w:color w:val="FFFFFF" w:themeColor="background1"/>
                <w:sz w:val="26"/>
                <w:szCs w:val="26"/>
                <w:lang w:val="fr-CA"/>
              </w:rPr>
              <w:t>Étape</w:t>
            </w:r>
            <w:r w:rsidR="00FD6C97" w:rsidRPr="00944BC2">
              <w:rPr>
                <w:rFonts w:cs="Arial"/>
                <w:b/>
                <w:color w:val="FFFFFF" w:themeColor="background1"/>
                <w:sz w:val="26"/>
                <w:szCs w:val="26"/>
                <w:lang w:val="fr-CA"/>
              </w:rPr>
              <w:t xml:space="preserve"> 1</w:t>
            </w:r>
            <w:r w:rsidRPr="00944BC2">
              <w:rPr>
                <w:rFonts w:cs="Arial"/>
                <w:b/>
                <w:color w:val="FFFFFF" w:themeColor="background1"/>
                <w:sz w:val="26"/>
                <w:szCs w:val="26"/>
                <w:lang w:val="fr-CA"/>
              </w:rPr>
              <w:t xml:space="preserve"> </w:t>
            </w:r>
            <w:r w:rsidR="00FD6C97" w:rsidRPr="00944BC2">
              <w:rPr>
                <w:rFonts w:cs="Arial"/>
                <w:b/>
                <w:color w:val="FFFFFF" w:themeColor="background1"/>
                <w:sz w:val="26"/>
                <w:szCs w:val="26"/>
                <w:lang w:val="fr-CA"/>
              </w:rPr>
              <w:t xml:space="preserve">: </w:t>
            </w:r>
            <w:r w:rsidRPr="00944BC2">
              <w:rPr>
                <w:rFonts w:cs="Arial"/>
                <w:b/>
                <w:color w:val="FFFFFF" w:themeColor="background1"/>
                <w:sz w:val="26"/>
                <w:szCs w:val="26"/>
                <w:lang w:val="fr-CA"/>
              </w:rPr>
              <w:t>Consign</w:t>
            </w:r>
            <w:r w:rsidR="00732190" w:rsidRPr="00944BC2">
              <w:rPr>
                <w:rFonts w:cs="Arial"/>
                <w:b/>
                <w:color w:val="FFFFFF" w:themeColor="background1"/>
                <w:sz w:val="26"/>
                <w:szCs w:val="26"/>
                <w:lang w:val="fr-CA"/>
              </w:rPr>
              <w:t>ation</w:t>
            </w:r>
            <w:r w:rsidRPr="00944BC2">
              <w:rPr>
                <w:rFonts w:cs="Arial"/>
                <w:b/>
                <w:color w:val="FFFFFF" w:themeColor="background1"/>
                <w:sz w:val="26"/>
                <w:szCs w:val="26"/>
                <w:lang w:val="fr-CA"/>
              </w:rPr>
              <w:t xml:space="preserve"> </w:t>
            </w:r>
            <w:r w:rsidR="00317D1E" w:rsidRPr="00944BC2">
              <w:rPr>
                <w:rFonts w:cs="Arial"/>
                <w:b/>
                <w:color w:val="FFFFFF" w:themeColor="background1"/>
                <w:sz w:val="26"/>
                <w:szCs w:val="26"/>
                <w:lang w:val="fr-CA"/>
              </w:rPr>
              <w:t>d</w:t>
            </w:r>
            <w:r w:rsidRPr="00944BC2">
              <w:rPr>
                <w:rFonts w:cs="Arial"/>
                <w:b/>
                <w:color w:val="FFFFFF" w:themeColor="background1"/>
                <w:sz w:val="26"/>
                <w:szCs w:val="26"/>
                <w:lang w:val="fr-CA"/>
              </w:rPr>
              <w:t xml:space="preserve">es résultats d’un règlement direct </w:t>
            </w:r>
          </w:p>
        </w:tc>
      </w:tr>
      <w:tr w:rsidR="00FD6C97" w:rsidRPr="00944BC2" w14:paraId="56AE741B" w14:textId="77777777" w:rsidTr="00086BE7">
        <w:tc>
          <w:tcPr>
            <w:tcW w:w="610" w:type="dxa"/>
          </w:tcPr>
          <w:p w14:paraId="1D7687FD" w14:textId="77777777" w:rsidR="00FD6C97" w:rsidRPr="00C22F6A" w:rsidRDefault="007943D7" w:rsidP="00086BE7">
            <w:pPr>
              <w:spacing w:before="120" w:after="120"/>
              <w:rPr>
                <w:lang w:val="fr-CA"/>
              </w:rPr>
            </w:pPr>
            <w:r w:rsidRPr="00C22F6A">
              <w:rPr>
                <w:lang w:val="fr-CA"/>
              </w:rPr>
              <w:t>1.</w:t>
            </w:r>
            <w:r w:rsidR="00FD6C97" w:rsidRPr="00C22F6A">
              <w:rPr>
                <w:lang w:val="fr-CA"/>
              </w:rPr>
              <w:t>1</w:t>
            </w:r>
          </w:p>
        </w:tc>
        <w:tc>
          <w:tcPr>
            <w:tcW w:w="4727" w:type="dxa"/>
          </w:tcPr>
          <w:p w14:paraId="674BBCEA" w14:textId="77777777" w:rsidR="00FD6C97" w:rsidRPr="00C22F6A" w:rsidRDefault="00C86D4A" w:rsidP="00086BE7">
            <w:pPr>
              <w:spacing w:before="120" w:after="120"/>
              <w:rPr>
                <w:rFonts w:cs="Arial"/>
                <w:lang w:val="fr-CA"/>
              </w:rPr>
            </w:pPr>
            <w:r>
              <w:rPr>
                <w:rFonts w:cs="Arial"/>
                <w:lang w:val="fr-CA"/>
              </w:rPr>
              <w:t>C</w:t>
            </w:r>
            <w:r w:rsidR="00A23577" w:rsidRPr="00C22F6A">
              <w:rPr>
                <w:rFonts w:cs="Arial"/>
                <w:lang w:val="fr-CA"/>
              </w:rPr>
              <w:t>onsigner :</w:t>
            </w:r>
          </w:p>
          <w:p w14:paraId="5F9B4C33" w14:textId="77777777" w:rsidR="00FD6C97" w:rsidRPr="00C22F6A" w:rsidRDefault="00A23577" w:rsidP="00086BE7">
            <w:pPr>
              <w:pStyle w:val="ListParagraph"/>
              <w:numPr>
                <w:ilvl w:val="0"/>
                <w:numId w:val="1"/>
              </w:numPr>
              <w:spacing w:before="120" w:after="120"/>
              <w:ind w:left="322" w:hanging="283"/>
              <w:rPr>
                <w:rFonts w:cs="Arial"/>
                <w:lang w:val="fr-CA"/>
              </w:rPr>
            </w:pPr>
            <w:r w:rsidRPr="00C22F6A">
              <w:rPr>
                <w:rFonts w:cs="Arial"/>
                <w:lang w:val="fr-CA"/>
              </w:rPr>
              <w:t xml:space="preserve">le nom des personnes </w:t>
            </w:r>
            <w:r w:rsidR="00C86D4A">
              <w:rPr>
                <w:rFonts w:cs="Arial"/>
                <w:lang w:val="fr-CA"/>
              </w:rPr>
              <w:t xml:space="preserve">retenues pour régler la </w:t>
            </w:r>
            <w:r w:rsidR="0043353B">
              <w:rPr>
                <w:rFonts w:cs="Arial"/>
                <w:lang w:val="fr-CA"/>
              </w:rPr>
              <w:t>divergence d’opinions</w:t>
            </w:r>
            <w:r w:rsidR="00E76EF7" w:rsidRPr="00C22F6A">
              <w:rPr>
                <w:rFonts w:cs="Arial"/>
                <w:lang w:val="fr-CA"/>
              </w:rPr>
              <w:t>;</w:t>
            </w:r>
            <w:r w:rsidR="00FD6C97" w:rsidRPr="00C22F6A">
              <w:rPr>
                <w:rFonts w:cs="Arial"/>
                <w:lang w:val="fr-CA"/>
              </w:rPr>
              <w:t xml:space="preserve"> </w:t>
            </w:r>
          </w:p>
          <w:p w14:paraId="63C72FA5" w14:textId="77777777" w:rsidR="00FD6C97" w:rsidRPr="00C22F6A" w:rsidRDefault="00A23577" w:rsidP="00086BE7">
            <w:pPr>
              <w:pStyle w:val="ListParagraph"/>
              <w:numPr>
                <w:ilvl w:val="0"/>
                <w:numId w:val="1"/>
              </w:numPr>
              <w:spacing w:before="120" w:after="120"/>
              <w:ind w:left="322" w:hanging="283"/>
              <w:rPr>
                <w:rFonts w:cs="Arial"/>
                <w:lang w:val="fr-CA"/>
              </w:rPr>
            </w:pPr>
            <w:r w:rsidRPr="00C22F6A">
              <w:rPr>
                <w:rFonts w:cs="Arial"/>
                <w:lang w:val="fr-CA"/>
              </w:rPr>
              <w:t>la date des discussions</w:t>
            </w:r>
            <w:r w:rsidR="00E76EF7" w:rsidRPr="00C22F6A">
              <w:rPr>
                <w:rFonts w:cs="Arial"/>
                <w:lang w:val="fr-CA"/>
              </w:rPr>
              <w:t>;</w:t>
            </w:r>
            <w:r w:rsidR="00FD6C97" w:rsidRPr="00C22F6A">
              <w:rPr>
                <w:rFonts w:cs="Arial"/>
                <w:lang w:val="fr-CA"/>
              </w:rPr>
              <w:t xml:space="preserve"> </w:t>
            </w:r>
          </w:p>
          <w:p w14:paraId="6B7BB517" w14:textId="77777777" w:rsidR="00FD6C97" w:rsidRPr="00C22F6A" w:rsidRDefault="00A23577" w:rsidP="00086BE7">
            <w:pPr>
              <w:pStyle w:val="ListParagraph"/>
              <w:numPr>
                <w:ilvl w:val="0"/>
                <w:numId w:val="1"/>
              </w:numPr>
              <w:spacing w:before="120" w:after="120"/>
              <w:ind w:left="322" w:hanging="283"/>
              <w:rPr>
                <w:rFonts w:cs="Arial"/>
                <w:lang w:val="fr-CA"/>
              </w:rPr>
            </w:pPr>
            <w:r w:rsidRPr="00C22F6A">
              <w:rPr>
                <w:rFonts w:cs="Arial"/>
                <w:lang w:val="fr-CA"/>
              </w:rPr>
              <w:t>les participants</w:t>
            </w:r>
            <w:r w:rsidR="00E76EF7" w:rsidRPr="00C22F6A">
              <w:rPr>
                <w:rFonts w:cs="Arial"/>
                <w:lang w:val="fr-CA"/>
              </w:rPr>
              <w:t>;</w:t>
            </w:r>
          </w:p>
          <w:p w14:paraId="03DF1FA1" w14:textId="77777777" w:rsidR="00FD6C97" w:rsidRPr="00C22F6A" w:rsidRDefault="00317D1E" w:rsidP="00086BE7">
            <w:pPr>
              <w:pStyle w:val="ListParagraph"/>
              <w:numPr>
                <w:ilvl w:val="0"/>
                <w:numId w:val="1"/>
              </w:numPr>
              <w:spacing w:before="120" w:after="120"/>
              <w:ind w:left="322" w:hanging="283"/>
              <w:contextualSpacing w:val="0"/>
              <w:rPr>
                <w:lang w:val="fr-CA"/>
              </w:rPr>
            </w:pPr>
            <w:r w:rsidRPr="0030430C">
              <w:rPr>
                <w:rFonts w:cs="Arial"/>
                <w:lang w:val="fr-CA"/>
              </w:rPr>
              <w:t>le</w:t>
            </w:r>
            <w:r w:rsidR="008E06D6" w:rsidRPr="0030430C">
              <w:rPr>
                <w:rFonts w:cs="Arial"/>
                <w:lang w:val="fr-CA"/>
              </w:rPr>
              <w:t xml:space="preserve"> conseil</w:t>
            </w:r>
            <w:r w:rsidR="00A23577" w:rsidRPr="0030430C">
              <w:rPr>
                <w:rFonts w:cs="Arial"/>
                <w:lang w:val="fr-CA"/>
              </w:rPr>
              <w:t xml:space="preserve"> reçu et la mesure recommandée</w:t>
            </w:r>
            <w:r w:rsidR="00E76EF7" w:rsidRPr="0030430C">
              <w:rPr>
                <w:rFonts w:cs="Arial"/>
                <w:lang w:val="fr-CA"/>
              </w:rPr>
              <w:t>.</w:t>
            </w:r>
          </w:p>
        </w:tc>
        <w:tc>
          <w:tcPr>
            <w:tcW w:w="5154" w:type="dxa"/>
          </w:tcPr>
          <w:p w14:paraId="21CD2919" w14:textId="77777777" w:rsidR="00FD6C97" w:rsidRPr="00C22F6A" w:rsidRDefault="00FD6C97" w:rsidP="00086BE7">
            <w:pPr>
              <w:spacing w:before="120" w:after="120"/>
              <w:rPr>
                <w:lang w:val="fr-CA"/>
              </w:rPr>
            </w:pPr>
          </w:p>
        </w:tc>
      </w:tr>
      <w:tr w:rsidR="00C86D4A" w:rsidRPr="00C22F6A" w14:paraId="6FC36076" w14:textId="77777777" w:rsidTr="00086BE7">
        <w:tc>
          <w:tcPr>
            <w:tcW w:w="610" w:type="dxa"/>
          </w:tcPr>
          <w:p w14:paraId="7DA90958" w14:textId="77777777" w:rsidR="00C86D4A" w:rsidRPr="00C22F6A" w:rsidRDefault="00C86D4A" w:rsidP="00086BE7">
            <w:pPr>
              <w:spacing w:before="120" w:after="120"/>
              <w:rPr>
                <w:lang w:val="fr-CA"/>
              </w:rPr>
            </w:pPr>
            <w:r>
              <w:rPr>
                <w:lang w:val="fr-CA"/>
              </w:rPr>
              <w:t>1.2</w:t>
            </w:r>
          </w:p>
        </w:tc>
        <w:tc>
          <w:tcPr>
            <w:tcW w:w="4727" w:type="dxa"/>
          </w:tcPr>
          <w:p w14:paraId="58D8777E" w14:textId="77777777" w:rsidR="00C86D4A" w:rsidRPr="00C22F6A" w:rsidRDefault="00C86D4A" w:rsidP="00086BE7">
            <w:pPr>
              <w:spacing w:before="120" w:after="120"/>
              <w:rPr>
                <w:rFonts w:cs="Arial"/>
                <w:lang w:val="fr-CA"/>
              </w:rPr>
            </w:pPr>
            <w:r w:rsidRPr="00C22F6A">
              <w:rPr>
                <w:rFonts w:cs="Arial"/>
                <w:lang w:val="fr-CA"/>
              </w:rPr>
              <w:t xml:space="preserve">Si la divergence d’opinions </w:t>
            </w:r>
            <w:r w:rsidRPr="00C22F6A">
              <w:rPr>
                <w:rFonts w:cs="Arial"/>
                <w:u w:val="single"/>
                <w:lang w:val="fr-CA"/>
              </w:rPr>
              <w:t>n’a pas été réglée</w:t>
            </w:r>
            <w:r w:rsidRPr="00C22F6A">
              <w:rPr>
                <w:rFonts w:cs="Arial"/>
                <w:lang w:val="fr-CA"/>
              </w:rPr>
              <w:t xml:space="preserve"> au moyen du processus de règlement direct :</w:t>
            </w:r>
          </w:p>
          <w:p w14:paraId="036D06CD" w14:textId="77777777" w:rsidR="00C86D4A" w:rsidRDefault="00C86D4A" w:rsidP="00086BE7">
            <w:pPr>
              <w:pStyle w:val="ListParagraph"/>
              <w:numPr>
                <w:ilvl w:val="0"/>
                <w:numId w:val="14"/>
              </w:numPr>
              <w:spacing w:before="120" w:after="120"/>
              <w:ind w:left="335" w:hanging="270"/>
              <w:rPr>
                <w:rFonts w:cs="Arial"/>
                <w:lang w:val="fr-CA"/>
              </w:rPr>
            </w:pPr>
            <w:r w:rsidRPr="00C22F6A">
              <w:rPr>
                <w:rFonts w:cs="Arial"/>
                <w:lang w:val="fr-CA"/>
              </w:rPr>
              <w:t xml:space="preserve">indiquer pourquoi le plan d’action proposé n’a </w:t>
            </w:r>
            <w:r>
              <w:rPr>
                <w:rFonts w:cs="Arial"/>
                <w:lang w:val="fr-CA"/>
              </w:rPr>
              <w:t xml:space="preserve">pas </w:t>
            </w:r>
            <w:r w:rsidRPr="00C22F6A">
              <w:rPr>
                <w:rFonts w:cs="Arial"/>
                <w:lang w:val="fr-CA"/>
              </w:rPr>
              <w:t>été considéré comme approprié dans les circonstances;</w:t>
            </w:r>
          </w:p>
          <w:p w14:paraId="08AA9AC7" w14:textId="77777777" w:rsidR="00C86D4A" w:rsidRPr="00C22F6A" w:rsidRDefault="00C86D4A" w:rsidP="00086BE7">
            <w:pPr>
              <w:pStyle w:val="ListParagraph"/>
              <w:numPr>
                <w:ilvl w:val="0"/>
                <w:numId w:val="14"/>
              </w:numPr>
              <w:spacing w:before="120" w:after="120"/>
              <w:ind w:left="335" w:hanging="270"/>
              <w:contextualSpacing w:val="0"/>
              <w:rPr>
                <w:rFonts w:cs="Arial"/>
                <w:lang w:val="fr-CA"/>
              </w:rPr>
            </w:pPr>
            <w:r w:rsidRPr="00C22F6A">
              <w:rPr>
                <w:rFonts w:cs="Arial"/>
                <w:lang w:val="fr-CA"/>
              </w:rPr>
              <w:t>passer à l’</w:t>
            </w:r>
            <w:r w:rsidRPr="00C22F6A">
              <w:rPr>
                <w:rFonts w:cs="Arial"/>
                <w:b/>
                <w:lang w:val="fr-CA"/>
              </w:rPr>
              <w:t>étape 2 – Arbitrage</w:t>
            </w:r>
            <w:r w:rsidRPr="00C22F6A">
              <w:rPr>
                <w:rFonts w:cs="Arial"/>
                <w:lang w:val="fr-CA"/>
              </w:rPr>
              <w:t>.</w:t>
            </w:r>
          </w:p>
        </w:tc>
        <w:tc>
          <w:tcPr>
            <w:tcW w:w="5154" w:type="dxa"/>
          </w:tcPr>
          <w:p w14:paraId="14006F88" w14:textId="77777777" w:rsidR="00C86D4A" w:rsidRPr="00C22F6A" w:rsidRDefault="00C86D4A" w:rsidP="00086BE7">
            <w:pPr>
              <w:spacing w:before="120" w:after="120"/>
              <w:rPr>
                <w:lang w:val="fr-CA"/>
              </w:rPr>
            </w:pPr>
          </w:p>
        </w:tc>
      </w:tr>
      <w:tr w:rsidR="00FD6C97" w:rsidRPr="00944BC2" w14:paraId="365CD477" w14:textId="77777777" w:rsidTr="00086BE7">
        <w:tc>
          <w:tcPr>
            <w:tcW w:w="610" w:type="dxa"/>
            <w:tcBorders>
              <w:bottom w:val="single" w:sz="4" w:space="0" w:color="auto"/>
            </w:tcBorders>
          </w:tcPr>
          <w:p w14:paraId="35588794" w14:textId="77777777" w:rsidR="00437394" w:rsidRDefault="007943D7" w:rsidP="00086BE7">
            <w:pPr>
              <w:spacing w:before="120" w:after="120"/>
              <w:rPr>
                <w:lang w:val="fr-CA"/>
              </w:rPr>
            </w:pPr>
            <w:r w:rsidRPr="00C22F6A">
              <w:rPr>
                <w:lang w:val="fr-CA"/>
              </w:rPr>
              <w:t>1.</w:t>
            </w:r>
            <w:r w:rsidR="00C86D4A">
              <w:rPr>
                <w:lang w:val="fr-CA"/>
              </w:rPr>
              <w:t>3</w:t>
            </w:r>
          </w:p>
        </w:tc>
        <w:tc>
          <w:tcPr>
            <w:tcW w:w="4727" w:type="dxa"/>
            <w:tcBorders>
              <w:bottom w:val="single" w:sz="4" w:space="0" w:color="auto"/>
            </w:tcBorders>
          </w:tcPr>
          <w:p w14:paraId="20560438" w14:textId="77777777" w:rsidR="00FD6C97" w:rsidRPr="00C22F6A" w:rsidRDefault="00576F42" w:rsidP="00086BE7">
            <w:pPr>
              <w:spacing w:before="120" w:after="120"/>
              <w:rPr>
                <w:rFonts w:cs="Arial"/>
                <w:lang w:val="fr-CA"/>
              </w:rPr>
            </w:pPr>
            <w:r w:rsidRPr="00C22F6A">
              <w:rPr>
                <w:rFonts w:cs="Arial"/>
                <w:lang w:val="fr-CA"/>
              </w:rPr>
              <w:t xml:space="preserve">Si la divergence d’opinions </w:t>
            </w:r>
            <w:r w:rsidRPr="00C22F6A">
              <w:rPr>
                <w:rFonts w:cs="Arial"/>
                <w:u w:val="single"/>
                <w:lang w:val="fr-CA"/>
              </w:rPr>
              <w:t>a été réglée</w:t>
            </w:r>
            <w:r w:rsidRPr="00C22F6A">
              <w:rPr>
                <w:rFonts w:cs="Arial"/>
                <w:lang w:val="fr-CA"/>
              </w:rPr>
              <w:t xml:space="preserve"> au moyen du processus de règlement direct :</w:t>
            </w:r>
          </w:p>
          <w:p w14:paraId="1EECAED0" w14:textId="77777777" w:rsidR="00FD6C97" w:rsidRPr="00C22F6A" w:rsidRDefault="00C86D4A" w:rsidP="00086BE7">
            <w:pPr>
              <w:pStyle w:val="ListParagraph"/>
              <w:numPr>
                <w:ilvl w:val="0"/>
                <w:numId w:val="5"/>
              </w:numPr>
              <w:spacing w:before="120" w:after="120"/>
              <w:ind w:left="318" w:hanging="284"/>
              <w:rPr>
                <w:rFonts w:cs="Arial"/>
                <w:lang w:val="fr-CA"/>
              </w:rPr>
            </w:pPr>
            <w:r>
              <w:rPr>
                <w:rFonts w:cs="Arial"/>
                <w:lang w:val="fr-CA"/>
              </w:rPr>
              <w:t xml:space="preserve">consigner </w:t>
            </w:r>
            <w:r w:rsidR="00576F42" w:rsidRPr="00C22F6A">
              <w:rPr>
                <w:rFonts w:cs="Arial"/>
                <w:lang w:val="fr-CA"/>
              </w:rPr>
              <w:t xml:space="preserve">la </w:t>
            </w:r>
            <w:r w:rsidR="00012B6A" w:rsidRPr="00C22F6A">
              <w:rPr>
                <w:rFonts w:cs="Arial"/>
                <w:lang w:val="fr-CA"/>
              </w:rPr>
              <w:t>conclusion dégagée</w:t>
            </w:r>
            <w:r w:rsidR="00576F42" w:rsidRPr="00C22F6A">
              <w:rPr>
                <w:rFonts w:cs="Arial"/>
                <w:lang w:val="fr-CA"/>
              </w:rPr>
              <w:t xml:space="preserve"> ainsi que </w:t>
            </w:r>
            <w:r w:rsidR="008230FB" w:rsidRPr="00C22F6A">
              <w:rPr>
                <w:rFonts w:cs="Arial"/>
                <w:lang w:val="fr-CA"/>
              </w:rPr>
              <w:t>les raisons à l’appui</w:t>
            </w:r>
            <w:r w:rsidR="00FD6C97" w:rsidRPr="00C22F6A">
              <w:rPr>
                <w:rFonts w:cs="Arial"/>
                <w:lang w:val="fr-CA"/>
              </w:rPr>
              <w:t>;</w:t>
            </w:r>
          </w:p>
          <w:p w14:paraId="78FB2C90" w14:textId="77777777" w:rsidR="00576F42" w:rsidRPr="00C22F6A" w:rsidRDefault="001F6FA0" w:rsidP="00086BE7">
            <w:pPr>
              <w:pStyle w:val="ListParagraph"/>
              <w:numPr>
                <w:ilvl w:val="0"/>
                <w:numId w:val="5"/>
              </w:numPr>
              <w:spacing w:before="120" w:after="120"/>
              <w:ind w:left="318" w:hanging="284"/>
              <w:rPr>
                <w:rFonts w:cs="Arial"/>
                <w:lang w:val="fr-CA"/>
              </w:rPr>
            </w:pPr>
            <w:r>
              <w:rPr>
                <w:rFonts w:cs="Arial"/>
                <w:lang w:val="fr-CA"/>
              </w:rPr>
              <w:t>exposer</w:t>
            </w:r>
            <w:r w:rsidR="00C86D4A">
              <w:rPr>
                <w:rFonts w:cs="Arial"/>
                <w:lang w:val="fr-CA"/>
              </w:rPr>
              <w:t xml:space="preserve"> l’</w:t>
            </w:r>
            <w:r w:rsidR="00576F42" w:rsidRPr="00C22F6A">
              <w:rPr>
                <w:rFonts w:cs="Arial"/>
                <w:lang w:val="fr-CA"/>
              </w:rPr>
              <w:t xml:space="preserve">entente </w:t>
            </w:r>
            <w:r>
              <w:rPr>
                <w:rFonts w:cs="Arial"/>
                <w:lang w:val="fr-CA"/>
              </w:rPr>
              <w:t xml:space="preserve">survenue </w:t>
            </w:r>
            <w:r w:rsidR="00576F42" w:rsidRPr="00C22F6A">
              <w:rPr>
                <w:rFonts w:cs="Arial"/>
                <w:lang w:val="fr-CA"/>
              </w:rPr>
              <w:t>entre les personnes à l’origine de la divergence d’opinions</w:t>
            </w:r>
            <w:r w:rsidR="00C86D4A">
              <w:rPr>
                <w:rFonts w:cs="Arial"/>
                <w:lang w:val="fr-CA"/>
              </w:rPr>
              <w:t xml:space="preserve"> et consigner la conclusion </w:t>
            </w:r>
            <w:r>
              <w:rPr>
                <w:rFonts w:cs="Arial"/>
                <w:lang w:val="fr-CA"/>
              </w:rPr>
              <w:t>dégagée</w:t>
            </w:r>
            <w:r w:rsidR="00576F42" w:rsidRPr="00C22F6A">
              <w:rPr>
                <w:rFonts w:cs="Arial"/>
                <w:lang w:val="fr-CA"/>
              </w:rPr>
              <w:t>;</w:t>
            </w:r>
          </w:p>
          <w:p w14:paraId="56E989B2" w14:textId="77777777" w:rsidR="00772F71" w:rsidRPr="00C22F6A" w:rsidRDefault="000A59C2" w:rsidP="00086BE7">
            <w:pPr>
              <w:pStyle w:val="ListParagraph"/>
              <w:numPr>
                <w:ilvl w:val="0"/>
                <w:numId w:val="5"/>
              </w:numPr>
              <w:spacing w:before="120" w:after="120"/>
              <w:ind w:left="318" w:hanging="284"/>
              <w:contextualSpacing w:val="0"/>
              <w:rPr>
                <w:lang w:val="fr-CA"/>
              </w:rPr>
            </w:pPr>
            <w:r>
              <w:rPr>
                <w:rFonts w:cs="Arial"/>
                <w:lang w:val="fr-CA"/>
              </w:rPr>
              <w:t xml:space="preserve">faire un renvoi pour démontrer </w:t>
            </w:r>
            <w:r w:rsidR="008230FB" w:rsidRPr="00C22F6A">
              <w:rPr>
                <w:rFonts w:cs="Arial"/>
                <w:lang w:val="fr-CA"/>
              </w:rPr>
              <w:t xml:space="preserve">que </w:t>
            </w:r>
            <w:r w:rsidR="00012B6A" w:rsidRPr="00C22F6A">
              <w:rPr>
                <w:rFonts w:cs="Arial"/>
                <w:lang w:val="fr-CA"/>
              </w:rPr>
              <w:t>la conclusion dégagée</w:t>
            </w:r>
            <w:r w:rsidR="00024B5B">
              <w:rPr>
                <w:rFonts w:cs="Arial"/>
                <w:lang w:val="fr-CA"/>
              </w:rPr>
              <w:t xml:space="preserve"> de la consultation</w:t>
            </w:r>
            <w:r w:rsidR="008230FB" w:rsidRPr="00C22F6A">
              <w:rPr>
                <w:rFonts w:cs="Arial"/>
                <w:lang w:val="fr-CA"/>
              </w:rPr>
              <w:t xml:space="preserve"> a été appliquée</w:t>
            </w:r>
            <w:r w:rsidR="002E10EC">
              <w:rPr>
                <w:rFonts w:cs="Arial"/>
                <w:lang w:val="fr-CA"/>
              </w:rPr>
              <w:t>.</w:t>
            </w:r>
          </w:p>
        </w:tc>
        <w:tc>
          <w:tcPr>
            <w:tcW w:w="5154" w:type="dxa"/>
            <w:tcBorders>
              <w:bottom w:val="single" w:sz="4" w:space="0" w:color="auto"/>
            </w:tcBorders>
          </w:tcPr>
          <w:p w14:paraId="58545564" w14:textId="77777777" w:rsidR="00FD6C97" w:rsidRPr="00C22F6A" w:rsidRDefault="00FD6C97" w:rsidP="00086BE7">
            <w:pPr>
              <w:spacing w:before="120" w:after="120"/>
              <w:rPr>
                <w:lang w:val="fr-CA"/>
              </w:rPr>
            </w:pPr>
          </w:p>
        </w:tc>
      </w:tr>
    </w:tbl>
    <w:p w14:paraId="224FABBB" w14:textId="77777777" w:rsidR="007943D7" w:rsidRPr="00C22F6A" w:rsidRDefault="007943D7">
      <w:pPr>
        <w:rPr>
          <w:lang w:val="fr-CA"/>
        </w:rPr>
      </w:pPr>
    </w:p>
    <w:tbl>
      <w:tblPr>
        <w:tblStyle w:val="TableGrid"/>
        <w:tblW w:w="5000" w:type="pct"/>
        <w:tblLayout w:type="fixed"/>
        <w:tblCellMar>
          <w:left w:w="115" w:type="dxa"/>
          <w:right w:w="115" w:type="dxa"/>
        </w:tblCellMar>
        <w:tblLook w:val="04A0" w:firstRow="1" w:lastRow="0" w:firstColumn="1" w:lastColumn="0" w:noHBand="0" w:noVBand="1"/>
      </w:tblPr>
      <w:tblGrid>
        <w:gridCol w:w="568"/>
        <w:gridCol w:w="4197"/>
        <w:gridCol w:w="4585"/>
      </w:tblGrid>
      <w:tr w:rsidR="00FD6C97" w:rsidRPr="00944BC2" w14:paraId="72411714" w14:textId="77777777" w:rsidTr="00944BC2">
        <w:tc>
          <w:tcPr>
            <w:tcW w:w="10491" w:type="dxa"/>
            <w:gridSpan w:val="3"/>
            <w:shd w:val="clear" w:color="auto" w:fill="334F74"/>
          </w:tcPr>
          <w:p w14:paraId="657BD7E2" w14:textId="77777777" w:rsidR="00FD6C97" w:rsidRPr="00944BC2" w:rsidRDefault="008A10FF" w:rsidP="00086BE7">
            <w:pPr>
              <w:keepNext/>
              <w:keepLines/>
              <w:spacing w:before="120" w:after="120"/>
              <w:rPr>
                <w:rFonts w:cs="Arial"/>
                <w:b/>
                <w:color w:val="FFFFFF" w:themeColor="background1"/>
                <w:sz w:val="26"/>
                <w:szCs w:val="26"/>
                <w:lang w:val="fr-CA"/>
              </w:rPr>
            </w:pPr>
            <w:r w:rsidRPr="00944BC2">
              <w:rPr>
                <w:rFonts w:cs="Arial"/>
                <w:b/>
                <w:color w:val="FFFFFF" w:themeColor="background1"/>
                <w:sz w:val="26"/>
                <w:szCs w:val="26"/>
                <w:lang w:val="fr-CA"/>
              </w:rPr>
              <w:t>Étape</w:t>
            </w:r>
            <w:r w:rsidR="00FD6C97" w:rsidRPr="00944BC2">
              <w:rPr>
                <w:rFonts w:cs="Arial"/>
                <w:b/>
                <w:color w:val="FFFFFF" w:themeColor="background1"/>
                <w:sz w:val="26"/>
                <w:szCs w:val="26"/>
                <w:lang w:val="fr-CA"/>
              </w:rPr>
              <w:t xml:space="preserve"> 2</w:t>
            </w:r>
            <w:r w:rsidRPr="00944BC2">
              <w:rPr>
                <w:rFonts w:cs="Arial"/>
                <w:b/>
                <w:color w:val="FFFFFF" w:themeColor="background1"/>
                <w:sz w:val="26"/>
                <w:szCs w:val="26"/>
                <w:lang w:val="fr-CA"/>
              </w:rPr>
              <w:t> </w:t>
            </w:r>
            <w:r w:rsidR="00FD6C97" w:rsidRPr="00944BC2">
              <w:rPr>
                <w:rFonts w:cs="Arial"/>
                <w:b/>
                <w:color w:val="FFFFFF" w:themeColor="background1"/>
                <w:sz w:val="26"/>
                <w:szCs w:val="26"/>
                <w:lang w:val="fr-CA"/>
              </w:rPr>
              <w:t xml:space="preserve">: </w:t>
            </w:r>
            <w:r w:rsidRPr="00944BC2">
              <w:rPr>
                <w:rFonts w:cs="Arial"/>
                <w:b/>
                <w:color w:val="FFFFFF" w:themeColor="background1"/>
                <w:sz w:val="26"/>
                <w:szCs w:val="26"/>
                <w:lang w:val="fr-CA"/>
              </w:rPr>
              <w:t>Consign</w:t>
            </w:r>
            <w:r w:rsidR="00441D0D" w:rsidRPr="00944BC2">
              <w:rPr>
                <w:rFonts w:cs="Arial"/>
                <w:b/>
                <w:color w:val="FFFFFF" w:themeColor="background1"/>
                <w:sz w:val="26"/>
                <w:szCs w:val="26"/>
                <w:lang w:val="fr-CA"/>
              </w:rPr>
              <w:t>ation d</w:t>
            </w:r>
            <w:r w:rsidRPr="00944BC2">
              <w:rPr>
                <w:rFonts w:cs="Arial"/>
                <w:b/>
                <w:color w:val="FFFFFF" w:themeColor="background1"/>
                <w:sz w:val="26"/>
                <w:szCs w:val="26"/>
                <w:lang w:val="fr-CA"/>
              </w:rPr>
              <w:t>es résultats de</w:t>
            </w:r>
            <w:r w:rsidR="000A59C2" w:rsidRPr="00944BC2">
              <w:rPr>
                <w:rFonts w:cs="Arial"/>
                <w:b/>
                <w:color w:val="FFFFFF" w:themeColor="background1"/>
                <w:sz w:val="26"/>
                <w:szCs w:val="26"/>
                <w:lang w:val="fr-CA"/>
              </w:rPr>
              <w:t xml:space="preserve"> l</w:t>
            </w:r>
            <w:r w:rsidRPr="00944BC2">
              <w:rPr>
                <w:rFonts w:cs="Arial"/>
                <w:b/>
                <w:color w:val="FFFFFF" w:themeColor="background1"/>
                <w:sz w:val="26"/>
                <w:szCs w:val="26"/>
                <w:lang w:val="fr-CA"/>
              </w:rPr>
              <w:t>’arbitrage</w:t>
            </w:r>
          </w:p>
          <w:p w14:paraId="5B15E6B8" w14:textId="77777777" w:rsidR="007943D7" w:rsidRPr="00C22F6A" w:rsidRDefault="008A10FF" w:rsidP="00086BE7">
            <w:pPr>
              <w:keepNext/>
              <w:keepLines/>
              <w:spacing w:before="120" w:after="120"/>
              <w:rPr>
                <w:lang w:val="fr-CA"/>
              </w:rPr>
            </w:pPr>
            <w:r w:rsidRPr="00944BC2">
              <w:rPr>
                <w:rFonts w:cs="Arial"/>
                <w:i/>
                <w:color w:val="FFFFFF" w:themeColor="background1"/>
                <w:sz w:val="18"/>
                <w:szCs w:val="18"/>
                <w:lang w:val="fr-CA"/>
              </w:rPr>
              <w:t>Voir à ce que l’arbitre ait obtenu tous les faits pertinents nécessaires pour rendre une décision éclairée, notamment toute analyse pertinente ou tout élément probant pertinent et une copie de la documentation de l’étape 1 pour chaque consultation qui a eu lieu pendant le processus de règlement direct</w:t>
            </w:r>
            <w:r w:rsidR="002D0F63" w:rsidRPr="00944BC2">
              <w:rPr>
                <w:rFonts w:cs="Arial"/>
                <w:i/>
                <w:color w:val="FFFFFF" w:themeColor="background1"/>
                <w:sz w:val="18"/>
                <w:szCs w:val="18"/>
                <w:lang w:val="fr-CA"/>
              </w:rPr>
              <w:t>.</w:t>
            </w:r>
          </w:p>
        </w:tc>
      </w:tr>
      <w:tr w:rsidR="00093A2D" w:rsidRPr="00944BC2" w14:paraId="6002A34F" w14:textId="77777777" w:rsidTr="00086BE7">
        <w:tc>
          <w:tcPr>
            <w:tcW w:w="610" w:type="dxa"/>
          </w:tcPr>
          <w:p w14:paraId="461F4C3B" w14:textId="77777777" w:rsidR="00093A2D" w:rsidRPr="00C22F6A" w:rsidRDefault="0074416D" w:rsidP="00086BE7">
            <w:pPr>
              <w:spacing w:before="120" w:after="120"/>
              <w:rPr>
                <w:lang w:val="fr-CA"/>
              </w:rPr>
            </w:pPr>
            <w:r w:rsidRPr="00C22F6A">
              <w:rPr>
                <w:lang w:val="fr-CA"/>
              </w:rPr>
              <w:t>2.</w:t>
            </w:r>
            <w:r w:rsidR="00772F71" w:rsidRPr="00C22F6A">
              <w:rPr>
                <w:lang w:val="fr-CA"/>
              </w:rPr>
              <w:t>1</w:t>
            </w:r>
          </w:p>
        </w:tc>
        <w:tc>
          <w:tcPr>
            <w:tcW w:w="4721" w:type="dxa"/>
          </w:tcPr>
          <w:p w14:paraId="39BC57EA" w14:textId="77777777" w:rsidR="00093A2D" w:rsidRPr="00C22F6A" w:rsidRDefault="00E0526C" w:rsidP="00086BE7">
            <w:pPr>
              <w:spacing w:before="120" w:after="120"/>
              <w:rPr>
                <w:rFonts w:cs="Arial"/>
                <w:lang w:val="fr-CA"/>
              </w:rPr>
            </w:pPr>
            <w:r w:rsidRPr="00C22F6A">
              <w:rPr>
                <w:rFonts w:cs="Arial"/>
                <w:lang w:val="fr-CA"/>
              </w:rPr>
              <w:t>Consigner le nom de l’arbitre et résumer l’information fournie aux fins de consultation</w:t>
            </w:r>
            <w:r w:rsidR="007943D7" w:rsidRPr="00C22F6A">
              <w:rPr>
                <w:rFonts w:cs="Arial"/>
                <w:lang w:val="fr-CA"/>
              </w:rPr>
              <w:t>.</w:t>
            </w:r>
          </w:p>
        </w:tc>
        <w:tc>
          <w:tcPr>
            <w:tcW w:w="5160" w:type="dxa"/>
          </w:tcPr>
          <w:p w14:paraId="098575BE" w14:textId="77777777" w:rsidR="00093A2D" w:rsidRPr="00D65935" w:rsidRDefault="00093A2D" w:rsidP="00086BE7">
            <w:pPr>
              <w:spacing w:before="120" w:after="120"/>
              <w:rPr>
                <w:rFonts w:cs="Arial"/>
                <w:sz w:val="20"/>
                <w:szCs w:val="20"/>
                <w:lang w:val="fr-CA"/>
              </w:rPr>
            </w:pPr>
          </w:p>
        </w:tc>
      </w:tr>
      <w:tr w:rsidR="00FD6C97" w:rsidRPr="00944BC2" w14:paraId="73FD099A" w14:textId="77777777" w:rsidTr="00086BE7">
        <w:tc>
          <w:tcPr>
            <w:tcW w:w="610" w:type="dxa"/>
          </w:tcPr>
          <w:p w14:paraId="603FEAC2" w14:textId="77777777" w:rsidR="00FD6C97" w:rsidRPr="00C22F6A" w:rsidRDefault="00772F71" w:rsidP="00086BE7">
            <w:pPr>
              <w:spacing w:before="120" w:after="120"/>
              <w:rPr>
                <w:lang w:val="fr-CA"/>
              </w:rPr>
            </w:pPr>
            <w:r w:rsidRPr="00C22F6A">
              <w:rPr>
                <w:lang w:val="fr-CA"/>
              </w:rPr>
              <w:t>2</w:t>
            </w:r>
            <w:r w:rsidR="0074416D" w:rsidRPr="00C22F6A">
              <w:rPr>
                <w:lang w:val="fr-CA"/>
              </w:rPr>
              <w:t>.2</w:t>
            </w:r>
          </w:p>
        </w:tc>
        <w:tc>
          <w:tcPr>
            <w:tcW w:w="4721" w:type="dxa"/>
          </w:tcPr>
          <w:p w14:paraId="0F1E053F" w14:textId="77777777" w:rsidR="00FD6C97" w:rsidRPr="00C22F6A" w:rsidRDefault="000A59C2" w:rsidP="00086BE7">
            <w:pPr>
              <w:spacing w:before="120" w:after="120"/>
              <w:rPr>
                <w:rFonts w:cs="Arial"/>
                <w:lang w:val="fr-CA"/>
              </w:rPr>
            </w:pPr>
            <w:r>
              <w:rPr>
                <w:rFonts w:cs="Arial"/>
                <w:lang w:val="fr-CA"/>
              </w:rPr>
              <w:t>Lorsque l’arbitre consulte d’autres personnes</w:t>
            </w:r>
            <w:r w:rsidR="00E0526C" w:rsidRPr="00C22F6A">
              <w:rPr>
                <w:rFonts w:cs="Arial"/>
                <w:lang w:val="fr-CA"/>
              </w:rPr>
              <w:t>, consigner :</w:t>
            </w:r>
          </w:p>
          <w:p w14:paraId="0DBC0387" w14:textId="77777777" w:rsidR="00FD6C97" w:rsidRPr="00C22F6A" w:rsidRDefault="00E0526C" w:rsidP="00086BE7">
            <w:pPr>
              <w:pStyle w:val="ListParagraph"/>
              <w:numPr>
                <w:ilvl w:val="0"/>
                <w:numId w:val="8"/>
              </w:numPr>
              <w:spacing w:before="120" w:after="120"/>
              <w:ind w:left="318" w:hanging="284"/>
              <w:rPr>
                <w:rFonts w:cs="Arial"/>
                <w:lang w:val="fr-CA"/>
              </w:rPr>
            </w:pPr>
            <w:r w:rsidRPr="00C22F6A">
              <w:rPr>
                <w:rFonts w:cs="Arial"/>
                <w:lang w:val="fr-CA"/>
              </w:rPr>
              <w:t xml:space="preserve">le nom des personnes </w:t>
            </w:r>
            <w:r w:rsidR="000A59C2">
              <w:rPr>
                <w:rFonts w:cs="Arial"/>
                <w:lang w:val="fr-CA"/>
              </w:rPr>
              <w:t>qui ont conseillé l’arbitre</w:t>
            </w:r>
            <w:r w:rsidR="00E76EF7" w:rsidRPr="00C22F6A">
              <w:rPr>
                <w:rFonts w:cs="Arial"/>
                <w:lang w:val="fr-CA"/>
              </w:rPr>
              <w:t>;</w:t>
            </w:r>
            <w:r w:rsidR="00FD6C97" w:rsidRPr="00C22F6A">
              <w:rPr>
                <w:rFonts w:cs="Arial"/>
                <w:lang w:val="fr-CA"/>
              </w:rPr>
              <w:t xml:space="preserve"> </w:t>
            </w:r>
          </w:p>
          <w:p w14:paraId="00E00A05" w14:textId="77777777" w:rsidR="00FD6C97" w:rsidRPr="00C22F6A" w:rsidRDefault="00E0526C" w:rsidP="00086BE7">
            <w:pPr>
              <w:pStyle w:val="ListParagraph"/>
              <w:numPr>
                <w:ilvl w:val="0"/>
                <w:numId w:val="8"/>
              </w:numPr>
              <w:spacing w:before="120" w:after="120"/>
              <w:ind w:left="322" w:hanging="283"/>
              <w:rPr>
                <w:rFonts w:cs="Arial"/>
                <w:lang w:val="fr-CA"/>
              </w:rPr>
            </w:pPr>
            <w:r w:rsidRPr="00C22F6A">
              <w:rPr>
                <w:rFonts w:cs="Arial"/>
                <w:lang w:val="fr-CA"/>
              </w:rPr>
              <w:t>la date des discussions</w:t>
            </w:r>
            <w:r w:rsidR="00E76EF7" w:rsidRPr="00C22F6A">
              <w:rPr>
                <w:rFonts w:cs="Arial"/>
                <w:lang w:val="fr-CA"/>
              </w:rPr>
              <w:t>;</w:t>
            </w:r>
            <w:r w:rsidR="00FD6C97" w:rsidRPr="00C22F6A">
              <w:rPr>
                <w:rFonts w:cs="Arial"/>
                <w:lang w:val="fr-CA"/>
              </w:rPr>
              <w:t xml:space="preserve"> </w:t>
            </w:r>
          </w:p>
          <w:p w14:paraId="2DED093B" w14:textId="77777777" w:rsidR="00FD6C97" w:rsidRPr="00C22F6A" w:rsidRDefault="00E0526C" w:rsidP="00086BE7">
            <w:pPr>
              <w:pStyle w:val="ListParagraph"/>
              <w:numPr>
                <w:ilvl w:val="0"/>
                <w:numId w:val="8"/>
              </w:numPr>
              <w:spacing w:before="120" w:after="120"/>
              <w:ind w:left="322" w:hanging="283"/>
              <w:rPr>
                <w:rFonts w:cs="Arial"/>
                <w:lang w:val="fr-CA"/>
              </w:rPr>
            </w:pPr>
            <w:r w:rsidRPr="00C22F6A">
              <w:rPr>
                <w:rFonts w:cs="Arial"/>
                <w:lang w:val="fr-CA"/>
              </w:rPr>
              <w:t>les participants</w:t>
            </w:r>
            <w:r w:rsidR="00E76EF7" w:rsidRPr="00C22F6A">
              <w:rPr>
                <w:rFonts w:cs="Arial"/>
                <w:lang w:val="fr-CA"/>
              </w:rPr>
              <w:t>;</w:t>
            </w:r>
          </w:p>
          <w:p w14:paraId="7987E4BD" w14:textId="77777777" w:rsidR="00772F71" w:rsidRPr="00C22F6A" w:rsidRDefault="008E06D6" w:rsidP="00086BE7">
            <w:pPr>
              <w:pStyle w:val="ListParagraph"/>
              <w:numPr>
                <w:ilvl w:val="0"/>
                <w:numId w:val="8"/>
              </w:numPr>
              <w:spacing w:before="120" w:after="120"/>
              <w:ind w:left="322" w:hanging="283"/>
              <w:contextualSpacing w:val="0"/>
              <w:rPr>
                <w:rFonts w:cs="Arial"/>
                <w:lang w:val="fr-CA"/>
              </w:rPr>
            </w:pPr>
            <w:r w:rsidRPr="0030430C">
              <w:rPr>
                <w:rFonts w:cs="Arial"/>
                <w:lang w:val="fr-CA"/>
              </w:rPr>
              <w:t xml:space="preserve">le conseil </w:t>
            </w:r>
            <w:r w:rsidR="00E0526C" w:rsidRPr="0030430C">
              <w:rPr>
                <w:rFonts w:cs="Arial"/>
                <w:lang w:val="fr-CA"/>
              </w:rPr>
              <w:t xml:space="preserve">reçu et </w:t>
            </w:r>
            <w:r w:rsidR="00F448FC" w:rsidRPr="0030430C">
              <w:rPr>
                <w:rFonts w:cs="Arial"/>
                <w:lang w:val="fr-CA"/>
              </w:rPr>
              <w:t>la mesure recommandée</w:t>
            </w:r>
            <w:r w:rsidR="00E22E6D" w:rsidRPr="0030430C">
              <w:rPr>
                <w:rFonts w:cs="Arial"/>
                <w:lang w:val="fr-CA"/>
              </w:rPr>
              <w:t>.</w:t>
            </w:r>
          </w:p>
        </w:tc>
        <w:tc>
          <w:tcPr>
            <w:tcW w:w="5160" w:type="dxa"/>
          </w:tcPr>
          <w:p w14:paraId="6D5F16DD" w14:textId="77777777" w:rsidR="00FD6C97" w:rsidRPr="00C22F6A" w:rsidRDefault="00FD6C97" w:rsidP="00086BE7">
            <w:pPr>
              <w:spacing w:before="120" w:after="120"/>
              <w:rPr>
                <w:lang w:val="fr-CA"/>
              </w:rPr>
            </w:pPr>
          </w:p>
        </w:tc>
      </w:tr>
      <w:tr w:rsidR="001714E8" w:rsidRPr="00944BC2" w14:paraId="6A8DD784" w14:textId="77777777" w:rsidTr="00944BC2">
        <w:tc>
          <w:tcPr>
            <w:tcW w:w="10491" w:type="dxa"/>
            <w:gridSpan w:val="3"/>
            <w:shd w:val="clear" w:color="auto" w:fill="334F74"/>
          </w:tcPr>
          <w:p w14:paraId="4D6659BF" w14:textId="77777777" w:rsidR="001714E8" w:rsidRPr="00C22F6A" w:rsidRDefault="006417B5" w:rsidP="00086BE7">
            <w:pPr>
              <w:keepNext/>
              <w:keepLines/>
              <w:spacing w:before="120" w:after="120"/>
              <w:rPr>
                <w:rFonts w:cs="Arial"/>
                <w:sz w:val="20"/>
                <w:szCs w:val="20"/>
                <w:lang w:val="fr-CA"/>
              </w:rPr>
            </w:pPr>
            <w:r w:rsidRPr="00944BC2">
              <w:rPr>
                <w:rFonts w:cs="Arial"/>
                <w:b/>
                <w:color w:val="FFFFFF" w:themeColor="background1"/>
                <w:sz w:val="26"/>
                <w:szCs w:val="26"/>
                <w:lang w:val="fr-CA"/>
              </w:rPr>
              <w:t>Consign</w:t>
            </w:r>
            <w:r w:rsidR="00976DEA" w:rsidRPr="00944BC2">
              <w:rPr>
                <w:rFonts w:cs="Arial"/>
                <w:b/>
                <w:color w:val="FFFFFF" w:themeColor="background1"/>
                <w:sz w:val="26"/>
                <w:szCs w:val="26"/>
                <w:lang w:val="fr-CA"/>
              </w:rPr>
              <w:t>ation d</w:t>
            </w:r>
            <w:r w:rsidRPr="00944BC2">
              <w:rPr>
                <w:rFonts w:cs="Arial"/>
                <w:b/>
                <w:color w:val="FFFFFF" w:themeColor="background1"/>
                <w:sz w:val="26"/>
                <w:szCs w:val="26"/>
                <w:lang w:val="fr-CA"/>
              </w:rPr>
              <w:t>e la décision de l’arbitre</w:t>
            </w:r>
          </w:p>
        </w:tc>
      </w:tr>
      <w:tr w:rsidR="00F0113C" w:rsidRPr="00944BC2" w14:paraId="363B53CE" w14:textId="77777777" w:rsidTr="00086BE7">
        <w:tc>
          <w:tcPr>
            <w:tcW w:w="610" w:type="dxa"/>
          </w:tcPr>
          <w:p w14:paraId="5E91C8B4" w14:textId="77777777" w:rsidR="00F0113C" w:rsidRPr="00C22F6A" w:rsidRDefault="0074416D" w:rsidP="00086BE7">
            <w:pPr>
              <w:spacing w:before="120" w:after="120"/>
              <w:rPr>
                <w:rFonts w:cs="Arial"/>
                <w:lang w:val="fr-CA"/>
              </w:rPr>
            </w:pPr>
            <w:r w:rsidRPr="00C22F6A">
              <w:rPr>
                <w:rFonts w:cs="Arial"/>
                <w:lang w:val="fr-CA"/>
              </w:rPr>
              <w:t>2.3</w:t>
            </w:r>
          </w:p>
        </w:tc>
        <w:tc>
          <w:tcPr>
            <w:tcW w:w="4721" w:type="dxa"/>
          </w:tcPr>
          <w:p w14:paraId="19CD94DC" w14:textId="77777777" w:rsidR="00437394" w:rsidRDefault="001F6FA0" w:rsidP="00086BE7">
            <w:pPr>
              <w:pStyle w:val="ListParagraph"/>
              <w:numPr>
                <w:ilvl w:val="0"/>
                <w:numId w:val="9"/>
              </w:numPr>
              <w:spacing w:before="120" w:after="120"/>
              <w:ind w:left="318" w:hanging="284"/>
              <w:contextualSpacing w:val="0"/>
              <w:rPr>
                <w:rFonts w:cs="Arial"/>
                <w:lang w:val="fr-CA"/>
              </w:rPr>
            </w:pPr>
            <w:r>
              <w:rPr>
                <w:rFonts w:cs="Arial"/>
                <w:lang w:val="fr-CA"/>
              </w:rPr>
              <w:t>C</w:t>
            </w:r>
            <w:r w:rsidR="007B733F" w:rsidRPr="00C22F6A">
              <w:rPr>
                <w:rFonts w:cs="Arial"/>
                <w:lang w:val="fr-CA"/>
              </w:rPr>
              <w:t xml:space="preserve">onsigner la décision rendue par l’arbitre ainsi que </w:t>
            </w:r>
            <w:r w:rsidR="000827A7" w:rsidRPr="00C22F6A">
              <w:rPr>
                <w:rFonts w:cs="Arial"/>
                <w:lang w:val="fr-CA"/>
              </w:rPr>
              <w:t>les raisons à l’appui</w:t>
            </w:r>
            <w:r>
              <w:rPr>
                <w:rFonts w:cs="Arial"/>
                <w:lang w:val="fr-CA"/>
              </w:rPr>
              <w:t>.</w:t>
            </w:r>
          </w:p>
        </w:tc>
        <w:tc>
          <w:tcPr>
            <w:tcW w:w="5160" w:type="dxa"/>
          </w:tcPr>
          <w:p w14:paraId="7ED46BDF" w14:textId="77777777" w:rsidR="00F0113C" w:rsidRPr="00D65935" w:rsidRDefault="00F0113C" w:rsidP="00086BE7">
            <w:pPr>
              <w:spacing w:before="120" w:after="120"/>
              <w:rPr>
                <w:rFonts w:cs="Arial"/>
                <w:sz w:val="20"/>
                <w:szCs w:val="20"/>
                <w:lang w:val="fr-CA"/>
              </w:rPr>
            </w:pPr>
          </w:p>
        </w:tc>
      </w:tr>
      <w:tr w:rsidR="000A59C2" w:rsidRPr="00944BC2" w14:paraId="59434E4B" w14:textId="77777777" w:rsidTr="00086BE7">
        <w:tc>
          <w:tcPr>
            <w:tcW w:w="610" w:type="dxa"/>
          </w:tcPr>
          <w:p w14:paraId="1D0AE12D" w14:textId="77777777" w:rsidR="000A59C2" w:rsidRPr="00C22F6A" w:rsidRDefault="000A59C2" w:rsidP="00086BE7">
            <w:pPr>
              <w:spacing w:before="120" w:after="120"/>
              <w:rPr>
                <w:rFonts w:cs="Arial"/>
                <w:lang w:val="fr-CA"/>
              </w:rPr>
            </w:pPr>
            <w:r>
              <w:rPr>
                <w:rFonts w:cs="Arial"/>
                <w:lang w:val="fr-CA"/>
              </w:rPr>
              <w:t>2.4</w:t>
            </w:r>
          </w:p>
        </w:tc>
        <w:tc>
          <w:tcPr>
            <w:tcW w:w="4721" w:type="dxa"/>
          </w:tcPr>
          <w:p w14:paraId="456D3EEF" w14:textId="77777777" w:rsidR="000A59C2" w:rsidRPr="000A59C2" w:rsidRDefault="00434A75" w:rsidP="00086BE7">
            <w:pPr>
              <w:spacing w:before="120" w:after="120"/>
              <w:rPr>
                <w:rFonts w:cs="Arial"/>
                <w:lang w:val="fr-CA"/>
              </w:rPr>
            </w:pPr>
            <w:r>
              <w:rPr>
                <w:rFonts w:cs="Arial"/>
                <w:lang w:val="fr-CA"/>
              </w:rPr>
              <w:t xml:space="preserve">Si les personnes à l’origine de la divergence d’opinions </w:t>
            </w:r>
            <w:r w:rsidR="00355F36" w:rsidRPr="00355F36">
              <w:rPr>
                <w:rFonts w:cs="Arial"/>
                <w:u w:val="single"/>
                <w:lang w:val="fr-CA"/>
              </w:rPr>
              <w:t>ne sont pas satisfaites de la décision dégagée</w:t>
            </w:r>
            <w:r>
              <w:rPr>
                <w:rFonts w:cs="Arial"/>
                <w:lang w:val="fr-CA"/>
              </w:rPr>
              <w:t xml:space="preserve"> </w:t>
            </w:r>
            <w:r w:rsidR="00195DA1">
              <w:rPr>
                <w:rFonts w:cs="Arial"/>
                <w:lang w:val="fr-CA"/>
              </w:rPr>
              <w:t>lors </w:t>
            </w:r>
            <w:r>
              <w:rPr>
                <w:rFonts w:cs="Arial"/>
                <w:lang w:val="fr-CA"/>
              </w:rPr>
              <w:t>du processus d’arbitrage</w:t>
            </w:r>
            <w:r w:rsidR="00195DA1">
              <w:rPr>
                <w:rFonts w:cs="Arial"/>
                <w:lang w:val="fr-CA"/>
              </w:rPr>
              <w:t> </w:t>
            </w:r>
            <w:r>
              <w:rPr>
                <w:rFonts w:cs="Arial"/>
                <w:lang w:val="fr-CA"/>
              </w:rPr>
              <w:t>:</w:t>
            </w:r>
          </w:p>
          <w:p w14:paraId="0B142A86" w14:textId="77777777" w:rsidR="000A59C2" w:rsidRDefault="00434A75" w:rsidP="00086BE7">
            <w:pPr>
              <w:pStyle w:val="ListParagraph"/>
              <w:numPr>
                <w:ilvl w:val="0"/>
                <w:numId w:val="15"/>
              </w:numPr>
              <w:spacing w:before="120" w:after="120"/>
              <w:ind w:left="335" w:hanging="335"/>
              <w:rPr>
                <w:rFonts w:cs="Arial"/>
                <w:lang w:val="fr-CA"/>
              </w:rPr>
            </w:pPr>
            <w:r>
              <w:rPr>
                <w:rFonts w:cs="Arial"/>
                <w:lang w:val="fr-CA"/>
              </w:rPr>
              <w:t>consigner la raison pour laquelle la décision rendue n’a pas été jugée appropriée dans les circonstances;</w:t>
            </w:r>
          </w:p>
          <w:p w14:paraId="1FB00609" w14:textId="77777777" w:rsidR="00437394" w:rsidRDefault="000A59C2" w:rsidP="00086BE7">
            <w:pPr>
              <w:pStyle w:val="ListParagraph"/>
              <w:numPr>
                <w:ilvl w:val="0"/>
                <w:numId w:val="15"/>
              </w:numPr>
              <w:spacing w:before="120" w:after="120"/>
              <w:ind w:left="335" w:hanging="335"/>
              <w:contextualSpacing w:val="0"/>
              <w:rPr>
                <w:rFonts w:cs="Arial"/>
                <w:lang w:val="fr-CA"/>
              </w:rPr>
            </w:pPr>
            <w:r w:rsidRPr="000A59C2">
              <w:rPr>
                <w:rFonts w:cs="Arial"/>
                <w:lang w:val="fr-CA"/>
              </w:rPr>
              <w:t>passer à l’</w:t>
            </w:r>
            <w:r w:rsidRPr="000A59C2">
              <w:rPr>
                <w:rFonts w:cs="Arial"/>
                <w:b/>
                <w:lang w:val="fr-CA"/>
              </w:rPr>
              <w:t xml:space="preserve">étape 3 </w:t>
            </w:r>
            <w:r w:rsidR="00C00F19" w:rsidRPr="00C00F19">
              <w:rPr>
                <w:rFonts w:cs="Arial"/>
                <w:b/>
                <w:lang w:val="fr-CA"/>
              </w:rPr>
              <w:t>–</w:t>
            </w:r>
            <w:r w:rsidRPr="000A59C2">
              <w:rPr>
                <w:rFonts w:cs="Arial"/>
                <w:b/>
                <w:lang w:val="fr-CA"/>
              </w:rPr>
              <w:t xml:space="preserve"> Appel </w:t>
            </w:r>
            <w:r w:rsidRPr="000A59C2">
              <w:rPr>
                <w:rFonts w:cs="Arial"/>
                <w:lang w:val="fr-CA"/>
              </w:rPr>
              <w:t>pour qu’une décision définitive soit prise.</w:t>
            </w:r>
          </w:p>
        </w:tc>
        <w:tc>
          <w:tcPr>
            <w:tcW w:w="5160" w:type="dxa"/>
          </w:tcPr>
          <w:p w14:paraId="3EE45951" w14:textId="77777777" w:rsidR="000A59C2" w:rsidRPr="00D65935" w:rsidRDefault="000A59C2" w:rsidP="00086BE7">
            <w:pPr>
              <w:spacing w:before="120" w:after="120"/>
              <w:rPr>
                <w:rFonts w:cs="Arial"/>
                <w:sz w:val="20"/>
                <w:szCs w:val="20"/>
                <w:lang w:val="fr-CA"/>
              </w:rPr>
            </w:pPr>
          </w:p>
        </w:tc>
      </w:tr>
      <w:tr w:rsidR="00093A2D" w:rsidRPr="00944BC2" w14:paraId="602CE1A7" w14:textId="77777777" w:rsidTr="00086BE7">
        <w:tc>
          <w:tcPr>
            <w:tcW w:w="610" w:type="dxa"/>
            <w:tcBorders>
              <w:bottom w:val="single" w:sz="4" w:space="0" w:color="auto"/>
            </w:tcBorders>
          </w:tcPr>
          <w:p w14:paraId="061F733C" w14:textId="77777777" w:rsidR="00093A2D" w:rsidRPr="00C22F6A" w:rsidRDefault="0074416D" w:rsidP="00086BE7">
            <w:pPr>
              <w:spacing w:before="120" w:after="120"/>
              <w:rPr>
                <w:lang w:val="fr-CA"/>
              </w:rPr>
            </w:pPr>
            <w:r w:rsidRPr="00C22F6A">
              <w:rPr>
                <w:lang w:val="fr-CA"/>
              </w:rPr>
              <w:t>2.</w:t>
            </w:r>
            <w:r w:rsidR="000A59C2">
              <w:rPr>
                <w:lang w:val="fr-CA"/>
              </w:rPr>
              <w:t>5</w:t>
            </w:r>
          </w:p>
        </w:tc>
        <w:tc>
          <w:tcPr>
            <w:tcW w:w="4721" w:type="dxa"/>
            <w:tcBorders>
              <w:bottom w:val="single" w:sz="4" w:space="0" w:color="auto"/>
            </w:tcBorders>
          </w:tcPr>
          <w:p w14:paraId="7F946C0E" w14:textId="77777777" w:rsidR="00B830EE" w:rsidRPr="00C22F6A" w:rsidRDefault="00B830EE" w:rsidP="00086BE7">
            <w:pPr>
              <w:spacing w:before="120" w:after="120"/>
              <w:rPr>
                <w:rFonts w:cs="Arial"/>
                <w:lang w:val="fr-CA"/>
              </w:rPr>
            </w:pPr>
            <w:r w:rsidRPr="00C22F6A">
              <w:rPr>
                <w:rFonts w:cs="Arial"/>
                <w:lang w:val="fr-CA"/>
              </w:rPr>
              <w:t xml:space="preserve">Si les personnes à l’origine de la divergence d’opinions </w:t>
            </w:r>
            <w:r w:rsidRPr="00C22F6A">
              <w:rPr>
                <w:rFonts w:cs="Arial"/>
                <w:u w:val="single"/>
                <w:lang w:val="fr-CA"/>
              </w:rPr>
              <w:t xml:space="preserve">sont satisfaites de la décision </w:t>
            </w:r>
            <w:r w:rsidR="00D10C4F" w:rsidRPr="00C22F6A">
              <w:rPr>
                <w:rFonts w:cs="Arial"/>
                <w:u w:val="single"/>
                <w:lang w:val="fr-CA"/>
              </w:rPr>
              <w:t>dégagée</w:t>
            </w:r>
            <w:r w:rsidR="00437394">
              <w:rPr>
                <w:rFonts w:cs="Arial"/>
                <w:lang w:val="fr-CA"/>
              </w:rPr>
              <w:t xml:space="preserve"> </w:t>
            </w:r>
            <w:r w:rsidR="00195DA1">
              <w:rPr>
                <w:rFonts w:cs="Arial"/>
                <w:lang w:val="fr-CA"/>
              </w:rPr>
              <w:t xml:space="preserve">lors </w:t>
            </w:r>
            <w:r w:rsidRPr="00C22F6A">
              <w:rPr>
                <w:rFonts w:cs="Arial"/>
                <w:lang w:val="fr-CA"/>
              </w:rPr>
              <w:t>du processus d’arbitrage :</w:t>
            </w:r>
          </w:p>
          <w:p w14:paraId="7C025C2E" w14:textId="77777777" w:rsidR="001714E8" w:rsidRPr="00C22F6A" w:rsidRDefault="001714E8" w:rsidP="00086BE7">
            <w:pPr>
              <w:pStyle w:val="ListParagraph"/>
              <w:numPr>
                <w:ilvl w:val="0"/>
                <w:numId w:val="11"/>
              </w:numPr>
              <w:spacing w:before="120" w:after="120"/>
              <w:ind w:left="318" w:hanging="284"/>
              <w:rPr>
                <w:rFonts w:cs="Arial"/>
                <w:lang w:val="fr-CA"/>
              </w:rPr>
            </w:pPr>
            <w:r w:rsidRPr="00C22F6A">
              <w:rPr>
                <w:rFonts w:cs="Arial"/>
                <w:lang w:val="fr-CA"/>
              </w:rPr>
              <w:t xml:space="preserve"> </w:t>
            </w:r>
            <w:r w:rsidR="001F6FA0">
              <w:rPr>
                <w:rFonts w:cs="Arial"/>
                <w:lang w:val="fr-CA"/>
              </w:rPr>
              <w:t>exposer</w:t>
            </w:r>
            <w:r w:rsidR="00F94828">
              <w:rPr>
                <w:rFonts w:cs="Arial"/>
                <w:lang w:val="fr-CA"/>
              </w:rPr>
              <w:t xml:space="preserve"> l’</w:t>
            </w:r>
            <w:r w:rsidR="00B77008" w:rsidRPr="00C22F6A">
              <w:rPr>
                <w:rFonts w:cs="Arial"/>
                <w:lang w:val="fr-CA"/>
              </w:rPr>
              <w:t xml:space="preserve">entente </w:t>
            </w:r>
            <w:r w:rsidR="001F6FA0">
              <w:rPr>
                <w:rFonts w:cs="Arial"/>
                <w:lang w:val="fr-CA"/>
              </w:rPr>
              <w:t xml:space="preserve">survenue </w:t>
            </w:r>
            <w:r w:rsidR="00B77008" w:rsidRPr="00C22F6A">
              <w:rPr>
                <w:rFonts w:cs="Arial"/>
                <w:lang w:val="fr-CA"/>
              </w:rPr>
              <w:t>entre les personnes à l’origine de la divergence d’opinions</w:t>
            </w:r>
            <w:r w:rsidR="00F94828">
              <w:rPr>
                <w:rFonts w:cs="Arial"/>
                <w:lang w:val="fr-CA"/>
              </w:rPr>
              <w:t xml:space="preserve"> et consigner la décision prise</w:t>
            </w:r>
            <w:r w:rsidR="00D10C4F" w:rsidRPr="00C22F6A">
              <w:rPr>
                <w:rFonts w:cs="Arial"/>
                <w:lang w:val="fr-CA"/>
              </w:rPr>
              <w:t>;</w:t>
            </w:r>
          </w:p>
          <w:p w14:paraId="01973DBC" w14:textId="77777777" w:rsidR="00B77008" w:rsidRPr="00C22F6A" w:rsidRDefault="001F6FA0" w:rsidP="00086BE7">
            <w:pPr>
              <w:pStyle w:val="ListParagraph"/>
              <w:numPr>
                <w:ilvl w:val="0"/>
                <w:numId w:val="11"/>
              </w:numPr>
              <w:spacing w:before="120" w:after="120"/>
              <w:ind w:left="318" w:hanging="284"/>
              <w:rPr>
                <w:rFonts w:cs="Arial"/>
                <w:lang w:val="fr-CA"/>
              </w:rPr>
            </w:pPr>
            <w:r>
              <w:rPr>
                <w:rFonts w:cs="Arial"/>
                <w:lang w:val="fr-CA"/>
              </w:rPr>
              <w:t>prouver</w:t>
            </w:r>
            <w:r w:rsidR="00F94828">
              <w:rPr>
                <w:rFonts w:cs="Arial"/>
                <w:lang w:val="fr-CA"/>
              </w:rPr>
              <w:t xml:space="preserve"> </w:t>
            </w:r>
            <w:r w:rsidR="00B77008" w:rsidRPr="00C22F6A">
              <w:rPr>
                <w:rFonts w:cs="Arial"/>
                <w:lang w:val="fr-CA"/>
              </w:rPr>
              <w:t xml:space="preserve">que l’arbitre a examiné la documentation et approuvé le </w:t>
            </w:r>
            <w:r w:rsidR="00D10C4F" w:rsidRPr="00C22F6A">
              <w:rPr>
                <w:rFonts w:cs="Arial"/>
                <w:lang w:val="fr-CA"/>
              </w:rPr>
              <w:t xml:space="preserve">formulaire </w:t>
            </w:r>
            <w:r w:rsidR="00F94828">
              <w:rPr>
                <w:rFonts w:cs="Arial"/>
                <w:lang w:val="fr-CA"/>
              </w:rPr>
              <w:t>« </w:t>
            </w:r>
            <w:r w:rsidR="00E76EF7" w:rsidRPr="00C22F6A">
              <w:rPr>
                <w:rFonts w:cs="Arial"/>
                <w:lang w:val="fr-CA"/>
              </w:rPr>
              <w:t>D</w:t>
            </w:r>
            <w:r w:rsidR="00B77008" w:rsidRPr="00C22F6A">
              <w:rPr>
                <w:rFonts w:cs="Arial"/>
                <w:lang w:val="fr-CA"/>
              </w:rPr>
              <w:t>ivergence d’opinions</w:t>
            </w:r>
            <w:r w:rsidR="00F94828">
              <w:rPr>
                <w:rFonts w:cs="Arial"/>
                <w:lang w:val="fr-CA"/>
              </w:rPr>
              <w:t> »</w:t>
            </w:r>
            <w:r w:rsidR="00B77008" w:rsidRPr="00C22F6A">
              <w:rPr>
                <w:rFonts w:cs="Arial"/>
                <w:lang w:val="fr-CA"/>
              </w:rPr>
              <w:t xml:space="preserve"> </w:t>
            </w:r>
            <w:r w:rsidR="00F94828">
              <w:rPr>
                <w:rFonts w:cs="Arial"/>
                <w:lang w:val="fr-CA"/>
              </w:rPr>
              <w:t xml:space="preserve">dûment rempli </w:t>
            </w:r>
            <w:r w:rsidR="00B77008" w:rsidRPr="00C22F6A">
              <w:rPr>
                <w:rFonts w:cs="Arial"/>
                <w:lang w:val="fr-CA"/>
              </w:rPr>
              <w:t>en le signant</w:t>
            </w:r>
            <w:r w:rsidR="00D10C4F" w:rsidRPr="00C22F6A">
              <w:rPr>
                <w:rFonts w:cs="Arial"/>
                <w:lang w:val="fr-CA"/>
              </w:rPr>
              <w:t>;</w:t>
            </w:r>
          </w:p>
          <w:p w14:paraId="222813DD" w14:textId="77777777" w:rsidR="00437394" w:rsidRDefault="00F94828" w:rsidP="00086BE7">
            <w:pPr>
              <w:pStyle w:val="ListParagraph"/>
              <w:numPr>
                <w:ilvl w:val="0"/>
                <w:numId w:val="11"/>
              </w:numPr>
              <w:spacing w:before="120" w:after="120"/>
              <w:ind w:left="318" w:hanging="284"/>
              <w:contextualSpacing w:val="0"/>
              <w:rPr>
                <w:rFonts w:cs="Arial"/>
                <w:lang w:val="fr-CA"/>
              </w:rPr>
            </w:pPr>
            <w:r w:rsidRPr="00F94828">
              <w:rPr>
                <w:rFonts w:cs="Arial"/>
                <w:lang w:val="fr-CA"/>
              </w:rPr>
              <w:t>faire un renvoi pour démontrer que la conclusion dégagée</w:t>
            </w:r>
            <w:r w:rsidR="002069B2">
              <w:rPr>
                <w:rFonts w:cs="Arial"/>
                <w:lang w:val="fr-CA"/>
              </w:rPr>
              <w:t xml:space="preserve"> de la consultation</w:t>
            </w:r>
            <w:r w:rsidRPr="00F94828">
              <w:rPr>
                <w:rFonts w:cs="Arial"/>
                <w:lang w:val="fr-CA"/>
              </w:rPr>
              <w:t xml:space="preserve"> a été appliquée.</w:t>
            </w:r>
          </w:p>
        </w:tc>
        <w:tc>
          <w:tcPr>
            <w:tcW w:w="5160" w:type="dxa"/>
            <w:tcBorders>
              <w:bottom w:val="single" w:sz="4" w:space="0" w:color="auto"/>
            </w:tcBorders>
          </w:tcPr>
          <w:p w14:paraId="768ED276" w14:textId="77777777" w:rsidR="00093A2D" w:rsidRPr="00C22F6A" w:rsidRDefault="00093A2D" w:rsidP="00086BE7">
            <w:pPr>
              <w:spacing w:before="120" w:after="120"/>
              <w:rPr>
                <w:rFonts w:cs="Arial"/>
                <w:sz w:val="20"/>
                <w:szCs w:val="20"/>
                <w:lang w:val="fr-CA"/>
              </w:rPr>
            </w:pPr>
          </w:p>
        </w:tc>
      </w:tr>
    </w:tbl>
    <w:p w14:paraId="34D9B1BD" w14:textId="77777777" w:rsidR="007943D7" w:rsidRPr="00C22F6A" w:rsidRDefault="007943D7">
      <w:pPr>
        <w:rPr>
          <w:lang w:val="fr-CA"/>
        </w:rPr>
      </w:pPr>
    </w:p>
    <w:tbl>
      <w:tblPr>
        <w:tblStyle w:val="TableGrid"/>
        <w:tblW w:w="5000" w:type="pct"/>
        <w:tblLayout w:type="fixed"/>
        <w:tblCellMar>
          <w:left w:w="115" w:type="dxa"/>
          <w:right w:w="115" w:type="dxa"/>
        </w:tblCellMar>
        <w:tblLook w:val="04A0" w:firstRow="1" w:lastRow="0" w:firstColumn="1" w:lastColumn="0" w:noHBand="0" w:noVBand="1"/>
      </w:tblPr>
      <w:tblGrid>
        <w:gridCol w:w="568"/>
        <w:gridCol w:w="4193"/>
        <w:gridCol w:w="4589"/>
      </w:tblGrid>
      <w:tr w:rsidR="0075614B" w:rsidRPr="00944BC2" w14:paraId="461D75E3" w14:textId="77777777" w:rsidTr="00944BC2">
        <w:tc>
          <w:tcPr>
            <w:tcW w:w="10491" w:type="dxa"/>
            <w:gridSpan w:val="3"/>
            <w:shd w:val="clear" w:color="auto" w:fill="334F74"/>
          </w:tcPr>
          <w:p w14:paraId="1E8472FC" w14:textId="77777777" w:rsidR="0075614B" w:rsidRPr="00944BC2" w:rsidRDefault="008D3D0C" w:rsidP="00086BE7">
            <w:pPr>
              <w:keepNext/>
              <w:keepLines/>
              <w:spacing w:before="120" w:after="120"/>
              <w:rPr>
                <w:rFonts w:cs="Arial"/>
                <w:b/>
                <w:color w:val="FFFFFF" w:themeColor="background1"/>
                <w:sz w:val="26"/>
                <w:szCs w:val="26"/>
                <w:lang w:val="fr-CA"/>
              </w:rPr>
            </w:pPr>
            <w:r w:rsidRPr="00944BC2">
              <w:rPr>
                <w:rFonts w:cs="Arial"/>
                <w:b/>
                <w:color w:val="FFFFFF" w:themeColor="background1"/>
                <w:sz w:val="26"/>
                <w:szCs w:val="26"/>
                <w:lang w:val="fr-CA"/>
              </w:rPr>
              <w:t>Étape 3 </w:t>
            </w:r>
            <w:r w:rsidR="0075614B" w:rsidRPr="00944BC2">
              <w:rPr>
                <w:rFonts w:cs="Arial"/>
                <w:b/>
                <w:color w:val="FFFFFF" w:themeColor="background1"/>
                <w:sz w:val="26"/>
                <w:szCs w:val="26"/>
                <w:lang w:val="fr-CA"/>
              </w:rPr>
              <w:t xml:space="preserve">: </w:t>
            </w:r>
            <w:r w:rsidRPr="00944BC2">
              <w:rPr>
                <w:rFonts w:cs="Arial"/>
                <w:b/>
                <w:color w:val="FFFFFF" w:themeColor="background1"/>
                <w:sz w:val="26"/>
                <w:szCs w:val="26"/>
                <w:lang w:val="fr-CA"/>
              </w:rPr>
              <w:t>Consigner les résultats du processu</w:t>
            </w:r>
            <w:r w:rsidR="006B1C29" w:rsidRPr="00944BC2">
              <w:rPr>
                <w:rFonts w:cs="Arial"/>
                <w:b/>
                <w:color w:val="FFFFFF" w:themeColor="background1"/>
                <w:sz w:val="26"/>
                <w:szCs w:val="26"/>
                <w:lang w:val="fr-CA"/>
              </w:rPr>
              <w:t>s</w:t>
            </w:r>
            <w:r w:rsidRPr="00944BC2">
              <w:rPr>
                <w:rFonts w:cs="Arial"/>
                <w:b/>
                <w:color w:val="FFFFFF" w:themeColor="background1"/>
                <w:sz w:val="26"/>
                <w:szCs w:val="26"/>
                <w:lang w:val="fr-CA"/>
              </w:rPr>
              <w:t xml:space="preserve"> d’appel</w:t>
            </w:r>
          </w:p>
          <w:p w14:paraId="5A3BE06C" w14:textId="77777777" w:rsidR="0075614B" w:rsidRPr="00C22F6A" w:rsidRDefault="00BE17ED" w:rsidP="00086BE7">
            <w:pPr>
              <w:keepNext/>
              <w:keepLines/>
              <w:spacing w:before="120" w:after="120"/>
              <w:rPr>
                <w:rFonts w:cs="Arial"/>
                <w:sz w:val="20"/>
                <w:szCs w:val="20"/>
                <w:lang w:val="fr-CA"/>
              </w:rPr>
            </w:pPr>
            <w:r w:rsidRPr="00944BC2">
              <w:rPr>
                <w:rFonts w:cs="Arial"/>
                <w:i/>
                <w:color w:val="FFFFFF" w:themeColor="background1"/>
                <w:sz w:val="18"/>
                <w:szCs w:val="18"/>
                <w:lang w:val="fr-CA"/>
              </w:rPr>
              <w:t xml:space="preserve">Voir à ce que le vérificateur général </w:t>
            </w:r>
            <w:proofErr w:type="gramStart"/>
            <w:r w:rsidRPr="00944BC2">
              <w:rPr>
                <w:rFonts w:cs="Arial"/>
                <w:i/>
                <w:color w:val="FFFFFF" w:themeColor="background1"/>
                <w:sz w:val="18"/>
                <w:szCs w:val="18"/>
                <w:lang w:val="fr-CA"/>
              </w:rPr>
              <w:t>aient</w:t>
            </w:r>
            <w:proofErr w:type="gramEnd"/>
            <w:r w:rsidRPr="00944BC2">
              <w:rPr>
                <w:rFonts w:cs="Arial"/>
                <w:i/>
                <w:color w:val="FFFFFF" w:themeColor="background1"/>
                <w:sz w:val="18"/>
                <w:szCs w:val="18"/>
                <w:lang w:val="fr-CA"/>
              </w:rPr>
              <w:t xml:space="preserve"> obtenu tous les faits pertinents nécessaires pour rendre la décision finale, notamment toute analyse pertinente ou tout élément probant pertinent et une copie de la documentation des étapes 1 et 2 pour chaque consultation qui a eu lieu pendant le processus de règlement direct et le processus d’arbitrage.</w:t>
            </w:r>
          </w:p>
        </w:tc>
      </w:tr>
      <w:tr w:rsidR="0074416D" w:rsidRPr="00944BC2" w14:paraId="14ED9850" w14:textId="77777777" w:rsidTr="00086BE7">
        <w:tc>
          <w:tcPr>
            <w:tcW w:w="610" w:type="dxa"/>
          </w:tcPr>
          <w:p w14:paraId="73405975" w14:textId="77777777" w:rsidR="0074416D" w:rsidRPr="00C22F6A" w:rsidRDefault="0074416D" w:rsidP="00086BE7">
            <w:pPr>
              <w:spacing w:before="120" w:after="120"/>
              <w:rPr>
                <w:lang w:val="fr-CA"/>
              </w:rPr>
            </w:pPr>
            <w:r w:rsidRPr="00C22F6A">
              <w:rPr>
                <w:lang w:val="fr-CA"/>
              </w:rPr>
              <w:t>3.1</w:t>
            </w:r>
          </w:p>
        </w:tc>
        <w:tc>
          <w:tcPr>
            <w:tcW w:w="4716" w:type="dxa"/>
          </w:tcPr>
          <w:p w14:paraId="06B4CF19" w14:textId="77777777" w:rsidR="0074416D" w:rsidRPr="00C22F6A" w:rsidRDefault="003454F1" w:rsidP="00086BE7">
            <w:pPr>
              <w:spacing w:before="120" w:after="120"/>
              <w:rPr>
                <w:rFonts w:cs="Arial"/>
                <w:lang w:val="fr-CA"/>
              </w:rPr>
            </w:pPr>
            <w:r>
              <w:rPr>
                <w:rFonts w:cs="Arial"/>
                <w:lang w:val="fr-CA"/>
              </w:rPr>
              <w:t>R</w:t>
            </w:r>
            <w:r w:rsidR="00D06160" w:rsidRPr="00C22F6A">
              <w:rPr>
                <w:rFonts w:cs="Arial"/>
                <w:lang w:val="fr-CA"/>
              </w:rPr>
              <w:t xml:space="preserve">ésumer les informations fournies </w:t>
            </w:r>
            <w:r w:rsidR="003A3CE0">
              <w:rPr>
                <w:rFonts w:cs="Arial"/>
                <w:lang w:val="fr-CA"/>
              </w:rPr>
              <w:t>au</w:t>
            </w:r>
            <w:r>
              <w:rPr>
                <w:rFonts w:cs="Arial"/>
                <w:lang w:val="fr-CA"/>
              </w:rPr>
              <w:t xml:space="preserve"> vérificateur général </w:t>
            </w:r>
            <w:r w:rsidR="00D06160" w:rsidRPr="00C22F6A">
              <w:rPr>
                <w:rFonts w:cs="Arial"/>
                <w:lang w:val="fr-CA"/>
              </w:rPr>
              <w:t>aux fins de consultation</w:t>
            </w:r>
            <w:r w:rsidR="0074416D" w:rsidRPr="00C22F6A">
              <w:rPr>
                <w:rFonts w:cs="Arial"/>
                <w:lang w:val="fr-CA"/>
              </w:rPr>
              <w:t>.</w:t>
            </w:r>
          </w:p>
        </w:tc>
        <w:tc>
          <w:tcPr>
            <w:tcW w:w="5165" w:type="dxa"/>
          </w:tcPr>
          <w:p w14:paraId="6179B3A4" w14:textId="77777777" w:rsidR="0074416D" w:rsidRPr="00C22F6A" w:rsidRDefault="0074416D" w:rsidP="00086BE7">
            <w:pPr>
              <w:spacing w:before="120" w:after="120"/>
              <w:rPr>
                <w:rFonts w:cs="Arial"/>
                <w:sz w:val="20"/>
                <w:szCs w:val="20"/>
                <w:lang w:val="fr-CA"/>
              </w:rPr>
            </w:pPr>
          </w:p>
        </w:tc>
      </w:tr>
      <w:tr w:rsidR="0075614B" w:rsidRPr="00944BC2" w14:paraId="63E6A6C4" w14:textId="77777777" w:rsidTr="00086BE7">
        <w:tc>
          <w:tcPr>
            <w:tcW w:w="610" w:type="dxa"/>
          </w:tcPr>
          <w:p w14:paraId="79F8E098" w14:textId="77777777" w:rsidR="0075614B" w:rsidRPr="00C22F6A" w:rsidRDefault="0074416D" w:rsidP="00086BE7">
            <w:pPr>
              <w:spacing w:before="120" w:after="120"/>
              <w:rPr>
                <w:lang w:val="fr-CA"/>
              </w:rPr>
            </w:pPr>
            <w:r w:rsidRPr="00C22F6A">
              <w:rPr>
                <w:lang w:val="fr-CA"/>
              </w:rPr>
              <w:t>3.2</w:t>
            </w:r>
          </w:p>
        </w:tc>
        <w:tc>
          <w:tcPr>
            <w:tcW w:w="4716" w:type="dxa"/>
          </w:tcPr>
          <w:p w14:paraId="5BCD1583" w14:textId="77777777" w:rsidR="0074416D" w:rsidRPr="00C22F6A" w:rsidRDefault="000F595C" w:rsidP="00086BE7">
            <w:pPr>
              <w:spacing w:before="120" w:after="120"/>
              <w:rPr>
                <w:rFonts w:cs="Arial"/>
                <w:lang w:val="fr-CA"/>
              </w:rPr>
            </w:pPr>
            <w:r w:rsidRPr="00C22F6A">
              <w:rPr>
                <w:rFonts w:cs="Arial"/>
                <w:lang w:val="fr-CA"/>
              </w:rPr>
              <w:t>Consigner </w:t>
            </w:r>
            <w:r w:rsidR="0074416D" w:rsidRPr="00C22F6A">
              <w:rPr>
                <w:rFonts w:cs="Arial"/>
                <w:lang w:val="fr-CA"/>
              </w:rPr>
              <w:t>:</w:t>
            </w:r>
          </w:p>
          <w:p w14:paraId="65BF2AD0" w14:textId="77777777" w:rsidR="0074416D" w:rsidRPr="00C22F6A" w:rsidRDefault="000F595C" w:rsidP="00086BE7">
            <w:pPr>
              <w:pStyle w:val="ListParagraph"/>
              <w:numPr>
                <w:ilvl w:val="0"/>
                <w:numId w:val="13"/>
              </w:numPr>
              <w:spacing w:before="120" w:after="120"/>
              <w:ind w:left="322" w:hanging="283"/>
              <w:rPr>
                <w:rFonts w:cs="Arial"/>
                <w:lang w:val="fr-CA"/>
              </w:rPr>
            </w:pPr>
            <w:r w:rsidRPr="00C22F6A">
              <w:rPr>
                <w:rFonts w:cs="Arial"/>
                <w:lang w:val="fr-CA"/>
              </w:rPr>
              <w:t>la date de la consultation finale</w:t>
            </w:r>
            <w:r w:rsidR="007A2C89" w:rsidRPr="00C22F6A">
              <w:rPr>
                <w:rFonts w:cs="Arial"/>
                <w:lang w:val="fr-CA"/>
              </w:rPr>
              <w:t>;</w:t>
            </w:r>
          </w:p>
          <w:p w14:paraId="71DA60CD" w14:textId="77777777" w:rsidR="007A2C89" w:rsidRPr="00C22F6A" w:rsidRDefault="000F595C" w:rsidP="00086BE7">
            <w:pPr>
              <w:pStyle w:val="ListParagraph"/>
              <w:numPr>
                <w:ilvl w:val="0"/>
                <w:numId w:val="13"/>
              </w:numPr>
              <w:spacing w:before="120" w:after="120"/>
              <w:ind w:left="322" w:hanging="283"/>
              <w:rPr>
                <w:rFonts w:cs="Arial"/>
                <w:lang w:val="fr-CA"/>
              </w:rPr>
            </w:pPr>
            <w:r w:rsidRPr="00C22F6A">
              <w:rPr>
                <w:rFonts w:cs="Arial"/>
                <w:lang w:val="fr-CA"/>
              </w:rPr>
              <w:t>les participants</w:t>
            </w:r>
            <w:r w:rsidR="007A2C89" w:rsidRPr="00C22F6A">
              <w:rPr>
                <w:rFonts w:cs="Arial"/>
                <w:lang w:val="fr-CA"/>
              </w:rPr>
              <w:t>;</w:t>
            </w:r>
          </w:p>
          <w:p w14:paraId="61C0803F" w14:textId="77777777" w:rsidR="00F94828" w:rsidRDefault="000F595C" w:rsidP="00086BE7">
            <w:pPr>
              <w:pStyle w:val="ListParagraph"/>
              <w:numPr>
                <w:ilvl w:val="0"/>
                <w:numId w:val="13"/>
              </w:numPr>
              <w:spacing w:before="120" w:after="120"/>
              <w:ind w:left="322" w:hanging="283"/>
              <w:rPr>
                <w:rFonts w:cs="Arial"/>
                <w:lang w:val="fr-CA"/>
              </w:rPr>
            </w:pPr>
            <w:r w:rsidRPr="00C22F6A">
              <w:rPr>
                <w:rFonts w:cs="Arial"/>
                <w:lang w:val="fr-CA"/>
              </w:rPr>
              <w:t xml:space="preserve">la décision finale ainsi que </w:t>
            </w:r>
            <w:r w:rsidR="006B1C29" w:rsidRPr="00C22F6A">
              <w:rPr>
                <w:rFonts w:cs="Arial"/>
                <w:lang w:val="fr-CA"/>
              </w:rPr>
              <w:t>les raisons à l’appui</w:t>
            </w:r>
            <w:r w:rsidR="0066388A">
              <w:rPr>
                <w:rFonts w:cs="Arial"/>
                <w:lang w:val="fr-CA"/>
              </w:rPr>
              <w:t>;</w:t>
            </w:r>
            <w:r w:rsidR="002069B2">
              <w:rPr>
                <w:rFonts w:cs="Arial"/>
                <w:lang w:val="fr-CA"/>
              </w:rPr>
              <w:t xml:space="preserve"> et</w:t>
            </w:r>
          </w:p>
          <w:p w14:paraId="3104E0C2" w14:textId="77777777" w:rsidR="0075614B" w:rsidRPr="00C22F6A" w:rsidRDefault="002069B2" w:rsidP="00086BE7">
            <w:pPr>
              <w:pStyle w:val="ListParagraph"/>
              <w:numPr>
                <w:ilvl w:val="0"/>
                <w:numId w:val="13"/>
              </w:numPr>
              <w:spacing w:before="120" w:after="120"/>
              <w:ind w:left="322" w:hanging="283"/>
              <w:contextualSpacing w:val="0"/>
              <w:rPr>
                <w:rFonts w:cs="Arial"/>
                <w:lang w:val="fr-CA"/>
              </w:rPr>
            </w:pPr>
            <w:r w:rsidRPr="0030430C">
              <w:rPr>
                <w:rFonts w:cs="Arial"/>
                <w:lang w:val="fr-CA"/>
              </w:rPr>
              <w:t xml:space="preserve">faire </w:t>
            </w:r>
            <w:r w:rsidR="001F6FA0" w:rsidRPr="0030430C">
              <w:rPr>
                <w:rFonts w:cs="Arial"/>
                <w:lang w:val="fr-CA"/>
              </w:rPr>
              <w:t>un</w:t>
            </w:r>
            <w:r w:rsidR="0066388A" w:rsidRPr="0030430C">
              <w:rPr>
                <w:rFonts w:cs="Arial"/>
                <w:lang w:val="fr-CA"/>
              </w:rPr>
              <w:t xml:space="preserve"> renvoi </w:t>
            </w:r>
            <w:r w:rsidRPr="0030430C">
              <w:rPr>
                <w:rFonts w:cs="Arial"/>
                <w:lang w:val="fr-CA"/>
              </w:rPr>
              <w:t xml:space="preserve">pour démontrer </w:t>
            </w:r>
            <w:r w:rsidR="0066388A" w:rsidRPr="0030430C">
              <w:rPr>
                <w:rFonts w:cs="Arial"/>
                <w:lang w:val="fr-CA"/>
              </w:rPr>
              <w:t>que la conclusion dégagée</w:t>
            </w:r>
            <w:r w:rsidRPr="0030430C">
              <w:rPr>
                <w:rFonts w:cs="Arial"/>
                <w:lang w:val="fr-CA"/>
              </w:rPr>
              <w:t xml:space="preserve"> de la consultation</w:t>
            </w:r>
            <w:r w:rsidR="0066388A" w:rsidRPr="0030430C">
              <w:rPr>
                <w:rFonts w:cs="Arial"/>
                <w:lang w:val="fr-CA"/>
              </w:rPr>
              <w:t xml:space="preserve"> a été appliquée.</w:t>
            </w:r>
          </w:p>
        </w:tc>
        <w:tc>
          <w:tcPr>
            <w:tcW w:w="5165" w:type="dxa"/>
          </w:tcPr>
          <w:p w14:paraId="232F2D39" w14:textId="77777777" w:rsidR="0075614B" w:rsidRPr="0030430C" w:rsidRDefault="007A2C89" w:rsidP="00086BE7">
            <w:pPr>
              <w:spacing w:before="120" w:after="120"/>
              <w:rPr>
                <w:rFonts w:cs="Arial"/>
                <w:i/>
                <w:sz w:val="20"/>
                <w:szCs w:val="20"/>
                <w:lang w:val="fr-CA"/>
              </w:rPr>
            </w:pPr>
            <w:r w:rsidRPr="00C22F6A">
              <w:rPr>
                <w:rFonts w:cs="Arial"/>
                <w:i/>
                <w:sz w:val="20"/>
                <w:szCs w:val="20"/>
                <w:lang w:val="fr-CA"/>
              </w:rPr>
              <w:t>[</w:t>
            </w:r>
            <w:r w:rsidR="00012B6A" w:rsidRPr="00C22F6A">
              <w:rPr>
                <w:rFonts w:cs="Arial"/>
                <w:i/>
                <w:sz w:val="20"/>
                <w:szCs w:val="20"/>
                <w:lang w:val="fr-CA"/>
              </w:rPr>
              <w:t xml:space="preserve">L’appel est </w:t>
            </w:r>
            <w:r w:rsidR="00AE7C40" w:rsidRPr="00C22F6A">
              <w:rPr>
                <w:rFonts w:cs="Arial"/>
                <w:i/>
                <w:sz w:val="20"/>
                <w:szCs w:val="20"/>
                <w:lang w:val="fr-CA"/>
              </w:rPr>
              <w:t>le dernier recours dont dispose une personne au Bureau</w:t>
            </w:r>
            <w:r w:rsidRPr="00C22F6A">
              <w:rPr>
                <w:rFonts w:cs="Arial"/>
                <w:i/>
                <w:sz w:val="20"/>
                <w:szCs w:val="20"/>
                <w:lang w:val="fr-CA"/>
              </w:rPr>
              <w:t>]</w:t>
            </w:r>
          </w:p>
        </w:tc>
      </w:tr>
      <w:tr w:rsidR="0074416D" w:rsidRPr="00944BC2" w14:paraId="3E78A1D2" w14:textId="77777777" w:rsidTr="00086BE7">
        <w:tc>
          <w:tcPr>
            <w:tcW w:w="610" w:type="dxa"/>
          </w:tcPr>
          <w:p w14:paraId="22989CD9" w14:textId="77777777" w:rsidR="0074416D" w:rsidRPr="00C22F6A" w:rsidRDefault="009049F9" w:rsidP="00086BE7">
            <w:pPr>
              <w:spacing w:before="120" w:after="120"/>
              <w:rPr>
                <w:lang w:val="fr-CA"/>
              </w:rPr>
            </w:pPr>
            <w:r w:rsidRPr="00C22F6A">
              <w:rPr>
                <w:lang w:val="fr-CA"/>
              </w:rPr>
              <w:t>3</w:t>
            </w:r>
            <w:r w:rsidR="0074416D" w:rsidRPr="00C22F6A">
              <w:rPr>
                <w:lang w:val="fr-CA"/>
              </w:rPr>
              <w:t>.</w:t>
            </w:r>
            <w:r w:rsidRPr="00C22F6A">
              <w:rPr>
                <w:lang w:val="fr-CA"/>
              </w:rPr>
              <w:t>3</w:t>
            </w:r>
          </w:p>
        </w:tc>
        <w:tc>
          <w:tcPr>
            <w:tcW w:w="4716" w:type="dxa"/>
          </w:tcPr>
          <w:p w14:paraId="53C5FD09" w14:textId="77777777" w:rsidR="0074416D" w:rsidRPr="00C22F6A" w:rsidRDefault="00DB3DF2" w:rsidP="00086BE7">
            <w:pPr>
              <w:spacing w:before="120" w:after="120"/>
              <w:rPr>
                <w:rFonts w:cs="Arial"/>
                <w:lang w:val="fr-CA"/>
              </w:rPr>
            </w:pPr>
            <w:r w:rsidRPr="00C22F6A">
              <w:rPr>
                <w:rFonts w:cs="Arial"/>
                <w:lang w:val="fr-CA"/>
              </w:rPr>
              <w:t xml:space="preserve">Si une décision antérieure est infirmée lors de l’appel, </w:t>
            </w:r>
            <w:r w:rsidR="004A2225" w:rsidRPr="00C22F6A">
              <w:rPr>
                <w:rFonts w:cs="Arial"/>
                <w:lang w:val="fr-CA"/>
              </w:rPr>
              <w:t xml:space="preserve">en </w:t>
            </w:r>
            <w:r w:rsidRPr="00C22F6A">
              <w:rPr>
                <w:rFonts w:cs="Arial"/>
                <w:lang w:val="fr-CA"/>
              </w:rPr>
              <w:t>communiquer les raisons à toutes les parties concernées.</w:t>
            </w:r>
          </w:p>
        </w:tc>
        <w:tc>
          <w:tcPr>
            <w:tcW w:w="5165" w:type="dxa"/>
          </w:tcPr>
          <w:p w14:paraId="6D8911B1" w14:textId="77777777" w:rsidR="0074416D" w:rsidRPr="00D65935" w:rsidRDefault="0074416D" w:rsidP="00086BE7">
            <w:pPr>
              <w:spacing w:before="120" w:after="120"/>
              <w:rPr>
                <w:rFonts w:cs="Arial"/>
                <w:sz w:val="20"/>
                <w:szCs w:val="20"/>
                <w:lang w:val="fr-CA"/>
              </w:rPr>
            </w:pPr>
          </w:p>
        </w:tc>
      </w:tr>
    </w:tbl>
    <w:p w14:paraId="34E4CC22" w14:textId="77777777" w:rsidR="00D5313F" w:rsidRPr="00C22F6A" w:rsidRDefault="00D5313F" w:rsidP="00D5313F">
      <w:pPr>
        <w:rPr>
          <w:lang w:val="fr-CA"/>
        </w:rPr>
      </w:pPr>
    </w:p>
    <w:sectPr w:rsidR="00D5313F" w:rsidRPr="00C22F6A" w:rsidSect="00086BE7">
      <w:headerReference w:type="default" r:id="rId8"/>
      <w:footerReference w:type="default" r:id="rId9"/>
      <w:headerReference w:type="first" r:id="rId10"/>
      <w:footerReference w:type="first" r:id="rId11"/>
      <w:pgSz w:w="12240" w:h="15840" w:code="1"/>
      <w:pgMar w:top="1440" w:right="1440" w:bottom="1440" w:left="1440" w:header="70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0C4A" w14:textId="77777777" w:rsidR="0043353B" w:rsidRDefault="0043353B" w:rsidP="00FD6C97">
      <w:r>
        <w:separator/>
      </w:r>
    </w:p>
  </w:endnote>
  <w:endnote w:type="continuationSeparator" w:id="0">
    <w:p w14:paraId="73A9F843" w14:textId="77777777" w:rsidR="0043353B" w:rsidRDefault="0043353B" w:rsidP="00FD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1ACB" w14:textId="77777777" w:rsidR="00184913" w:rsidRPr="00A47A2A" w:rsidRDefault="009D7468" w:rsidP="00086BE7">
    <w:pPr>
      <w:pStyle w:val="Footer"/>
      <w:tabs>
        <w:tab w:val="clear" w:pos="9360"/>
      </w:tabs>
      <w:jc w:val="right"/>
      <w:rPr>
        <w:sz w:val="20"/>
        <w:szCs w:val="20"/>
      </w:rPr>
    </w:pPr>
    <w:r w:rsidRPr="00A47A2A">
      <w:rPr>
        <w:sz w:val="20"/>
        <w:szCs w:val="20"/>
        <w:lang w:val="fr-CA"/>
      </w:rPr>
      <w:fldChar w:fldCharType="begin"/>
    </w:r>
    <w:r w:rsidR="008E6249" w:rsidRPr="00A47A2A">
      <w:rPr>
        <w:sz w:val="20"/>
        <w:szCs w:val="20"/>
        <w:lang w:val="fr-CA"/>
      </w:rPr>
      <w:instrText xml:space="preserve"> PAGE   \* MERGEFORMAT </w:instrText>
    </w:r>
    <w:r w:rsidRPr="00A47A2A">
      <w:rPr>
        <w:sz w:val="20"/>
        <w:szCs w:val="20"/>
        <w:lang w:val="fr-CA"/>
      </w:rPr>
      <w:fldChar w:fldCharType="separate"/>
    </w:r>
    <w:r w:rsidR="00C8278C">
      <w:rPr>
        <w:noProof/>
        <w:sz w:val="20"/>
        <w:szCs w:val="20"/>
        <w:lang w:val="fr-CA"/>
      </w:rPr>
      <w:t>3</w:t>
    </w:r>
    <w:r w:rsidRPr="00A47A2A">
      <w:rPr>
        <w:sz w:val="20"/>
        <w:szCs w:val="20"/>
        <w:lang w:val="fr-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3A36" w14:textId="77777777" w:rsidR="008E6249" w:rsidRPr="002707D3" w:rsidRDefault="000E499B" w:rsidP="00086BE7">
    <w:pPr>
      <w:rPr>
        <w:sz w:val="16"/>
        <w:szCs w:val="16"/>
        <w:lang w:val="fr-CA"/>
      </w:rPr>
    </w:pPr>
    <w:r>
      <w:rPr>
        <w:sz w:val="16"/>
        <w:szCs w:val="16"/>
        <w:lang w:val="fr-CA"/>
      </w:rPr>
      <w:t>juil.-2013</w:t>
    </w:r>
  </w:p>
  <w:p w14:paraId="6017CC15" w14:textId="77777777" w:rsidR="008E6249" w:rsidRPr="00A47A2A" w:rsidRDefault="004D201B" w:rsidP="00086BE7">
    <w:pPr>
      <w:tabs>
        <w:tab w:val="right" w:pos="9450"/>
      </w:tabs>
      <w:rPr>
        <w:sz w:val="20"/>
        <w:szCs w:val="20"/>
        <w:lang w:val="fr-CA"/>
      </w:rPr>
    </w:pPr>
    <w:r>
      <w:rPr>
        <w:sz w:val="16"/>
        <w:szCs w:val="16"/>
        <w:lang w:val="fr-CA"/>
      </w:rPr>
      <w:t>Propriétaire du modèle</w:t>
    </w:r>
    <w:r w:rsidR="000E3AAB">
      <w:rPr>
        <w:sz w:val="16"/>
        <w:szCs w:val="16"/>
        <w:lang w:val="fr-CA"/>
      </w:rPr>
      <w:t> </w:t>
    </w:r>
    <w:r>
      <w:rPr>
        <w:sz w:val="16"/>
        <w:szCs w:val="16"/>
        <w:lang w:val="fr-CA"/>
      </w:rPr>
      <w:t xml:space="preserve">: </w:t>
    </w:r>
    <w:r>
      <w:rPr>
        <w:rFonts w:cs="Arial"/>
        <w:sz w:val="16"/>
        <w:szCs w:val="16"/>
        <w:lang w:val="fr-CA"/>
      </w:rPr>
      <w:t>Services d’audit</w:t>
    </w:r>
    <w:r w:rsidR="00086BE7">
      <w:rPr>
        <w:rFonts w:cs="Arial"/>
        <w:sz w:val="16"/>
        <w:szCs w:val="16"/>
        <w:lang w:val="fr-CA"/>
      </w:rPr>
      <w:tab/>
    </w:r>
    <w:r w:rsidR="009D7468" w:rsidRPr="00A47A2A">
      <w:rPr>
        <w:sz w:val="20"/>
        <w:szCs w:val="20"/>
        <w:lang w:val="fr-CA"/>
      </w:rPr>
      <w:fldChar w:fldCharType="begin"/>
    </w:r>
    <w:r w:rsidR="008E6249" w:rsidRPr="00A47A2A">
      <w:rPr>
        <w:sz w:val="20"/>
        <w:szCs w:val="20"/>
        <w:lang w:val="fr-CA"/>
      </w:rPr>
      <w:instrText xml:space="preserve"> PAGE   \* MERGEFORMAT </w:instrText>
    </w:r>
    <w:r w:rsidR="009D7468" w:rsidRPr="00A47A2A">
      <w:rPr>
        <w:sz w:val="20"/>
        <w:szCs w:val="20"/>
        <w:lang w:val="fr-CA"/>
      </w:rPr>
      <w:fldChar w:fldCharType="separate"/>
    </w:r>
    <w:r w:rsidR="00C8278C">
      <w:rPr>
        <w:noProof/>
        <w:sz w:val="20"/>
        <w:szCs w:val="20"/>
        <w:lang w:val="fr-CA"/>
      </w:rPr>
      <w:t>1</w:t>
    </w:r>
    <w:r w:rsidR="009D7468" w:rsidRPr="00A47A2A">
      <w:rPr>
        <w:sz w:val="20"/>
        <w:szCs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FF28" w14:textId="77777777" w:rsidR="0043353B" w:rsidRDefault="0043353B" w:rsidP="00FD6C97">
      <w:r>
        <w:separator/>
      </w:r>
    </w:p>
  </w:footnote>
  <w:footnote w:type="continuationSeparator" w:id="0">
    <w:p w14:paraId="61F608E1" w14:textId="77777777" w:rsidR="0043353B" w:rsidRDefault="0043353B" w:rsidP="00FD6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8A13" w14:textId="77777777" w:rsidR="004C75BA" w:rsidRPr="00E32A91" w:rsidRDefault="004C75BA" w:rsidP="00086BE7">
    <w:pPr>
      <w:pStyle w:val="Header"/>
      <w:pBdr>
        <w:bottom w:val="single" w:sz="12" w:space="1" w:color="auto"/>
      </w:pBdr>
      <w:spacing w:after="360"/>
      <w:rPr>
        <w:sz w:val="28"/>
        <w:szCs w:val="28"/>
      </w:rPr>
    </w:pPr>
    <w:r w:rsidRPr="00184913">
      <w:rPr>
        <w:sz w:val="28"/>
        <w:szCs w:val="28"/>
        <w:lang w:val="fr-CA"/>
      </w:rPr>
      <w:t>Modèle de divergence d’opinion</w:t>
    </w:r>
    <w:r>
      <w:rPr>
        <w:sz w:val="28"/>
        <w:szCs w:val="28"/>
        <w:lang w:val="fr-CA"/>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FE2C" w14:textId="77777777" w:rsidR="00A47A2A" w:rsidRPr="00944BC2" w:rsidRDefault="00944BC2" w:rsidP="00C8278C">
    <w:pPr>
      <w:jc w:val="right"/>
      <w:rPr>
        <w:lang w:val="fr-CA"/>
      </w:rPr>
    </w:pPr>
    <w:sdt>
      <w:sdtPr>
        <w:rPr>
          <w:rFonts w:cs="Arial"/>
          <w:b/>
          <w:lang w:val="fr-CA"/>
        </w:rPr>
        <w:alias w:val="Étiquette de sécurité"/>
        <w:tag w:val="OAG-BVG-Classification"/>
        <w:id w:val="2052195265"/>
        <w:placeholder>
          <w:docPart w:val="B1455A6ED7EF496F85B25E984B27D901"/>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C8278C" w:rsidRPr="00944BC2">
          <w:rPr>
            <w:rFonts w:cs="Arial"/>
            <w:b/>
            <w:lang w:val="fr-CA"/>
          </w:rPr>
          <w:t>PROTÉGÉ A (lorsque rempli)</w:t>
        </w:r>
      </w:sdtContent>
    </w:sdt>
  </w:p>
  <w:p w14:paraId="76918EFC" w14:textId="77777777" w:rsidR="00712C39" w:rsidRPr="00944BC2" w:rsidRDefault="00712C39" w:rsidP="00086BE7">
    <w:pPr>
      <w:pStyle w:val="Header"/>
      <w:pBdr>
        <w:bottom w:val="single" w:sz="12" w:space="1" w:color="auto"/>
      </w:pBdr>
      <w:spacing w:after="360"/>
      <w:rPr>
        <w:sz w:val="28"/>
        <w:szCs w:val="28"/>
        <w:lang w:val="fr-CA"/>
      </w:rPr>
    </w:pPr>
    <w:r w:rsidRPr="00184913">
      <w:rPr>
        <w:sz w:val="28"/>
        <w:szCs w:val="28"/>
        <w:lang w:val="fr-CA"/>
      </w:rPr>
      <w:t>Modèle de divergence d’opinion</w:t>
    </w:r>
    <w:r>
      <w:rPr>
        <w:sz w:val="28"/>
        <w:szCs w:val="28"/>
        <w:lang w:val="fr-CA"/>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048"/>
    <w:multiLevelType w:val="hybridMultilevel"/>
    <w:tmpl w:val="24005638"/>
    <w:lvl w:ilvl="0" w:tplc="211A42B4">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A544F3"/>
    <w:multiLevelType w:val="hybridMultilevel"/>
    <w:tmpl w:val="194AA9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E109B2"/>
    <w:multiLevelType w:val="hybridMultilevel"/>
    <w:tmpl w:val="404AB05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F637CD"/>
    <w:multiLevelType w:val="hybridMultilevel"/>
    <w:tmpl w:val="24005638"/>
    <w:lvl w:ilvl="0" w:tplc="211A42B4">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BA7E1C"/>
    <w:multiLevelType w:val="hybridMultilevel"/>
    <w:tmpl w:val="24005638"/>
    <w:lvl w:ilvl="0" w:tplc="211A42B4">
      <w:start w:val="1"/>
      <w:numFmt w:val="lowerLetter"/>
      <w:lvlText w:val="%1)"/>
      <w:lvlJc w:val="left"/>
      <w:pPr>
        <w:ind w:left="785"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3358A2"/>
    <w:multiLevelType w:val="hybridMultilevel"/>
    <w:tmpl w:val="21F66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8C0E7D"/>
    <w:multiLevelType w:val="hybridMultilevel"/>
    <w:tmpl w:val="194AA9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9BC7E9C"/>
    <w:multiLevelType w:val="hybridMultilevel"/>
    <w:tmpl w:val="24005638"/>
    <w:lvl w:ilvl="0" w:tplc="211A42B4">
      <w:start w:val="1"/>
      <w:numFmt w:val="low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A66793B"/>
    <w:multiLevelType w:val="hybridMultilevel"/>
    <w:tmpl w:val="194AA9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8F77CE"/>
    <w:multiLevelType w:val="hybridMultilevel"/>
    <w:tmpl w:val="24005638"/>
    <w:lvl w:ilvl="0" w:tplc="211A42B4">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F1113D5"/>
    <w:multiLevelType w:val="hybridMultilevel"/>
    <w:tmpl w:val="F452A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3731D78"/>
    <w:multiLevelType w:val="hybridMultilevel"/>
    <w:tmpl w:val="88FC92F8"/>
    <w:lvl w:ilvl="0" w:tplc="10090001">
      <w:start w:val="1"/>
      <w:numFmt w:val="bullet"/>
      <w:lvlText w:val=""/>
      <w:lvlJc w:val="left"/>
      <w:pPr>
        <w:ind w:left="862" w:hanging="360"/>
      </w:pPr>
      <w:rPr>
        <w:rFonts w:ascii="Symbol" w:hAnsi="Symbol"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2" w15:restartNumberingAfterBreak="0">
    <w:nsid w:val="67B4419E"/>
    <w:multiLevelType w:val="hybridMultilevel"/>
    <w:tmpl w:val="194AA9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BD46BF2"/>
    <w:multiLevelType w:val="hybridMultilevel"/>
    <w:tmpl w:val="8DB6EA2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D3D18C9"/>
    <w:multiLevelType w:val="hybridMultilevel"/>
    <w:tmpl w:val="194AA9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66583811">
    <w:abstractNumId w:val="9"/>
  </w:num>
  <w:num w:numId="2" w16cid:durableId="1712268099">
    <w:abstractNumId w:val="2"/>
  </w:num>
  <w:num w:numId="3" w16cid:durableId="1920170169">
    <w:abstractNumId w:val="13"/>
  </w:num>
  <w:num w:numId="4" w16cid:durableId="1328750034">
    <w:abstractNumId w:val="10"/>
  </w:num>
  <w:num w:numId="5" w16cid:durableId="521820734">
    <w:abstractNumId w:val="12"/>
  </w:num>
  <w:num w:numId="6" w16cid:durableId="1938949439">
    <w:abstractNumId w:val="11"/>
  </w:num>
  <w:num w:numId="7" w16cid:durableId="105196434">
    <w:abstractNumId w:val="5"/>
  </w:num>
  <w:num w:numId="8" w16cid:durableId="1073157975">
    <w:abstractNumId w:val="4"/>
  </w:num>
  <w:num w:numId="9" w16cid:durableId="311913854">
    <w:abstractNumId w:val="6"/>
  </w:num>
  <w:num w:numId="10" w16cid:durableId="577862020">
    <w:abstractNumId w:val="0"/>
  </w:num>
  <w:num w:numId="11" w16cid:durableId="1180505535">
    <w:abstractNumId w:val="8"/>
  </w:num>
  <w:num w:numId="12" w16cid:durableId="1204710057">
    <w:abstractNumId w:val="14"/>
  </w:num>
  <w:num w:numId="13" w16cid:durableId="24410675">
    <w:abstractNumId w:val="3"/>
  </w:num>
  <w:num w:numId="14" w16cid:durableId="608126197">
    <w:abstractNumId w:val="7"/>
  </w:num>
  <w:num w:numId="15" w16cid:durableId="1565524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97"/>
    <w:rsid w:val="00010158"/>
    <w:rsid w:val="00012B6A"/>
    <w:rsid w:val="00022B8D"/>
    <w:rsid w:val="00022DF8"/>
    <w:rsid w:val="00024B5B"/>
    <w:rsid w:val="00027D03"/>
    <w:rsid w:val="000575EE"/>
    <w:rsid w:val="000827A7"/>
    <w:rsid w:val="00086BE7"/>
    <w:rsid w:val="00093A2D"/>
    <w:rsid w:val="000945A2"/>
    <w:rsid w:val="000A5671"/>
    <w:rsid w:val="000A59C2"/>
    <w:rsid w:val="000B6818"/>
    <w:rsid w:val="000C616C"/>
    <w:rsid w:val="000C6821"/>
    <w:rsid w:val="000D6C01"/>
    <w:rsid w:val="000E3AAB"/>
    <w:rsid w:val="000E499B"/>
    <w:rsid w:val="000E57E4"/>
    <w:rsid w:val="000F595C"/>
    <w:rsid w:val="001066B9"/>
    <w:rsid w:val="001102D7"/>
    <w:rsid w:val="001114A5"/>
    <w:rsid w:val="00132CBD"/>
    <w:rsid w:val="00134304"/>
    <w:rsid w:val="00144989"/>
    <w:rsid w:val="00150025"/>
    <w:rsid w:val="00153D63"/>
    <w:rsid w:val="001605A3"/>
    <w:rsid w:val="001714E8"/>
    <w:rsid w:val="00171878"/>
    <w:rsid w:val="00184913"/>
    <w:rsid w:val="00184A1B"/>
    <w:rsid w:val="00195DA1"/>
    <w:rsid w:val="001C353A"/>
    <w:rsid w:val="001D2165"/>
    <w:rsid w:val="001F6FA0"/>
    <w:rsid w:val="002069B2"/>
    <w:rsid w:val="0020726E"/>
    <w:rsid w:val="002079B6"/>
    <w:rsid w:val="00224C55"/>
    <w:rsid w:val="00231156"/>
    <w:rsid w:val="00232231"/>
    <w:rsid w:val="00254CE6"/>
    <w:rsid w:val="00265A6F"/>
    <w:rsid w:val="002673A9"/>
    <w:rsid w:val="002707D3"/>
    <w:rsid w:val="002838B4"/>
    <w:rsid w:val="002D0F63"/>
    <w:rsid w:val="002D67A1"/>
    <w:rsid w:val="002E10EC"/>
    <w:rsid w:val="0030430C"/>
    <w:rsid w:val="00317D1E"/>
    <w:rsid w:val="00321E53"/>
    <w:rsid w:val="00335CF7"/>
    <w:rsid w:val="003454F1"/>
    <w:rsid w:val="00355F36"/>
    <w:rsid w:val="00362914"/>
    <w:rsid w:val="0038695B"/>
    <w:rsid w:val="00391CA8"/>
    <w:rsid w:val="003A0703"/>
    <w:rsid w:val="003A2935"/>
    <w:rsid w:val="003A3CE0"/>
    <w:rsid w:val="003A4488"/>
    <w:rsid w:val="003C01DF"/>
    <w:rsid w:val="003C76A4"/>
    <w:rsid w:val="003F0EA4"/>
    <w:rsid w:val="003F1A7A"/>
    <w:rsid w:val="003F5529"/>
    <w:rsid w:val="004014F6"/>
    <w:rsid w:val="00407D6E"/>
    <w:rsid w:val="00420DEF"/>
    <w:rsid w:val="0043353B"/>
    <w:rsid w:val="00434A75"/>
    <w:rsid w:val="00437394"/>
    <w:rsid w:val="00441D0D"/>
    <w:rsid w:val="004570EA"/>
    <w:rsid w:val="004808D1"/>
    <w:rsid w:val="004A00E3"/>
    <w:rsid w:val="004A2225"/>
    <w:rsid w:val="004C3C47"/>
    <w:rsid w:val="004C75BA"/>
    <w:rsid w:val="004D201B"/>
    <w:rsid w:val="004E20D8"/>
    <w:rsid w:val="004E2E05"/>
    <w:rsid w:val="004F25F7"/>
    <w:rsid w:val="004F7D76"/>
    <w:rsid w:val="00507827"/>
    <w:rsid w:val="0052081D"/>
    <w:rsid w:val="0052204B"/>
    <w:rsid w:val="00534051"/>
    <w:rsid w:val="005363EE"/>
    <w:rsid w:val="00570B7F"/>
    <w:rsid w:val="00576F42"/>
    <w:rsid w:val="00583BB1"/>
    <w:rsid w:val="00584F27"/>
    <w:rsid w:val="00586F6F"/>
    <w:rsid w:val="00593409"/>
    <w:rsid w:val="005A6E87"/>
    <w:rsid w:val="005B3F6C"/>
    <w:rsid w:val="005D3784"/>
    <w:rsid w:val="00606037"/>
    <w:rsid w:val="00623F3A"/>
    <w:rsid w:val="00635A86"/>
    <w:rsid w:val="006417B5"/>
    <w:rsid w:val="00642E1A"/>
    <w:rsid w:val="00660345"/>
    <w:rsid w:val="0066388A"/>
    <w:rsid w:val="00681991"/>
    <w:rsid w:val="0068334D"/>
    <w:rsid w:val="00686A70"/>
    <w:rsid w:val="006B1C29"/>
    <w:rsid w:val="006B48A5"/>
    <w:rsid w:val="006B573B"/>
    <w:rsid w:val="006C5F91"/>
    <w:rsid w:val="006D56EA"/>
    <w:rsid w:val="00711CE7"/>
    <w:rsid w:val="00712C39"/>
    <w:rsid w:val="00732190"/>
    <w:rsid w:val="0074416D"/>
    <w:rsid w:val="0075614B"/>
    <w:rsid w:val="00760E65"/>
    <w:rsid w:val="00772F71"/>
    <w:rsid w:val="00777806"/>
    <w:rsid w:val="007943D7"/>
    <w:rsid w:val="007A2C89"/>
    <w:rsid w:val="007B733F"/>
    <w:rsid w:val="007C57F5"/>
    <w:rsid w:val="007C7D3B"/>
    <w:rsid w:val="007D0A4F"/>
    <w:rsid w:val="007D0CAE"/>
    <w:rsid w:val="007E2509"/>
    <w:rsid w:val="007E3020"/>
    <w:rsid w:val="007F4971"/>
    <w:rsid w:val="00810D4B"/>
    <w:rsid w:val="00813508"/>
    <w:rsid w:val="0081696D"/>
    <w:rsid w:val="008230FB"/>
    <w:rsid w:val="0082735D"/>
    <w:rsid w:val="008347A8"/>
    <w:rsid w:val="00847941"/>
    <w:rsid w:val="00847E57"/>
    <w:rsid w:val="00863344"/>
    <w:rsid w:val="00880BA7"/>
    <w:rsid w:val="008832F1"/>
    <w:rsid w:val="008845C4"/>
    <w:rsid w:val="00885D7B"/>
    <w:rsid w:val="00886436"/>
    <w:rsid w:val="0089418C"/>
    <w:rsid w:val="00897EBC"/>
    <w:rsid w:val="008A10FF"/>
    <w:rsid w:val="008B00F7"/>
    <w:rsid w:val="008B1C26"/>
    <w:rsid w:val="008C195F"/>
    <w:rsid w:val="008D3D0C"/>
    <w:rsid w:val="008E06D6"/>
    <w:rsid w:val="008E5B70"/>
    <w:rsid w:val="008E6249"/>
    <w:rsid w:val="008E750E"/>
    <w:rsid w:val="008F3B57"/>
    <w:rsid w:val="008F58CA"/>
    <w:rsid w:val="008F7429"/>
    <w:rsid w:val="009049F9"/>
    <w:rsid w:val="00906560"/>
    <w:rsid w:val="0090738C"/>
    <w:rsid w:val="009170B4"/>
    <w:rsid w:val="00924203"/>
    <w:rsid w:val="00936D13"/>
    <w:rsid w:val="00944BC2"/>
    <w:rsid w:val="00945E4B"/>
    <w:rsid w:val="00951DD5"/>
    <w:rsid w:val="00964503"/>
    <w:rsid w:val="00970097"/>
    <w:rsid w:val="00976DEA"/>
    <w:rsid w:val="00980AD9"/>
    <w:rsid w:val="009846C1"/>
    <w:rsid w:val="009B34DA"/>
    <w:rsid w:val="009C4225"/>
    <w:rsid w:val="009D7468"/>
    <w:rsid w:val="009F7908"/>
    <w:rsid w:val="00A16C07"/>
    <w:rsid w:val="00A23577"/>
    <w:rsid w:val="00A47A2A"/>
    <w:rsid w:val="00A75C9A"/>
    <w:rsid w:val="00A77A28"/>
    <w:rsid w:val="00AB2975"/>
    <w:rsid w:val="00AB534D"/>
    <w:rsid w:val="00AC0E61"/>
    <w:rsid w:val="00AD733B"/>
    <w:rsid w:val="00AE6596"/>
    <w:rsid w:val="00AE7C40"/>
    <w:rsid w:val="00AF0470"/>
    <w:rsid w:val="00AF6765"/>
    <w:rsid w:val="00B02822"/>
    <w:rsid w:val="00B13130"/>
    <w:rsid w:val="00B13B63"/>
    <w:rsid w:val="00B14135"/>
    <w:rsid w:val="00B14F80"/>
    <w:rsid w:val="00B16C16"/>
    <w:rsid w:val="00B20B4E"/>
    <w:rsid w:val="00B7411A"/>
    <w:rsid w:val="00B77008"/>
    <w:rsid w:val="00B830EE"/>
    <w:rsid w:val="00B8337E"/>
    <w:rsid w:val="00B953A1"/>
    <w:rsid w:val="00BA69CF"/>
    <w:rsid w:val="00BB0A8E"/>
    <w:rsid w:val="00BB4B23"/>
    <w:rsid w:val="00BE17ED"/>
    <w:rsid w:val="00BF24B0"/>
    <w:rsid w:val="00C00F19"/>
    <w:rsid w:val="00C07D46"/>
    <w:rsid w:val="00C12EDB"/>
    <w:rsid w:val="00C165D4"/>
    <w:rsid w:val="00C22F6A"/>
    <w:rsid w:val="00C35378"/>
    <w:rsid w:val="00C73878"/>
    <w:rsid w:val="00C73B11"/>
    <w:rsid w:val="00C8278C"/>
    <w:rsid w:val="00C86D4A"/>
    <w:rsid w:val="00CB40D7"/>
    <w:rsid w:val="00CC1DCE"/>
    <w:rsid w:val="00CC2E10"/>
    <w:rsid w:val="00CF5A36"/>
    <w:rsid w:val="00D06160"/>
    <w:rsid w:val="00D10C4F"/>
    <w:rsid w:val="00D25F41"/>
    <w:rsid w:val="00D46328"/>
    <w:rsid w:val="00D5313F"/>
    <w:rsid w:val="00D61D28"/>
    <w:rsid w:val="00D65935"/>
    <w:rsid w:val="00D662FA"/>
    <w:rsid w:val="00D7237D"/>
    <w:rsid w:val="00D922F8"/>
    <w:rsid w:val="00DA7ABD"/>
    <w:rsid w:val="00DB3DF2"/>
    <w:rsid w:val="00DC0DA4"/>
    <w:rsid w:val="00DD4521"/>
    <w:rsid w:val="00DD5E59"/>
    <w:rsid w:val="00DE62CD"/>
    <w:rsid w:val="00E0526C"/>
    <w:rsid w:val="00E12958"/>
    <w:rsid w:val="00E12B8E"/>
    <w:rsid w:val="00E20BA8"/>
    <w:rsid w:val="00E22E6D"/>
    <w:rsid w:val="00E3509F"/>
    <w:rsid w:val="00E42306"/>
    <w:rsid w:val="00E5466B"/>
    <w:rsid w:val="00E568BB"/>
    <w:rsid w:val="00E65D36"/>
    <w:rsid w:val="00E76EF7"/>
    <w:rsid w:val="00E773A5"/>
    <w:rsid w:val="00EA5B51"/>
    <w:rsid w:val="00EB3364"/>
    <w:rsid w:val="00EE3C71"/>
    <w:rsid w:val="00F0113C"/>
    <w:rsid w:val="00F012E7"/>
    <w:rsid w:val="00F027AE"/>
    <w:rsid w:val="00F23976"/>
    <w:rsid w:val="00F3087A"/>
    <w:rsid w:val="00F448FC"/>
    <w:rsid w:val="00F52FA1"/>
    <w:rsid w:val="00F80F08"/>
    <w:rsid w:val="00F81C48"/>
    <w:rsid w:val="00F94828"/>
    <w:rsid w:val="00FC2F69"/>
    <w:rsid w:val="00FC4DE6"/>
    <w:rsid w:val="00FC4FAA"/>
    <w:rsid w:val="00FD0DC6"/>
    <w:rsid w:val="00FD6C97"/>
    <w:rsid w:val="00FE0A70"/>
    <w:rsid w:val="00FF2E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257E88"/>
  <w15:docId w15:val="{FAFA6A08-1AD9-4DD1-8703-A443560A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13F"/>
    <w:pPr>
      <w:spacing w:after="0" w:line="240" w:lineRule="auto"/>
    </w:pPr>
    <w:rPr>
      <w:rFonts w:ascii="Arial" w:hAnsi="Arial"/>
      <w:szCs w:val="24"/>
      <w:lang w:val="en-CA"/>
    </w:rPr>
  </w:style>
  <w:style w:type="paragraph" w:styleId="Heading1">
    <w:name w:val="heading 1"/>
    <w:basedOn w:val="Normal"/>
    <w:next w:val="Normal"/>
    <w:link w:val="Heading1Char"/>
    <w:uiPriority w:val="9"/>
    <w:qFormat/>
    <w:rsid w:val="00D5313F"/>
    <w:pPr>
      <w:keepNext/>
      <w:spacing w:before="400" w:after="3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D5313F"/>
    <w:pPr>
      <w:keepNext/>
      <w:spacing w:before="360" w:after="320"/>
      <w:outlineLvl w:val="1"/>
    </w:pPr>
    <w:rPr>
      <w:rFonts w:eastAsiaTheme="majorEastAsia"/>
      <w:b/>
      <w:bCs/>
      <w:iCs/>
      <w:sz w:val="28"/>
      <w:szCs w:val="28"/>
    </w:rPr>
  </w:style>
  <w:style w:type="paragraph" w:styleId="Heading3">
    <w:name w:val="heading 3"/>
    <w:basedOn w:val="Normal"/>
    <w:next w:val="Normal"/>
    <w:link w:val="Heading3Char"/>
    <w:uiPriority w:val="9"/>
    <w:unhideWhenUsed/>
    <w:qFormat/>
    <w:rsid w:val="00D5313F"/>
    <w:pPr>
      <w:keepNext/>
      <w:spacing w:before="280" w:after="240"/>
      <w:outlineLvl w:val="2"/>
    </w:pPr>
    <w:rPr>
      <w:rFonts w:eastAsiaTheme="majorEastAsia"/>
      <w:b/>
      <w:bCs/>
      <w:sz w:val="24"/>
      <w:szCs w:val="26"/>
    </w:rPr>
  </w:style>
  <w:style w:type="paragraph" w:styleId="Heading4">
    <w:name w:val="heading 4"/>
    <w:basedOn w:val="Normal"/>
    <w:next w:val="Normal"/>
    <w:link w:val="Heading4Char"/>
    <w:uiPriority w:val="9"/>
    <w:semiHidden/>
    <w:unhideWhenUsed/>
    <w:qFormat/>
    <w:rsid w:val="00B833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3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37E"/>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B8337E"/>
    <w:pPr>
      <w:spacing w:before="240" w:after="60"/>
      <w:outlineLvl w:val="6"/>
    </w:pPr>
  </w:style>
  <w:style w:type="paragraph" w:styleId="Heading8">
    <w:name w:val="heading 8"/>
    <w:basedOn w:val="Normal"/>
    <w:next w:val="Normal"/>
    <w:link w:val="Heading8Char"/>
    <w:uiPriority w:val="9"/>
    <w:semiHidden/>
    <w:unhideWhenUsed/>
    <w:qFormat/>
    <w:rsid w:val="00B8337E"/>
    <w:pPr>
      <w:spacing w:before="240" w:after="60"/>
      <w:outlineLvl w:val="7"/>
    </w:pPr>
    <w:rPr>
      <w:i/>
      <w:iCs/>
    </w:rPr>
  </w:style>
  <w:style w:type="paragraph" w:styleId="Heading9">
    <w:name w:val="heading 9"/>
    <w:basedOn w:val="Normal"/>
    <w:next w:val="Normal"/>
    <w:link w:val="Heading9Char"/>
    <w:uiPriority w:val="9"/>
    <w:semiHidden/>
    <w:unhideWhenUsed/>
    <w:qFormat/>
    <w:rsid w:val="00B8337E"/>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F"/>
    <w:rPr>
      <w:rFonts w:ascii="Arial" w:eastAsiaTheme="majorEastAsia" w:hAnsi="Arial"/>
      <w:b/>
      <w:bCs/>
      <w:kern w:val="32"/>
      <w:sz w:val="32"/>
      <w:szCs w:val="32"/>
      <w:lang w:val="en-CA"/>
    </w:rPr>
  </w:style>
  <w:style w:type="character" w:customStyle="1" w:styleId="Heading2Char">
    <w:name w:val="Heading 2 Char"/>
    <w:basedOn w:val="DefaultParagraphFont"/>
    <w:link w:val="Heading2"/>
    <w:uiPriority w:val="9"/>
    <w:rsid w:val="00D5313F"/>
    <w:rPr>
      <w:rFonts w:ascii="Arial" w:eastAsiaTheme="majorEastAsia" w:hAnsi="Arial"/>
      <w:b/>
      <w:bCs/>
      <w:iCs/>
      <w:sz w:val="28"/>
      <w:szCs w:val="28"/>
      <w:lang w:val="en-CA"/>
    </w:rPr>
  </w:style>
  <w:style w:type="character" w:customStyle="1" w:styleId="Heading3Char">
    <w:name w:val="Heading 3 Char"/>
    <w:basedOn w:val="DefaultParagraphFont"/>
    <w:link w:val="Heading3"/>
    <w:uiPriority w:val="9"/>
    <w:rsid w:val="00D5313F"/>
    <w:rPr>
      <w:rFonts w:ascii="Arial" w:eastAsiaTheme="majorEastAsia" w:hAnsi="Arial"/>
      <w:b/>
      <w:bCs/>
      <w:sz w:val="24"/>
      <w:szCs w:val="26"/>
      <w:lang w:val="en-CA"/>
    </w:rPr>
  </w:style>
  <w:style w:type="character" w:customStyle="1" w:styleId="Heading4Char">
    <w:name w:val="Heading 4 Char"/>
    <w:basedOn w:val="DefaultParagraphFont"/>
    <w:link w:val="Heading4"/>
    <w:uiPriority w:val="9"/>
    <w:rsid w:val="00B8337E"/>
    <w:rPr>
      <w:b/>
      <w:bCs/>
      <w:sz w:val="28"/>
      <w:szCs w:val="28"/>
    </w:rPr>
  </w:style>
  <w:style w:type="character" w:customStyle="1" w:styleId="Heading5Char">
    <w:name w:val="Heading 5 Char"/>
    <w:basedOn w:val="DefaultParagraphFont"/>
    <w:link w:val="Heading5"/>
    <w:uiPriority w:val="9"/>
    <w:semiHidden/>
    <w:rsid w:val="00B8337E"/>
    <w:rPr>
      <w:b/>
      <w:bCs/>
      <w:i/>
      <w:iCs/>
      <w:sz w:val="26"/>
      <w:szCs w:val="26"/>
    </w:rPr>
  </w:style>
  <w:style w:type="character" w:customStyle="1" w:styleId="Heading6Char">
    <w:name w:val="Heading 6 Char"/>
    <w:basedOn w:val="DefaultParagraphFont"/>
    <w:link w:val="Heading6"/>
    <w:uiPriority w:val="9"/>
    <w:semiHidden/>
    <w:rsid w:val="00B8337E"/>
    <w:rPr>
      <w:b/>
      <w:bCs/>
    </w:rPr>
  </w:style>
  <w:style w:type="character" w:customStyle="1" w:styleId="Heading7Char">
    <w:name w:val="Heading 7 Char"/>
    <w:basedOn w:val="DefaultParagraphFont"/>
    <w:link w:val="Heading7"/>
    <w:uiPriority w:val="9"/>
    <w:semiHidden/>
    <w:rsid w:val="00B8337E"/>
    <w:rPr>
      <w:sz w:val="24"/>
      <w:szCs w:val="24"/>
    </w:rPr>
  </w:style>
  <w:style w:type="character" w:customStyle="1" w:styleId="Heading8Char">
    <w:name w:val="Heading 8 Char"/>
    <w:basedOn w:val="DefaultParagraphFont"/>
    <w:link w:val="Heading8"/>
    <w:uiPriority w:val="9"/>
    <w:semiHidden/>
    <w:rsid w:val="00B8337E"/>
    <w:rPr>
      <w:i/>
      <w:iCs/>
      <w:sz w:val="24"/>
      <w:szCs w:val="24"/>
    </w:rPr>
  </w:style>
  <w:style w:type="character" w:customStyle="1" w:styleId="Heading9Char">
    <w:name w:val="Heading 9 Char"/>
    <w:basedOn w:val="DefaultParagraphFont"/>
    <w:link w:val="Heading9"/>
    <w:uiPriority w:val="9"/>
    <w:semiHidden/>
    <w:rsid w:val="00B8337E"/>
    <w:rPr>
      <w:rFonts w:asciiTheme="majorHAnsi" w:eastAsiaTheme="majorEastAsia" w:hAnsiTheme="majorHAnsi"/>
    </w:rPr>
  </w:style>
  <w:style w:type="paragraph" w:styleId="Title">
    <w:name w:val="Title"/>
    <w:basedOn w:val="Normal"/>
    <w:next w:val="Normal"/>
    <w:link w:val="TitleCh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33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33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337E"/>
    <w:rPr>
      <w:rFonts w:asciiTheme="majorHAnsi" w:eastAsiaTheme="majorEastAsia" w:hAnsiTheme="majorHAnsi"/>
      <w:sz w:val="24"/>
      <w:szCs w:val="24"/>
    </w:rPr>
  </w:style>
  <w:style w:type="character" w:styleId="Strong">
    <w:name w:val="Strong"/>
    <w:basedOn w:val="DefaultParagraphFont"/>
    <w:uiPriority w:val="22"/>
    <w:qFormat/>
    <w:rsid w:val="00B8337E"/>
    <w:rPr>
      <w:b/>
      <w:bCs/>
    </w:rPr>
  </w:style>
  <w:style w:type="character" w:styleId="Emphasis">
    <w:name w:val="Emphasis"/>
    <w:basedOn w:val="DefaultParagraphFont"/>
    <w:uiPriority w:val="20"/>
    <w:qFormat/>
    <w:rsid w:val="00B8337E"/>
    <w:rPr>
      <w:rFonts w:asciiTheme="minorHAnsi" w:hAnsiTheme="minorHAnsi"/>
      <w:b/>
      <w:i/>
      <w:iCs/>
    </w:rPr>
  </w:style>
  <w:style w:type="paragraph" w:styleId="NoSpacing">
    <w:name w:val="No Spacing"/>
    <w:basedOn w:val="Normal"/>
    <w:uiPriority w:val="1"/>
    <w:qFormat/>
    <w:rsid w:val="00B8337E"/>
    <w:rPr>
      <w:szCs w:val="32"/>
    </w:rPr>
  </w:style>
  <w:style w:type="paragraph" w:styleId="ListParagraph">
    <w:name w:val="List Paragraph"/>
    <w:basedOn w:val="Normal"/>
    <w:uiPriority w:val="34"/>
    <w:qFormat/>
    <w:rsid w:val="00B8337E"/>
    <w:pPr>
      <w:ind w:left="720"/>
      <w:contextualSpacing/>
    </w:pPr>
  </w:style>
  <w:style w:type="paragraph" w:styleId="Quote">
    <w:name w:val="Quote"/>
    <w:basedOn w:val="Normal"/>
    <w:next w:val="Normal"/>
    <w:link w:val="QuoteChar"/>
    <w:uiPriority w:val="29"/>
    <w:qFormat/>
    <w:rsid w:val="00B8337E"/>
    <w:rPr>
      <w:i/>
    </w:rPr>
  </w:style>
  <w:style w:type="character" w:customStyle="1" w:styleId="QuoteChar">
    <w:name w:val="Quote Char"/>
    <w:basedOn w:val="DefaultParagraphFont"/>
    <w:link w:val="Quote"/>
    <w:uiPriority w:val="29"/>
    <w:rsid w:val="00B8337E"/>
    <w:rPr>
      <w:i/>
      <w:sz w:val="24"/>
      <w:szCs w:val="24"/>
    </w:rPr>
  </w:style>
  <w:style w:type="paragraph" w:styleId="IntenseQuote">
    <w:name w:val="Intense Quote"/>
    <w:basedOn w:val="Normal"/>
    <w:next w:val="Normal"/>
    <w:link w:val="IntenseQuoteChar"/>
    <w:uiPriority w:val="30"/>
    <w:qFormat/>
    <w:rsid w:val="00B8337E"/>
    <w:pPr>
      <w:ind w:left="720" w:right="720"/>
    </w:pPr>
    <w:rPr>
      <w:b/>
      <w:i/>
      <w:szCs w:val="22"/>
    </w:rPr>
  </w:style>
  <w:style w:type="character" w:customStyle="1" w:styleId="IntenseQuoteChar">
    <w:name w:val="Intense Quote Char"/>
    <w:basedOn w:val="DefaultParagraphFont"/>
    <w:link w:val="IntenseQuote"/>
    <w:uiPriority w:val="30"/>
    <w:rsid w:val="00B8337E"/>
    <w:rPr>
      <w:b/>
      <w:i/>
      <w:sz w:val="24"/>
    </w:rPr>
  </w:style>
  <w:style w:type="character" w:styleId="SubtleEmphasis">
    <w:name w:val="Subtle Emphasis"/>
    <w:uiPriority w:val="19"/>
    <w:qFormat/>
    <w:rsid w:val="00B8337E"/>
    <w:rPr>
      <w:i/>
      <w:color w:val="5A5A5A" w:themeColor="text1" w:themeTint="A5"/>
    </w:rPr>
  </w:style>
  <w:style w:type="character" w:styleId="IntenseEmphasis">
    <w:name w:val="Intense Emphasis"/>
    <w:basedOn w:val="DefaultParagraphFont"/>
    <w:uiPriority w:val="21"/>
    <w:qFormat/>
    <w:rsid w:val="00B8337E"/>
    <w:rPr>
      <w:b/>
      <w:i/>
      <w:sz w:val="24"/>
      <w:szCs w:val="24"/>
      <w:u w:val="single"/>
    </w:rPr>
  </w:style>
  <w:style w:type="character" w:styleId="SubtleReference">
    <w:name w:val="Subtle Reference"/>
    <w:basedOn w:val="DefaultParagraphFont"/>
    <w:uiPriority w:val="31"/>
    <w:qFormat/>
    <w:rsid w:val="00B8337E"/>
    <w:rPr>
      <w:sz w:val="24"/>
      <w:szCs w:val="24"/>
      <w:u w:val="single"/>
    </w:rPr>
  </w:style>
  <w:style w:type="character" w:styleId="IntenseReference">
    <w:name w:val="Intense Reference"/>
    <w:basedOn w:val="DefaultParagraphFont"/>
    <w:uiPriority w:val="32"/>
    <w:qFormat/>
    <w:rsid w:val="00B8337E"/>
    <w:rPr>
      <w:b/>
      <w:sz w:val="24"/>
      <w:u w:val="single"/>
    </w:rPr>
  </w:style>
  <w:style w:type="character" w:styleId="BookTitle">
    <w:name w:val="Book Title"/>
    <w:basedOn w:val="DefaultParagraphFont"/>
    <w:uiPriority w:val="33"/>
    <w:qFormat/>
    <w:rsid w:val="00B833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337E"/>
    <w:pPr>
      <w:outlineLvl w:val="9"/>
    </w:pPr>
  </w:style>
  <w:style w:type="table" w:styleId="TableGrid">
    <w:name w:val="Table Grid"/>
    <w:basedOn w:val="TableNormal"/>
    <w:uiPriority w:val="59"/>
    <w:rsid w:val="00FD6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C97"/>
    <w:pPr>
      <w:tabs>
        <w:tab w:val="center" w:pos="4680"/>
        <w:tab w:val="right" w:pos="9360"/>
      </w:tabs>
    </w:pPr>
  </w:style>
  <w:style w:type="character" w:customStyle="1" w:styleId="HeaderChar">
    <w:name w:val="Header Char"/>
    <w:basedOn w:val="DefaultParagraphFont"/>
    <w:link w:val="Header"/>
    <w:uiPriority w:val="99"/>
    <w:rsid w:val="00FD6C97"/>
    <w:rPr>
      <w:rFonts w:ascii="Arial" w:hAnsi="Arial"/>
      <w:szCs w:val="24"/>
      <w:lang w:val="en-CA"/>
    </w:rPr>
  </w:style>
  <w:style w:type="paragraph" w:styleId="Footer">
    <w:name w:val="footer"/>
    <w:basedOn w:val="Normal"/>
    <w:link w:val="FooterChar"/>
    <w:uiPriority w:val="99"/>
    <w:unhideWhenUsed/>
    <w:rsid w:val="00FD6C97"/>
    <w:pPr>
      <w:tabs>
        <w:tab w:val="center" w:pos="4680"/>
        <w:tab w:val="right" w:pos="9360"/>
      </w:tabs>
    </w:pPr>
  </w:style>
  <w:style w:type="character" w:customStyle="1" w:styleId="FooterChar">
    <w:name w:val="Footer Char"/>
    <w:basedOn w:val="DefaultParagraphFont"/>
    <w:link w:val="Footer"/>
    <w:uiPriority w:val="99"/>
    <w:rsid w:val="00FD6C97"/>
    <w:rPr>
      <w:rFonts w:ascii="Arial" w:hAnsi="Arial"/>
      <w:szCs w:val="24"/>
      <w:lang w:val="en-CA"/>
    </w:rPr>
  </w:style>
  <w:style w:type="paragraph" w:styleId="NormalWeb">
    <w:name w:val="Normal (Web)"/>
    <w:basedOn w:val="Normal"/>
    <w:uiPriority w:val="99"/>
    <w:rsid w:val="00F0113C"/>
    <w:pPr>
      <w:spacing w:after="240"/>
    </w:pPr>
    <w:rPr>
      <w:rFonts w:ascii="Times New Roman" w:eastAsia="Times New Roman" w:hAnsi="Times New Roman"/>
      <w:color w:val="000000"/>
      <w:sz w:val="24"/>
      <w:lang w:val="en-US" w:bidi="ar-SA"/>
    </w:rPr>
  </w:style>
  <w:style w:type="paragraph" w:styleId="BalloonText">
    <w:name w:val="Balloon Text"/>
    <w:basedOn w:val="Normal"/>
    <w:link w:val="BalloonTextChar"/>
    <w:uiPriority w:val="99"/>
    <w:semiHidden/>
    <w:unhideWhenUsed/>
    <w:rsid w:val="002069B2"/>
    <w:rPr>
      <w:rFonts w:ascii="Tahoma" w:hAnsi="Tahoma" w:cs="Tahoma"/>
      <w:sz w:val="16"/>
      <w:szCs w:val="16"/>
    </w:rPr>
  </w:style>
  <w:style w:type="character" w:customStyle="1" w:styleId="BalloonTextChar">
    <w:name w:val="Balloon Text Char"/>
    <w:basedOn w:val="DefaultParagraphFont"/>
    <w:link w:val="BalloonText"/>
    <w:uiPriority w:val="99"/>
    <w:semiHidden/>
    <w:rsid w:val="002069B2"/>
    <w:rPr>
      <w:rFonts w:ascii="Tahoma" w:hAnsi="Tahoma" w:cs="Tahoma"/>
      <w:sz w:val="16"/>
      <w:szCs w:val="16"/>
      <w:lang w:val="en-CA"/>
    </w:rPr>
  </w:style>
  <w:style w:type="paragraph" w:customStyle="1" w:styleId="11Signature">
    <w:name w:val="11_Signature"/>
    <w:basedOn w:val="Normal"/>
    <w:rsid w:val="00A47A2A"/>
    <w:rPr>
      <w:rFonts w:eastAsia="Times New Roman"/>
      <w:szCs w:val="22"/>
      <w:lang w:bidi="ar-SA"/>
    </w:rPr>
  </w:style>
  <w:style w:type="paragraph" w:customStyle="1" w:styleId="OAG-BVG-Classification">
    <w:name w:val="OAG-BVG-Classification"/>
    <w:link w:val="OAG-BVG-ClassificationChar"/>
    <w:rsid w:val="00A47A2A"/>
    <w:pPr>
      <w:spacing w:after="0" w:line="240" w:lineRule="auto"/>
    </w:pPr>
    <w:rPr>
      <w:rFonts w:ascii="Arial" w:eastAsia="Times New Roman" w:hAnsi="Arial"/>
      <w:b/>
      <w:lang w:val="en-CA" w:eastAsia="en-CA" w:bidi="ar-SA"/>
    </w:rPr>
  </w:style>
  <w:style w:type="character" w:customStyle="1" w:styleId="OAG-BVG-ClassificationChar">
    <w:name w:val="OAG-BVG-Classification Char"/>
    <w:basedOn w:val="DefaultParagraphFont"/>
    <w:link w:val="OAG-BVG-Classification"/>
    <w:rsid w:val="00A47A2A"/>
    <w:rPr>
      <w:rFonts w:ascii="Arial" w:eastAsia="Times New Roman" w:hAnsi="Arial"/>
      <w:b/>
      <w:lang w:val="en-CA"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202551">
      <w:bodyDiv w:val="1"/>
      <w:marLeft w:val="0"/>
      <w:marRight w:val="0"/>
      <w:marTop w:val="0"/>
      <w:marBottom w:val="0"/>
      <w:divBdr>
        <w:top w:val="none" w:sz="0" w:space="0" w:color="auto"/>
        <w:left w:val="none" w:sz="0" w:space="0" w:color="auto"/>
        <w:bottom w:val="none" w:sz="0" w:space="0" w:color="auto"/>
        <w:right w:val="none" w:sz="0" w:space="0" w:color="auto"/>
      </w:divBdr>
    </w:div>
    <w:div w:id="1333491163">
      <w:bodyDiv w:val="1"/>
      <w:marLeft w:val="0"/>
      <w:marRight w:val="0"/>
      <w:marTop w:val="0"/>
      <w:marBottom w:val="0"/>
      <w:divBdr>
        <w:top w:val="none" w:sz="0" w:space="0" w:color="auto"/>
        <w:left w:val="none" w:sz="0" w:space="0" w:color="auto"/>
        <w:bottom w:val="none" w:sz="0" w:space="0" w:color="auto"/>
        <w:right w:val="none" w:sz="0" w:space="0" w:color="auto"/>
      </w:divBdr>
    </w:div>
    <w:div w:id="147194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455A6ED7EF496F85B25E984B27D901"/>
        <w:category>
          <w:name w:val="General"/>
          <w:gallery w:val="placeholder"/>
        </w:category>
        <w:types>
          <w:type w:val="bbPlcHdr"/>
        </w:types>
        <w:behaviors>
          <w:behavior w:val="content"/>
        </w:behaviors>
        <w:guid w:val="{766964E0-0EC3-4438-978F-B9E9D59545E1}"/>
      </w:docPartPr>
      <w:docPartBody>
        <w:p w:rsidR="003F6AD3" w:rsidRDefault="00DE375A" w:rsidP="00DE375A">
          <w:pPr>
            <w:pStyle w:val="B1455A6ED7EF496F85B25E984B27D901"/>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0C2"/>
    <w:rsid w:val="003F6AD3"/>
    <w:rsid w:val="00A46CBC"/>
    <w:rsid w:val="00A910C2"/>
    <w:rsid w:val="00DE37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75A"/>
    <w:rPr>
      <w:color w:val="808080"/>
    </w:rPr>
  </w:style>
  <w:style w:type="paragraph" w:customStyle="1" w:styleId="B1455A6ED7EF496F85B25E984B27D901">
    <w:name w:val="B1455A6ED7EF496F85B25E984B27D901"/>
    <w:rsid w:val="00DE3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00DB7-AC9D-4E82-A711-6893E57B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525</Words>
  <Characters>2998</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 de divergence d'opinions</vt:lpstr>
      <vt:lpstr/>
    </vt:vector>
  </TitlesOfParts>
  <Company>OAG-BVG</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divergence d'opinions</dc:title>
  <dc:subject>Modèle de divergence d'opinions</dc:subject>
  <dc:creator>OAG-BVG</dc:creator>
  <cp:lastModifiedBy>Gharib, Hassan</cp:lastModifiedBy>
  <cp:revision>7</cp:revision>
  <cp:lastPrinted>2011-09-08T15:52:00Z</cp:lastPrinted>
  <dcterms:created xsi:type="dcterms:W3CDTF">2017-04-04T13:57:00Z</dcterms:created>
  <dcterms:modified xsi:type="dcterms:W3CDTF">2024-05-01T18:39:00Z</dcterms:modified>
  <cp:category>Modèle</cp:category>
  <cp:contentStatus>15589</cp:contentStatus>
</cp:coreProperties>
</file>